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254F1" w14:textId="0502168F" w:rsidR="00432032" w:rsidRPr="00432032" w:rsidRDefault="00407F82" w:rsidP="00AE4F1D">
      <w:pPr>
        <w:pStyle w:val="Title"/>
        <w:jc w:val="center"/>
        <w:rPr>
          <w:rFonts w:eastAsia="Calibri"/>
        </w:rPr>
      </w:pPr>
      <w:r w:rsidRPr="00D473AD">
        <w:t xml:space="preserve">Market </w:t>
      </w:r>
      <w:r w:rsidR="00935D5D">
        <w:t>M</w:t>
      </w:r>
      <w:r w:rsidR="00710429" w:rsidRPr="00D473AD">
        <w:t xml:space="preserve">aking </w:t>
      </w:r>
      <w:r w:rsidR="00710429" w:rsidRPr="00A43C00">
        <w:t>and</w:t>
      </w:r>
      <w:r w:rsidR="00710429" w:rsidRPr="00D473AD">
        <w:t xml:space="preserve"> </w:t>
      </w:r>
      <w:r w:rsidR="00935D5D">
        <w:t>D</w:t>
      </w:r>
      <w:r w:rsidR="00710429" w:rsidRPr="00D473AD">
        <w:t xml:space="preserve">evelopment </w:t>
      </w:r>
      <w:r w:rsidR="00935D5D">
        <w:rPr>
          <w:rFonts w:eastAsia="Calibri"/>
        </w:rPr>
        <w:t>G</w:t>
      </w:r>
      <w:r w:rsidR="00710429">
        <w:rPr>
          <w:rFonts w:eastAsia="Calibri"/>
        </w:rPr>
        <w:t>u</w:t>
      </w:r>
      <w:r w:rsidR="00432032">
        <w:rPr>
          <w:rFonts w:eastAsia="Calibri"/>
        </w:rPr>
        <w:t>idance</w:t>
      </w:r>
    </w:p>
    <w:p w14:paraId="21D19BB0" w14:textId="77777777" w:rsidR="00432032" w:rsidRPr="003D5106" w:rsidRDefault="00432032" w:rsidP="0038651C">
      <w:pPr>
        <w:pBdr>
          <w:bottom w:val="single" w:sz="4" w:space="13" w:color="5B9BD5"/>
        </w:pBdr>
        <w:spacing w:before="200" w:after="280"/>
        <w:ind w:left="936" w:right="936"/>
        <w:jc w:val="center"/>
      </w:pPr>
      <w:r w:rsidRPr="003D5106">
        <w:rPr>
          <w:noProof/>
          <w:lang w:eastAsia="en-AU"/>
        </w:rPr>
        <w:drawing>
          <wp:inline distT="0" distB="0" distL="0" distR="0" wp14:anchorId="28322A11" wp14:editId="34FBBB2F">
            <wp:extent cx="4652063" cy="3336369"/>
            <wp:effectExtent l="0" t="0" r="0" b="0"/>
            <wp:docPr id="4" name="Picture 3" descr="The PHN Commissioning Framework diagram depicts the full PHN commissioning cycle including the three main phases within the commissioning process. The first phase is titled 'Strategic Planning' and involves both needs assessment and annual planning. The second phase is 'Procuring Services' and involves designing and contracting services and shaping the structure of supply. The third phase in the framework is 'Monitoring and Evaluation' and involves managing performance and evaluation. " title="The PHN Commissioning Framework"/>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52063" cy="3336369"/>
                    </a:xfrm>
                    <a:prstGeom prst="rect">
                      <a:avLst/>
                    </a:prstGeom>
                    <a:noFill/>
                    <a:ln>
                      <a:noFill/>
                    </a:ln>
                    <a:extLst>
                      <a:ext uri="{53640926-AAD7-44D8-BBD7-CCE9431645EC}">
                        <a14:shadowObscured xmlns:a14="http://schemas.microsoft.com/office/drawing/2010/main"/>
                      </a:ext>
                    </a:extLst>
                  </pic:spPr>
                </pic:pic>
              </a:graphicData>
            </a:graphic>
          </wp:inline>
        </w:drawing>
      </w:r>
    </w:p>
    <w:p w14:paraId="021F92DA" w14:textId="3F1BEDB7" w:rsidR="00E368D8" w:rsidRDefault="00D32809" w:rsidP="00AE4F1D">
      <w:pPr>
        <w:pStyle w:val="Subtitle"/>
        <w:jc w:val="center"/>
      </w:pPr>
      <w:r>
        <w:t>July</w:t>
      </w:r>
      <w:r w:rsidR="00532ABD" w:rsidRPr="00CC2A64">
        <w:t xml:space="preserve"> 2018</w:t>
      </w:r>
    </w:p>
    <w:p w14:paraId="6DCB6979" w14:textId="77777777" w:rsidR="00564821" w:rsidRPr="00CC2A64" w:rsidRDefault="00564821" w:rsidP="00CC2A64">
      <w:pPr>
        <w:pStyle w:val="Subtitle"/>
      </w:pPr>
    </w:p>
    <w:p w14:paraId="3A2D0A1B" w14:textId="77777777" w:rsidR="00521C17" w:rsidRPr="003D5106" w:rsidRDefault="00521C17" w:rsidP="00564821">
      <w:pPr>
        <w:sectPr w:rsidR="00521C17" w:rsidRPr="003D5106" w:rsidSect="000D0A20">
          <w:headerReference w:type="default" r:id="rId10"/>
          <w:footerReference w:type="default" r:id="rId11"/>
          <w:headerReference w:type="first" r:id="rId12"/>
          <w:footerReference w:type="first" r:id="rId13"/>
          <w:endnotePr>
            <w:numFmt w:val="decimal"/>
          </w:endnotePr>
          <w:pgSz w:w="11906" w:h="16838"/>
          <w:pgMar w:top="1418" w:right="1077" w:bottom="1418" w:left="1077" w:header="709" w:footer="709" w:gutter="0"/>
          <w:pgNumType w:start="1"/>
          <w:cols w:space="708"/>
          <w:docGrid w:linePitch="360"/>
        </w:sectPr>
      </w:pPr>
    </w:p>
    <w:p w14:paraId="50D7A669" w14:textId="7E952157" w:rsidR="00564821" w:rsidRPr="00564821" w:rsidRDefault="00564821" w:rsidP="00201ACB">
      <w:pPr>
        <w:pStyle w:val="SectionHeading"/>
      </w:pPr>
      <w:bookmarkStart w:id="0" w:name="_Toc515529482"/>
      <w:r w:rsidRPr="00564821">
        <w:lastRenderedPageBreak/>
        <w:t>Acknowledgement</w:t>
      </w:r>
      <w:bookmarkEnd w:id="0"/>
    </w:p>
    <w:p w14:paraId="3DC852BE" w14:textId="0DF8B2B6" w:rsidR="00564821" w:rsidRPr="00564821" w:rsidRDefault="00564821" w:rsidP="00201ACB">
      <w:pPr>
        <w:pStyle w:val="Paragraphtext"/>
      </w:pPr>
      <w:r w:rsidRPr="00564821">
        <w:t xml:space="preserve">This document has been developed by the Australian Government Department of Health and </w:t>
      </w:r>
      <w:r w:rsidR="00CF2ABE">
        <w:t>PwC</w:t>
      </w:r>
      <w:r w:rsidRPr="00564821">
        <w:t xml:space="preserve"> as part of a project funded by the Department to develop guidance, tools and training for Primary Health Networks (PHNs) on commissioning. It has been co-designed with PHNs through the PHN Commissioning Working Group and the relevant sub-group and informed by interviews with, and case studies from, some PHNs.</w:t>
      </w:r>
    </w:p>
    <w:p w14:paraId="2F322757" w14:textId="165484C1" w:rsidR="00564821" w:rsidRPr="00564821" w:rsidRDefault="00564821" w:rsidP="00201ACB">
      <w:pPr>
        <w:pStyle w:val="Paragraphtext"/>
      </w:pPr>
      <w:r w:rsidRPr="00564821">
        <w:t>The active contribution of the PHNs in the development of this guid</w:t>
      </w:r>
      <w:r w:rsidR="004A0A8E">
        <w:t>anc</w:t>
      </w:r>
      <w:r w:rsidRPr="00564821">
        <w:t>e is appreciated.</w:t>
      </w:r>
    </w:p>
    <w:p w14:paraId="762CE212" w14:textId="450BA241" w:rsidR="00564821" w:rsidRPr="00564821" w:rsidRDefault="00564821" w:rsidP="00201ACB">
      <w:pPr>
        <w:pStyle w:val="Paragraphtext"/>
      </w:pPr>
      <w:r w:rsidRPr="00564821">
        <w:t>Contributions from Helen Dickinson, Associate Professor Public Service Research and Director Public Services Research Centre, University of New South Wales, Canberra ha</w:t>
      </w:r>
      <w:r w:rsidR="00EB563D">
        <w:t>ve</w:t>
      </w:r>
      <w:r w:rsidRPr="00564821">
        <w:t xml:space="preserve"> provided insight on the commissioning evidence base.</w:t>
      </w:r>
    </w:p>
    <w:p w14:paraId="29BB12D5" w14:textId="77777777" w:rsidR="00794E8D" w:rsidRDefault="00794E8D" w:rsidP="00794E8D">
      <w:pPr>
        <w:pStyle w:val="Paragraphtext"/>
        <w:spacing w:line="240" w:lineRule="auto"/>
      </w:pPr>
      <w:bookmarkStart w:id="1" w:name="_Toc515529483"/>
      <w:r>
        <w:t>© Commonwealth of Australia 2018</w:t>
      </w:r>
    </w:p>
    <w:p w14:paraId="08CE3EE3" w14:textId="77777777" w:rsidR="00794E8D" w:rsidRDefault="00794E8D" w:rsidP="00794E8D">
      <w:pPr>
        <w:pStyle w:val="Paragraphtext"/>
      </w:pPr>
      <w: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4" w:history="1">
        <w:r>
          <w:rPr>
            <w:rStyle w:val="Hyperlink"/>
          </w:rPr>
          <w:t>copyright@health.gov.au</w:t>
        </w:r>
      </w:hyperlink>
      <w:r>
        <w:t>.</w:t>
      </w:r>
    </w:p>
    <w:p w14:paraId="6B4F4535" w14:textId="4C14D758" w:rsidR="00794E8D" w:rsidRDefault="00E07BCA" w:rsidP="00794E8D">
      <w:pPr>
        <w:pStyle w:val="Paragraphtext"/>
        <w:spacing w:line="240" w:lineRule="auto"/>
        <w:rPr>
          <w:rFonts w:ascii="Helvetica" w:hAnsi="Helvetica"/>
          <w:color w:val="222222"/>
          <w:sz w:val="20"/>
          <w:szCs w:val="20"/>
        </w:rPr>
      </w:pPr>
      <w:r w:rsidRPr="0038651C">
        <w:t>Preferred citation:</w:t>
      </w:r>
      <w:r>
        <w:t xml:space="preserve"> </w:t>
      </w:r>
      <w:r w:rsidRPr="007A242F">
        <w:rPr>
          <w:szCs w:val="18"/>
        </w:rPr>
        <w:t>Australian Govern</w:t>
      </w:r>
      <w:r>
        <w:rPr>
          <w:szCs w:val="18"/>
        </w:rPr>
        <w:t xml:space="preserve">ment Department of Health. </w:t>
      </w:r>
      <w:proofErr w:type="gramStart"/>
      <w:r>
        <w:rPr>
          <w:szCs w:val="18"/>
        </w:rPr>
        <w:t>(2018</w:t>
      </w:r>
      <w:r w:rsidRPr="007A242F">
        <w:rPr>
          <w:szCs w:val="18"/>
        </w:rPr>
        <w:t xml:space="preserve">). </w:t>
      </w:r>
      <w:r>
        <w:rPr>
          <w:i/>
          <w:szCs w:val="18"/>
        </w:rPr>
        <w:t>Market Making and Development</w:t>
      </w:r>
      <w:r w:rsidRPr="007A242F">
        <w:rPr>
          <w:i/>
          <w:szCs w:val="18"/>
        </w:rPr>
        <w:t xml:space="preserve"> Guidance.</w:t>
      </w:r>
      <w:proofErr w:type="gramEnd"/>
      <w:r w:rsidRPr="007A242F">
        <w:rPr>
          <w:i/>
          <w:szCs w:val="18"/>
        </w:rPr>
        <w:t xml:space="preserve"> </w:t>
      </w:r>
      <w:r w:rsidRPr="007A242F">
        <w:rPr>
          <w:szCs w:val="18"/>
        </w:rPr>
        <w:t>Available at: http://www.health.gov.au/internet/main/publishing.nsf/Content/PHNCommissioningResources</w:t>
      </w:r>
    </w:p>
    <w:p w14:paraId="5B1EEBAD" w14:textId="77777777" w:rsidR="00794E8D" w:rsidRPr="00E13224" w:rsidRDefault="00794E8D" w:rsidP="00794E8D">
      <w:pPr>
        <w:pStyle w:val="SectionHeading"/>
      </w:pPr>
      <w:bookmarkStart w:id="2" w:name="_Toc511304498"/>
      <w:bookmarkStart w:id="3" w:name="_Toc513536072"/>
      <w:bookmarkStart w:id="4" w:name="_Toc519532375"/>
      <w:r w:rsidRPr="00E13224">
        <w:t>Disclaimer</w:t>
      </w:r>
      <w:bookmarkEnd w:id="2"/>
      <w:bookmarkEnd w:id="3"/>
      <w:bookmarkEnd w:id="4"/>
    </w:p>
    <w:p w14:paraId="4C443B91" w14:textId="77777777" w:rsidR="00794E8D" w:rsidRPr="00E55F93" w:rsidRDefault="00794E8D" w:rsidP="00794E8D">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229E3C1C" w14:textId="77777777" w:rsidR="00564821" w:rsidRPr="00564821" w:rsidRDefault="00564821" w:rsidP="00201ACB">
      <w:pPr>
        <w:pStyle w:val="SectionHeading"/>
      </w:pPr>
      <w:r w:rsidRPr="00564821">
        <w:t>Note</w:t>
      </w:r>
      <w:bookmarkEnd w:id="1"/>
    </w:p>
    <w:p w14:paraId="13662E8A" w14:textId="1DA1189E" w:rsidR="00C84CD1" w:rsidRPr="00564821" w:rsidRDefault="00564821" w:rsidP="00201ACB">
      <w:pPr>
        <w:pStyle w:val="Paragraphtext"/>
      </w:pPr>
      <w:r w:rsidRPr="00564821">
        <w:t>This guidance does not override the requirements set out in the PHN Funding Agreement.</w:t>
      </w:r>
    </w:p>
    <w:p w14:paraId="52EBD9C1" w14:textId="77777777" w:rsidR="00EA526A" w:rsidRPr="00DB6D7F" w:rsidRDefault="00EA526A" w:rsidP="00201ACB">
      <w:pPr>
        <w:pStyle w:val="Paragraphtext"/>
      </w:pPr>
      <w:r w:rsidRPr="00DB6D7F">
        <w:br w:type="page"/>
      </w:r>
    </w:p>
    <w:p w14:paraId="1CA09168" w14:textId="64768CFC" w:rsidR="00C46706" w:rsidRPr="00FF1BC6" w:rsidRDefault="00201ACB" w:rsidP="00201ACB">
      <w:pPr>
        <w:pStyle w:val="SectionHeading"/>
      </w:pPr>
      <w:bookmarkStart w:id="5" w:name="_Toc515529484"/>
      <w:r>
        <w:lastRenderedPageBreak/>
        <w:t>Table of c</w:t>
      </w:r>
      <w:r w:rsidR="0032770D" w:rsidRPr="009C5804">
        <w:t>ontents</w:t>
      </w:r>
      <w:bookmarkEnd w:id="5"/>
    </w:p>
    <w:p w14:paraId="3503AB1C" w14:textId="3E53D0DE" w:rsidR="00C45EC5" w:rsidRDefault="007F61DF">
      <w:pPr>
        <w:pStyle w:val="TOC1"/>
        <w:rPr>
          <w:rFonts w:asciiTheme="minorHAnsi" w:eastAsiaTheme="minorEastAsia" w:hAnsiTheme="minorHAnsi" w:cstheme="minorBidi"/>
          <w:noProof/>
          <w:szCs w:val="22"/>
          <w:lang w:val="en-US"/>
        </w:rPr>
      </w:pPr>
      <w:r>
        <w:rPr>
          <w:color w:val="003D69"/>
        </w:rPr>
        <w:fldChar w:fldCharType="begin"/>
      </w:r>
      <w:r w:rsidR="00C45EC5">
        <w:rPr>
          <w:color w:val="003D69"/>
        </w:rPr>
        <w:instrText xml:space="preserve"> TOC \o "1-3</w:instrText>
      </w:r>
      <w:r>
        <w:rPr>
          <w:color w:val="003D69"/>
        </w:rPr>
        <w:instrText xml:space="preserve">" \h \z \t "Heading 5,2" </w:instrText>
      </w:r>
      <w:r>
        <w:rPr>
          <w:color w:val="003D69"/>
        </w:rPr>
        <w:fldChar w:fldCharType="separate"/>
      </w:r>
      <w:hyperlink w:anchor="_Toc515529482" w:history="1">
        <w:r w:rsidR="00C45EC5" w:rsidRPr="00D31684">
          <w:rPr>
            <w:rStyle w:val="Hyperlink"/>
            <w:noProof/>
          </w:rPr>
          <w:t>Acknowledgement</w:t>
        </w:r>
        <w:r w:rsidR="00C45EC5">
          <w:rPr>
            <w:noProof/>
            <w:webHidden/>
          </w:rPr>
          <w:tab/>
        </w:r>
        <w:r w:rsidR="00C45EC5">
          <w:rPr>
            <w:noProof/>
            <w:webHidden/>
          </w:rPr>
          <w:fldChar w:fldCharType="begin"/>
        </w:r>
        <w:r w:rsidR="00C45EC5">
          <w:rPr>
            <w:noProof/>
            <w:webHidden/>
          </w:rPr>
          <w:instrText xml:space="preserve"> PAGEREF _Toc515529482 \h </w:instrText>
        </w:r>
        <w:r w:rsidR="00C45EC5">
          <w:rPr>
            <w:noProof/>
            <w:webHidden/>
          </w:rPr>
        </w:r>
        <w:r w:rsidR="00C45EC5">
          <w:rPr>
            <w:noProof/>
            <w:webHidden/>
          </w:rPr>
          <w:fldChar w:fldCharType="separate"/>
        </w:r>
        <w:r w:rsidR="00B077F0">
          <w:rPr>
            <w:noProof/>
            <w:webHidden/>
          </w:rPr>
          <w:t>1</w:t>
        </w:r>
        <w:r w:rsidR="00C45EC5">
          <w:rPr>
            <w:noProof/>
            <w:webHidden/>
          </w:rPr>
          <w:fldChar w:fldCharType="end"/>
        </w:r>
      </w:hyperlink>
    </w:p>
    <w:p w14:paraId="68C83307" w14:textId="4B10F6BB" w:rsidR="00C45EC5" w:rsidRDefault="00541D06">
      <w:pPr>
        <w:pStyle w:val="TOC1"/>
        <w:rPr>
          <w:rFonts w:asciiTheme="minorHAnsi" w:eastAsiaTheme="minorEastAsia" w:hAnsiTheme="minorHAnsi" w:cstheme="minorBidi"/>
          <w:noProof/>
          <w:szCs w:val="22"/>
          <w:lang w:val="en-US"/>
        </w:rPr>
      </w:pPr>
      <w:hyperlink w:anchor="_Toc515529483" w:history="1">
        <w:r w:rsidR="00C45EC5" w:rsidRPr="00D31684">
          <w:rPr>
            <w:rStyle w:val="Hyperlink"/>
            <w:noProof/>
          </w:rPr>
          <w:t>Note</w:t>
        </w:r>
        <w:r w:rsidR="00C45EC5">
          <w:rPr>
            <w:noProof/>
            <w:webHidden/>
          </w:rPr>
          <w:tab/>
        </w:r>
        <w:r w:rsidR="00C45EC5">
          <w:rPr>
            <w:noProof/>
            <w:webHidden/>
          </w:rPr>
          <w:fldChar w:fldCharType="begin"/>
        </w:r>
        <w:r w:rsidR="00C45EC5">
          <w:rPr>
            <w:noProof/>
            <w:webHidden/>
          </w:rPr>
          <w:instrText xml:space="preserve"> PAGEREF _Toc515529483 \h </w:instrText>
        </w:r>
        <w:r w:rsidR="00C45EC5">
          <w:rPr>
            <w:noProof/>
            <w:webHidden/>
          </w:rPr>
        </w:r>
        <w:r w:rsidR="00C45EC5">
          <w:rPr>
            <w:noProof/>
            <w:webHidden/>
          </w:rPr>
          <w:fldChar w:fldCharType="separate"/>
        </w:r>
        <w:r w:rsidR="00B077F0">
          <w:rPr>
            <w:noProof/>
            <w:webHidden/>
          </w:rPr>
          <w:t>1</w:t>
        </w:r>
        <w:r w:rsidR="00C45EC5">
          <w:rPr>
            <w:noProof/>
            <w:webHidden/>
          </w:rPr>
          <w:fldChar w:fldCharType="end"/>
        </w:r>
      </w:hyperlink>
    </w:p>
    <w:p w14:paraId="635A75EC" w14:textId="0C542C5A" w:rsidR="00C45EC5" w:rsidRDefault="00541D06">
      <w:pPr>
        <w:pStyle w:val="TOC1"/>
        <w:rPr>
          <w:rFonts w:asciiTheme="minorHAnsi" w:eastAsiaTheme="minorEastAsia" w:hAnsiTheme="minorHAnsi" w:cstheme="minorBidi"/>
          <w:noProof/>
          <w:szCs w:val="22"/>
          <w:lang w:val="en-US"/>
        </w:rPr>
      </w:pPr>
      <w:hyperlink w:anchor="_Toc515529484" w:history="1">
        <w:r w:rsidR="00C45EC5" w:rsidRPr="00D31684">
          <w:rPr>
            <w:rStyle w:val="Hyperlink"/>
            <w:noProof/>
          </w:rPr>
          <w:t>Table of contents</w:t>
        </w:r>
        <w:r w:rsidR="00C45EC5">
          <w:rPr>
            <w:noProof/>
            <w:webHidden/>
          </w:rPr>
          <w:tab/>
        </w:r>
        <w:r w:rsidR="00C45EC5">
          <w:rPr>
            <w:noProof/>
            <w:webHidden/>
          </w:rPr>
          <w:fldChar w:fldCharType="begin"/>
        </w:r>
        <w:r w:rsidR="00C45EC5">
          <w:rPr>
            <w:noProof/>
            <w:webHidden/>
          </w:rPr>
          <w:instrText xml:space="preserve"> PAGEREF _Toc515529484 \h </w:instrText>
        </w:r>
        <w:r w:rsidR="00C45EC5">
          <w:rPr>
            <w:noProof/>
            <w:webHidden/>
          </w:rPr>
        </w:r>
        <w:r w:rsidR="00C45EC5">
          <w:rPr>
            <w:noProof/>
            <w:webHidden/>
          </w:rPr>
          <w:fldChar w:fldCharType="separate"/>
        </w:r>
        <w:r w:rsidR="00B077F0">
          <w:rPr>
            <w:noProof/>
            <w:webHidden/>
          </w:rPr>
          <w:t>2</w:t>
        </w:r>
        <w:r w:rsidR="00C45EC5">
          <w:rPr>
            <w:noProof/>
            <w:webHidden/>
          </w:rPr>
          <w:fldChar w:fldCharType="end"/>
        </w:r>
      </w:hyperlink>
    </w:p>
    <w:p w14:paraId="206ACB88" w14:textId="7E54B9A0" w:rsidR="00C45EC5" w:rsidRDefault="00541D06">
      <w:pPr>
        <w:pStyle w:val="TOC1"/>
        <w:rPr>
          <w:rFonts w:asciiTheme="minorHAnsi" w:eastAsiaTheme="minorEastAsia" w:hAnsiTheme="minorHAnsi" w:cstheme="minorBidi"/>
          <w:noProof/>
          <w:szCs w:val="22"/>
          <w:lang w:val="en-US"/>
        </w:rPr>
      </w:pPr>
      <w:hyperlink w:anchor="_Toc515529485" w:history="1">
        <w:r w:rsidR="00C45EC5" w:rsidRPr="00D31684">
          <w:rPr>
            <w:rStyle w:val="Hyperlink"/>
            <w:noProof/>
          </w:rPr>
          <w:t>List of Figures</w:t>
        </w:r>
        <w:r w:rsidR="00C45EC5">
          <w:rPr>
            <w:noProof/>
            <w:webHidden/>
          </w:rPr>
          <w:tab/>
        </w:r>
        <w:r w:rsidR="00C45EC5">
          <w:rPr>
            <w:noProof/>
            <w:webHidden/>
          </w:rPr>
          <w:fldChar w:fldCharType="begin"/>
        </w:r>
        <w:r w:rsidR="00C45EC5">
          <w:rPr>
            <w:noProof/>
            <w:webHidden/>
          </w:rPr>
          <w:instrText xml:space="preserve"> PAGEREF _Toc515529485 \h </w:instrText>
        </w:r>
        <w:r w:rsidR="00C45EC5">
          <w:rPr>
            <w:noProof/>
            <w:webHidden/>
          </w:rPr>
        </w:r>
        <w:r w:rsidR="00C45EC5">
          <w:rPr>
            <w:noProof/>
            <w:webHidden/>
          </w:rPr>
          <w:fldChar w:fldCharType="separate"/>
        </w:r>
        <w:r w:rsidR="00B077F0">
          <w:rPr>
            <w:noProof/>
            <w:webHidden/>
          </w:rPr>
          <w:t>4</w:t>
        </w:r>
        <w:r w:rsidR="00C45EC5">
          <w:rPr>
            <w:noProof/>
            <w:webHidden/>
          </w:rPr>
          <w:fldChar w:fldCharType="end"/>
        </w:r>
      </w:hyperlink>
    </w:p>
    <w:p w14:paraId="3C0EF05B" w14:textId="38BB9B78" w:rsidR="00C45EC5" w:rsidRDefault="00541D06">
      <w:pPr>
        <w:pStyle w:val="TOC1"/>
        <w:rPr>
          <w:rFonts w:asciiTheme="minorHAnsi" w:eastAsiaTheme="minorEastAsia" w:hAnsiTheme="minorHAnsi" w:cstheme="minorBidi"/>
          <w:noProof/>
          <w:szCs w:val="22"/>
          <w:lang w:val="en-US"/>
        </w:rPr>
      </w:pPr>
      <w:hyperlink w:anchor="_Toc515529486" w:history="1">
        <w:r w:rsidR="00C45EC5" w:rsidRPr="00D31684">
          <w:rPr>
            <w:rStyle w:val="Hyperlink"/>
            <w:noProof/>
          </w:rPr>
          <w:t>List of Tables</w:t>
        </w:r>
        <w:r w:rsidR="00C45EC5">
          <w:rPr>
            <w:noProof/>
            <w:webHidden/>
          </w:rPr>
          <w:tab/>
        </w:r>
        <w:r w:rsidR="00C45EC5">
          <w:rPr>
            <w:noProof/>
            <w:webHidden/>
          </w:rPr>
          <w:fldChar w:fldCharType="begin"/>
        </w:r>
        <w:r w:rsidR="00C45EC5">
          <w:rPr>
            <w:noProof/>
            <w:webHidden/>
          </w:rPr>
          <w:instrText xml:space="preserve"> PAGEREF _Toc515529486 \h </w:instrText>
        </w:r>
        <w:r w:rsidR="00C45EC5">
          <w:rPr>
            <w:noProof/>
            <w:webHidden/>
          </w:rPr>
        </w:r>
        <w:r w:rsidR="00C45EC5">
          <w:rPr>
            <w:noProof/>
            <w:webHidden/>
          </w:rPr>
          <w:fldChar w:fldCharType="separate"/>
        </w:r>
        <w:r w:rsidR="00B077F0">
          <w:rPr>
            <w:noProof/>
            <w:webHidden/>
          </w:rPr>
          <w:t>4</w:t>
        </w:r>
        <w:r w:rsidR="00C45EC5">
          <w:rPr>
            <w:noProof/>
            <w:webHidden/>
          </w:rPr>
          <w:fldChar w:fldCharType="end"/>
        </w:r>
      </w:hyperlink>
    </w:p>
    <w:p w14:paraId="2427A5A2" w14:textId="378E4BD2" w:rsidR="00C45EC5" w:rsidRDefault="00541D06">
      <w:pPr>
        <w:pStyle w:val="TOC1"/>
        <w:rPr>
          <w:rFonts w:asciiTheme="minorHAnsi" w:eastAsiaTheme="minorEastAsia" w:hAnsiTheme="minorHAnsi" w:cstheme="minorBidi"/>
          <w:noProof/>
          <w:szCs w:val="22"/>
          <w:lang w:val="en-US"/>
        </w:rPr>
      </w:pPr>
      <w:hyperlink w:anchor="_Toc515529487" w:history="1">
        <w:r w:rsidR="00C45EC5" w:rsidRPr="00D31684">
          <w:rPr>
            <w:rStyle w:val="Hyperlink"/>
            <w:noProof/>
          </w:rPr>
          <w:t>Acronyms used in this guidance</w:t>
        </w:r>
        <w:r w:rsidR="00C45EC5">
          <w:rPr>
            <w:noProof/>
            <w:webHidden/>
          </w:rPr>
          <w:tab/>
        </w:r>
        <w:r w:rsidR="00C45EC5">
          <w:rPr>
            <w:noProof/>
            <w:webHidden/>
          </w:rPr>
          <w:fldChar w:fldCharType="begin"/>
        </w:r>
        <w:r w:rsidR="00C45EC5">
          <w:rPr>
            <w:noProof/>
            <w:webHidden/>
          </w:rPr>
          <w:instrText xml:space="preserve"> PAGEREF _Toc515529487 \h </w:instrText>
        </w:r>
        <w:r w:rsidR="00C45EC5">
          <w:rPr>
            <w:noProof/>
            <w:webHidden/>
          </w:rPr>
        </w:r>
        <w:r w:rsidR="00C45EC5">
          <w:rPr>
            <w:noProof/>
            <w:webHidden/>
          </w:rPr>
          <w:fldChar w:fldCharType="separate"/>
        </w:r>
        <w:r w:rsidR="00B077F0">
          <w:rPr>
            <w:noProof/>
            <w:webHidden/>
          </w:rPr>
          <w:t>5</w:t>
        </w:r>
        <w:r w:rsidR="00C45EC5">
          <w:rPr>
            <w:noProof/>
            <w:webHidden/>
          </w:rPr>
          <w:fldChar w:fldCharType="end"/>
        </w:r>
      </w:hyperlink>
    </w:p>
    <w:p w14:paraId="2009F1C6" w14:textId="2DF6E19A" w:rsidR="00C45EC5" w:rsidRDefault="00541D06">
      <w:pPr>
        <w:pStyle w:val="TOC1"/>
        <w:rPr>
          <w:rFonts w:asciiTheme="minorHAnsi" w:eastAsiaTheme="minorEastAsia" w:hAnsiTheme="minorHAnsi" w:cstheme="minorBidi"/>
          <w:noProof/>
          <w:szCs w:val="22"/>
          <w:lang w:val="en-US"/>
        </w:rPr>
      </w:pPr>
      <w:hyperlink w:anchor="_Toc515529488" w:history="1">
        <w:r w:rsidR="00C45EC5" w:rsidRPr="00D31684">
          <w:rPr>
            <w:rStyle w:val="Hyperlink"/>
            <w:noProof/>
          </w:rPr>
          <w:t>Definitions of some key terms used in this guidance</w:t>
        </w:r>
        <w:r w:rsidR="00C45EC5">
          <w:rPr>
            <w:noProof/>
            <w:webHidden/>
          </w:rPr>
          <w:tab/>
        </w:r>
        <w:r w:rsidR="00C45EC5">
          <w:rPr>
            <w:noProof/>
            <w:webHidden/>
          </w:rPr>
          <w:fldChar w:fldCharType="begin"/>
        </w:r>
        <w:r w:rsidR="00C45EC5">
          <w:rPr>
            <w:noProof/>
            <w:webHidden/>
          </w:rPr>
          <w:instrText xml:space="preserve"> PAGEREF _Toc515529488 \h </w:instrText>
        </w:r>
        <w:r w:rsidR="00C45EC5">
          <w:rPr>
            <w:noProof/>
            <w:webHidden/>
          </w:rPr>
        </w:r>
        <w:r w:rsidR="00C45EC5">
          <w:rPr>
            <w:noProof/>
            <w:webHidden/>
          </w:rPr>
          <w:fldChar w:fldCharType="separate"/>
        </w:r>
        <w:r w:rsidR="00B077F0">
          <w:rPr>
            <w:noProof/>
            <w:webHidden/>
          </w:rPr>
          <w:t>6</w:t>
        </w:r>
        <w:r w:rsidR="00C45EC5">
          <w:rPr>
            <w:noProof/>
            <w:webHidden/>
          </w:rPr>
          <w:fldChar w:fldCharType="end"/>
        </w:r>
      </w:hyperlink>
    </w:p>
    <w:p w14:paraId="388CFC11" w14:textId="06B2CEB0" w:rsidR="00C45EC5" w:rsidRDefault="00541D06">
      <w:pPr>
        <w:pStyle w:val="TOC1"/>
        <w:tabs>
          <w:tab w:val="left" w:pos="440"/>
        </w:tabs>
        <w:rPr>
          <w:rFonts w:asciiTheme="minorHAnsi" w:eastAsiaTheme="minorEastAsia" w:hAnsiTheme="minorHAnsi" w:cstheme="minorBidi"/>
          <w:noProof/>
          <w:szCs w:val="22"/>
          <w:lang w:val="en-US"/>
        </w:rPr>
      </w:pPr>
      <w:hyperlink w:anchor="_Toc515529489" w:history="1">
        <w:r w:rsidR="00C45EC5" w:rsidRPr="00D31684">
          <w:rPr>
            <w:rStyle w:val="Hyperlink"/>
            <w:noProof/>
          </w:rPr>
          <w:t>1</w:t>
        </w:r>
        <w:r w:rsidR="00C45EC5">
          <w:rPr>
            <w:rFonts w:asciiTheme="minorHAnsi" w:eastAsiaTheme="minorEastAsia" w:hAnsiTheme="minorHAnsi" w:cstheme="minorBidi"/>
            <w:noProof/>
            <w:szCs w:val="22"/>
            <w:lang w:val="en-US"/>
          </w:rPr>
          <w:tab/>
        </w:r>
        <w:r w:rsidR="00C45EC5" w:rsidRPr="00D31684">
          <w:rPr>
            <w:rStyle w:val="Hyperlink"/>
            <w:noProof/>
          </w:rPr>
          <w:t>Introduction</w:t>
        </w:r>
        <w:r w:rsidR="00C45EC5">
          <w:rPr>
            <w:noProof/>
            <w:webHidden/>
          </w:rPr>
          <w:tab/>
        </w:r>
        <w:r w:rsidR="00C45EC5">
          <w:rPr>
            <w:noProof/>
            <w:webHidden/>
          </w:rPr>
          <w:fldChar w:fldCharType="begin"/>
        </w:r>
        <w:r w:rsidR="00C45EC5">
          <w:rPr>
            <w:noProof/>
            <w:webHidden/>
          </w:rPr>
          <w:instrText xml:space="preserve"> PAGEREF _Toc515529489 \h </w:instrText>
        </w:r>
        <w:r w:rsidR="00C45EC5">
          <w:rPr>
            <w:noProof/>
            <w:webHidden/>
          </w:rPr>
        </w:r>
        <w:r w:rsidR="00C45EC5">
          <w:rPr>
            <w:noProof/>
            <w:webHidden/>
          </w:rPr>
          <w:fldChar w:fldCharType="separate"/>
        </w:r>
        <w:r w:rsidR="00B077F0">
          <w:rPr>
            <w:noProof/>
            <w:webHidden/>
          </w:rPr>
          <w:t>7</w:t>
        </w:r>
        <w:r w:rsidR="00C45EC5">
          <w:rPr>
            <w:noProof/>
            <w:webHidden/>
          </w:rPr>
          <w:fldChar w:fldCharType="end"/>
        </w:r>
      </w:hyperlink>
    </w:p>
    <w:p w14:paraId="13AEE86D" w14:textId="39A62FAF"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0" w:history="1">
        <w:r w:rsidR="00C45EC5" w:rsidRPr="00D31684">
          <w:rPr>
            <w:rStyle w:val="Hyperlink"/>
            <w:noProof/>
          </w:rPr>
          <w:t>1.1</w:t>
        </w:r>
        <w:r w:rsidR="00C45EC5">
          <w:rPr>
            <w:rFonts w:asciiTheme="minorHAnsi" w:eastAsiaTheme="minorEastAsia" w:hAnsiTheme="minorHAnsi" w:cstheme="minorBidi"/>
            <w:noProof/>
            <w:szCs w:val="22"/>
            <w:lang w:val="en-US"/>
          </w:rPr>
          <w:tab/>
        </w:r>
        <w:r w:rsidR="00C45EC5" w:rsidRPr="00D31684">
          <w:rPr>
            <w:rStyle w:val="Hyperlink"/>
            <w:noProof/>
          </w:rPr>
          <w:t>Purpose</w:t>
        </w:r>
        <w:r w:rsidR="00C45EC5">
          <w:rPr>
            <w:noProof/>
            <w:webHidden/>
          </w:rPr>
          <w:tab/>
        </w:r>
        <w:r w:rsidR="00C45EC5">
          <w:rPr>
            <w:noProof/>
            <w:webHidden/>
          </w:rPr>
          <w:fldChar w:fldCharType="begin"/>
        </w:r>
        <w:r w:rsidR="00C45EC5">
          <w:rPr>
            <w:noProof/>
            <w:webHidden/>
          </w:rPr>
          <w:instrText xml:space="preserve"> PAGEREF _Toc515529490 \h </w:instrText>
        </w:r>
        <w:r w:rsidR="00C45EC5">
          <w:rPr>
            <w:noProof/>
            <w:webHidden/>
          </w:rPr>
        </w:r>
        <w:r w:rsidR="00C45EC5">
          <w:rPr>
            <w:noProof/>
            <w:webHidden/>
          </w:rPr>
          <w:fldChar w:fldCharType="separate"/>
        </w:r>
        <w:r w:rsidR="00B077F0">
          <w:rPr>
            <w:noProof/>
            <w:webHidden/>
          </w:rPr>
          <w:t>7</w:t>
        </w:r>
        <w:r w:rsidR="00C45EC5">
          <w:rPr>
            <w:noProof/>
            <w:webHidden/>
          </w:rPr>
          <w:fldChar w:fldCharType="end"/>
        </w:r>
      </w:hyperlink>
    </w:p>
    <w:p w14:paraId="381765AE" w14:textId="48771764"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1" w:history="1">
        <w:r w:rsidR="00C45EC5" w:rsidRPr="00D31684">
          <w:rPr>
            <w:rStyle w:val="Hyperlink"/>
            <w:noProof/>
          </w:rPr>
          <w:t>1.2</w:t>
        </w:r>
        <w:r w:rsidR="00C45EC5">
          <w:rPr>
            <w:rFonts w:asciiTheme="minorHAnsi" w:eastAsiaTheme="minorEastAsia" w:hAnsiTheme="minorHAnsi" w:cstheme="minorBidi"/>
            <w:noProof/>
            <w:szCs w:val="22"/>
            <w:lang w:val="en-US"/>
          </w:rPr>
          <w:tab/>
        </w:r>
        <w:r w:rsidR="00C45EC5" w:rsidRPr="00D31684">
          <w:rPr>
            <w:rStyle w:val="Hyperlink"/>
            <w:noProof/>
          </w:rPr>
          <w:t>Context</w:t>
        </w:r>
        <w:r w:rsidR="00C45EC5">
          <w:rPr>
            <w:noProof/>
            <w:webHidden/>
          </w:rPr>
          <w:tab/>
        </w:r>
        <w:r w:rsidR="00C45EC5">
          <w:rPr>
            <w:noProof/>
            <w:webHidden/>
          </w:rPr>
          <w:fldChar w:fldCharType="begin"/>
        </w:r>
        <w:r w:rsidR="00C45EC5">
          <w:rPr>
            <w:noProof/>
            <w:webHidden/>
          </w:rPr>
          <w:instrText xml:space="preserve"> PAGEREF _Toc515529491 \h </w:instrText>
        </w:r>
        <w:r w:rsidR="00C45EC5">
          <w:rPr>
            <w:noProof/>
            <w:webHidden/>
          </w:rPr>
        </w:r>
        <w:r w:rsidR="00C45EC5">
          <w:rPr>
            <w:noProof/>
            <w:webHidden/>
          </w:rPr>
          <w:fldChar w:fldCharType="separate"/>
        </w:r>
        <w:r w:rsidR="00B077F0">
          <w:rPr>
            <w:noProof/>
            <w:webHidden/>
          </w:rPr>
          <w:t>7</w:t>
        </w:r>
        <w:r w:rsidR="00C45EC5">
          <w:rPr>
            <w:noProof/>
            <w:webHidden/>
          </w:rPr>
          <w:fldChar w:fldCharType="end"/>
        </w:r>
      </w:hyperlink>
    </w:p>
    <w:p w14:paraId="74A49402" w14:textId="0E2B6A6C"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2" w:history="1">
        <w:r w:rsidR="00C45EC5" w:rsidRPr="00D31684">
          <w:rPr>
            <w:rStyle w:val="Hyperlink"/>
            <w:noProof/>
          </w:rPr>
          <w:t>1.3</w:t>
        </w:r>
        <w:r w:rsidR="00C45EC5">
          <w:rPr>
            <w:rFonts w:asciiTheme="minorHAnsi" w:eastAsiaTheme="minorEastAsia" w:hAnsiTheme="minorHAnsi" w:cstheme="minorBidi"/>
            <w:noProof/>
            <w:szCs w:val="22"/>
            <w:lang w:val="en-US"/>
          </w:rPr>
          <w:tab/>
        </w:r>
        <w:r w:rsidR="00C45EC5" w:rsidRPr="00D31684">
          <w:rPr>
            <w:rStyle w:val="Hyperlink"/>
            <w:noProof/>
          </w:rPr>
          <w:t>Key messages</w:t>
        </w:r>
        <w:r w:rsidR="00C45EC5">
          <w:rPr>
            <w:noProof/>
            <w:webHidden/>
          </w:rPr>
          <w:tab/>
        </w:r>
        <w:r w:rsidR="00C45EC5">
          <w:rPr>
            <w:noProof/>
            <w:webHidden/>
          </w:rPr>
          <w:fldChar w:fldCharType="begin"/>
        </w:r>
        <w:r w:rsidR="00C45EC5">
          <w:rPr>
            <w:noProof/>
            <w:webHidden/>
          </w:rPr>
          <w:instrText xml:space="preserve"> PAGEREF _Toc515529492 \h </w:instrText>
        </w:r>
        <w:r w:rsidR="00C45EC5">
          <w:rPr>
            <w:noProof/>
            <w:webHidden/>
          </w:rPr>
        </w:r>
        <w:r w:rsidR="00C45EC5">
          <w:rPr>
            <w:noProof/>
            <w:webHidden/>
          </w:rPr>
          <w:fldChar w:fldCharType="separate"/>
        </w:r>
        <w:r w:rsidR="00B077F0">
          <w:rPr>
            <w:noProof/>
            <w:webHidden/>
          </w:rPr>
          <w:t>8</w:t>
        </w:r>
        <w:r w:rsidR="00C45EC5">
          <w:rPr>
            <w:noProof/>
            <w:webHidden/>
          </w:rPr>
          <w:fldChar w:fldCharType="end"/>
        </w:r>
      </w:hyperlink>
    </w:p>
    <w:p w14:paraId="68CEFBB9" w14:textId="7FBE807A" w:rsidR="00C45EC5" w:rsidRDefault="00541D06">
      <w:pPr>
        <w:pStyle w:val="TOC1"/>
        <w:tabs>
          <w:tab w:val="left" w:pos="440"/>
        </w:tabs>
        <w:rPr>
          <w:rFonts w:asciiTheme="minorHAnsi" w:eastAsiaTheme="minorEastAsia" w:hAnsiTheme="minorHAnsi" w:cstheme="minorBidi"/>
          <w:noProof/>
          <w:szCs w:val="22"/>
          <w:lang w:val="en-US"/>
        </w:rPr>
      </w:pPr>
      <w:hyperlink w:anchor="_Toc515529493" w:history="1">
        <w:r w:rsidR="00C45EC5" w:rsidRPr="00D31684">
          <w:rPr>
            <w:rStyle w:val="Hyperlink"/>
            <w:noProof/>
          </w:rPr>
          <w:t>2</w:t>
        </w:r>
        <w:r w:rsidR="00C45EC5">
          <w:rPr>
            <w:rFonts w:asciiTheme="minorHAnsi" w:eastAsiaTheme="minorEastAsia" w:hAnsiTheme="minorHAnsi" w:cstheme="minorBidi"/>
            <w:noProof/>
            <w:szCs w:val="22"/>
            <w:lang w:val="en-US"/>
          </w:rPr>
          <w:tab/>
        </w:r>
        <w:r w:rsidR="00C45EC5" w:rsidRPr="00D31684">
          <w:rPr>
            <w:rStyle w:val="Hyperlink"/>
            <w:noProof/>
          </w:rPr>
          <w:t>Understanding markets</w:t>
        </w:r>
        <w:r w:rsidR="00C45EC5">
          <w:rPr>
            <w:noProof/>
            <w:webHidden/>
          </w:rPr>
          <w:tab/>
        </w:r>
        <w:r w:rsidR="00C45EC5">
          <w:rPr>
            <w:noProof/>
            <w:webHidden/>
          </w:rPr>
          <w:fldChar w:fldCharType="begin"/>
        </w:r>
        <w:r w:rsidR="00C45EC5">
          <w:rPr>
            <w:noProof/>
            <w:webHidden/>
          </w:rPr>
          <w:instrText xml:space="preserve"> PAGEREF _Toc515529493 \h </w:instrText>
        </w:r>
        <w:r w:rsidR="00C45EC5">
          <w:rPr>
            <w:noProof/>
            <w:webHidden/>
          </w:rPr>
        </w:r>
        <w:r w:rsidR="00C45EC5">
          <w:rPr>
            <w:noProof/>
            <w:webHidden/>
          </w:rPr>
          <w:fldChar w:fldCharType="separate"/>
        </w:r>
        <w:r w:rsidR="00B077F0">
          <w:rPr>
            <w:noProof/>
            <w:webHidden/>
          </w:rPr>
          <w:t>9</w:t>
        </w:r>
        <w:r w:rsidR="00C45EC5">
          <w:rPr>
            <w:noProof/>
            <w:webHidden/>
          </w:rPr>
          <w:fldChar w:fldCharType="end"/>
        </w:r>
      </w:hyperlink>
    </w:p>
    <w:p w14:paraId="679BD0BB" w14:textId="0C4342CA"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4" w:history="1">
        <w:r w:rsidR="00C45EC5" w:rsidRPr="00D31684">
          <w:rPr>
            <w:rStyle w:val="Hyperlink"/>
            <w:noProof/>
          </w:rPr>
          <w:t>2.1</w:t>
        </w:r>
        <w:r w:rsidR="00C45EC5">
          <w:rPr>
            <w:rFonts w:asciiTheme="minorHAnsi" w:eastAsiaTheme="minorEastAsia" w:hAnsiTheme="minorHAnsi" w:cstheme="minorBidi"/>
            <w:noProof/>
            <w:szCs w:val="22"/>
            <w:lang w:val="en-US"/>
          </w:rPr>
          <w:tab/>
        </w:r>
        <w:r w:rsidR="00C45EC5" w:rsidRPr="00D31684">
          <w:rPr>
            <w:rStyle w:val="Hyperlink"/>
            <w:noProof/>
          </w:rPr>
          <w:t>Defining markets</w:t>
        </w:r>
        <w:r w:rsidR="00C45EC5">
          <w:rPr>
            <w:noProof/>
            <w:webHidden/>
          </w:rPr>
          <w:tab/>
        </w:r>
        <w:r w:rsidR="00C45EC5">
          <w:rPr>
            <w:noProof/>
            <w:webHidden/>
          </w:rPr>
          <w:fldChar w:fldCharType="begin"/>
        </w:r>
        <w:r w:rsidR="00C45EC5">
          <w:rPr>
            <w:noProof/>
            <w:webHidden/>
          </w:rPr>
          <w:instrText xml:space="preserve"> PAGEREF _Toc515529494 \h </w:instrText>
        </w:r>
        <w:r w:rsidR="00C45EC5">
          <w:rPr>
            <w:noProof/>
            <w:webHidden/>
          </w:rPr>
        </w:r>
        <w:r w:rsidR="00C45EC5">
          <w:rPr>
            <w:noProof/>
            <w:webHidden/>
          </w:rPr>
          <w:fldChar w:fldCharType="separate"/>
        </w:r>
        <w:r w:rsidR="00B077F0">
          <w:rPr>
            <w:noProof/>
            <w:webHidden/>
          </w:rPr>
          <w:t>9</w:t>
        </w:r>
        <w:r w:rsidR="00C45EC5">
          <w:rPr>
            <w:noProof/>
            <w:webHidden/>
          </w:rPr>
          <w:fldChar w:fldCharType="end"/>
        </w:r>
      </w:hyperlink>
    </w:p>
    <w:p w14:paraId="5FA37EAF" w14:textId="6405725B"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5" w:history="1">
        <w:r w:rsidR="00C45EC5" w:rsidRPr="00D31684">
          <w:rPr>
            <w:rStyle w:val="Hyperlink"/>
            <w:noProof/>
          </w:rPr>
          <w:t>2.2</w:t>
        </w:r>
        <w:r w:rsidR="00C45EC5">
          <w:rPr>
            <w:rFonts w:asciiTheme="minorHAnsi" w:eastAsiaTheme="minorEastAsia" w:hAnsiTheme="minorHAnsi" w:cstheme="minorBidi"/>
            <w:noProof/>
            <w:szCs w:val="22"/>
            <w:lang w:val="en-US"/>
          </w:rPr>
          <w:tab/>
        </w:r>
        <w:r w:rsidR="00C45EC5" w:rsidRPr="00D31684">
          <w:rPr>
            <w:rStyle w:val="Hyperlink"/>
            <w:noProof/>
          </w:rPr>
          <w:t>The importance of markets within commissioning</w:t>
        </w:r>
        <w:r w:rsidR="00C45EC5">
          <w:rPr>
            <w:noProof/>
            <w:webHidden/>
          </w:rPr>
          <w:tab/>
        </w:r>
        <w:r w:rsidR="00C45EC5">
          <w:rPr>
            <w:noProof/>
            <w:webHidden/>
          </w:rPr>
          <w:fldChar w:fldCharType="begin"/>
        </w:r>
        <w:r w:rsidR="00C45EC5">
          <w:rPr>
            <w:noProof/>
            <w:webHidden/>
          </w:rPr>
          <w:instrText xml:space="preserve"> PAGEREF _Toc515529495 \h </w:instrText>
        </w:r>
        <w:r w:rsidR="00C45EC5">
          <w:rPr>
            <w:noProof/>
            <w:webHidden/>
          </w:rPr>
        </w:r>
        <w:r w:rsidR="00C45EC5">
          <w:rPr>
            <w:noProof/>
            <w:webHidden/>
          </w:rPr>
          <w:fldChar w:fldCharType="separate"/>
        </w:r>
        <w:r w:rsidR="00B077F0">
          <w:rPr>
            <w:noProof/>
            <w:webHidden/>
          </w:rPr>
          <w:t>10</w:t>
        </w:r>
        <w:r w:rsidR="00C45EC5">
          <w:rPr>
            <w:noProof/>
            <w:webHidden/>
          </w:rPr>
          <w:fldChar w:fldCharType="end"/>
        </w:r>
      </w:hyperlink>
    </w:p>
    <w:p w14:paraId="1E3FD6DE" w14:textId="7FD75E01"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6" w:history="1">
        <w:r w:rsidR="00C45EC5" w:rsidRPr="00D31684">
          <w:rPr>
            <w:rStyle w:val="Hyperlink"/>
            <w:noProof/>
          </w:rPr>
          <w:t>2.3</w:t>
        </w:r>
        <w:r w:rsidR="00C45EC5">
          <w:rPr>
            <w:rFonts w:asciiTheme="minorHAnsi" w:eastAsiaTheme="minorEastAsia" w:hAnsiTheme="minorHAnsi" w:cstheme="minorBidi"/>
            <w:noProof/>
            <w:szCs w:val="22"/>
            <w:lang w:val="en-US"/>
          </w:rPr>
          <w:tab/>
        </w:r>
        <w:r w:rsidR="00C45EC5" w:rsidRPr="00D31684">
          <w:rPr>
            <w:rStyle w:val="Hyperlink"/>
            <w:noProof/>
          </w:rPr>
          <w:t>Market implications of adopting outcomes based approaches</w:t>
        </w:r>
        <w:r w:rsidR="00C45EC5">
          <w:rPr>
            <w:noProof/>
            <w:webHidden/>
          </w:rPr>
          <w:tab/>
        </w:r>
        <w:r w:rsidR="00C45EC5">
          <w:rPr>
            <w:noProof/>
            <w:webHidden/>
          </w:rPr>
          <w:fldChar w:fldCharType="begin"/>
        </w:r>
        <w:r w:rsidR="00C45EC5">
          <w:rPr>
            <w:noProof/>
            <w:webHidden/>
          </w:rPr>
          <w:instrText xml:space="preserve"> PAGEREF _Toc515529496 \h </w:instrText>
        </w:r>
        <w:r w:rsidR="00C45EC5">
          <w:rPr>
            <w:noProof/>
            <w:webHidden/>
          </w:rPr>
        </w:r>
        <w:r w:rsidR="00C45EC5">
          <w:rPr>
            <w:noProof/>
            <w:webHidden/>
          </w:rPr>
          <w:fldChar w:fldCharType="separate"/>
        </w:r>
        <w:r w:rsidR="00B077F0">
          <w:rPr>
            <w:noProof/>
            <w:webHidden/>
          </w:rPr>
          <w:t>11</w:t>
        </w:r>
        <w:r w:rsidR="00C45EC5">
          <w:rPr>
            <w:noProof/>
            <w:webHidden/>
          </w:rPr>
          <w:fldChar w:fldCharType="end"/>
        </w:r>
      </w:hyperlink>
    </w:p>
    <w:p w14:paraId="1222CD94" w14:textId="654885A1"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7" w:history="1">
        <w:r w:rsidR="00C45EC5" w:rsidRPr="00D31684">
          <w:rPr>
            <w:rStyle w:val="Hyperlink"/>
            <w:noProof/>
          </w:rPr>
          <w:t>2.4</w:t>
        </w:r>
        <w:r w:rsidR="00C45EC5">
          <w:rPr>
            <w:rFonts w:asciiTheme="minorHAnsi" w:eastAsiaTheme="minorEastAsia" w:hAnsiTheme="minorHAnsi" w:cstheme="minorBidi"/>
            <w:noProof/>
            <w:szCs w:val="22"/>
            <w:lang w:val="en-US"/>
          </w:rPr>
          <w:tab/>
        </w:r>
        <w:r w:rsidR="00C45EC5" w:rsidRPr="00D31684">
          <w:rPr>
            <w:rStyle w:val="Hyperlink"/>
            <w:noProof/>
          </w:rPr>
          <w:t>Supporting Aboriginal and Torres Strait Islander people and communities</w:t>
        </w:r>
        <w:r w:rsidR="00C45EC5">
          <w:rPr>
            <w:noProof/>
            <w:webHidden/>
          </w:rPr>
          <w:tab/>
        </w:r>
        <w:r w:rsidR="00C45EC5">
          <w:rPr>
            <w:noProof/>
            <w:webHidden/>
          </w:rPr>
          <w:fldChar w:fldCharType="begin"/>
        </w:r>
        <w:r w:rsidR="00C45EC5">
          <w:rPr>
            <w:noProof/>
            <w:webHidden/>
          </w:rPr>
          <w:instrText xml:space="preserve"> PAGEREF _Toc515529497 \h </w:instrText>
        </w:r>
        <w:r w:rsidR="00C45EC5">
          <w:rPr>
            <w:noProof/>
            <w:webHidden/>
          </w:rPr>
        </w:r>
        <w:r w:rsidR="00C45EC5">
          <w:rPr>
            <w:noProof/>
            <w:webHidden/>
          </w:rPr>
          <w:fldChar w:fldCharType="separate"/>
        </w:r>
        <w:r w:rsidR="00B077F0">
          <w:rPr>
            <w:noProof/>
            <w:webHidden/>
          </w:rPr>
          <w:t>12</w:t>
        </w:r>
        <w:r w:rsidR="00C45EC5">
          <w:rPr>
            <w:noProof/>
            <w:webHidden/>
          </w:rPr>
          <w:fldChar w:fldCharType="end"/>
        </w:r>
      </w:hyperlink>
    </w:p>
    <w:p w14:paraId="5C3572D1" w14:textId="43FB96B1"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498" w:history="1">
        <w:r w:rsidR="00C45EC5" w:rsidRPr="00D31684">
          <w:rPr>
            <w:rStyle w:val="Hyperlink"/>
            <w:noProof/>
          </w:rPr>
          <w:t>2.5</w:t>
        </w:r>
        <w:r w:rsidR="00C45EC5">
          <w:rPr>
            <w:rFonts w:asciiTheme="minorHAnsi" w:eastAsiaTheme="minorEastAsia" w:hAnsiTheme="minorHAnsi" w:cstheme="minorBidi"/>
            <w:noProof/>
            <w:szCs w:val="22"/>
            <w:lang w:val="en-US"/>
          </w:rPr>
          <w:tab/>
        </w:r>
        <w:r w:rsidR="00C45EC5" w:rsidRPr="00D31684">
          <w:rPr>
            <w:rStyle w:val="Hyperlink"/>
            <w:noProof/>
          </w:rPr>
          <w:t>Securing probity and avoiding conflicts of interest in dealing with market providers</w:t>
        </w:r>
        <w:r w:rsidR="00C45EC5">
          <w:rPr>
            <w:noProof/>
            <w:webHidden/>
          </w:rPr>
          <w:tab/>
        </w:r>
        <w:r w:rsidR="00C45EC5">
          <w:rPr>
            <w:noProof/>
            <w:webHidden/>
          </w:rPr>
          <w:fldChar w:fldCharType="begin"/>
        </w:r>
        <w:r w:rsidR="00C45EC5">
          <w:rPr>
            <w:noProof/>
            <w:webHidden/>
          </w:rPr>
          <w:instrText xml:space="preserve"> PAGEREF _Toc515529498 \h </w:instrText>
        </w:r>
        <w:r w:rsidR="00C45EC5">
          <w:rPr>
            <w:noProof/>
            <w:webHidden/>
          </w:rPr>
        </w:r>
        <w:r w:rsidR="00C45EC5">
          <w:rPr>
            <w:noProof/>
            <w:webHidden/>
          </w:rPr>
          <w:fldChar w:fldCharType="separate"/>
        </w:r>
        <w:r w:rsidR="00B077F0">
          <w:rPr>
            <w:noProof/>
            <w:webHidden/>
          </w:rPr>
          <w:t>12</w:t>
        </w:r>
        <w:r w:rsidR="00C45EC5">
          <w:rPr>
            <w:noProof/>
            <w:webHidden/>
          </w:rPr>
          <w:fldChar w:fldCharType="end"/>
        </w:r>
      </w:hyperlink>
    </w:p>
    <w:p w14:paraId="0982A3C8" w14:textId="5734D047" w:rsidR="00C45EC5" w:rsidRDefault="00541D06">
      <w:pPr>
        <w:pStyle w:val="TOC1"/>
        <w:tabs>
          <w:tab w:val="left" w:pos="440"/>
        </w:tabs>
        <w:rPr>
          <w:rFonts w:asciiTheme="minorHAnsi" w:eastAsiaTheme="minorEastAsia" w:hAnsiTheme="minorHAnsi" w:cstheme="minorBidi"/>
          <w:noProof/>
          <w:szCs w:val="22"/>
          <w:lang w:val="en-US"/>
        </w:rPr>
      </w:pPr>
      <w:hyperlink w:anchor="_Toc515529499" w:history="1">
        <w:r w:rsidR="00C45EC5" w:rsidRPr="00D31684">
          <w:rPr>
            <w:rStyle w:val="Hyperlink"/>
            <w:noProof/>
          </w:rPr>
          <w:t>3</w:t>
        </w:r>
        <w:r w:rsidR="00C45EC5">
          <w:rPr>
            <w:rFonts w:asciiTheme="minorHAnsi" w:eastAsiaTheme="minorEastAsia" w:hAnsiTheme="minorHAnsi" w:cstheme="minorBidi"/>
            <w:noProof/>
            <w:szCs w:val="22"/>
            <w:lang w:val="en-US"/>
          </w:rPr>
          <w:tab/>
        </w:r>
        <w:r w:rsidR="00C45EC5" w:rsidRPr="00D31684">
          <w:rPr>
            <w:rStyle w:val="Hyperlink"/>
            <w:noProof/>
          </w:rPr>
          <w:t>Analysing markets</w:t>
        </w:r>
        <w:r w:rsidR="00C45EC5">
          <w:rPr>
            <w:noProof/>
            <w:webHidden/>
          </w:rPr>
          <w:tab/>
        </w:r>
        <w:r w:rsidR="00C45EC5">
          <w:rPr>
            <w:noProof/>
            <w:webHidden/>
          </w:rPr>
          <w:fldChar w:fldCharType="begin"/>
        </w:r>
        <w:r w:rsidR="00C45EC5">
          <w:rPr>
            <w:noProof/>
            <w:webHidden/>
          </w:rPr>
          <w:instrText xml:space="preserve"> PAGEREF _Toc515529499 \h </w:instrText>
        </w:r>
        <w:r w:rsidR="00C45EC5">
          <w:rPr>
            <w:noProof/>
            <w:webHidden/>
          </w:rPr>
        </w:r>
        <w:r w:rsidR="00C45EC5">
          <w:rPr>
            <w:noProof/>
            <w:webHidden/>
          </w:rPr>
          <w:fldChar w:fldCharType="separate"/>
        </w:r>
        <w:r w:rsidR="00B077F0">
          <w:rPr>
            <w:noProof/>
            <w:webHidden/>
          </w:rPr>
          <w:t>13</w:t>
        </w:r>
        <w:r w:rsidR="00C45EC5">
          <w:rPr>
            <w:noProof/>
            <w:webHidden/>
          </w:rPr>
          <w:fldChar w:fldCharType="end"/>
        </w:r>
      </w:hyperlink>
    </w:p>
    <w:p w14:paraId="73D1D9B0" w14:textId="167663B0"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00" w:history="1">
        <w:r w:rsidR="00C45EC5" w:rsidRPr="00D31684">
          <w:rPr>
            <w:rStyle w:val="Hyperlink"/>
            <w:noProof/>
          </w:rPr>
          <w:t>3.1</w:t>
        </w:r>
        <w:r w:rsidR="00C45EC5">
          <w:rPr>
            <w:rFonts w:asciiTheme="minorHAnsi" w:eastAsiaTheme="minorEastAsia" w:hAnsiTheme="minorHAnsi" w:cstheme="minorBidi"/>
            <w:noProof/>
            <w:szCs w:val="22"/>
            <w:lang w:val="en-US"/>
          </w:rPr>
          <w:tab/>
        </w:r>
        <w:r w:rsidR="00C45EC5" w:rsidRPr="00D31684">
          <w:rPr>
            <w:rStyle w:val="Hyperlink"/>
            <w:noProof/>
          </w:rPr>
          <w:t>The role and importance of market analysis</w:t>
        </w:r>
        <w:r w:rsidR="00C45EC5">
          <w:rPr>
            <w:noProof/>
            <w:webHidden/>
          </w:rPr>
          <w:tab/>
        </w:r>
        <w:r w:rsidR="00C45EC5">
          <w:rPr>
            <w:noProof/>
            <w:webHidden/>
          </w:rPr>
          <w:fldChar w:fldCharType="begin"/>
        </w:r>
        <w:r w:rsidR="00C45EC5">
          <w:rPr>
            <w:noProof/>
            <w:webHidden/>
          </w:rPr>
          <w:instrText xml:space="preserve"> PAGEREF _Toc515529500 \h </w:instrText>
        </w:r>
        <w:r w:rsidR="00C45EC5">
          <w:rPr>
            <w:noProof/>
            <w:webHidden/>
          </w:rPr>
        </w:r>
        <w:r w:rsidR="00C45EC5">
          <w:rPr>
            <w:noProof/>
            <w:webHidden/>
          </w:rPr>
          <w:fldChar w:fldCharType="separate"/>
        </w:r>
        <w:r w:rsidR="00B077F0">
          <w:rPr>
            <w:noProof/>
            <w:webHidden/>
          </w:rPr>
          <w:t>13</w:t>
        </w:r>
        <w:r w:rsidR="00C45EC5">
          <w:rPr>
            <w:noProof/>
            <w:webHidden/>
          </w:rPr>
          <w:fldChar w:fldCharType="end"/>
        </w:r>
      </w:hyperlink>
    </w:p>
    <w:p w14:paraId="54993151" w14:textId="2F029576"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01" w:history="1">
        <w:r w:rsidR="00C45EC5" w:rsidRPr="00D31684">
          <w:rPr>
            <w:rStyle w:val="Hyperlink"/>
            <w:noProof/>
          </w:rPr>
          <w:t>3.2</w:t>
        </w:r>
        <w:r w:rsidR="00C45EC5">
          <w:rPr>
            <w:rFonts w:asciiTheme="minorHAnsi" w:eastAsiaTheme="minorEastAsia" w:hAnsiTheme="minorHAnsi" w:cstheme="minorBidi"/>
            <w:noProof/>
            <w:szCs w:val="22"/>
            <w:lang w:val="en-US"/>
          </w:rPr>
          <w:tab/>
        </w:r>
        <w:r w:rsidR="00C45EC5" w:rsidRPr="00D31684">
          <w:rPr>
            <w:rStyle w:val="Hyperlink"/>
            <w:noProof/>
          </w:rPr>
          <w:t>Informal market analysis approaches</w:t>
        </w:r>
        <w:r w:rsidR="00C45EC5">
          <w:rPr>
            <w:noProof/>
            <w:webHidden/>
          </w:rPr>
          <w:tab/>
        </w:r>
        <w:r w:rsidR="00C45EC5">
          <w:rPr>
            <w:noProof/>
            <w:webHidden/>
          </w:rPr>
          <w:fldChar w:fldCharType="begin"/>
        </w:r>
        <w:r w:rsidR="00C45EC5">
          <w:rPr>
            <w:noProof/>
            <w:webHidden/>
          </w:rPr>
          <w:instrText xml:space="preserve"> PAGEREF _Toc515529501 \h </w:instrText>
        </w:r>
        <w:r w:rsidR="00C45EC5">
          <w:rPr>
            <w:noProof/>
            <w:webHidden/>
          </w:rPr>
        </w:r>
        <w:r w:rsidR="00C45EC5">
          <w:rPr>
            <w:noProof/>
            <w:webHidden/>
          </w:rPr>
          <w:fldChar w:fldCharType="separate"/>
        </w:r>
        <w:r w:rsidR="00B077F0">
          <w:rPr>
            <w:noProof/>
            <w:webHidden/>
          </w:rPr>
          <w:t>13</w:t>
        </w:r>
        <w:r w:rsidR="00C45EC5">
          <w:rPr>
            <w:noProof/>
            <w:webHidden/>
          </w:rPr>
          <w:fldChar w:fldCharType="end"/>
        </w:r>
      </w:hyperlink>
    </w:p>
    <w:p w14:paraId="1405DE59" w14:textId="786082F8"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02" w:history="1">
        <w:r w:rsidR="00C45EC5" w:rsidRPr="00D31684">
          <w:rPr>
            <w:rStyle w:val="Hyperlink"/>
            <w:noProof/>
          </w:rPr>
          <w:t>3.3</w:t>
        </w:r>
        <w:r w:rsidR="00C45EC5">
          <w:rPr>
            <w:rFonts w:asciiTheme="minorHAnsi" w:eastAsiaTheme="minorEastAsia" w:hAnsiTheme="minorHAnsi" w:cstheme="minorBidi"/>
            <w:noProof/>
            <w:szCs w:val="22"/>
            <w:lang w:val="en-US"/>
          </w:rPr>
          <w:tab/>
        </w:r>
        <w:r w:rsidR="00C45EC5" w:rsidRPr="00D31684">
          <w:rPr>
            <w:rStyle w:val="Hyperlink"/>
            <w:noProof/>
          </w:rPr>
          <w:t>Formal market analysis</w:t>
        </w:r>
        <w:r w:rsidR="00C45EC5">
          <w:rPr>
            <w:noProof/>
            <w:webHidden/>
          </w:rPr>
          <w:tab/>
        </w:r>
        <w:r w:rsidR="00C45EC5">
          <w:rPr>
            <w:noProof/>
            <w:webHidden/>
          </w:rPr>
          <w:fldChar w:fldCharType="begin"/>
        </w:r>
        <w:r w:rsidR="00C45EC5">
          <w:rPr>
            <w:noProof/>
            <w:webHidden/>
          </w:rPr>
          <w:instrText xml:space="preserve"> PAGEREF _Toc515529502 \h </w:instrText>
        </w:r>
        <w:r w:rsidR="00C45EC5">
          <w:rPr>
            <w:noProof/>
            <w:webHidden/>
          </w:rPr>
        </w:r>
        <w:r w:rsidR="00C45EC5">
          <w:rPr>
            <w:noProof/>
            <w:webHidden/>
          </w:rPr>
          <w:fldChar w:fldCharType="separate"/>
        </w:r>
        <w:r w:rsidR="00B077F0">
          <w:rPr>
            <w:noProof/>
            <w:webHidden/>
          </w:rPr>
          <w:t>14</w:t>
        </w:r>
        <w:r w:rsidR="00C45EC5">
          <w:rPr>
            <w:noProof/>
            <w:webHidden/>
          </w:rPr>
          <w:fldChar w:fldCharType="end"/>
        </w:r>
      </w:hyperlink>
    </w:p>
    <w:p w14:paraId="402FC1B7" w14:textId="2CE69078"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03" w:history="1">
        <w:r w:rsidR="00C45EC5" w:rsidRPr="00D31684">
          <w:rPr>
            <w:rStyle w:val="Hyperlink"/>
            <w:noProof/>
          </w:rPr>
          <w:t>3.3.1</w:t>
        </w:r>
        <w:r w:rsidR="00C45EC5">
          <w:rPr>
            <w:rFonts w:asciiTheme="minorHAnsi" w:eastAsiaTheme="minorEastAsia" w:hAnsiTheme="minorHAnsi" w:cstheme="minorBidi"/>
            <w:noProof/>
            <w:szCs w:val="22"/>
            <w:lang w:val="en-US"/>
          </w:rPr>
          <w:tab/>
        </w:r>
        <w:r w:rsidR="00C45EC5" w:rsidRPr="00D31684">
          <w:rPr>
            <w:rStyle w:val="Hyperlink"/>
            <w:noProof/>
          </w:rPr>
          <w:t>Formal market analysis data sources</w:t>
        </w:r>
        <w:r w:rsidR="00C45EC5">
          <w:rPr>
            <w:noProof/>
            <w:webHidden/>
          </w:rPr>
          <w:tab/>
        </w:r>
        <w:r w:rsidR="00C45EC5">
          <w:rPr>
            <w:noProof/>
            <w:webHidden/>
          </w:rPr>
          <w:fldChar w:fldCharType="begin"/>
        </w:r>
        <w:r w:rsidR="00C45EC5">
          <w:rPr>
            <w:noProof/>
            <w:webHidden/>
          </w:rPr>
          <w:instrText xml:space="preserve"> PAGEREF _Toc515529503 \h </w:instrText>
        </w:r>
        <w:r w:rsidR="00C45EC5">
          <w:rPr>
            <w:noProof/>
            <w:webHidden/>
          </w:rPr>
        </w:r>
        <w:r w:rsidR="00C45EC5">
          <w:rPr>
            <w:noProof/>
            <w:webHidden/>
          </w:rPr>
          <w:fldChar w:fldCharType="separate"/>
        </w:r>
        <w:r w:rsidR="00B077F0">
          <w:rPr>
            <w:noProof/>
            <w:webHidden/>
          </w:rPr>
          <w:t>16</w:t>
        </w:r>
        <w:r w:rsidR="00C45EC5">
          <w:rPr>
            <w:noProof/>
            <w:webHidden/>
          </w:rPr>
          <w:fldChar w:fldCharType="end"/>
        </w:r>
      </w:hyperlink>
    </w:p>
    <w:p w14:paraId="03276AF7" w14:textId="6F9CA3A5"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04" w:history="1">
        <w:r w:rsidR="00C45EC5" w:rsidRPr="00D31684">
          <w:rPr>
            <w:rStyle w:val="Hyperlink"/>
            <w:noProof/>
          </w:rPr>
          <w:t>3.3.2</w:t>
        </w:r>
        <w:r w:rsidR="00C45EC5">
          <w:rPr>
            <w:rFonts w:asciiTheme="minorHAnsi" w:eastAsiaTheme="minorEastAsia" w:hAnsiTheme="minorHAnsi" w:cstheme="minorBidi"/>
            <w:noProof/>
            <w:szCs w:val="22"/>
            <w:lang w:val="en-US"/>
          </w:rPr>
          <w:tab/>
        </w:r>
        <w:r w:rsidR="00C45EC5" w:rsidRPr="00D31684">
          <w:rPr>
            <w:rStyle w:val="Hyperlink"/>
            <w:noProof/>
          </w:rPr>
          <w:t>Provider databases</w:t>
        </w:r>
        <w:r w:rsidR="00C45EC5">
          <w:rPr>
            <w:noProof/>
            <w:webHidden/>
          </w:rPr>
          <w:tab/>
        </w:r>
        <w:r w:rsidR="00C45EC5">
          <w:rPr>
            <w:noProof/>
            <w:webHidden/>
          </w:rPr>
          <w:fldChar w:fldCharType="begin"/>
        </w:r>
        <w:r w:rsidR="00C45EC5">
          <w:rPr>
            <w:noProof/>
            <w:webHidden/>
          </w:rPr>
          <w:instrText xml:space="preserve"> PAGEREF _Toc515529504 \h </w:instrText>
        </w:r>
        <w:r w:rsidR="00C45EC5">
          <w:rPr>
            <w:noProof/>
            <w:webHidden/>
          </w:rPr>
        </w:r>
        <w:r w:rsidR="00C45EC5">
          <w:rPr>
            <w:noProof/>
            <w:webHidden/>
          </w:rPr>
          <w:fldChar w:fldCharType="separate"/>
        </w:r>
        <w:r w:rsidR="00B077F0">
          <w:rPr>
            <w:noProof/>
            <w:webHidden/>
          </w:rPr>
          <w:t>16</w:t>
        </w:r>
        <w:r w:rsidR="00C45EC5">
          <w:rPr>
            <w:noProof/>
            <w:webHidden/>
          </w:rPr>
          <w:fldChar w:fldCharType="end"/>
        </w:r>
      </w:hyperlink>
    </w:p>
    <w:p w14:paraId="1A3F4546" w14:textId="71886EB6"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05" w:history="1">
        <w:r w:rsidR="00C45EC5" w:rsidRPr="00D31684">
          <w:rPr>
            <w:rStyle w:val="Hyperlink"/>
            <w:noProof/>
          </w:rPr>
          <w:t>3.3.3</w:t>
        </w:r>
        <w:r w:rsidR="00C45EC5">
          <w:rPr>
            <w:rFonts w:asciiTheme="minorHAnsi" w:eastAsiaTheme="minorEastAsia" w:hAnsiTheme="minorHAnsi" w:cstheme="minorBidi"/>
            <w:noProof/>
            <w:szCs w:val="22"/>
            <w:lang w:val="en-US"/>
          </w:rPr>
          <w:tab/>
        </w:r>
        <w:r w:rsidR="00C45EC5" w:rsidRPr="00D31684">
          <w:rPr>
            <w:rStyle w:val="Hyperlink"/>
            <w:noProof/>
          </w:rPr>
          <w:t>Presenting the outcomes of market analysis</w:t>
        </w:r>
        <w:r w:rsidR="00C45EC5">
          <w:rPr>
            <w:noProof/>
            <w:webHidden/>
          </w:rPr>
          <w:tab/>
        </w:r>
        <w:r w:rsidR="00C45EC5">
          <w:rPr>
            <w:noProof/>
            <w:webHidden/>
          </w:rPr>
          <w:fldChar w:fldCharType="begin"/>
        </w:r>
        <w:r w:rsidR="00C45EC5">
          <w:rPr>
            <w:noProof/>
            <w:webHidden/>
          </w:rPr>
          <w:instrText xml:space="preserve"> PAGEREF _Toc515529505 \h </w:instrText>
        </w:r>
        <w:r w:rsidR="00C45EC5">
          <w:rPr>
            <w:noProof/>
            <w:webHidden/>
          </w:rPr>
        </w:r>
        <w:r w:rsidR="00C45EC5">
          <w:rPr>
            <w:noProof/>
            <w:webHidden/>
          </w:rPr>
          <w:fldChar w:fldCharType="separate"/>
        </w:r>
        <w:r w:rsidR="00B077F0">
          <w:rPr>
            <w:noProof/>
            <w:webHidden/>
          </w:rPr>
          <w:t>17</w:t>
        </w:r>
        <w:r w:rsidR="00C45EC5">
          <w:rPr>
            <w:noProof/>
            <w:webHidden/>
          </w:rPr>
          <w:fldChar w:fldCharType="end"/>
        </w:r>
      </w:hyperlink>
    </w:p>
    <w:p w14:paraId="0851431C" w14:textId="744FB597" w:rsidR="00C45EC5" w:rsidRDefault="00541D06">
      <w:pPr>
        <w:pStyle w:val="TOC1"/>
        <w:tabs>
          <w:tab w:val="left" w:pos="440"/>
        </w:tabs>
        <w:rPr>
          <w:rFonts w:asciiTheme="minorHAnsi" w:eastAsiaTheme="minorEastAsia" w:hAnsiTheme="minorHAnsi" w:cstheme="minorBidi"/>
          <w:noProof/>
          <w:szCs w:val="22"/>
          <w:lang w:val="en-US"/>
        </w:rPr>
      </w:pPr>
      <w:hyperlink w:anchor="_Toc515529506" w:history="1">
        <w:r w:rsidR="00C45EC5" w:rsidRPr="00D31684">
          <w:rPr>
            <w:rStyle w:val="Hyperlink"/>
            <w:noProof/>
          </w:rPr>
          <w:t>4</w:t>
        </w:r>
        <w:r w:rsidR="00C45EC5">
          <w:rPr>
            <w:rFonts w:asciiTheme="minorHAnsi" w:eastAsiaTheme="minorEastAsia" w:hAnsiTheme="minorHAnsi" w:cstheme="minorBidi"/>
            <w:noProof/>
            <w:szCs w:val="22"/>
            <w:lang w:val="en-US"/>
          </w:rPr>
          <w:tab/>
        </w:r>
        <w:r w:rsidR="00C45EC5" w:rsidRPr="00D31684">
          <w:rPr>
            <w:rStyle w:val="Hyperlink"/>
            <w:noProof/>
          </w:rPr>
          <w:t>Market performance</w:t>
        </w:r>
        <w:r w:rsidR="00C45EC5">
          <w:rPr>
            <w:noProof/>
            <w:webHidden/>
          </w:rPr>
          <w:tab/>
        </w:r>
        <w:r w:rsidR="00C45EC5">
          <w:rPr>
            <w:noProof/>
            <w:webHidden/>
          </w:rPr>
          <w:fldChar w:fldCharType="begin"/>
        </w:r>
        <w:r w:rsidR="00C45EC5">
          <w:rPr>
            <w:noProof/>
            <w:webHidden/>
          </w:rPr>
          <w:instrText xml:space="preserve"> PAGEREF _Toc515529506 \h </w:instrText>
        </w:r>
        <w:r w:rsidR="00C45EC5">
          <w:rPr>
            <w:noProof/>
            <w:webHidden/>
          </w:rPr>
        </w:r>
        <w:r w:rsidR="00C45EC5">
          <w:rPr>
            <w:noProof/>
            <w:webHidden/>
          </w:rPr>
          <w:fldChar w:fldCharType="separate"/>
        </w:r>
        <w:r w:rsidR="00B077F0">
          <w:rPr>
            <w:noProof/>
            <w:webHidden/>
          </w:rPr>
          <w:t>18</w:t>
        </w:r>
        <w:r w:rsidR="00C45EC5">
          <w:rPr>
            <w:noProof/>
            <w:webHidden/>
          </w:rPr>
          <w:fldChar w:fldCharType="end"/>
        </w:r>
      </w:hyperlink>
    </w:p>
    <w:p w14:paraId="308847E3" w14:textId="30F65DDD"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07" w:history="1">
        <w:r w:rsidR="00C45EC5" w:rsidRPr="00D31684">
          <w:rPr>
            <w:rStyle w:val="Hyperlink"/>
            <w:noProof/>
          </w:rPr>
          <w:t>4.1</w:t>
        </w:r>
        <w:r w:rsidR="00C45EC5">
          <w:rPr>
            <w:rFonts w:asciiTheme="minorHAnsi" w:eastAsiaTheme="minorEastAsia" w:hAnsiTheme="minorHAnsi" w:cstheme="minorBidi"/>
            <w:noProof/>
            <w:szCs w:val="22"/>
            <w:lang w:val="en-US"/>
          </w:rPr>
          <w:tab/>
        </w:r>
        <w:r w:rsidR="00C45EC5" w:rsidRPr="00D31684">
          <w:rPr>
            <w:rStyle w:val="Hyperlink"/>
            <w:noProof/>
          </w:rPr>
          <w:t>Characteristics of high performing markets</w:t>
        </w:r>
        <w:r w:rsidR="00C45EC5">
          <w:rPr>
            <w:noProof/>
            <w:webHidden/>
          </w:rPr>
          <w:tab/>
        </w:r>
        <w:r w:rsidR="00C45EC5">
          <w:rPr>
            <w:noProof/>
            <w:webHidden/>
          </w:rPr>
          <w:fldChar w:fldCharType="begin"/>
        </w:r>
        <w:r w:rsidR="00C45EC5">
          <w:rPr>
            <w:noProof/>
            <w:webHidden/>
          </w:rPr>
          <w:instrText xml:space="preserve"> PAGEREF _Toc515529507 \h </w:instrText>
        </w:r>
        <w:r w:rsidR="00C45EC5">
          <w:rPr>
            <w:noProof/>
            <w:webHidden/>
          </w:rPr>
        </w:r>
        <w:r w:rsidR="00C45EC5">
          <w:rPr>
            <w:noProof/>
            <w:webHidden/>
          </w:rPr>
          <w:fldChar w:fldCharType="separate"/>
        </w:r>
        <w:r w:rsidR="00B077F0">
          <w:rPr>
            <w:noProof/>
            <w:webHidden/>
          </w:rPr>
          <w:t>18</w:t>
        </w:r>
        <w:r w:rsidR="00C45EC5">
          <w:rPr>
            <w:noProof/>
            <w:webHidden/>
          </w:rPr>
          <w:fldChar w:fldCharType="end"/>
        </w:r>
      </w:hyperlink>
    </w:p>
    <w:p w14:paraId="773AAA93" w14:textId="50F1E5F1"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08" w:history="1">
        <w:r w:rsidR="00C45EC5" w:rsidRPr="00D31684">
          <w:rPr>
            <w:rStyle w:val="Hyperlink"/>
            <w:noProof/>
          </w:rPr>
          <w:t>4.2</w:t>
        </w:r>
        <w:r w:rsidR="00C45EC5">
          <w:rPr>
            <w:rFonts w:asciiTheme="minorHAnsi" w:eastAsiaTheme="minorEastAsia" w:hAnsiTheme="minorHAnsi" w:cstheme="minorBidi"/>
            <w:noProof/>
            <w:szCs w:val="22"/>
            <w:lang w:val="en-US"/>
          </w:rPr>
          <w:tab/>
        </w:r>
        <w:r w:rsidR="00C45EC5" w:rsidRPr="00D31684">
          <w:rPr>
            <w:rStyle w:val="Hyperlink"/>
            <w:noProof/>
          </w:rPr>
          <w:t>Market issues and failure</w:t>
        </w:r>
        <w:r w:rsidR="00C45EC5">
          <w:rPr>
            <w:noProof/>
            <w:webHidden/>
          </w:rPr>
          <w:tab/>
        </w:r>
        <w:r w:rsidR="00C45EC5">
          <w:rPr>
            <w:noProof/>
            <w:webHidden/>
          </w:rPr>
          <w:fldChar w:fldCharType="begin"/>
        </w:r>
        <w:r w:rsidR="00C45EC5">
          <w:rPr>
            <w:noProof/>
            <w:webHidden/>
          </w:rPr>
          <w:instrText xml:space="preserve"> PAGEREF _Toc515529508 \h </w:instrText>
        </w:r>
        <w:r w:rsidR="00C45EC5">
          <w:rPr>
            <w:noProof/>
            <w:webHidden/>
          </w:rPr>
        </w:r>
        <w:r w:rsidR="00C45EC5">
          <w:rPr>
            <w:noProof/>
            <w:webHidden/>
          </w:rPr>
          <w:fldChar w:fldCharType="separate"/>
        </w:r>
        <w:r w:rsidR="00B077F0">
          <w:rPr>
            <w:noProof/>
            <w:webHidden/>
          </w:rPr>
          <w:t>18</w:t>
        </w:r>
        <w:r w:rsidR="00C45EC5">
          <w:rPr>
            <w:noProof/>
            <w:webHidden/>
          </w:rPr>
          <w:fldChar w:fldCharType="end"/>
        </w:r>
      </w:hyperlink>
    </w:p>
    <w:p w14:paraId="20AEC4D0" w14:textId="3E8D8183"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09" w:history="1">
        <w:r w:rsidR="00C45EC5" w:rsidRPr="00D31684">
          <w:rPr>
            <w:rStyle w:val="Hyperlink"/>
            <w:noProof/>
          </w:rPr>
          <w:t>4.3</w:t>
        </w:r>
        <w:r w:rsidR="00C45EC5">
          <w:rPr>
            <w:rFonts w:asciiTheme="minorHAnsi" w:eastAsiaTheme="minorEastAsia" w:hAnsiTheme="minorHAnsi" w:cstheme="minorBidi"/>
            <w:noProof/>
            <w:szCs w:val="22"/>
            <w:lang w:val="en-US"/>
          </w:rPr>
          <w:tab/>
        </w:r>
        <w:r w:rsidR="00C45EC5" w:rsidRPr="00D31684">
          <w:rPr>
            <w:rStyle w:val="Hyperlink"/>
            <w:noProof/>
          </w:rPr>
          <w:t>Addressing market issues through market management</w:t>
        </w:r>
        <w:r w:rsidR="00C45EC5">
          <w:rPr>
            <w:noProof/>
            <w:webHidden/>
          </w:rPr>
          <w:tab/>
        </w:r>
        <w:r w:rsidR="00C45EC5">
          <w:rPr>
            <w:noProof/>
            <w:webHidden/>
          </w:rPr>
          <w:fldChar w:fldCharType="begin"/>
        </w:r>
        <w:r w:rsidR="00C45EC5">
          <w:rPr>
            <w:noProof/>
            <w:webHidden/>
          </w:rPr>
          <w:instrText xml:space="preserve"> PAGEREF _Toc515529509 \h </w:instrText>
        </w:r>
        <w:r w:rsidR="00C45EC5">
          <w:rPr>
            <w:noProof/>
            <w:webHidden/>
          </w:rPr>
        </w:r>
        <w:r w:rsidR="00C45EC5">
          <w:rPr>
            <w:noProof/>
            <w:webHidden/>
          </w:rPr>
          <w:fldChar w:fldCharType="separate"/>
        </w:r>
        <w:r w:rsidR="00B077F0">
          <w:rPr>
            <w:noProof/>
            <w:webHidden/>
          </w:rPr>
          <w:t>19</w:t>
        </w:r>
        <w:r w:rsidR="00C45EC5">
          <w:rPr>
            <w:noProof/>
            <w:webHidden/>
          </w:rPr>
          <w:fldChar w:fldCharType="end"/>
        </w:r>
      </w:hyperlink>
    </w:p>
    <w:p w14:paraId="6BC11954" w14:textId="19EE2361"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10" w:history="1">
        <w:r w:rsidR="00C45EC5" w:rsidRPr="00D31684">
          <w:rPr>
            <w:rStyle w:val="Hyperlink"/>
            <w:noProof/>
          </w:rPr>
          <w:t>4.3.1</w:t>
        </w:r>
        <w:r w:rsidR="00C45EC5">
          <w:rPr>
            <w:rFonts w:asciiTheme="minorHAnsi" w:eastAsiaTheme="minorEastAsia" w:hAnsiTheme="minorHAnsi" w:cstheme="minorBidi"/>
            <w:noProof/>
            <w:szCs w:val="22"/>
            <w:lang w:val="en-US"/>
          </w:rPr>
          <w:tab/>
        </w:r>
        <w:r w:rsidR="00C45EC5" w:rsidRPr="00D31684">
          <w:rPr>
            <w:rStyle w:val="Hyperlink"/>
            <w:noProof/>
          </w:rPr>
          <w:t>PHN levers</w:t>
        </w:r>
        <w:r w:rsidR="00C45EC5">
          <w:rPr>
            <w:noProof/>
            <w:webHidden/>
          </w:rPr>
          <w:tab/>
        </w:r>
        <w:r w:rsidR="00C45EC5">
          <w:rPr>
            <w:noProof/>
            <w:webHidden/>
          </w:rPr>
          <w:fldChar w:fldCharType="begin"/>
        </w:r>
        <w:r w:rsidR="00C45EC5">
          <w:rPr>
            <w:noProof/>
            <w:webHidden/>
          </w:rPr>
          <w:instrText xml:space="preserve"> PAGEREF _Toc515529510 \h </w:instrText>
        </w:r>
        <w:r w:rsidR="00C45EC5">
          <w:rPr>
            <w:noProof/>
            <w:webHidden/>
          </w:rPr>
        </w:r>
        <w:r w:rsidR="00C45EC5">
          <w:rPr>
            <w:noProof/>
            <w:webHidden/>
          </w:rPr>
          <w:fldChar w:fldCharType="separate"/>
        </w:r>
        <w:r w:rsidR="00B077F0">
          <w:rPr>
            <w:noProof/>
            <w:webHidden/>
          </w:rPr>
          <w:t>19</w:t>
        </w:r>
        <w:r w:rsidR="00C45EC5">
          <w:rPr>
            <w:noProof/>
            <w:webHidden/>
          </w:rPr>
          <w:fldChar w:fldCharType="end"/>
        </w:r>
      </w:hyperlink>
    </w:p>
    <w:p w14:paraId="69F5AD70" w14:textId="767BB26F"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11" w:history="1">
        <w:r w:rsidR="00C45EC5" w:rsidRPr="00D31684">
          <w:rPr>
            <w:rStyle w:val="Hyperlink"/>
            <w:noProof/>
          </w:rPr>
          <w:t>4.3.2</w:t>
        </w:r>
        <w:r w:rsidR="00C45EC5">
          <w:rPr>
            <w:rFonts w:asciiTheme="minorHAnsi" w:eastAsiaTheme="minorEastAsia" w:hAnsiTheme="minorHAnsi" w:cstheme="minorBidi"/>
            <w:noProof/>
            <w:szCs w:val="22"/>
            <w:lang w:val="en-US"/>
          </w:rPr>
          <w:tab/>
        </w:r>
        <w:r w:rsidR="00C45EC5" w:rsidRPr="00D31684">
          <w:rPr>
            <w:rStyle w:val="Hyperlink"/>
            <w:noProof/>
          </w:rPr>
          <w:t>Examples of using levers</w:t>
        </w:r>
        <w:r w:rsidR="00C45EC5">
          <w:rPr>
            <w:noProof/>
            <w:webHidden/>
          </w:rPr>
          <w:tab/>
        </w:r>
        <w:r w:rsidR="00C45EC5">
          <w:rPr>
            <w:noProof/>
            <w:webHidden/>
          </w:rPr>
          <w:fldChar w:fldCharType="begin"/>
        </w:r>
        <w:r w:rsidR="00C45EC5">
          <w:rPr>
            <w:noProof/>
            <w:webHidden/>
          </w:rPr>
          <w:instrText xml:space="preserve"> PAGEREF _Toc515529511 \h </w:instrText>
        </w:r>
        <w:r w:rsidR="00C45EC5">
          <w:rPr>
            <w:noProof/>
            <w:webHidden/>
          </w:rPr>
        </w:r>
        <w:r w:rsidR="00C45EC5">
          <w:rPr>
            <w:noProof/>
            <w:webHidden/>
          </w:rPr>
          <w:fldChar w:fldCharType="separate"/>
        </w:r>
        <w:r w:rsidR="00B077F0">
          <w:rPr>
            <w:noProof/>
            <w:webHidden/>
          </w:rPr>
          <w:t>21</w:t>
        </w:r>
        <w:r w:rsidR="00C45EC5">
          <w:rPr>
            <w:noProof/>
            <w:webHidden/>
          </w:rPr>
          <w:fldChar w:fldCharType="end"/>
        </w:r>
      </w:hyperlink>
    </w:p>
    <w:p w14:paraId="110BA0B2" w14:textId="027953A6" w:rsidR="00C45EC5" w:rsidRDefault="00541D06">
      <w:pPr>
        <w:pStyle w:val="TOC1"/>
        <w:tabs>
          <w:tab w:val="left" w:pos="440"/>
        </w:tabs>
        <w:rPr>
          <w:rFonts w:asciiTheme="minorHAnsi" w:eastAsiaTheme="minorEastAsia" w:hAnsiTheme="minorHAnsi" w:cstheme="minorBidi"/>
          <w:noProof/>
          <w:szCs w:val="22"/>
          <w:lang w:val="en-US"/>
        </w:rPr>
      </w:pPr>
      <w:hyperlink w:anchor="_Toc515529512" w:history="1">
        <w:r w:rsidR="00C45EC5" w:rsidRPr="00D31684">
          <w:rPr>
            <w:rStyle w:val="Hyperlink"/>
            <w:noProof/>
          </w:rPr>
          <w:t>5</w:t>
        </w:r>
        <w:r w:rsidR="00C45EC5">
          <w:rPr>
            <w:rFonts w:asciiTheme="minorHAnsi" w:eastAsiaTheme="minorEastAsia" w:hAnsiTheme="minorHAnsi" w:cstheme="minorBidi"/>
            <w:noProof/>
            <w:szCs w:val="22"/>
            <w:lang w:val="en-US"/>
          </w:rPr>
          <w:tab/>
        </w:r>
        <w:r w:rsidR="00C45EC5" w:rsidRPr="00D31684">
          <w:rPr>
            <w:rStyle w:val="Hyperlink"/>
            <w:noProof/>
          </w:rPr>
          <w:t>Evolving relationships of PHNs and the market</w:t>
        </w:r>
        <w:r w:rsidR="00C45EC5">
          <w:rPr>
            <w:noProof/>
            <w:webHidden/>
          </w:rPr>
          <w:tab/>
        </w:r>
        <w:r w:rsidR="00C45EC5">
          <w:rPr>
            <w:noProof/>
            <w:webHidden/>
          </w:rPr>
          <w:fldChar w:fldCharType="begin"/>
        </w:r>
        <w:r w:rsidR="00C45EC5">
          <w:rPr>
            <w:noProof/>
            <w:webHidden/>
          </w:rPr>
          <w:instrText xml:space="preserve"> PAGEREF _Toc515529512 \h </w:instrText>
        </w:r>
        <w:r w:rsidR="00C45EC5">
          <w:rPr>
            <w:noProof/>
            <w:webHidden/>
          </w:rPr>
        </w:r>
        <w:r w:rsidR="00C45EC5">
          <w:rPr>
            <w:noProof/>
            <w:webHidden/>
          </w:rPr>
          <w:fldChar w:fldCharType="separate"/>
        </w:r>
        <w:r w:rsidR="00B077F0">
          <w:rPr>
            <w:noProof/>
            <w:webHidden/>
          </w:rPr>
          <w:t>25</w:t>
        </w:r>
        <w:r w:rsidR="00C45EC5">
          <w:rPr>
            <w:noProof/>
            <w:webHidden/>
          </w:rPr>
          <w:fldChar w:fldCharType="end"/>
        </w:r>
      </w:hyperlink>
    </w:p>
    <w:p w14:paraId="06207B93" w14:textId="038ABC6F"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13" w:history="1">
        <w:r w:rsidR="00C45EC5" w:rsidRPr="00D31684">
          <w:rPr>
            <w:rStyle w:val="Hyperlink"/>
            <w:noProof/>
          </w:rPr>
          <w:t>5.1</w:t>
        </w:r>
        <w:r w:rsidR="00C45EC5">
          <w:rPr>
            <w:rFonts w:asciiTheme="minorHAnsi" w:eastAsiaTheme="minorEastAsia" w:hAnsiTheme="minorHAnsi" w:cstheme="minorBidi"/>
            <w:noProof/>
            <w:szCs w:val="22"/>
            <w:lang w:val="en-US"/>
          </w:rPr>
          <w:tab/>
        </w:r>
        <w:r w:rsidR="00C45EC5" w:rsidRPr="00D31684">
          <w:rPr>
            <w:rStyle w:val="Hyperlink"/>
            <w:noProof/>
          </w:rPr>
          <w:t>The case for change</w:t>
        </w:r>
        <w:r w:rsidR="00C45EC5">
          <w:rPr>
            <w:noProof/>
            <w:webHidden/>
          </w:rPr>
          <w:tab/>
        </w:r>
        <w:r w:rsidR="00C45EC5">
          <w:rPr>
            <w:noProof/>
            <w:webHidden/>
          </w:rPr>
          <w:fldChar w:fldCharType="begin"/>
        </w:r>
        <w:r w:rsidR="00C45EC5">
          <w:rPr>
            <w:noProof/>
            <w:webHidden/>
          </w:rPr>
          <w:instrText xml:space="preserve"> PAGEREF _Toc515529513 \h </w:instrText>
        </w:r>
        <w:r w:rsidR="00C45EC5">
          <w:rPr>
            <w:noProof/>
            <w:webHidden/>
          </w:rPr>
        </w:r>
        <w:r w:rsidR="00C45EC5">
          <w:rPr>
            <w:noProof/>
            <w:webHidden/>
          </w:rPr>
          <w:fldChar w:fldCharType="separate"/>
        </w:r>
        <w:r w:rsidR="00B077F0">
          <w:rPr>
            <w:noProof/>
            <w:webHidden/>
          </w:rPr>
          <w:t>25</w:t>
        </w:r>
        <w:r w:rsidR="00C45EC5">
          <w:rPr>
            <w:noProof/>
            <w:webHidden/>
          </w:rPr>
          <w:fldChar w:fldCharType="end"/>
        </w:r>
      </w:hyperlink>
    </w:p>
    <w:p w14:paraId="27315EA4" w14:textId="7C6B997B"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14" w:history="1">
        <w:r w:rsidR="00C45EC5" w:rsidRPr="00D31684">
          <w:rPr>
            <w:rStyle w:val="Hyperlink"/>
            <w:noProof/>
          </w:rPr>
          <w:t>5.2</w:t>
        </w:r>
        <w:r w:rsidR="00C45EC5">
          <w:rPr>
            <w:rFonts w:asciiTheme="minorHAnsi" w:eastAsiaTheme="minorEastAsia" w:hAnsiTheme="minorHAnsi" w:cstheme="minorBidi"/>
            <w:noProof/>
            <w:szCs w:val="22"/>
            <w:lang w:val="en-US"/>
          </w:rPr>
          <w:tab/>
        </w:r>
        <w:r w:rsidR="00C45EC5" w:rsidRPr="00D31684">
          <w:rPr>
            <w:rStyle w:val="Hyperlink"/>
            <w:noProof/>
          </w:rPr>
          <w:t>Continuous market engagement</w:t>
        </w:r>
        <w:r w:rsidR="00C45EC5">
          <w:rPr>
            <w:noProof/>
            <w:webHidden/>
          </w:rPr>
          <w:tab/>
        </w:r>
        <w:r w:rsidR="00C45EC5">
          <w:rPr>
            <w:noProof/>
            <w:webHidden/>
          </w:rPr>
          <w:fldChar w:fldCharType="begin"/>
        </w:r>
        <w:r w:rsidR="00C45EC5">
          <w:rPr>
            <w:noProof/>
            <w:webHidden/>
          </w:rPr>
          <w:instrText xml:space="preserve"> PAGEREF _Toc515529514 \h </w:instrText>
        </w:r>
        <w:r w:rsidR="00C45EC5">
          <w:rPr>
            <w:noProof/>
            <w:webHidden/>
          </w:rPr>
        </w:r>
        <w:r w:rsidR="00C45EC5">
          <w:rPr>
            <w:noProof/>
            <w:webHidden/>
          </w:rPr>
          <w:fldChar w:fldCharType="separate"/>
        </w:r>
        <w:r w:rsidR="00B077F0">
          <w:rPr>
            <w:noProof/>
            <w:webHidden/>
          </w:rPr>
          <w:t>25</w:t>
        </w:r>
        <w:r w:rsidR="00C45EC5">
          <w:rPr>
            <w:noProof/>
            <w:webHidden/>
          </w:rPr>
          <w:fldChar w:fldCharType="end"/>
        </w:r>
      </w:hyperlink>
    </w:p>
    <w:p w14:paraId="2C0881CF" w14:textId="46EC0C7F"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15" w:history="1">
        <w:r w:rsidR="00C45EC5" w:rsidRPr="00D31684">
          <w:rPr>
            <w:rStyle w:val="Hyperlink"/>
            <w:noProof/>
          </w:rPr>
          <w:t>5.3</w:t>
        </w:r>
        <w:r w:rsidR="00C45EC5">
          <w:rPr>
            <w:rFonts w:asciiTheme="minorHAnsi" w:eastAsiaTheme="minorEastAsia" w:hAnsiTheme="minorHAnsi" w:cstheme="minorBidi"/>
            <w:noProof/>
            <w:szCs w:val="22"/>
            <w:lang w:val="en-US"/>
          </w:rPr>
          <w:tab/>
        </w:r>
        <w:r w:rsidR="00C45EC5" w:rsidRPr="00D31684">
          <w:rPr>
            <w:rStyle w:val="Hyperlink"/>
            <w:noProof/>
          </w:rPr>
          <w:t>Common forms of market engagement</w:t>
        </w:r>
        <w:r w:rsidR="00C45EC5">
          <w:rPr>
            <w:noProof/>
            <w:webHidden/>
          </w:rPr>
          <w:tab/>
        </w:r>
        <w:r w:rsidR="00C45EC5">
          <w:rPr>
            <w:noProof/>
            <w:webHidden/>
          </w:rPr>
          <w:fldChar w:fldCharType="begin"/>
        </w:r>
        <w:r w:rsidR="00C45EC5">
          <w:rPr>
            <w:noProof/>
            <w:webHidden/>
          </w:rPr>
          <w:instrText xml:space="preserve"> PAGEREF _Toc515529515 \h </w:instrText>
        </w:r>
        <w:r w:rsidR="00C45EC5">
          <w:rPr>
            <w:noProof/>
            <w:webHidden/>
          </w:rPr>
        </w:r>
        <w:r w:rsidR="00C45EC5">
          <w:rPr>
            <w:noProof/>
            <w:webHidden/>
          </w:rPr>
          <w:fldChar w:fldCharType="separate"/>
        </w:r>
        <w:r w:rsidR="00B077F0">
          <w:rPr>
            <w:noProof/>
            <w:webHidden/>
          </w:rPr>
          <w:t>26</w:t>
        </w:r>
        <w:r w:rsidR="00C45EC5">
          <w:rPr>
            <w:noProof/>
            <w:webHidden/>
          </w:rPr>
          <w:fldChar w:fldCharType="end"/>
        </w:r>
      </w:hyperlink>
    </w:p>
    <w:p w14:paraId="5D68BFEF" w14:textId="68A85042"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16" w:history="1">
        <w:r w:rsidR="00C45EC5" w:rsidRPr="00D31684">
          <w:rPr>
            <w:rStyle w:val="Hyperlink"/>
            <w:noProof/>
          </w:rPr>
          <w:t>5.3.1</w:t>
        </w:r>
        <w:r w:rsidR="00C45EC5">
          <w:rPr>
            <w:rFonts w:asciiTheme="minorHAnsi" w:eastAsiaTheme="minorEastAsia" w:hAnsiTheme="minorHAnsi" w:cstheme="minorBidi"/>
            <w:noProof/>
            <w:szCs w:val="22"/>
            <w:lang w:val="en-US"/>
          </w:rPr>
          <w:tab/>
        </w:r>
        <w:r w:rsidR="00C45EC5" w:rsidRPr="00D31684">
          <w:rPr>
            <w:rStyle w:val="Hyperlink"/>
            <w:noProof/>
          </w:rPr>
          <w:t>Market forums</w:t>
        </w:r>
        <w:r w:rsidR="00C45EC5">
          <w:rPr>
            <w:noProof/>
            <w:webHidden/>
          </w:rPr>
          <w:tab/>
        </w:r>
        <w:r w:rsidR="00C45EC5">
          <w:rPr>
            <w:noProof/>
            <w:webHidden/>
          </w:rPr>
          <w:fldChar w:fldCharType="begin"/>
        </w:r>
        <w:r w:rsidR="00C45EC5">
          <w:rPr>
            <w:noProof/>
            <w:webHidden/>
          </w:rPr>
          <w:instrText xml:space="preserve"> PAGEREF _Toc515529516 \h </w:instrText>
        </w:r>
        <w:r w:rsidR="00C45EC5">
          <w:rPr>
            <w:noProof/>
            <w:webHidden/>
          </w:rPr>
        </w:r>
        <w:r w:rsidR="00C45EC5">
          <w:rPr>
            <w:noProof/>
            <w:webHidden/>
          </w:rPr>
          <w:fldChar w:fldCharType="separate"/>
        </w:r>
        <w:r w:rsidR="00B077F0">
          <w:rPr>
            <w:noProof/>
            <w:webHidden/>
          </w:rPr>
          <w:t>26</w:t>
        </w:r>
        <w:r w:rsidR="00C45EC5">
          <w:rPr>
            <w:noProof/>
            <w:webHidden/>
          </w:rPr>
          <w:fldChar w:fldCharType="end"/>
        </w:r>
      </w:hyperlink>
    </w:p>
    <w:p w14:paraId="16981695" w14:textId="1C1BD1F0"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17" w:history="1">
        <w:r w:rsidR="00C45EC5" w:rsidRPr="00D31684">
          <w:rPr>
            <w:rStyle w:val="Hyperlink"/>
            <w:noProof/>
          </w:rPr>
          <w:t>5.3.2</w:t>
        </w:r>
        <w:r w:rsidR="00C45EC5">
          <w:rPr>
            <w:rFonts w:asciiTheme="minorHAnsi" w:eastAsiaTheme="minorEastAsia" w:hAnsiTheme="minorHAnsi" w:cstheme="minorBidi"/>
            <w:noProof/>
            <w:szCs w:val="22"/>
            <w:lang w:val="en-US"/>
          </w:rPr>
          <w:tab/>
        </w:r>
        <w:r w:rsidR="00C45EC5" w:rsidRPr="00D31684">
          <w:rPr>
            <w:rStyle w:val="Hyperlink"/>
            <w:noProof/>
          </w:rPr>
          <w:t>Industry briefings</w:t>
        </w:r>
        <w:r w:rsidR="00C45EC5">
          <w:rPr>
            <w:noProof/>
            <w:webHidden/>
          </w:rPr>
          <w:tab/>
        </w:r>
        <w:r w:rsidR="00C45EC5">
          <w:rPr>
            <w:noProof/>
            <w:webHidden/>
          </w:rPr>
          <w:fldChar w:fldCharType="begin"/>
        </w:r>
        <w:r w:rsidR="00C45EC5">
          <w:rPr>
            <w:noProof/>
            <w:webHidden/>
          </w:rPr>
          <w:instrText xml:space="preserve"> PAGEREF _Toc515529517 \h </w:instrText>
        </w:r>
        <w:r w:rsidR="00C45EC5">
          <w:rPr>
            <w:noProof/>
            <w:webHidden/>
          </w:rPr>
        </w:r>
        <w:r w:rsidR="00C45EC5">
          <w:rPr>
            <w:noProof/>
            <w:webHidden/>
          </w:rPr>
          <w:fldChar w:fldCharType="separate"/>
        </w:r>
        <w:r w:rsidR="00B077F0">
          <w:rPr>
            <w:noProof/>
            <w:webHidden/>
          </w:rPr>
          <w:t>27</w:t>
        </w:r>
        <w:r w:rsidR="00C45EC5">
          <w:rPr>
            <w:noProof/>
            <w:webHidden/>
          </w:rPr>
          <w:fldChar w:fldCharType="end"/>
        </w:r>
      </w:hyperlink>
    </w:p>
    <w:p w14:paraId="63A7150A" w14:textId="7251B57B"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18" w:history="1">
        <w:r w:rsidR="00C45EC5" w:rsidRPr="00D31684">
          <w:rPr>
            <w:rStyle w:val="Hyperlink"/>
            <w:noProof/>
          </w:rPr>
          <w:t>5.3.3</w:t>
        </w:r>
        <w:r w:rsidR="00C45EC5">
          <w:rPr>
            <w:rFonts w:asciiTheme="minorHAnsi" w:eastAsiaTheme="minorEastAsia" w:hAnsiTheme="minorHAnsi" w:cstheme="minorBidi"/>
            <w:noProof/>
            <w:szCs w:val="22"/>
            <w:lang w:val="en-US"/>
          </w:rPr>
          <w:tab/>
        </w:r>
        <w:r w:rsidR="00C45EC5" w:rsidRPr="00D31684">
          <w:rPr>
            <w:rStyle w:val="Hyperlink"/>
            <w:noProof/>
          </w:rPr>
          <w:t>Market soundings</w:t>
        </w:r>
        <w:r w:rsidR="00C45EC5">
          <w:rPr>
            <w:noProof/>
            <w:webHidden/>
          </w:rPr>
          <w:tab/>
        </w:r>
        <w:r w:rsidR="00C45EC5">
          <w:rPr>
            <w:noProof/>
            <w:webHidden/>
          </w:rPr>
          <w:fldChar w:fldCharType="begin"/>
        </w:r>
        <w:r w:rsidR="00C45EC5">
          <w:rPr>
            <w:noProof/>
            <w:webHidden/>
          </w:rPr>
          <w:instrText xml:space="preserve"> PAGEREF _Toc515529518 \h </w:instrText>
        </w:r>
        <w:r w:rsidR="00C45EC5">
          <w:rPr>
            <w:noProof/>
            <w:webHidden/>
          </w:rPr>
        </w:r>
        <w:r w:rsidR="00C45EC5">
          <w:rPr>
            <w:noProof/>
            <w:webHidden/>
          </w:rPr>
          <w:fldChar w:fldCharType="separate"/>
        </w:r>
        <w:r w:rsidR="00B077F0">
          <w:rPr>
            <w:noProof/>
            <w:webHidden/>
          </w:rPr>
          <w:t>27</w:t>
        </w:r>
        <w:r w:rsidR="00C45EC5">
          <w:rPr>
            <w:noProof/>
            <w:webHidden/>
          </w:rPr>
          <w:fldChar w:fldCharType="end"/>
        </w:r>
      </w:hyperlink>
    </w:p>
    <w:p w14:paraId="1BDF0258" w14:textId="43AC32F5"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19" w:history="1">
        <w:r w:rsidR="00C45EC5" w:rsidRPr="00D31684">
          <w:rPr>
            <w:rStyle w:val="Hyperlink"/>
            <w:noProof/>
          </w:rPr>
          <w:t>5.3.4</w:t>
        </w:r>
        <w:r w:rsidR="00C45EC5">
          <w:rPr>
            <w:rFonts w:asciiTheme="minorHAnsi" w:eastAsiaTheme="minorEastAsia" w:hAnsiTheme="minorHAnsi" w:cstheme="minorBidi"/>
            <w:noProof/>
            <w:szCs w:val="22"/>
            <w:lang w:val="en-US"/>
          </w:rPr>
          <w:tab/>
        </w:r>
        <w:r w:rsidR="00C45EC5" w:rsidRPr="00D31684">
          <w:rPr>
            <w:rStyle w:val="Hyperlink"/>
            <w:noProof/>
          </w:rPr>
          <w:t>Multi-PHN engagement</w:t>
        </w:r>
        <w:r w:rsidR="00C45EC5">
          <w:rPr>
            <w:noProof/>
            <w:webHidden/>
          </w:rPr>
          <w:tab/>
        </w:r>
        <w:r w:rsidR="00C45EC5">
          <w:rPr>
            <w:noProof/>
            <w:webHidden/>
          </w:rPr>
          <w:fldChar w:fldCharType="begin"/>
        </w:r>
        <w:r w:rsidR="00C45EC5">
          <w:rPr>
            <w:noProof/>
            <w:webHidden/>
          </w:rPr>
          <w:instrText xml:space="preserve"> PAGEREF _Toc515529519 \h </w:instrText>
        </w:r>
        <w:r w:rsidR="00C45EC5">
          <w:rPr>
            <w:noProof/>
            <w:webHidden/>
          </w:rPr>
        </w:r>
        <w:r w:rsidR="00C45EC5">
          <w:rPr>
            <w:noProof/>
            <w:webHidden/>
          </w:rPr>
          <w:fldChar w:fldCharType="separate"/>
        </w:r>
        <w:r w:rsidR="00B077F0">
          <w:rPr>
            <w:noProof/>
            <w:webHidden/>
          </w:rPr>
          <w:t>27</w:t>
        </w:r>
        <w:r w:rsidR="00C45EC5">
          <w:rPr>
            <w:noProof/>
            <w:webHidden/>
          </w:rPr>
          <w:fldChar w:fldCharType="end"/>
        </w:r>
      </w:hyperlink>
    </w:p>
    <w:p w14:paraId="5569980C" w14:textId="402BC3D6"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20" w:history="1">
        <w:r w:rsidR="00C45EC5" w:rsidRPr="00D31684">
          <w:rPr>
            <w:rStyle w:val="Hyperlink"/>
            <w:noProof/>
          </w:rPr>
          <w:t>5.3.5</w:t>
        </w:r>
        <w:r w:rsidR="00C45EC5">
          <w:rPr>
            <w:rFonts w:asciiTheme="minorHAnsi" w:eastAsiaTheme="minorEastAsia" w:hAnsiTheme="minorHAnsi" w:cstheme="minorBidi"/>
            <w:noProof/>
            <w:szCs w:val="22"/>
            <w:lang w:val="en-US"/>
          </w:rPr>
          <w:tab/>
        </w:r>
        <w:r w:rsidR="00C45EC5" w:rsidRPr="00D31684">
          <w:rPr>
            <w:rStyle w:val="Hyperlink"/>
            <w:noProof/>
          </w:rPr>
          <w:t>Aboriginal and Torres Strait Islander people and communities</w:t>
        </w:r>
        <w:r w:rsidR="00C45EC5">
          <w:rPr>
            <w:noProof/>
            <w:webHidden/>
          </w:rPr>
          <w:tab/>
        </w:r>
        <w:r w:rsidR="00C45EC5">
          <w:rPr>
            <w:noProof/>
            <w:webHidden/>
          </w:rPr>
          <w:fldChar w:fldCharType="begin"/>
        </w:r>
        <w:r w:rsidR="00C45EC5">
          <w:rPr>
            <w:noProof/>
            <w:webHidden/>
          </w:rPr>
          <w:instrText xml:space="preserve"> PAGEREF _Toc515529520 \h </w:instrText>
        </w:r>
        <w:r w:rsidR="00C45EC5">
          <w:rPr>
            <w:noProof/>
            <w:webHidden/>
          </w:rPr>
        </w:r>
        <w:r w:rsidR="00C45EC5">
          <w:rPr>
            <w:noProof/>
            <w:webHidden/>
          </w:rPr>
          <w:fldChar w:fldCharType="separate"/>
        </w:r>
        <w:r w:rsidR="00B077F0">
          <w:rPr>
            <w:noProof/>
            <w:webHidden/>
          </w:rPr>
          <w:t>27</w:t>
        </w:r>
        <w:r w:rsidR="00C45EC5">
          <w:rPr>
            <w:noProof/>
            <w:webHidden/>
          </w:rPr>
          <w:fldChar w:fldCharType="end"/>
        </w:r>
      </w:hyperlink>
    </w:p>
    <w:p w14:paraId="4EFAF966" w14:textId="6A04B29F"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21" w:history="1">
        <w:r w:rsidR="00C45EC5" w:rsidRPr="00D31684">
          <w:rPr>
            <w:rStyle w:val="Hyperlink"/>
            <w:noProof/>
          </w:rPr>
          <w:t>5.4</w:t>
        </w:r>
        <w:r w:rsidR="00C45EC5">
          <w:rPr>
            <w:rFonts w:asciiTheme="minorHAnsi" w:eastAsiaTheme="minorEastAsia" w:hAnsiTheme="minorHAnsi" w:cstheme="minorBidi"/>
            <w:noProof/>
            <w:szCs w:val="22"/>
            <w:lang w:val="en-US"/>
          </w:rPr>
          <w:tab/>
        </w:r>
        <w:r w:rsidR="00C45EC5" w:rsidRPr="00D31684">
          <w:rPr>
            <w:rStyle w:val="Hyperlink"/>
            <w:noProof/>
          </w:rPr>
          <w:t>Standardisation of engagement materials and approaches</w:t>
        </w:r>
        <w:r w:rsidR="00C45EC5">
          <w:rPr>
            <w:noProof/>
            <w:webHidden/>
          </w:rPr>
          <w:tab/>
        </w:r>
        <w:r w:rsidR="00C45EC5">
          <w:rPr>
            <w:noProof/>
            <w:webHidden/>
          </w:rPr>
          <w:fldChar w:fldCharType="begin"/>
        </w:r>
        <w:r w:rsidR="00C45EC5">
          <w:rPr>
            <w:noProof/>
            <w:webHidden/>
          </w:rPr>
          <w:instrText xml:space="preserve"> PAGEREF _Toc515529521 \h </w:instrText>
        </w:r>
        <w:r w:rsidR="00C45EC5">
          <w:rPr>
            <w:noProof/>
            <w:webHidden/>
          </w:rPr>
        </w:r>
        <w:r w:rsidR="00C45EC5">
          <w:rPr>
            <w:noProof/>
            <w:webHidden/>
          </w:rPr>
          <w:fldChar w:fldCharType="separate"/>
        </w:r>
        <w:r w:rsidR="00B077F0">
          <w:rPr>
            <w:noProof/>
            <w:webHidden/>
          </w:rPr>
          <w:t>28</w:t>
        </w:r>
        <w:r w:rsidR="00C45EC5">
          <w:rPr>
            <w:noProof/>
            <w:webHidden/>
          </w:rPr>
          <w:fldChar w:fldCharType="end"/>
        </w:r>
      </w:hyperlink>
    </w:p>
    <w:p w14:paraId="0D3E8D42" w14:textId="51455B59" w:rsidR="00C45EC5" w:rsidRDefault="00541D06">
      <w:pPr>
        <w:pStyle w:val="TOC1"/>
        <w:tabs>
          <w:tab w:val="left" w:pos="440"/>
        </w:tabs>
        <w:rPr>
          <w:rFonts w:asciiTheme="minorHAnsi" w:eastAsiaTheme="minorEastAsia" w:hAnsiTheme="minorHAnsi" w:cstheme="minorBidi"/>
          <w:noProof/>
          <w:szCs w:val="22"/>
          <w:lang w:val="en-US"/>
        </w:rPr>
      </w:pPr>
      <w:hyperlink w:anchor="_Toc515529522" w:history="1">
        <w:r w:rsidR="00C45EC5" w:rsidRPr="00D31684">
          <w:rPr>
            <w:rStyle w:val="Hyperlink"/>
            <w:noProof/>
          </w:rPr>
          <w:t>6</w:t>
        </w:r>
        <w:r w:rsidR="00C45EC5">
          <w:rPr>
            <w:rFonts w:asciiTheme="minorHAnsi" w:eastAsiaTheme="minorEastAsia" w:hAnsiTheme="minorHAnsi" w:cstheme="minorBidi"/>
            <w:noProof/>
            <w:szCs w:val="22"/>
            <w:lang w:val="en-US"/>
          </w:rPr>
          <w:tab/>
        </w:r>
        <w:r w:rsidR="00C45EC5" w:rsidRPr="00D31684">
          <w:rPr>
            <w:rStyle w:val="Hyperlink"/>
            <w:noProof/>
          </w:rPr>
          <w:t>Decommissioning</w:t>
        </w:r>
        <w:r w:rsidR="00C45EC5">
          <w:rPr>
            <w:noProof/>
            <w:webHidden/>
          </w:rPr>
          <w:tab/>
        </w:r>
        <w:r w:rsidR="00C45EC5">
          <w:rPr>
            <w:noProof/>
            <w:webHidden/>
          </w:rPr>
          <w:fldChar w:fldCharType="begin"/>
        </w:r>
        <w:r w:rsidR="00C45EC5">
          <w:rPr>
            <w:noProof/>
            <w:webHidden/>
          </w:rPr>
          <w:instrText xml:space="preserve"> PAGEREF _Toc515529522 \h </w:instrText>
        </w:r>
        <w:r w:rsidR="00C45EC5">
          <w:rPr>
            <w:noProof/>
            <w:webHidden/>
          </w:rPr>
        </w:r>
        <w:r w:rsidR="00C45EC5">
          <w:rPr>
            <w:noProof/>
            <w:webHidden/>
          </w:rPr>
          <w:fldChar w:fldCharType="separate"/>
        </w:r>
        <w:r w:rsidR="00B077F0">
          <w:rPr>
            <w:noProof/>
            <w:webHidden/>
          </w:rPr>
          <w:t>29</w:t>
        </w:r>
        <w:r w:rsidR="00C45EC5">
          <w:rPr>
            <w:noProof/>
            <w:webHidden/>
          </w:rPr>
          <w:fldChar w:fldCharType="end"/>
        </w:r>
      </w:hyperlink>
    </w:p>
    <w:p w14:paraId="33BDD03B" w14:textId="6CCE3A26"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23" w:history="1">
        <w:r w:rsidR="00C45EC5" w:rsidRPr="00D31684">
          <w:rPr>
            <w:rStyle w:val="Hyperlink"/>
            <w:noProof/>
          </w:rPr>
          <w:t>6.1</w:t>
        </w:r>
        <w:r w:rsidR="00C45EC5">
          <w:rPr>
            <w:rFonts w:asciiTheme="minorHAnsi" w:eastAsiaTheme="minorEastAsia" w:hAnsiTheme="minorHAnsi" w:cstheme="minorBidi"/>
            <w:noProof/>
            <w:szCs w:val="22"/>
            <w:lang w:val="en-US"/>
          </w:rPr>
          <w:tab/>
        </w:r>
        <w:r w:rsidR="00C45EC5" w:rsidRPr="00D31684">
          <w:rPr>
            <w:rStyle w:val="Hyperlink"/>
            <w:noProof/>
          </w:rPr>
          <w:t>The role of decommissioning</w:t>
        </w:r>
        <w:r w:rsidR="00C45EC5">
          <w:rPr>
            <w:noProof/>
            <w:webHidden/>
          </w:rPr>
          <w:tab/>
        </w:r>
        <w:r w:rsidR="00C45EC5">
          <w:rPr>
            <w:noProof/>
            <w:webHidden/>
          </w:rPr>
          <w:fldChar w:fldCharType="begin"/>
        </w:r>
        <w:r w:rsidR="00C45EC5">
          <w:rPr>
            <w:noProof/>
            <w:webHidden/>
          </w:rPr>
          <w:instrText xml:space="preserve"> PAGEREF _Toc515529523 \h </w:instrText>
        </w:r>
        <w:r w:rsidR="00C45EC5">
          <w:rPr>
            <w:noProof/>
            <w:webHidden/>
          </w:rPr>
        </w:r>
        <w:r w:rsidR="00C45EC5">
          <w:rPr>
            <w:noProof/>
            <w:webHidden/>
          </w:rPr>
          <w:fldChar w:fldCharType="separate"/>
        </w:r>
        <w:r w:rsidR="00B077F0">
          <w:rPr>
            <w:noProof/>
            <w:webHidden/>
          </w:rPr>
          <w:t>29</w:t>
        </w:r>
        <w:r w:rsidR="00C45EC5">
          <w:rPr>
            <w:noProof/>
            <w:webHidden/>
          </w:rPr>
          <w:fldChar w:fldCharType="end"/>
        </w:r>
      </w:hyperlink>
    </w:p>
    <w:p w14:paraId="13EA2434" w14:textId="3E99B552"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24" w:history="1">
        <w:r w:rsidR="00C45EC5" w:rsidRPr="00D31684">
          <w:rPr>
            <w:rStyle w:val="Hyperlink"/>
            <w:noProof/>
          </w:rPr>
          <w:t>6.2</w:t>
        </w:r>
        <w:r w:rsidR="00C45EC5">
          <w:rPr>
            <w:rFonts w:asciiTheme="minorHAnsi" w:eastAsiaTheme="minorEastAsia" w:hAnsiTheme="minorHAnsi" w:cstheme="minorBidi"/>
            <w:noProof/>
            <w:szCs w:val="22"/>
            <w:lang w:val="en-US"/>
          </w:rPr>
          <w:tab/>
        </w:r>
        <w:r w:rsidR="00C45EC5" w:rsidRPr="00D31684">
          <w:rPr>
            <w:rStyle w:val="Hyperlink"/>
            <w:noProof/>
          </w:rPr>
          <w:t>PHN learnings</w:t>
        </w:r>
        <w:r w:rsidR="00C45EC5">
          <w:rPr>
            <w:noProof/>
            <w:webHidden/>
          </w:rPr>
          <w:tab/>
        </w:r>
        <w:r w:rsidR="00C45EC5">
          <w:rPr>
            <w:noProof/>
            <w:webHidden/>
          </w:rPr>
          <w:fldChar w:fldCharType="begin"/>
        </w:r>
        <w:r w:rsidR="00C45EC5">
          <w:rPr>
            <w:noProof/>
            <w:webHidden/>
          </w:rPr>
          <w:instrText xml:space="preserve"> PAGEREF _Toc515529524 \h </w:instrText>
        </w:r>
        <w:r w:rsidR="00C45EC5">
          <w:rPr>
            <w:noProof/>
            <w:webHidden/>
          </w:rPr>
        </w:r>
        <w:r w:rsidR="00C45EC5">
          <w:rPr>
            <w:noProof/>
            <w:webHidden/>
          </w:rPr>
          <w:fldChar w:fldCharType="separate"/>
        </w:r>
        <w:r w:rsidR="00B077F0">
          <w:rPr>
            <w:noProof/>
            <w:webHidden/>
          </w:rPr>
          <w:t>30</w:t>
        </w:r>
        <w:r w:rsidR="00C45EC5">
          <w:rPr>
            <w:noProof/>
            <w:webHidden/>
          </w:rPr>
          <w:fldChar w:fldCharType="end"/>
        </w:r>
      </w:hyperlink>
    </w:p>
    <w:p w14:paraId="187B9E48" w14:textId="29CDEBD3"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25" w:history="1">
        <w:r w:rsidR="00C45EC5" w:rsidRPr="00D31684">
          <w:rPr>
            <w:rStyle w:val="Hyperlink"/>
            <w:noProof/>
          </w:rPr>
          <w:t>6.3</w:t>
        </w:r>
        <w:r w:rsidR="00C45EC5">
          <w:rPr>
            <w:rFonts w:asciiTheme="minorHAnsi" w:eastAsiaTheme="minorEastAsia" w:hAnsiTheme="minorHAnsi" w:cstheme="minorBidi"/>
            <w:noProof/>
            <w:szCs w:val="22"/>
            <w:lang w:val="en-US"/>
          </w:rPr>
          <w:tab/>
        </w:r>
        <w:r w:rsidR="00C45EC5" w:rsidRPr="00D31684">
          <w:rPr>
            <w:rStyle w:val="Hyperlink"/>
            <w:noProof/>
          </w:rPr>
          <w:t>Developments impacting decommissioning and redesign</w:t>
        </w:r>
        <w:r w:rsidR="00C45EC5">
          <w:rPr>
            <w:noProof/>
            <w:webHidden/>
          </w:rPr>
          <w:tab/>
        </w:r>
        <w:r w:rsidR="00C45EC5">
          <w:rPr>
            <w:noProof/>
            <w:webHidden/>
          </w:rPr>
          <w:fldChar w:fldCharType="begin"/>
        </w:r>
        <w:r w:rsidR="00C45EC5">
          <w:rPr>
            <w:noProof/>
            <w:webHidden/>
          </w:rPr>
          <w:instrText xml:space="preserve"> PAGEREF _Toc515529525 \h </w:instrText>
        </w:r>
        <w:r w:rsidR="00C45EC5">
          <w:rPr>
            <w:noProof/>
            <w:webHidden/>
          </w:rPr>
        </w:r>
        <w:r w:rsidR="00C45EC5">
          <w:rPr>
            <w:noProof/>
            <w:webHidden/>
          </w:rPr>
          <w:fldChar w:fldCharType="separate"/>
        </w:r>
        <w:r w:rsidR="00B077F0">
          <w:rPr>
            <w:noProof/>
            <w:webHidden/>
          </w:rPr>
          <w:t>30</w:t>
        </w:r>
        <w:r w:rsidR="00C45EC5">
          <w:rPr>
            <w:noProof/>
            <w:webHidden/>
          </w:rPr>
          <w:fldChar w:fldCharType="end"/>
        </w:r>
      </w:hyperlink>
    </w:p>
    <w:p w14:paraId="5973FD42" w14:textId="5BDCB9BE"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26" w:history="1">
        <w:r w:rsidR="00C45EC5" w:rsidRPr="00D31684">
          <w:rPr>
            <w:rStyle w:val="Hyperlink"/>
            <w:noProof/>
          </w:rPr>
          <w:t>6.4</w:t>
        </w:r>
        <w:r w:rsidR="00C45EC5">
          <w:rPr>
            <w:rFonts w:asciiTheme="minorHAnsi" w:eastAsiaTheme="minorEastAsia" w:hAnsiTheme="minorHAnsi" w:cstheme="minorBidi"/>
            <w:noProof/>
            <w:szCs w:val="22"/>
            <w:lang w:val="en-US"/>
          </w:rPr>
          <w:tab/>
        </w:r>
        <w:r w:rsidR="00C45EC5" w:rsidRPr="00D31684">
          <w:rPr>
            <w:rStyle w:val="Hyperlink"/>
            <w:noProof/>
          </w:rPr>
          <w:t>Helping the market deal with redesign and potential decommissioning</w:t>
        </w:r>
        <w:r w:rsidR="00C45EC5">
          <w:rPr>
            <w:noProof/>
            <w:webHidden/>
          </w:rPr>
          <w:tab/>
        </w:r>
        <w:r w:rsidR="00C45EC5">
          <w:rPr>
            <w:noProof/>
            <w:webHidden/>
          </w:rPr>
          <w:fldChar w:fldCharType="begin"/>
        </w:r>
        <w:r w:rsidR="00C45EC5">
          <w:rPr>
            <w:noProof/>
            <w:webHidden/>
          </w:rPr>
          <w:instrText xml:space="preserve"> PAGEREF _Toc515529526 \h </w:instrText>
        </w:r>
        <w:r w:rsidR="00C45EC5">
          <w:rPr>
            <w:noProof/>
            <w:webHidden/>
          </w:rPr>
        </w:r>
        <w:r w:rsidR="00C45EC5">
          <w:rPr>
            <w:noProof/>
            <w:webHidden/>
          </w:rPr>
          <w:fldChar w:fldCharType="separate"/>
        </w:r>
        <w:r w:rsidR="00B077F0">
          <w:rPr>
            <w:noProof/>
            <w:webHidden/>
          </w:rPr>
          <w:t>31</w:t>
        </w:r>
        <w:r w:rsidR="00C45EC5">
          <w:rPr>
            <w:noProof/>
            <w:webHidden/>
          </w:rPr>
          <w:fldChar w:fldCharType="end"/>
        </w:r>
      </w:hyperlink>
    </w:p>
    <w:p w14:paraId="51C7A34B" w14:textId="3DCEA1CA" w:rsidR="00C45EC5" w:rsidRDefault="00541D06">
      <w:pPr>
        <w:pStyle w:val="TOC1"/>
        <w:tabs>
          <w:tab w:val="left" w:pos="440"/>
        </w:tabs>
        <w:rPr>
          <w:rFonts w:asciiTheme="minorHAnsi" w:eastAsiaTheme="minorEastAsia" w:hAnsiTheme="minorHAnsi" w:cstheme="minorBidi"/>
          <w:noProof/>
          <w:szCs w:val="22"/>
          <w:lang w:val="en-US"/>
        </w:rPr>
      </w:pPr>
      <w:hyperlink w:anchor="_Toc515529527" w:history="1">
        <w:r w:rsidR="00C45EC5" w:rsidRPr="00D31684">
          <w:rPr>
            <w:rStyle w:val="Hyperlink"/>
            <w:noProof/>
          </w:rPr>
          <w:t>7</w:t>
        </w:r>
        <w:r w:rsidR="00C45EC5">
          <w:rPr>
            <w:rFonts w:asciiTheme="minorHAnsi" w:eastAsiaTheme="minorEastAsia" w:hAnsiTheme="minorHAnsi" w:cstheme="minorBidi"/>
            <w:noProof/>
            <w:szCs w:val="22"/>
            <w:lang w:val="en-US"/>
          </w:rPr>
          <w:tab/>
        </w:r>
        <w:r w:rsidR="00C45EC5" w:rsidRPr="00D31684">
          <w:rPr>
            <w:rStyle w:val="Hyperlink"/>
            <w:noProof/>
          </w:rPr>
          <w:t>Specific market considerations</w:t>
        </w:r>
        <w:r w:rsidR="00C45EC5">
          <w:rPr>
            <w:noProof/>
            <w:webHidden/>
          </w:rPr>
          <w:tab/>
        </w:r>
        <w:r w:rsidR="00C45EC5">
          <w:rPr>
            <w:noProof/>
            <w:webHidden/>
          </w:rPr>
          <w:fldChar w:fldCharType="begin"/>
        </w:r>
        <w:r w:rsidR="00C45EC5">
          <w:rPr>
            <w:noProof/>
            <w:webHidden/>
          </w:rPr>
          <w:instrText xml:space="preserve"> PAGEREF _Toc515529527 \h </w:instrText>
        </w:r>
        <w:r w:rsidR="00C45EC5">
          <w:rPr>
            <w:noProof/>
            <w:webHidden/>
          </w:rPr>
        </w:r>
        <w:r w:rsidR="00C45EC5">
          <w:rPr>
            <w:noProof/>
            <w:webHidden/>
          </w:rPr>
          <w:fldChar w:fldCharType="separate"/>
        </w:r>
        <w:r w:rsidR="00B077F0">
          <w:rPr>
            <w:noProof/>
            <w:webHidden/>
          </w:rPr>
          <w:t>32</w:t>
        </w:r>
        <w:r w:rsidR="00C45EC5">
          <w:rPr>
            <w:noProof/>
            <w:webHidden/>
          </w:rPr>
          <w:fldChar w:fldCharType="end"/>
        </w:r>
      </w:hyperlink>
    </w:p>
    <w:p w14:paraId="72D057AC" w14:textId="3B218E36"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28" w:history="1">
        <w:r w:rsidR="00C45EC5" w:rsidRPr="00D31684">
          <w:rPr>
            <w:rStyle w:val="Hyperlink"/>
            <w:noProof/>
          </w:rPr>
          <w:t>7.1</w:t>
        </w:r>
        <w:r w:rsidR="00C45EC5">
          <w:rPr>
            <w:rFonts w:asciiTheme="minorHAnsi" w:eastAsiaTheme="minorEastAsia" w:hAnsiTheme="minorHAnsi" w:cstheme="minorBidi"/>
            <w:noProof/>
            <w:szCs w:val="22"/>
            <w:lang w:val="en-US"/>
          </w:rPr>
          <w:tab/>
        </w:r>
        <w:r w:rsidR="00C45EC5" w:rsidRPr="00D31684">
          <w:rPr>
            <w:rStyle w:val="Hyperlink"/>
            <w:noProof/>
          </w:rPr>
          <w:t>Aboriginal and Torres Strait Islander health</w:t>
        </w:r>
        <w:r w:rsidR="00C45EC5">
          <w:rPr>
            <w:noProof/>
            <w:webHidden/>
          </w:rPr>
          <w:tab/>
        </w:r>
        <w:r w:rsidR="00C45EC5">
          <w:rPr>
            <w:noProof/>
            <w:webHidden/>
          </w:rPr>
          <w:fldChar w:fldCharType="begin"/>
        </w:r>
        <w:r w:rsidR="00C45EC5">
          <w:rPr>
            <w:noProof/>
            <w:webHidden/>
          </w:rPr>
          <w:instrText xml:space="preserve"> PAGEREF _Toc515529528 \h </w:instrText>
        </w:r>
        <w:r w:rsidR="00C45EC5">
          <w:rPr>
            <w:noProof/>
            <w:webHidden/>
          </w:rPr>
        </w:r>
        <w:r w:rsidR="00C45EC5">
          <w:rPr>
            <w:noProof/>
            <w:webHidden/>
          </w:rPr>
          <w:fldChar w:fldCharType="separate"/>
        </w:r>
        <w:r w:rsidR="00B077F0">
          <w:rPr>
            <w:noProof/>
            <w:webHidden/>
          </w:rPr>
          <w:t>32</w:t>
        </w:r>
        <w:r w:rsidR="00C45EC5">
          <w:rPr>
            <w:noProof/>
            <w:webHidden/>
          </w:rPr>
          <w:fldChar w:fldCharType="end"/>
        </w:r>
      </w:hyperlink>
    </w:p>
    <w:p w14:paraId="3DC0631C" w14:textId="11598091" w:rsidR="00C45EC5" w:rsidRDefault="00541D06">
      <w:pPr>
        <w:pStyle w:val="TOC3"/>
        <w:tabs>
          <w:tab w:val="left" w:pos="1320"/>
          <w:tab w:val="right" w:leader="dot" w:pos="9742"/>
        </w:tabs>
        <w:rPr>
          <w:rFonts w:asciiTheme="minorHAnsi" w:eastAsiaTheme="minorEastAsia" w:hAnsiTheme="minorHAnsi" w:cstheme="minorBidi"/>
          <w:noProof/>
          <w:szCs w:val="22"/>
          <w:lang w:val="en-US"/>
        </w:rPr>
      </w:pPr>
      <w:hyperlink w:anchor="_Toc515529529" w:history="1">
        <w:r w:rsidR="00C45EC5" w:rsidRPr="00D31684">
          <w:rPr>
            <w:rStyle w:val="Hyperlink"/>
            <w:noProof/>
          </w:rPr>
          <w:t>7.1.1</w:t>
        </w:r>
        <w:r w:rsidR="00C45EC5">
          <w:rPr>
            <w:rFonts w:asciiTheme="minorHAnsi" w:eastAsiaTheme="minorEastAsia" w:hAnsiTheme="minorHAnsi" w:cstheme="minorBidi"/>
            <w:noProof/>
            <w:szCs w:val="22"/>
            <w:lang w:val="en-US"/>
          </w:rPr>
          <w:tab/>
        </w:r>
        <w:r w:rsidR="00C45EC5" w:rsidRPr="00D31684">
          <w:rPr>
            <w:rStyle w:val="Hyperlink"/>
            <w:noProof/>
          </w:rPr>
          <w:t>Aboriginal and Torres Strait Islander Health Coalition/Partnership</w:t>
        </w:r>
        <w:r w:rsidR="00C45EC5">
          <w:rPr>
            <w:noProof/>
            <w:webHidden/>
          </w:rPr>
          <w:tab/>
        </w:r>
        <w:r w:rsidR="00C45EC5">
          <w:rPr>
            <w:noProof/>
            <w:webHidden/>
          </w:rPr>
          <w:fldChar w:fldCharType="begin"/>
        </w:r>
        <w:r w:rsidR="00C45EC5">
          <w:rPr>
            <w:noProof/>
            <w:webHidden/>
          </w:rPr>
          <w:instrText xml:space="preserve"> PAGEREF _Toc515529529 \h </w:instrText>
        </w:r>
        <w:r w:rsidR="00C45EC5">
          <w:rPr>
            <w:noProof/>
            <w:webHidden/>
          </w:rPr>
        </w:r>
        <w:r w:rsidR="00C45EC5">
          <w:rPr>
            <w:noProof/>
            <w:webHidden/>
          </w:rPr>
          <w:fldChar w:fldCharType="separate"/>
        </w:r>
        <w:r w:rsidR="00B077F0">
          <w:rPr>
            <w:noProof/>
            <w:webHidden/>
          </w:rPr>
          <w:t>32</w:t>
        </w:r>
        <w:r w:rsidR="00C45EC5">
          <w:rPr>
            <w:noProof/>
            <w:webHidden/>
          </w:rPr>
          <w:fldChar w:fldCharType="end"/>
        </w:r>
      </w:hyperlink>
    </w:p>
    <w:p w14:paraId="18A70C4E" w14:textId="31A5F113" w:rsidR="00C45EC5" w:rsidRDefault="00541D06">
      <w:pPr>
        <w:pStyle w:val="TOC2"/>
        <w:tabs>
          <w:tab w:val="left" w:pos="880"/>
          <w:tab w:val="right" w:leader="dot" w:pos="9742"/>
        </w:tabs>
        <w:rPr>
          <w:rFonts w:asciiTheme="minorHAnsi" w:eastAsiaTheme="minorEastAsia" w:hAnsiTheme="minorHAnsi" w:cstheme="minorBidi"/>
          <w:noProof/>
          <w:szCs w:val="22"/>
          <w:lang w:val="en-US"/>
        </w:rPr>
      </w:pPr>
      <w:hyperlink w:anchor="_Toc515529530" w:history="1">
        <w:r w:rsidR="00C45EC5" w:rsidRPr="00D31684">
          <w:rPr>
            <w:rStyle w:val="Hyperlink"/>
            <w:noProof/>
          </w:rPr>
          <w:t>7.2</w:t>
        </w:r>
        <w:r w:rsidR="00C45EC5">
          <w:rPr>
            <w:rFonts w:asciiTheme="minorHAnsi" w:eastAsiaTheme="minorEastAsia" w:hAnsiTheme="minorHAnsi" w:cstheme="minorBidi"/>
            <w:noProof/>
            <w:szCs w:val="22"/>
            <w:lang w:val="en-US"/>
          </w:rPr>
          <w:tab/>
        </w:r>
        <w:r w:rsidR="00C45EC5" w:rsidRPr="00D31684">
          <w:rPr>
            <w:rStyle w:val="Hyperlink"/>
            <w:noProof/>
          </w:rPr>
          <w:t>Cohort or Paradigm?</w:t>
        </w:r>
        <w:r w:rsidR="00C45EC5">
          <w:rPr>
            <w:noProof/>
            <w:webHidden/>
          </w:rPr>
          <w:tab/>
        </w:r>
        <w:r w:rsidR="00C45EC5">
          <w:rPr>
            <w:noProof/>
            <w:webHidden/>
          </w:rPr>
          <w:fldChar w:fldCharType="begin"/>
        </w:r>
        <w:r w:rsidR="00C45EC5">
          <w:rPr>
            <w:noProof/>
            <w:webHidden/>
          </w:rPr>
          <w:instrText xml:space="preserve"> PAGEREF _Toc515529530 \h </w:instrText>
        </w:r>
        <w:r w:rsidR="00C45EC5">
          <w:rPr>
            <w:noProof/>
            <w:webHidden/>
          </w:rPr>
        </w:r>
        <w:r w:rsidR="00C45EC5">
          <w:rPr>
            <w:noProof/>
            <w:webHidden/>
          </w:rPr>
          <w:fldChar w:fldCharType="separate"/>
        </w:r>
        <w:r w:rsidR="00B077F0">
          <w:rPr>
            <w:noProof/>
            <w:webHidden/>
          </w:rPr>
          <w:t>33</w:t>
        </w:r>
        <w:r w:rsidR="00C45EC5">
          <w:rPr>
            <w:noProof/>
            <w:webHidden/>
          </w:rPr>
          <w:fldChar w:fldCharType="end"/>
        </w:r>
      </w:hyperlink>
    </w:p>
    <w:p w14:paraId="0635262A" w14:textId="63E721AC" w:rsidR="00D63014" w:rsidRPr="003D5106" w:rsidRDefault="007F61DF" w:rsidP="00554533">
      <w:r>
        <w:rPr>
          <w:color w:val="003D69"/>
          <w:sz w:val="24"/>
        </w:rPr>
        <w:fldChar w:fldCharType="end"/>
      </w:r>
      <w:r w:rsidR="00D63014" w:rsidRPr="003D5106">
        <w:br w:type="page"/>
      </w:r>
    </w:p>
    <w:p w14:paraId="17141590" w14:textId="3C9DC6EF" w:rsidR="009C5804" w:rsidRPr="00DB6D7F" w:rsidRDefault="00564821" w:rsidP="00201ACB">
      <w:pPr>
        <w:tabs>
          <w:tab w:val="right" w:pos="9639"/>
        </w:tabs>
        <w:rPr>
          <w:b/>
          <w:color w:val="1F497D" w:themeColor="text2"/>
        </w:rPr>
      </w:pPr>
      <w:r w:rsidRPr="00736B90">
        <w:lastRenderedPageBreak/>
        <w:tab/>
      </w:r>
      <w:r w:rsidR="00CF04C5" w:rsidRPr="00DB6D7F">
        <w:rPr>
          <w:b/>
          <w:color w:val="1F497D" w:themeColor="text2"/>
        </w:rPr>
        <w:t>Page</w:t>
      </w:r>
    </w:p>
    <w:p w14:paraId="168DC757" w14:textId="03CB90B6" w:rsidR="00D63014" w:rsidRPr="00A43C00" w:rsidRDefault="00BC71AB" w:rsidP="00201ACB">
      <w:pPr>
        <w:pStyle w:val="SectionHeading"/>
      </w:pPr>
      <w:bookmarkStart w:id="6" w:name="_Toc515529485"/>
      <w:r w:rsidRPr="00736B90">
        <w:t xml:space="preserve">List </w:t>
      </w:r>
      <w:r w:rsidR="00D63014" w:rsidRPr="00736B90">
        <w:t xml:space="preserve">of </w:t>
      </w:r>
      <w:r w:rsidR="00710429" w:rsidRPr="00736B90">
        <w:t>f</w:t>
      </w:r>
      <w:r w:rsidR="00D63014" w:rsidRPr="00736B90">
        <w:t>igures</w:t>
      </w:r>
      <w:bookmarkEnd w:id="6"/>
    </w:p>
    <w:p w14:paraId="27A9BAAF" w14:textId="3CFBEFCE" w:rsidR="003D5106" w:rsidRDefault="007625F1" w:rsidP="003D5106">
      <w:pPr>
        <w:pStyle w:val="TOC1"/>
        <w:rPr>
          <w:rFonts w:asciiTheme="minorHAnsi" w:eastAsiaTheme="minorEastAsia" w:hAnsiTheme="minorHAnsi" w:cstheme="minorBidi"/>
          <w:noProof/>
          <w:szCs w:val="22"/>
          <w:lang w:val="en-US"/>
        </w:rPr>
      </w:pPr>
      <w:r w:rsidRPr="00A43C00">
        <w:rPr>
          <w:color w:val="004274"/>
          <w:sz w:val="24"/>
        </w:rPr>
        <w:fldChar w:fldCharType="begin"/>
      </w:r>
      <w:r w:rsidRPr="00A43C00">
        <w:instrText xml:space="preserve"> TOC \h \z \c "Figure" </w:instrText>
      </w:r>
      <w:r w:rsidRPr="00A43C00">
        <w:rPr>
          <w:color w:val="004274"/>
          <w:sz w:val="24"/>
        </w:rPr>
        <w:fldChar w:fldCharType="separate"/>
      </w:r>
      <w:hyperlink w:anchor="_Toc515525846" w:history="1">
        <w:r w:rsidR="003D5106" w:rsidRPr="00EC24BA">
          <w:rPr>
            <w:rStyle w:val="Hyperlink"/>
            <w:noProof/>
          </w:rPr>
          <w:t>Figure 1: PHN market assessment methodology</w:t>
        </w:r>
        <w:r w:rsidR="003D5106">
          <w:rPr>
            <w:noProof/>
            <w:webHidden/>
          </w:rPr>
          <w:tab/>
        </w:r>
        <w:r w:rsidR="003D5106">
          <w:rPr>
            <w:noProof/>
            <w:webHidden/>
          </w:rPr>
          <w:fldChar w:fldCharType="begin"/>
        </w:r>
        <w:r w:rsidR="003D5106">
          <w:rPr>
            <w:noProof/>
            <w:webHidden/>
          </w:rPr>
          <w:instrText xml:space="preserve"> PAGEREF _Toc515525846 \h </w:instrText>
        </w:r>
        <w:r w:rsidR="003D5106">
          <w:rPr>
            <w:noProof/>
            <w:webHidden/>
          </w:rPr>
        </w:r>
        <w:r w:rsidR="003D5106">
          <w:rPr>
            <w:noProof/>
            <w:webHidden/>
          </w:rPr>
          <w:fldChar w:fldCharType="separate"/>
        </w:r>
        <w:r w:rsidR="00B077F0">
          <w:rPr>
            <w:noProof/>
            <w:webHidden/>
          </w:rPr>
          <w:t>14</w:t>
        </w:r>
        <w:r w:rsidR="003D5106">
          <w:rPr>
            <w:noProof/>
            <w:webHidden/>
          </w:rPr>
          <w:fldChar w:fldCharType="end"/>
        </w:r>
      </w:hyperlink>
    </w:p>
    <w:p w14:paraId="1EE0558F" w14:textId="77777777" w:rsidR="003D5106" w:rsidRDefault="007625F1" w:rsidP="003D5106">
      <w:pPr>
        <w:pStyle w:val="TOC1"/>
      </w:pPr>
      <w:r w:rsidRPr="00A43C00">
        <w:fldChar w:fldCharType="end"/>
      </w:r>
    </w:p>
    <w:p w14:paraId="009A1BCE" w14:textId="0AA56791" w:rsidR="00F01D83" w:rsidRPr="00DB6D7F" w:rsidRDefault="00BC71AB" w:rsidP="00201ACB">
      <w:pPr>
        <w:pStyle w:val="SectionHeading"/>
      </w:pPr>
      <w:bookmarkStart w:id="7" w:name="_Toc515529486"/>
      <w:r w:rsidRPr="00DB6D7F">
        <w:t xml:space="preserve">List of </w:t>
      </w:r>
      <w:r w:rsidR="00710429" w:rsidRPr="00DB6D7F">
        <w:t>t</w:t>
      </w:r>
      <w:r w:rsidRPr="00DB6D7F">
        <w:t>ables</w:t>
      </w:r>
      <w:bookmarkEnd w:id="7"/>
    </w:p>
    <w:p w14:paraId="53361A9E" w14:textId="461E3ACC" w:rsidR="003D5106" w:rsidRDefault="007625F1" w:rsidP="003D5106">
      <w:pPr>
        <w:pStyle w:val="TOC1"/>
        <w:rPr>
          <w:rFonts w:asciiTheme="minorHAnsi" w:eastAsiaTheme="minorEastAsia" w:hAnsiTheme="minorHAnsi" w:cstheme="minorBidi"/>
          <w:noProof/>
          <w:szCs w:val="22"/>
          <w:lang w:val="en-US"/>
        </w:rPr>
      </w:pPr>
      <w:r w:rsidRPr="00CF2ABE">
        <w:fldChar w:fldCharType="begin"/>
      </w:r>
      <w:r w:rsidRPr="00CF2ABE">
        <w:instrText xml:space="preserve"> TOC \h \z \c "Table" </w:instrText>
      </w:r>
      <w:r w:rsidRPr="00CF2ABE">
        <w:fldChar w:fldCharType="separate"/>
      </w:r>
      <w:hyperlink w:anchor="_Toc515525851" w:history="1">
        <w:r w:rsidR="003D5106" w:rsidRPr="000C2972">
          <w:rPr>
            <w:rStyle w:val="Hyperlink"/>
            <w:noProof/>
          </w:rPr>
          <w:t>Table 1: Addressing market failure</w:t>
        </w:r>
        <w:r w:rsidR="003D5106">
          <w:rPr>
            <w:noProof/>
            <w:webHidden/>
          </w:rPr>
          <w:tab/>
        </w:r>
        <w:r w:rsidR="003D5106">
          <w:rPr>
            <w:noProof/>
            <w:webHidden/>
          </w:rPr>
          <w:fldChar w:fldCharType="begin"/>
        </w:r>
        <w:r w:rsidR="003D5106">
          <w:rPr>
            <w:noProof/>
            <w:webHidden/>
          </w:rPr>
          <w:instrText xml:space="preserve"> PAGEREF _Toc515525851 \h </w:instrText>
        </w:r>
        <w:r w:rsidR="003D5106">
          <w:rPr>
            <w:noProof/>
            <w:webHidden/>
          </w:rPr>
        </w:r>
        <w:r w:rsidR="003D5106">
          <w:rPr>
            <w:noProof/>
            <w:webHidden/>
          </w:rPr>
          <w:fldChar w:fldCharType="separate"/>
        </w:r>
        <w:r w:rsidR="00B077F0">
          <w:rPr>
            <w:noProof/>
            <w:webHidden/>
          </w:rPr>
          <w:t>22</w:t>
        </w:r>
        <w:r w:rsidR="003D5106">
          <w:rPr>
            <w:noProof/>
            <w:webHidden/>
          </w:rPr>
          <w:fldChar w:fldCharType="end"/>
        </w:r>
      </w:hyperlink>
    </w:p>
    <w:p w14:paraId="5DA7FA5C" w14:textId="10C2763C" w:rsidR="003D5106" w:rsidRDefault="00541D06" w:rsidP="003D5106">
      <w:pPr>
        <w:pStyle w:val="TOC1"/>
        <w:rPr>
          <w:rFonts w:asciiTheme="minorHAnsi" w:eastAsiaTheme="minorEastAsia" w:hAnsiTheme="minorHAnsi" w:cstheme="minorBidi"/>
          <w:noProof/>
          <w:szCs w:val="22"/>
          <w:lang w:val="en-US"/>
        </w:rPr>
      </w:pPr>
      <w:hyperlink w:anchor="_Toc515525852" w:history="1">
        <w:r w:rsidR="003D5106" w:rsidRPr="000C2972">
          <w:rPr>
            <w:rStyle w:val="Hyperlink"/>
            <w:noProof/>
          </w:rPr>
          <w:t>Table 2: Co-design opportunities within the commissioning framework</w:t>
        </w:r>
        <w:r w:rsidR="003D5106">
          <w:rPr>
            <w:noProof/>
            <w:webHidden/>
          </w:rPr>
          <w:tab/>
        </w:r>
        <w:r w:rsidR="003D5106">
          <w:rPr>
            <w:noProof/>
            <w:webHidden/>
          </w:rPr>
          <w:fldChar w:fldCharType="begin"/>
        </w:r>
        <w:r w:rsidR="003D5106">
          <w:rPr>
            <w:noProof/>
            <w:webHidden/>
          </w:rPr>
          <w:instrText xml:space="preserve"> PAGEREF _Toc515525852 \h </w:instrText>
        </w:r>
        <w:r w:rsidR="003D5106">
          <w:rPr>
            <w:noProof/>
            <w:webHidden/>
          </w:rPr>
        </w:r>
        <w:r w:rsidR="003D5106">
          <w:rPr>
            <w:noProof/>
            <w:webHidden/>
          </w:rPr>
          <w:fldChar w:fldCharType="separate"/>
        </w:r>
        <w:r w:rsidR="00B077F0">
          <w:rPr>
            <w:noProof/>
            <w:webHidden/>
          </w:rPr>
          <w:t>25</w:t>
        </w:r>
        <w:r w:rsidR="003D5106">
          <w:rPr>
            <w:noProof/>
            <w:webHidden/>
          </w:rPr>
          <w:fldChar w:fldCharType="end"/>
        </w:r>
      </w:hyperlink>
    </w:p>
    <w:p w14:paraId="4005DFB1" w14:textId="589E7D34" w:rsidR="002E655B" w:rsidRPr="00E579F8" w:rsidRDefault="007625F1" w:rsidP="003D5106">
      <w:pPr>
        <w:pStyle w:val="TOC1"/>
      </w:pPr>
      <w:r w:rsidRPr="00CF2ABE">
        <w:fldChar w:fldCharType="end"/>
      </w:r>
      <w:r w:rsidR="002E655B" w:rsidRPr="00E579F8">
        <w:br w:type="page"/>
      </w:r>
    </w:p>
    <w:p w14:paraId="3C635940" w14:textId="3742A28F" w:rsidR="00C57C66" w:rsidRPr="002815FE" w:rsidRDefault="002B5A35" w:rsidP="00201ACB">
      <w:pPr>
        <w:pStyle w:val="SectionHeading"/>
      </w:pPr>
      <w:bookmarkStart w:id="8" w:name="_Toc515529487"/>
      <w:r>
        <w:lastRenderedPageBreak/>
        <w:t>A</w:t>
      </w:r>
      <w:r w:rsidRPr="002815FE">
        <w:t>cronyms</w:t>
      </w:r>
      <w:r w:rsidR="00B41EC0" w:rsidRPr="002815FE">
        <w:t xml:space="preserve"> used in this guidance</w:t>
      </w:r>
      <w:bookmarkEnd w:id="8"/>
    </w:p>
    <w:p w14:paraId="4A63BED2" w14:textId="47889479" w:rsidR="00C57C66" w:rsidRPr="00CC2A64" w:rsidRDefault="00C57C66" w:rsidP="0007512C">
      <w:pPr>
        <w:spacing w:after="120"/>
      </w:pPr>
    </w:p>
    <w:p w14:paraId="0040AFBD" w14:textId="3072DA3B" w:rsidR="000747D7" w:rsidRPr="000747D7" w:rsidRDefault="00A15602" w:rsidP="00201ACB">
      <w:pPr>
        <w:ind w:left="1560" w:hanging="1560"/>
      </w:pPr>
      <w:bookmarkStart w:id="9" w:name="_Toc453947341"/>
      <w:r w:rsidRPr="00201ACB">
        <w:rPr>
          <w:b/>
          <w:color w:val="1F497D" w:themeColor="text2"/>
        </w:rPr>
        <w:t>ACCHS</w:t>
      </w:r>
      <w:r w:rsidR="000747D7" w:rsidRPr="000747D7">
        <w:tab/>
        <w:t xml:space="preserve">Aboriginal Community Controlled Health </w:t>
      </w:r>
      <w:r>
        <w:t>Services</w:t>
      </w:r>
    </w:p>
    <w:p w14:paraId="7307766A" w14:textId="091A86E3" w:rsidR="00837225" w:rsidRPr="000747D7" w:rsidRDefault="00837225" w:rsidP="00201ACB">
      <w:pPr>
        <w:ind w:left="1560" w:hanging="1560"/>
      </w:pPr>
      <w:r w:rsidRPr="00201ACB">
        <w:rPr>
          <w:b/>
          <w:color w:val="1F497D" w:themeColor="text2"/>
        </w:rPr>
        <w:t>GIS</w:t>
      </w:r>
      <w:r>
        <w:tab/>
        <w:t>Geographical Information Systems</w:t>
      </w:r>
    </w:p>
    <w:p w14:paraId="166B5F68" w14:textId="34DE7708" w:rsidR="000747D7" w:rsidRPr="000747D7" w:rsidRDefault="000747D7" w:rsidP="00201ACB">
      <w:pPr>
        <w:ind w:left="1560" w:hanging="1560"/>
      </w:pPr>
      <w:r w:rsidRPr="00201ACB">
        <w:rPr>
          <w:b/>
          <w:color w:val="1F497D" w:themeColor="text2"/>
        </w:rPr>
        <w:t>KPIs</w:t>
      </w:r>
      <w:r w:rsidRPr="000747D7">
        <w:tab/>
        <w:t>Key Performance Indicators</w:t>
      </w:r>
    </w:p>
    <w:p w14:paraId="17EAF842" w14:textId="320572AE" w:rsidR="000A5EC9" w:rsidRDefault="000A5EC9" w:rsidP="00201ACB">
      <w:pPr>
        <w:ind w:left="1560" w:hanging="1560"/>
      </w:pPr>
      <w:r w:rsidRPr="00710429">
        <w:rPr>
          <w:b/>
          <w:color w:val="1F497D" w:themeColor="text2"/>
        </w:rPr>
        <w:t>LHN(s)</w:t>
      </w:r>
      <w:r w:rsidRPr="000747D7">
        <w:tab/>
        <w:t>Local Hospital Network</w:t>
      </w:r>
      <w:r>
        <w:t>(</w:t>
      </w:r>
      <w:r w:rsidRPr="000747D7">
        <w:t>s</w:t>
      </w:r>
      <w:r>
        <w:t>) (or equivalent)</w:t>
      </w:r>
    </w:p>
    <w:p w14:paraId="2042EB35" w14:textId="74430753" w:rsidR="00736B90" w:rsidRPr="000747D7" w:rsidRDefault="00736B90" w:rsidP="00201ACB">
      <w:pPr>
        <w:ind w:left="1560" w:hanging="1560"/>
      </w:pPr>
      <w:r w:rsidRPr="00201ACB">
        <w:rPr>
          <w:b/>
          <w:color w:val="1F497D" w:themeColor="text2"/>
        </w:rPr>
        <w:t>PHN</w:t>
      </w:r>
      <w:r w:rsidR="003C1F1B" w:rsidRPr="00201ACB">
        <w:rPr>
          <w:b/>
          <w:color w:val="1F497D" w:themeColor="text2"/>
        </w:rPr>
        <w:t>(</w:t>
      </w:r>
      <w:r w:rsidRPr="00201ACB">
        <w:rPr>
          <w:b/>
          <w:color w:val="1F497D" w:themeColor="text2"/>
        </w:rPr>
        <w:t>s</w:t>
      </w:r>
      <w:r w:rsidR="003C1F1B" w:rsidRPr="00201ACB">
        <w:rPr>
          <w:b/>
          <w:color w:val="1F497D" w:themeColor="text2"/>
        </w:rPr>
        <w:t>)</w:t>
      </w:r>
      <w:r>
        <w:tab/>
        <w:t>Primary Health Network</w:t>
      </w:r>
      <w:r w:rsidR="003C1F1B">
        <w:t>(</w:t>
      </w:r>
      <w:r>
        <w:t>s</w:t>
      </w:r>
      <w:r w:rsidR="003C1F1B">
        <w:t>)</w:t>
      </w:r>
    </w:p>
    <w:p w14:paraId="1AF68A35" w14:textId="6BE5C428" w:rsidR="000747D7" w:rsidRDefault="000747D7" w:rsidP="00201ACB">
      <w:pPr>
        <w:ind w:left="1560" w:hanging="1560"/>
      </w:pPr>
    </w:p>
    <w:p w14:paraId="65672955" w14:textId="41A97DD1" w:rsidR="00564821" w:rsidRDefault="00564821" w:rsidP="00201ACB">
      <w:r>
        <w:br w:type="page"/>
      </w:r>
    </w:p>
    <w:p w14:paraId="7C252BDE" w14:textId="74BFAE48" w:rsidR="00564821" w:rsidRPr="00564821" w:rsidRDefault="00564821" w:rsidP="00201ACB">
      <w:pPr>
        <w:pStyle w:val="SectionHeading"/>
      </w:pPr>
      <w:bookmarkStart w:id="10" w:name="_Toc515529488"/>
      <w:r w:rsidRPr="00564821">
        <w:lastRenderedPageBreak/>
        <w:t xml:space="preserve">Definitions </w:t>
      </w:r>
      <w:r w:rsidR="003C1F1B">
        <w:t xml:space="preserve">of some key terms </w:t>
      </w:r>
      <w:r w:rsidRPr="00564821">
        <w:t>used in this guidance</w:t>
      </w:r>
      <w:bookmarkEnd w:id="10"/>
    </w:p>
    <w:p w14:paraId="585DEFCD" w14:textId="64D1BF1D" w:rsidR="00564821" w:rsidRPr="00564821" w:rsidRDefault="00564821" w:rsidP="003D5106">
      <w:pPr>
        <w:pStyle w:val="MajorHeading"/>
      </w:pPr>
      <w:r w:rsidRPr="00564821">
        <w:t>Cultural awareness</w:t>
      </w:r>
      <w:r w:rsidRPr="003D5106">
        <w:rPr>
          <w:b w:val="0"/>
        </w:rPr>
        <w:t xml:space="preserve"> </w:t>
      </w:r>
      <w:r w:rsidR="006A4537" w:rsidRPr="003D5106">
        <w:rPr>
          <w:b w:val="0"/>
        </w:rPr>
        <w:t>(in relation to Aboriginal and Torres Strait Islander cultures)</w:t>
      </w:r>
    </w:p>
    <w:p w14:paraId="26C58169" w14:textId="77777777" w:rsidR="00564821" w:rsidRPr="00564821" w:rsidRDefault="00564821" w:rsidP="00201ACB">
      <w:pPr>
        <w:pStyle w:val="Paragraphtext"/>
      </w:pPr>
      <w:proofErr w:type="gramStart"/>
      <w:r w:rsidRPr="00564821">
        <w:t>Demonstrates a basic understanding of Aboriginal and Torres Strait Islander histories, peoples and cultures.</w:t>
      </w:r>
      <w:proofErr w:type="gramEnd"/>
      <w:r w:rsidRPr="00564821">
        <w:t xml:space="preserve"> There is no common accepted practice, and the actions taken depend upon the individual and their knowledge of Aboriginal and Torres Strait Islander culture. </w:t>
      </w:r>
      <w:proofErr w:type="gramStart"/>
      <w:r w:rsidRPr="00564821">
        <w:t>Generally accepted as a necessary first step and a foundation for further development, but not sufficient for sustained behaviour change.</w:t>
      </w:r>
      <w:proofErr w:type="gramEnd"/>
      <w:r w:rsidRPr="00CC2A64">
        <w:rPr>
          <w:rStyle w:val="FootnoteReference"/>
        </w:rPr>
        <w:footnoteReference w:id="1"/>
      </w:r>
    </w:p>
    <w:p w14:paraId="327245B0" w14:textId="3E0BC3E9" w:rsidR="00564821" w:rsidRPr="00564821" w:rsidRDefault="0021444B" w:rsidP="003D5106">
      <w:pPr>
        <w:pStyle w:val="MajorHeading"/>
      </w:pPr>
      <w:r>
        <w:t>Cultural competency</w:t>
      </w:r>
    </w:p>
    <w:p w14:paraId="6EC3FB89" w14:textId="77777777" w:rsidR="00ED719C" w:rsidRDefault="00ED719C" w:rsidP="00201ACB">
      <w:pPr>
        <w:pStyle w:val="Paragraphtext"/>
      </w:pPr>
      <w:r>
        <w:t>Cultural competency is a</w:t>
      </w:r>
      <w:r w:rsidR="00D6060C">
        <w:t xml:space="preserve"> key strategy for reducing inequalities in health care access and improving the quality and effectiveness of care for Indigenous people. </w:t>
      </w:r>
    </w:p>
    <w:p w14:paraId="64E83233" w14:textId="6DFC0A85" w:rsidR="00564821" w:rsidRPr="00564821" w:rsidRDefault="00D6060C" w:rsidP="00201ACB">
      <w:pPr>
        <w:pStyle w:val="Paragraphtext"/>
      </w:pPr>
      <w:r>
        <w:t>Cultural competence is more than cultural awareness</w:t>
      </w:r>
      <w:r w:rsidR="00ED719C">
        <w:t>;</w:t>
      </w:r>
      <w:r w:rsidR="00E048A8">
        <w:t xml:space="preserve"> it is</w:t>
      </w:r>
      <w:r w:rsidR="00564821" w:rsidRPr="00564821">
        <w:t xml:space="preserve"> </w:t>
      </w:r>
      <w:r>
        <w:t xml:space="preserve">the </w:t>
      </w:r>
      <w:r w:rsidR="00564821" w:rsidRPr="00564821">
        <w:t xml:space="preserve">set of behaviours, attitudes and policies that come together </w:t>
      </w:r>
      <w:r>
        <w:t xml:space="preserve">to enable </w:t>
      </w:r>
      <w:r w:rsidR="00564821" w:rsidRPr="00564821">
        <w:t xml:space="preserve">a system, agency or professionals to </w:t>
      </w:r>
      <w:r>
        <w:t xml:space="preserve">work effectively in </w:t>
      </w:r>
      <w:r w:rsidR="00564821" w:rsidRPr="00564821">
        <w:t>cross</w:t>
      </w:r>
      <w:r w:rsidR="00EE6CA9">
        <w:noBreakHyphen/>
      </w:r>
      <w:r w:rsidR="00564821" w:rsidRPr="00564821">
        <w:t>cultural situations.</w:t>
      </w:r>
      <w:r w:rsidR="00564821" w:rsidRPr="00CC2A64">
        <w:rPr>
          <w:rStyle w:val="FootnoteReference"/>
        </w:rPr>
        <w:footnoteReference w:id="2"/>
      </w:r>
    </w:p>
    <w:p w14:paraId="761FFA47" w14:textId="737A5019" w:rsidR="00564821" w:rsidRPr="00564821" w:rsidRDefault="0021444B" w:rsidP="003D5106">
      <w:pPr>
        <w:pStyle w:val="MajorHeading"/>
      </w:pPr>
      <w:r>
        <w:t>Cultural safety</w:t>
      </w:r>
    </w:p>
    <w:p w14:paraId="6974C013" w14:textId="6BFDA614" w:rsidR="00564821" w:rsidRPr="00564821" w:rsidRDefault="00564821" w:rsidP="00201ACB">
      <w:pPr>
        <w:pStyle w:val="Paragraphtext"/>
      </w:pPr>
      <w:proofErr w:type="gramStart"/>
      <w:r w:rsidRPr="00564821">
        <w:t>Identifies that health consumers are safest when health professionals have considered power relations, cultural differences and patients’ rights.</w:t>
      </w:r>
      <w:proofErr w:type="gramEnd"/>
      <w:r w:rsidRPr="00564821">
        <w:t xml:space="preserve"> Part of this process requires health professionals to examine their own realities, beliefs and attitudes.</w:t>
      </w:r>
      <w:r w:rsidR="00F23FF8">
        <w:t xml:space="preserve"> </w:t>
      </w:r>
      <w:r w:rsidRPr="00564821">
        <w:t>Cultural safety is not defined by the health professional, but is defined by the health consumer’s experience</w:t>
      </w:r>
      <w:r w:rsidR="00F23FF8">
        <w:t xml:space="preserve"> - </w:t>
      </w:r>
      <w:r w:rsidRPr="00564821">
        <w:t>the individual’s experience of care they are given, ability to access services and to raise concerns.</w:t>
      </w:r>
      <w:r w:rsidR="00F23FF8">
        <w:t xml:space="preserve"> </w:t>
      </w:r>
      <w:r w:rsidRPr="00564821">
        <w:t>The essential features of cultural safety are:</w:t>
      </w:r>
    </w:p>
    <w:p w14:paraId="3EF97930" w14:textId="2ACB02FF" w:rsidR="00564821" w:rsidRPr="00564821" w:rsidRDefault="00564821" w:rsidP="003D5106">
      <w:pPr>
        <w:pStyle w:val="Hangingindent1"/>
      </w:pPr>
      <w:r w:rsidRPr="00564821">
        <w:t xml:space="preserve">a) </w:t>
      </w:r>
      <w:r w:rsidR="003D5106">
        <w:tab/>
      </w:r>
      <w:r w:rsidRPr="00564821">
        <w:t>An understanding of one’s culture</w:t>
      </w:r>
    </w:p>
    <w:p w14:paraId="03AAE994" w14:textId="451C6783" w:rsidR="00564821" w:rsidRPr="00564821" w:rsidRDefault="00564821" w:rsidP="003D5106">
      <w:pPr>
        <w:pStyle w:val="Hangingindent1"/>
      </w:pPr>
      <w:r w:rsidRPr="00564821">
        <w:t xml:space="preserve">b) </w:t>
      </w:r>
      <w:r w:rsidR="003D5106">
        <w:tab/>
      </w:r>
      <w:r w:rsidRPr="00564821">
        <w:t>An acknowledgment of difference, and a requirement that caregivers are actively mindful and respectful of difference(s)</w:t>
      </w:r>
    </w:p>
    <w:p w14:paraId="4ECF7CA6" w14:textId="58C27773" w:rsidR="00564821" w:rsidRPr="00564821" w:rsidRDefault="00564821" w:rsidP="003D5106">
      <w:pPr>
        <w:pStyle w:val="Hangingindent1"/>
      </w:pPr>
      <w:r w:rsidRPr="00564821">
        <w:t xml:space="preserve">c) </w:t>
      </w:r>
      <w:r w:rsidR="003D5106">
        <w:tab/>
      </w:r>
      <w:r w:rsidRPr="00564821">
        <w:t>It is informed by the theory of power relations; any attempt to depoliticise cultural safety is to miss the point</w:t>
      </w:r>
    </w:p>
    <w:p w14:paraId="08EDDAC1" w14:textId="7C6ED270" w:rsidR="00564821" w:rsidRPr="00564821" w:rsidRDefault="00564821" w:rsidP="003D5106">
      <w:pPr>
        <w:pStyle w:val="Hangingindent1"/>
      </w:pPr>
      <w:r w:rsidRPr="00564821">
        <w:t xml:space="preserve">d) </w:t>
      </w:r>
      <w:r w:rsidR="003D5106">
        <w:tab/>
      </w:r>
      <w:r w:rsidRPr="00564821">
        <w:t>An appreciation of the historical context of colonisation, the practices of racism at individual and institutional levels, and their impact on First Nations people’s living and wellbeing, both in the present and past</w:t>
      </w:r>
    </w:p>
    <w:p w14:paraId="680D30DB" w14:textId="7F5A1447" w:rsidR="00564821" w:rsidRPr="00564821" w:rsidRDefault="00564821" w:rsidP="003D5106">
      <w:pPr>
        <w:pStyle w:val="Hangingindent1"/>
        <w:sectPr w:rsidR="00564821" w:rsidRPr="00564821" w:rsidSect="00201ACB">
          <w:headerReference w:type="default" r:id="rId15"/>
          <w:endnotePr>
            <w:numFmt w:val="decimal"/>
          </w:endnotePr>
          <w:pgSz w:w="11906" w:h="16838"/>
          <w:pgMar w:top="1418" w:right="1077" w:bottom="1418" w:left="1077" w:header="709" w:footer="709" w:gutter="0"/>
          <w:pgNumType w:start="1"/>
          <w:cols w:space="708"/>
          <w:docGrid w:linePitch="360"/>
        </w:sectPr>
      </w:pPr>
      <w:r w:rsidRPr="00564821">
        <w:t xml:space="preserve">e) </w:t>
      </w:r>
      <w:r w:rsidR="003D5106">
        <w:tab/>
      </w:r>
      <w:r w:rsidRPr="00564821">
        <w:t>Its presence or absence is determined by the experience of the recipient of care and not defined by the caregiver.</w:t>
      </w:r>
      <w:r w:rsidRPr="00CC2A64">
        <w:rPr>
          <w:rStyle w:val="FootnoteReference"/>
        </w:rPr>
        <w:footnoteReference w:id="3"/>
      </w:r>
      <w:r w:rsidRPr="00564821">
        <w:t xml:space="preserve"> </w:t>
      </w:r>
    </w:p>
    <w:p w14:paraId="2BF7DD44" w14:textId="24C63DF8" w:rsidR="0007512C" w:rsidRPr="00DB6D7F" w:rsidRDefault="006847EC" w:rsidP="00DB6D7F">
      <w:pPr>
        <w:pStyle w:val="Heading1"/>
      </w:pPr>
      <w:bookmarkStart w:id="11" w:name="_Toc515529489"/>
      <w:bookmarkEnd w:id="9"/>
      <w:r w:rsidRPr="00DB6D7F">
        <w:lastRenderedPageBreak/>
        <w:t>I</w:t>
      </w:r>
      <w:r w:rsidR="0023645F" w:rsidRPr="00DB6D7F">
        <w:t>ntroduction</w:t>
      </w:r>
      <w:bookmarkEnd w:id="11"/>
    </w:p>
    <w:p w14:paraId="5ADAC6BF" w14:textId="77777777" w:rsidR="007226C2" w:rsidRPr="00CD70C2" w:rsidRDefault="007226C2" w:rsidP="007226C2">
      <w:pPr>
        <w:pStyle w:val="Heading2"/>
      </w:pPr>
      <w:bookmarkStart w:id="12" w:name="_Toc515529490"/>
      <w:r w:rsidRPr="00CD70C2">
        <w:t>Purpose</w:t>
      </w:r>
      <w:bookmarkEnd w:id="12"/>
    </w:p>
    <w:p w14:paraId="16076162" w14:textId="14103BBC" w:rsidR="007226C2" w:rsidRDefault="007226C2" w:rsidP="00CC2A64">
      <w:pPr>
        <w:pStyle w:val="Paragraphtext"/>
      </w:pPr>
      <w:r w:rsidRPr="00F0333D">
        <w:t xml:space="preserve">This </w:t>
      </w:r>
      <w:r>
        <w:t>document</w:t>
      </w:r>
      <w:r w:rsidRPr="00F0333D">
        <w:t xml:space="preserve"> aims to provide </w:t>
      </w:r>
      <w:r>
        <w:t>guidance</w:t>
      </w:r>
      <w:r w:rsidRPr="00F0333D">
        <w:t xml:space="preserve"> </w:t>
      </w:r>
      <w:r>
        <w:t>for</w:t>
      </w:r>
      <w:r w:rsidRPr="00F0333D">
        <w:t xml:space="preserve"> PHNs </w:t>
      </w:r>
      <w:r w:rsidR="001E29E7">
        <w:t xml:space="preserve">on </w:t>
      </w:r>
      <w:r w:rsidR="00F23FF8">
        <w:t>the market making and development aspect of the</w:t>
      </w:r>
      <w:r w:rsidR="0039488F">
        <w:t>ir</w:t>
      </w:r>
      <w:r w:rsidR="00F23FF8">
        <w:t xml:space="preserve"> commissioning role. </w:t>
      </w:r>
      <w:r w:rsidR="0039488F">
        <w:t xml:space="preserve">Shaping the structure of supply is a phase of the PHN commissioning framework. Therefore, this guidance </w:t>
      </w:r>
      <w:r w:rsidR="00FD07D9">
        <w:t xml:space="preserve">sets outs a number of </w:t>
      </w:r>
      <w:r>
        <w:t xml:space="preserve">considerations </w:t>
      </w:r>
      <w:r w:rsidR="00FD07D9">
        <w:t xml:space="preserve">relating to the structure of markets and how they can be shaped to best meet </w:t>
      </w:r>
      <w:r w:rsidR="0021444B">
        <w:t>the overall objectives of PHNs.</w:t>
      </w:r>
    </w:p>
    <w:p w14:paraId="342FB7D5" w14:textId="4DD06387" w:rsidR="007226C2" w:rsidRDefault="007226C2" w:rsidP="00CC2A64">
      <w:pPr>
        <w:pStyle w:val="Paragraphtext"/>
      </w:pPr>
      <w:r>
        <w:t>The guidance is focused on two key principles:</w:t>
      </w:r>
    </w:p>
    <w:p w14:paraId="25AC27F1" w14:textId="638BCA30" w:rsidR="007226C2" w:rsidRDefault="000A5EC9" w:rsidP="00CC2A64">
      <w:pPr>
        <w:pStyle w:val="ListBullet"/>
      </w:pPr>
      <w:r>
        <w:t>a</w:t>
      </w:r>
      <w:r w:rsidR="007226C2">
        <w:t>dditionality – that it provides more guidance than is currently available</w:t>
      </w:r>
      <w:r w:rsidR="00CF2ABE">
        <w:t xml:space="preserve"> to PHNs</w:t>
      </w:r>
      <w:r>
        <w:t>; and</w:t>
      </w:r>
    </w:p>
    <w:p w14:paraId="58851FEA" w14:textId="04D88017" w:rsidR="007226C2" w:rsidRDefault="000A5EC9" w:rsidP="00CC2A64">
      <w:pPr>
        <w:pStyle w:val="ListBullet"/>
      </w:pPr>
      <w:proofErr w:type="gramStart"/>
      <w:r>
        <w:t>p</w:t>
      </w:r>
      <w:r w:rsidR="007226C2">
        <w:t>racticality</w:t>
      </w:r>
      <w:proofErr w:type="gramEnd"/>
      <w:r w:rsidR="007226C2">
        <w:t xml:space="preserve"> – that it is intended to help PHNs perform this aspect of their commissioning role rather than simply provide theoretical advice and guidance</w:t>
      </w:r>
      <w:r w:rsidR="00F23FF8">
        <w:t>.</w:t>
      </w:r>
    </w:p>
    <w:p w14:paraId="25878A74" w14:textId="7027486B" w:rsidR="005353B0" w:rsidRDefault="005353B0" w:rsidP="00CC2A64">
      <w:pPr>
        <w:pStyle w:val="Paragraphtext"/>
      </w:pPr>
      <w:r>
        <w:t>T</w:t>
      </w:r>
      <w:r w:rsidRPr="002E1CE1">
        <w:t xml:space="preserve">his document provides guidance that PHNs may have </w:t>
      </w:r>
      <w:proofErr w:type="gramStart"/>
      <w:r w:rsidRPr="002E1CE1">
        <w:t>regard</w:t>
      </w:r>
      <w:proofErr w:type="gramEnd"/>
      <w:r w:rsidRPr="002E1CE1">
        <w:t xml:space="preserve"> for in the context of other guidance and requirements, such as the PHN Grant Programme Guidelines</w:t>
      </w:r>
      <w:r w:rsidRPr="00CC2A64">
        <w:rPr>
          <w:rStyle w:val="FootnoteReference"/>
        </w:rPr>
        <w:footnoteReference w:id="4"/>
      </w:r>
      <w:r w:rsidRPr="002E1CE1">
        <w:t xml:space="preserve">. It </w:t>
      </w:r>
      <w:r w:rsidR="00E048A8">
        <w:t>is</w:t>
      </w:r>
      <w:r w:rsidRPr="002E1CE1">
        <w:t xml:space="preserve"> </w:t>
      </w:r>
      <w:r w:rsidR="0039488F">
        <w:t xml:space="preserve">not </w:t>
      </w:r>
      <w:r w:rsidRPr="002E1CE1">
        <w:t>intended to provide comprehensive instructions or requirements. PHNs can come to their own views as to how the</w:t>
      </w:r>
      <w:r w:rsidR="002C6293">
        <w:t>y apply</w:t>
      </w:r>
      <w:r w:rsidRPr="002E1CE1">
        <w:t xml:space="preserve"> </w:t>
      </w:r>
      <w:r w:rsidR="002C6293">
        <w:t xml:space="preserve">this </w:t>
      </w:r>
      <w:r w:rsidRPr="002E1CE1">
        <w:t>guidance.</w:t>
      </w:r>
    </w:p>
    <w:p w14:paraId="31DE2627" w14:textId="3B2519BE" w:rsidR="00CE641B" w:rsidRPr="00CD70C2" w:rsidRDefault="00CE641B" w:rsidP="003E2CB3">
      <w:pPr>
        <w:pStyle w:val="Heading2"/>
      </w:pPr>
      <w:bookmarkStart w:id="13" w:name="_Toc515529491"/>
      <w:r w:rsidRPr="00CD70C2">
        <w:t>Context</w:t>
      </w:r>
      <w:bookmarkEnd w:id="13"/>
    </w:p>
    <w:p w14:paraId="3FB38BB7" w14:textId="0211FD1C" w:rsidR="00DE0477" w:rsidRPr="00EA526A" w:rsidRDefault="00CE641B" w:rsidP="00CC2A64">
      <w:pPr>
        <w:pStyle w:val="Paragraphtext"/>
      </w:pPr>
      <w:r w:rsidRPr="009014A3">
        <w:t xml:space="preserve">PHNs are commissioning, not service delivery, </w:t>
      </w:r>
      <w:r w:rsidRPr="00EA526A">
        <w:t xml:space="preserve">organisations. </w:t>
      </w:r>
      <w:r w:rsidR="00B12D3A" w:rsidRPr="00EA526A">
        <w:t>To successfully secure the primary health care services and outcomes that PHNs identify as priorities based on their needs assessments and planning, they need a market that can understand, interpret, respond and deliver effectively. Therefore, i</w:t>
      </w:r>
      <w:r w:rsidR="00DE0477" w:rsidRPr="00EA526A">
        <w:t>t is critical that PHNs are able to understand, influence, support, develop and work collaboratively with markets.</w:t>
      </w:r>
    </w:p>
    <w:p w14:paraId="735BD2ED" w14:textId="57CA9BD6" w:rsidR="00D16517" w:rsidRPr="00EA526A" w:rsidRDefault="00D16517" w:rsidP="00CC2A64">
      <w:pPr>
        <w:pStyle w:val="Paragraphtext"/>
      </w:pPr>
      <w:r w:rsidRPr="00EA526A">
        <w:t>It is also important to acknowledge that PHNs are operating as a part of the broader health system. It can be argued that governments are one of the most important agents in shaping the structure of supply, and that PHNs are largely responsible for investing government funding for primary health care services and system improvement. Some would argue that a PHN, as a regional level organisation with a more limited budget, has less scope to shape supply than other funders and commissioners</w:t>
      </w:r>
      <w:r w:rsidR="00DE4CA1">
        <w:t xml:space="preserve"> such as </w:t>
      </w:r>
      <w:r w:rsidR="00695FE9">
        <w:t>f</w:t>
      </w:r>
      <w:r w:rsidR="00DE4CA1">
        <w:t xml:space="preserve">ederal or </w:t>
      </w:r>
      <w:r w:rsidR="00695FE9">
        <w:t>s</w:t>
      </w:r>
      <w:r w:rsidR="00DE4CA1">
        <w:t>tate governments</w:t>
      </w:r>
      <w:r w:rsidRPr="00EA526A">
        <w:t>.</w:t>
      </w:r>
      <w:r w:rsidR="00C3483B" w:rsidRPr="00EA526A">
        <w:t xml:space="preserve"> </w:t>
      </w:r>
      <w:r w:rsidR="00107F7F">
        <w:t>However, there is a</w:t>
      </w:r>
      <w:r w:rsidRPr="00EA526A">
        <w:t xml:space="preserve"> body of Australian </w:t>
      </w:r>
      <w:r w:rsidR="00107F7F">
        <w:t>literature</w:t>
      </w:r>
      <w:r w:rsidRPr="00EA526A">
        <w:t>, which suggests that primary health care commissioners (now PHNs) – individually and collectively – have a real capacity to play a role in systemic improvements to primary health care.</w:t>
      </w:r>
      <w:r w:rsidR="00DB6D7F">
        <w:t xml:space="preserve"> </w:t>
      </w:r>
      <w:r w:rsidRPr="00EA526A">
        <w:t>This was a key finding of the Horvath Review of Medicare Locals and lies at the heart of the PHN</w:t>
      </w:r>
      <w:r w:rsidR="00EB563D">
        <w:t> </w:t>
      </w:r>
      <w:r w:rsidRPr="00EA526A">
        <w:t>Program.</w:t>
      </w:r>
      <w:r w:rsidRPr="00EA526A">
        <w:rPr>
          <w:vertAlign w:val="superscript"/>
        </w:rPr>
        <w:footnoteReference w:id="5"/>
      </w:r>
    </w:p>
    <w:p w14:paraId="770BC6EB" w14:textId="77777777" w:rsidR="002C00CF" w:rsidRDefault="002C00CF">
      <w:pPr>
        <w:rPr>
          <w:color w:val="000000" w:themeColor="text1"/>
        </w:rPr>
      </w:pPr>
      <w:r>
        <w:br w:type="page"/>
      </w:r>
    </w:p>
    <w:p w14:paraId="24B7BE0B" w14:textId="3DD0319A" w:rsidR="00D16517" w:rsidRPr="00EA526A" w:rsidRDefault="00D16517" w:rsidP="00CC2A64">
      <w:pPr>
        <w:pStyle w:val="Paragraphtext"/>
      </w:pPr>
      <w:r w:rsidRPr="00EA526A">
        <w:lastRenderedPageBreak/>
        <w:t>PHNs’ role as part of the broader health system has a key influence on how PHNs work with other parts of the system</w:t>
      </w:r>
      <w:r w:rsidR="00E048A8" w:rsidRPr="00EA526A">
        <w:t>,</w:t>
      </w:r>
      <w:r w:rsidRPr="00EA526A">
        <w:t xml:space="preserve"> how they commission primary health care services and how they move towards </w:t>
      </w:r>
      <w:r w:rsidR="002C6293" w:rsidRPr="00EA526A">
        <w:t xml:space="preserve">incorporating </w:t>
      </w:r>
      <w:r w:rsidRPr="00EA526A">
        <w:t>commissioning on a</w:t>
      </w:r>
      <w:r w:rsidR="002C6293" w:rsidRPr="00EA526A">
        <w:t xml:space="preserve">n </w:t>
      </w:r>
      <w:r w:rsidRPr="00EA526A">
        <w:t>outcomes basis. The services and outcomes that PHNs commission will be influenced by the services that are funded and commissioned by other parts of the system (as well as other sectors that more directly influence social determinants of health, such as housing, education and human services) at the Commonwealth and state and territory government levels, and at the private sector provider level.</w:t>
      </w:r>
    </w:p>
    <w:p w14:paraId="3263F088" w14:textId="61D7EE9D" w:rsidR="00D16517" w:rsidRDefault="00D16517" w:rsidP="00CC2A64">
      <w:pPr>
        <w:pStyle w:val="Paragraphtext"/>
      </w:pPr>
      <w:r w:rsidRPr="00EA526A">
        <w:t>Therefore, it is also important to acknowledge that PHNs are not the sole, and sometimes not the most important, source of support in seeking to develop health service provider markets.</w:t>
      </w:r>
    </w:p>
    <w:p w14:paraId="47449EAC" w14:textId="33E9F4C6" w:rsidR="0009071E" w:rsidRDefault="00BF679F" w:rsidP="00CC2A64">
      <w:pPr>
        <w:pStyle w:val="Paragraphtext"/>
      </w:pPr>
      <w:r w:rsidRPr="00C441D0">
        <w:t xml:space="preserve">The objectives of the PHN Program – increasing the efficiency and effectiveness of medical services for patients, particularly those at risk of poor health outcomes, and improving coordination of care to ensure that patients receive the right care, in the right place, at the right time – imply a role in shaping the </w:t>
      </w:r>
      <w:r w:rsidRPr="00C441D0">
        <w:rPr>
          <w:i/>
          <w:u w:val="single"/>
        </w:rPr>
        <w:t>structure</w:t>
      </w:r>
      <w:r w:rsidRPr="00C441D0">
        <w:t xml:space="preserve"> as well as the components of supply</w:t>
      </w:r>
      <w:r>
        <w:t>.</w:t>
      </w:r>
    </w:p>
    <w:p w14:paraId="204B4FEB" w14:textId="4CF0AD1F" w:rsidR="00746422" w:rsidRPr="009014A3" w:rsidRDefault="00DE0477" w:rsidP="00CC2A64">
      <w:pPr>
        <w:pStyle w:val="Paragraphtext"/>
      </w:pPr>
      <w:r>
        <w:t xml:space="preserve">This requires PHNs to understand </w:t>
      </w:r>
      <w:r w:rsidR="002A27FB">
        <w:t xml:space="preserve">the structure of </w:t>
      </w:r>
      <w:r w:rsidR="00A809E5">
        <w:t xml:space="preserve">the </w:t>
      </w:r>
      <w:r>
        <w:t>market</w:t>
      </w:r>
      <w:r w:rsidR="00A809E5">
        <w:t xml:space="preserve"> in their regions, where the market</w:t>
      </w:r>
      <w:r w:rsidR="0009071E">
        <w:t xml:space="preserve"> may require development</w:t>
      </w:r>
      <w:r w:rsidR="00A809E5">
        <w:t>,</w:t>
      </w:r>
      <w:r>
        <w:t xml:space="preserve"> and </w:t>
      </w:r>
      <w:r w:rsidR="00037183">
        <w:t xml:space="preserve">the </w:t>
      </w:r>
      <w:r>
        <w:t xml:space="preserve">root causes of </w:t>
      </w:r>
      <w:r w:rsidR="0009071E">
        <w:t>gaps or deficiencies</w:t>
      </w:r>
      <w:r w:rsidR="00037183">
        <w:t>. It also requires PHNs to develop</w:t>
      </w:r>
      <w:r>
        <w:t xml:space="preserve"> an awareness of the tools that </w:t>
      </w:r>
      <w:r w:rsidR="00037183">
        <w:t xml:space="preserve">they can use to improve markets and to put </w:t>
      </w:r>
      <w:r w:rsidR="00A809E5">
        <w:t xml:space="preserve">these levers </w:t>
      </w:r>
      <w:r w:rsidR="00037183">
        <w:t xml:space="preserve">into practice. </w:t>
      </w:r>
      <w:r w:rsidR="00746422">
        <w:t xml:space="preserve">PHNs will also need to think differently about how they interact with the market, building on previous methods and approaches. Likewise, providers will also need to evolve their approaches to working with PHNs, operating more collaboratively and </w:t>
      </w:r>
      <w:r w:rsidR="001C35CB">
        <w:t>in a more flexible way</w:t>
      </w:r>
      <w:r w:rsidR="003A335F">
        <w:t>.</w:t>
      </w:r>
    </w:p>
    <w:p w14:paraId="239CC9FA" w14:textId="50FD3032" w:rsidR="007226C2" w:rsidRPr="009014A3" w:rsidRDefault="007226C2" w:rsidP="009014A3">
      <w:pPr>
        <w:pStyle w:val="Heading2"/>
      </w:pPr>
      <w:bookmarkStart w:id="14" w:name="_Toc515529492"/>
      <w:r w:rsidRPr="009014A3">
        <w:t>Key messages</w:t>
      </w:r>
      <w:bookmarkEnd w:id="14"/>
    </w:p>
    <w:p w14:paraId="64BE4460" w14:textId="6FDB89B9" w:rsidR="00573936" w:rsidRPr="00F0333D" w:rsidRDefault="00CE641B" w:rsidP="00CC2A64">
      <w:pPr>
        <w:pStyle w:val="Paragraphtext"/>
      </w:pPr>
      <w:r>
        <w:t>Key messages from this guidance include</w:t>
      </w:r>
      <w:r w:rsidR="00573936" w:rsidRPr="00F0333D">
        <w:t>:</w:t>
      </w:r>
      <w:r w:rsidR="00137B76">
        <w:t xml:space="preserve"> </w:t>
      </w:r>
    </w:p>
    <w:p w14:paraId="071FB1F8" w14:textId="0BA04D8F" w:rsidR="00137B76" w:rsidRPr="00137B76" w:rsidRDefault="001348B2" w:rsidP="003D5106">
      <w:pPr>
        <w:pStyle w:val="ListBullet"/>
      </w:pPr>
      <w:r>
        <w:t>As part of</w:t>
      </w:r>
      <w:r w:rsidR="00746422">
        <w:t xml:space="preserve"> their role as commissioners</w:t>
      </w:r>
      <w:r w:rsidR="00137B76" w:rsidRPr="00137B76">
        <w:t>, PHNs should work</w:t>
      </w:r>
      <w:r w:rsidR="00B01B78">
        <w:t xml:space="preserve"> collaboratively</w:t>
      </w:r>
      <w:r w:rsidR="00137B76" w:rsidRPr="00137B76">
        <w:t xml:space="preserve"> </w:t>
      </w:r>
      <w:r w:rsidR="001E624B">
        <w:t xml:space="preserve">in seeking to </w:t>
      </w:r>
      <w:r w:rsidR="00137B76" w:rsidRPr="00137B76">
        <w:t xml:space="preserve">create </w:t>
      </w:r>
      <w:r w:rsidR="0067110F">
        <w:t>high performing markets</w:t>
      </w:r>
    </w:p>
    <w:p w14:paraId="608C5640" w14:textId="61CD556D" w:rsidR="004F0FED" w:rsidRDefault="001E624B" w:rsidP="003D5106">
      <w:pPr>
        <w:pStyle w:val="ListBullet"/>
      </w:pPr>
      <w:r>
        <w:t xml:space="preserve">Increasingly, </w:t>
      </w:r>
      <w:r w:rsidR="004F0FED">
        <w:t xml:space="preserve">PHNs </w:t>
      </w:r>
      <w:r>
        <w:t xml:space="preserve">should be </w:t>
      </w:r>
      <w:r w:rsidR="004F0FED">
        <w:t>interacti</w:t>
      </w:r>
      <w:r>
        <w:t>ng</w:t>
      </w:r>
      <w:r w:rsidR="004F0FED">
        <w:t xml:space="preserve"> with the market beyond formal procurement process</w:t>
      </w:r>
      <w:r>
        <w:t xml:space="preserve">es, and </w:t>
      </w:r>
      <w:r w:rsidR="004F0FED">
        <w:t>through each stage</w:t>
      </w:r>
      <w:r w:rsidR="00CF2ABE">
        <w:t xml:space="preserve"> of the commissioning framework</w:t>
      </w:r>
    </w:p>
    <w:p w14:paraId="29F03032" w14:textId="422FBB56" w:rsidR="00746422" w:rsidRDefault="00746422" w:rsidP="003D5106">
      <w:pPr>
        <w:pStyle w:val="ListBullet"/>
      </w:pPr>
      <w:r>
        <w:t xml:space="preserve">PHNs will need to develop </w:t>
      </w:r>
      <w:r w:rsidR="00993FC1">
        <w:t xml:space="preserve">and maintain </w:t>
      </w:r>
      <w:r>
        <w:t xml:space="preserve">a clear understanding of the markets that they require services from, with an awareness of the root causes of </w:t>
      </w:r>
      <w:r w:rsidR="00CF2ABE">
        <w:t>any gaps or other deficiencies</w:t>
      </w:r>
    </w:p>
    <w:p w14:paraId="71BF2C5A" w14:textId="09FCD35A" w:rsidR="00FC5AD9" w:rsidRDefault="00FC5AD9" w:rsidP="003D5106">
      <w:pPr>
        <w:pStyle w:val="ListBullet"/>
      </w:pPr>
      <w:r>
        <w:t>Market issues can be the result of factors including those relating to</w:t>
      </w:r>
      <w:r w:rsidR="0067110F">
        <w:t xml:space="preserve"> provider </w:t>
      </w:r>
      <w:r w:rsidR="00993FC1">
        <w:t xml:space="preserve">supply, </w:t>
      </w:r>
      <w:r w:rsidR="0067110F">
        <w:t xml:space="preserve">type, </w:t>
      </w:r>
      <w:r w:rsidR="00993FC1">
        <w:t xml:space="preserve">appropriateness, </w:t>
      </w:r>
      <w:r w:rsidR="0067110F">
        <w:t xml:space="preserve">access, quality, </w:t>
      </w:r>
      <w:r>
        <w:t>risk</w:t>
      </w:r>
      <w:r w:rsidR="00993FC1">
        <w:t>,</w:t>
      </w:r>
      <w:r w:rsidR="0067110F">
        <w:t xml:space="preserve"> and barriers to entry</w:t>
      </w:r>
    </w:p>
    <w:p w14:paraId="0D794CD6" w14:textId="1DB33AE1" w:rsidR="00FC5AD9" w:rsidRPr="00137B76" w:rsidRDefault="00FC5AD9" w:rsidP="003D5106">
      <w:pPr>
        <w:pStyle w:val="ListBullet"/>
      </w:pPr>
      <w:r w:rsidRPr="00137B76">
        <w:t xml:space="preserve">Markets vary by </w:t>
      </w:r>
      <w:r>
        <w:t xml:space="preserve">a range of factors including service type, </w:t>
      </w:r>
      <w:r w:rsidR="0067110F">
        <w:t xml:space="preserve">geography and </w:t>
      </w:r>
      <w:r w:rsidRPr="00137B76">
        <w:t>cohort</w:t>
      </w:r>
      <w:r w:rsidR="003A60D1">
        <w:t xml:space="preserve"> and</w:t>
      </w:r>
      <w:r w:rsidR="00993FC1">
        <w:t xml:space="preserve"> </w:t>
      </w:r>
      <w:r w:rsidR="003A60D1">
        <w:t xml:space="preserve">therefore, </w:t>
      </w:r>
      <w:r w:rsidR="00993FC1">
        <w:t>t</w:t>
      </w:r>
      <w:r>
        <w:t xml:space="preserve">ailored approaches to market issues </w:t>
      </w:r>
      <w:r w:rsidR="00F26A8A">
        <w:t xml:space="preserve">are </w:t>
      </w:r>
      <w:r w:rsidRPr="00137B76">
        <w:t>required</w:t>
      </w:r>
    </w:p>
    <w:p w14:paraId="0E92768E" w14:textId="4156BE25" w:rsidR="00746422" w:rsidRPr="00137B76" w:rsidRDefault="00746422" w:rsidP="003D5106">
      <w:pPr>
        <w:pStyle w:val="ListBullet"/>
      </w:pPr>
      <w:r w:rsidRPr="00137B76">
        <w:t xml:space="preserve">PHNs </w:t>
      </w:r>
      <w:r>
        <w:t xml:space="preserve">will need </w:t>
      </w:r>
      <w:r w:rsidR="00221B47">
        <w:t xml:space="preserve">to </w:t>
      </w:r>
      <w:r w:rsidRPr="00137B76">
        <w:t xml:space="preserve">understand what encourages and discourages provider participation </w:t>
      </w:r>
      <w:r>
        <w:t>in particular service areas</w:t>
      </w:r>
      <w:r w:rsidR="003A60D1">
        <w:t>,</w:t>
      </w:r>
      <w:r>
        <w:t xml:space="preserve"> and </w:t>
      </w:r>
      <w:r w:rsidR="003A60D1">
        <w:t xml:space="preserve">take these factors into consideration in </w:t>
      </w:r>
      <w:r>
        <w:t>seek</w:t>
      </w:r>
      <w:r w:rsidR="003A60D1">
        <w:t>ing</w:t>
      </w:r>
      <w:r>
        <w:t xml:space="preserve"> to identify options to address issues</w:t>
      </w:r>
    </w:p>
    <w:p w14:paraId="70FE84CD" w14:textId="6CC0B37A" w:rsidR="00137B76" w:rsidRDefault="00746422" w:rsidP="003D5106">
      <w:pPr>
        <w:pStyle w:val="ListBullet"/>
      </w:pPr>
      <w:r>
        <w:t xml:space="preserve">PHNs will need to </w:t>
      </w:r>
      <w:r w:rsidR="00221B47">
        <w:t>consider evolving</w:t>
      </w:r>
      <w:r>
        <w:t xml:space="preserve"> their relationships with providers, ensuring that they are </w:t>
      </w:r>
      <w:r w:rsidR="00137B76" w:rsidRPr="00137B76">
        <w:t xml:space="preserve">attractive to </w:t>
      </w:r>
      <w:r>
        <w:t xml:space="preserve">work </w:t>
      </w:r>
      <w:r w:rsidR="00137B76" w:rsidRPr="00137B76">
        <w:t>with</w:t>
      </w:r>
    </w:p>
    <w:p w14:paraId="35F179C9" w14:textId="482E6EE1" w:rsidR="0094006C" w:rsidRPr="00137B76" w:rsidRDefault="0094006C" w:rsidP="003D5106">
      <w:pPr>
        <w:pStyle w:val="ListBullet"/>
      </w:pPr>
      <w:r>
        <w:t>PHNs should consider the market as it relates to the needs and outcomes of Aboriginal and Torres Strait Islander people and communities</w:t>
      </w:r>
      <w:r w:rsidR="003A60D1">
        <w:t xml:space="preserve"> (as well as other populations that are at risk of poor health outcomes),</w:t>
      </w:r>
      <w:r w:rsidR="00107F7F">
        <w:t xml:space="preserve"> </w:t>
      </w:r>
      <w:r>
        <w:t>and how the PH</w:t>
      </w:r>
      <w:r w:rsidR="003A60D1">
        <w:t>N</w:t>
      </w:r>
      <w:r>
        <w:t xml:space="preserve"> operate in a culturally appropriate </w:t>
      </w:r>
      <w:r w:rsidR="003A60D1">
        <w:t xml:space="preserve">way </w:t>
      </w:r>
      <w:r>
        <w:t>with th</w:t>
      </w:r>
      <w:r w:rsidR="003A60D1">
        <w:t>e</w:t>
      </w:r>
      <w:r>
        <w:t xml:space="preserve"> market</w:t>
      </w:r>
    </w:p>
    <w:p w14:paraId="4FEBAA92" w14:textId="7DFF78FE" w:rsidR="004F0FED" w:rsidRPr="00137B76" w:rsidRDefault="00FC5AD9" w:rsidP="003D5106">
      <w:pPr>
        <w:pStyle w:val="ListBullet"/>
      </w:pPr>
      <w:r>
        <w:t xml:space="preserve">Standardised approaches </w:t>
      </w:r>
      <w:r w:rsidR="0067110F">
        <w:t xml:space="preserve">to working with the market </w:t>
      </w:r>
      <w:r>
        <w:t xml:space="preserve">are likely to benefit providers collectively </w:t>
      </w:r>
      <w:r w:rsidR="003A60D1">
        <w:t>(</w:t>
      </w:r>
      <w:r>
        <w:t>including those who work across PHNs</w:t>
      </w:r>
      <w:r w:rsidR="003A60D1">
        <w:t>),</w:t>
      </w:r>
      <w:r>
        <w:t xml:space="preserve"> </w:t>
      </w:r>
      <w:r w:rsidR="003A60D1">
        <w:t xml:space="preserve">while still ensuring that they are addressing </w:t>
      </w:r>
      <w:r w:rsidR="0067110F">
        <w:t xml:space="preserve">local </w:t>
      </w:r>
      <w:r w:rsidR="00476CED">
        <w:t>needs</w:t>
      </w:r>
      <w:r w:rsidR="0067110F">
        <w:t>.</w:t>
      </w:r>
    </w:p>
    <w:p w14:paraId="02F1B1FB" w14:textId="7D9A59D3" w:rsidR="002C1385" w:rsidRPr="00056627" w:rsidRDefault="00056627" w:rsidP="00056627">
      <w:pPr>
        <w:pStyle w:val="Heading1"/>
      </w:pPr>
      <w:bookmarkStart w:id="15" w:name="_Toc515529493"/>
      <w:bookmarkStart w:id="16" w:name="_Toc453947345"/>
      <w:bookmarkStart w:id="17" w:name="_Toc454197946"/>
      <w:bookmarkStart w:id="18" w:name="_Toc454198238"/>
      <w:r>
        <w:lastRenderedPageBreak/>
        <w:t>U</w:t>
      </w:r>
      <w:r w:rsidR="0023645F">
        <w:t>nderstanding markets</w:t>
      </w:r>
      <w:bookmarkEnd w:id="15"/>
    </w:p>
    <w:p w14:paraId="0D45998B" w14:textId="0ABB05DF" w:rsidR="002C1385" w:rsidRDefault="002C1385" w:rsidP="002C1385">
      <w:pPr>
        <w:pStyle w:val="Heading2"/>
      </w:pPr>
      <w:bookmarkStart w:id="19" w:name="_Toc515529494"/>
      <w:r>
        <w:t>Defining markets</w:t>
      </w:r>
      <w:bookmarkEnd w:id="19"/>
    </w:p>
    <w:p w14:paraId="414BEE92" w14:textId="723C37A4" w:rsidR="00C25E94" w:rsidRDefault="00AA26B3" w:rsidP="00CC2A64">
      <w:pPr>
        <w:pStyle w:val="Paragraphtext"/>
      </w:pPr>
      <w:r>
        <w:t xml:space="preserve">In the context of the PHN Program Commissioning Framework, emphasis is given to ‘shaping the structure of supply’ which encourages focus on current and potential providers. In order to perform such a role, PHNs are required to have a holistic understanding of markets. </w:t>
      </w:r>
      <w:r w:rsidR="00CE6D53">
        <w:t xml:space="preserve">Markets </w:t>
      </w:r>
      <w:r w:rsidR="0067110F">
        <w:t xml:space="preserve">in this context </w:t>
      </w:r>
      <w:r w:rsidR="00CE6D53">
        <w:t xml:space="preserve">are collections of providers who are willing or able </w:t>
      </w:r>
      <w:r w:rsidR="00F26A8A">
        <w:t xml:space="preserve">to </w:t>
      </w:r>
      <w:r w:rsidR="00C25E94">
        <w:t xml:space="preserve">deliver the services that are required to meet identified and prioritised </w:t>
      </w:r>
      <w:r w:rsidR="00D32809">
        <w:t xml:space="preserve">health </w:t>
      </w:r>
      <w:r w:rsidR="00C25E94">
        <w:t xml:space="preserve">needs, and </w:t>
      </w:r>
      <w:r w:rsidR="00F26A8A">
        <w:t>support PHNs to achieve the</w:t>
      </w:r>
      <w:r w:rsidR="00CE6D53">
        <w:t xml:space="preserve"> outcomes</w:t>
      </w:r>
      <w:r w:rsidR="00F26A8A">
        <w:t xml:space="preserve"> sought by patients and communities</w:t>
      </w:r>
      <w:r w:rsidR="005924C6">
        <w:t xml:space="preserve"> in the</w:t>
      </w:r>
      <w:r w:rsidR="006E72A8">
        <w:t>ir</w:t>
      </w:r>
      <w:r w:rsidR="005924C6">
        <w:t xml:space="preserve"> regions</w:t>
      </w:r>
      <w:r w:rsidR="00BF3EF5">
        <w:t xml:space="preserve">. </w:t>
      </w:r>
    </w:p>
    <w:p w14:paraId="730C790D" w14:textId="190C3334" w:rsidR="00BF3EF5" w:rsidRDefault="00AA26B3" w:rsidP="00CC2A64">
      <w:pPr>
        <w:pStyle w:val="Paragraphtext"/>
      </w:pPr>
      <w:r>
        <w:t>Economic theory and commissioning best practice shows that m</w:t>
      </w:r>
      <w:r w:rsidR="00BF3EF5" w:rsidRPr="00BF3EF5">
        <w:t xml:space="preserve">arkets are influenced predominantly by </w:t>
      </w:r>
      <w:r w:rsidR="00F26A8A">
        <w:t>five</w:t>
      </w:r>
      <w:r w:rsidR="00BF3EF5" w:rsidRPr="00BF3EF5">
        <w:t xml:space="preserve"> groups: </w:t>
      </w:r>
    </w:p>
    <w:p w14:paraId="6F46B713" w14:textId="41BE7918" w:rsidR="00BF3EF5" w:rsidRDefault="00BF3EF5" w:rsidP="00CC2A64">
      <w:pPr>
        <w:pStyle w:val="ListBullet"/>
      </w:pPr>
      <w:r>
        <w:rPr>
          <w:b/>
        </w:rPr>
        <w:t xml:space="preserve">Regulators: </w:t>
      </w:r>
      <w:r>
        <w:t xml:space="preserve">They set the rules of the market and determine how the market will interact at a macro level. The regulators also monitor key aspects of the market </w:t>
      </w:r>
      <w:r w:rsidR="00F26A8A">
        <w:t xml:space="preserve">such as </w:t>
      </w:r>
      <w:r>
        <w:t xml:space="preserve">risk and safety. In this context, regulators </w:t>
      </w:r>
      <w:r w:rsidR="00AA2D75">
        <w:t>include</w:t>
      </w:r>
      <w:r w:rsidR="00F26A8A">
        <w:t xml:space="preserve"> f</w:t>
      </w:r>
      <w:r>
        <w:t xml:space="preserve">ederal and </w:t>
      </w:r>
      <w:r w:rsidR="00F26A8A">
        <w:t>s</w:t>
      </w:r>
      <w:r>
        <w:t xml:space="preserve">tate </w:t>
      </w:r>
      <w:r w:rsidR="00F26A8A">
        <w:t>g</w:t>
      </w:r>
      <w:r>
        <w:t xml:space="preserve">overnment bodies. </w:t>
      </w:r>
      <w:r w:rsidR="00D63B9D">
        <w:t xml:space="preserve">Regulators are influenced by </w:t>
      </w:r>
      <w:r w:rsidR="00F26A8A">
        <w:t>g</w:t>
      </w:r>
      <w:r w:rsidR="00D63B9D">
        <w:t xml:space="preserve">overnment policy. </w:t>
      </w:r>
      <w:r>
        <w:t>Different regulators will apply in dif</w:t>
      </w:r>
      <w:r w:rsidR="00F37238">
        <w:t>ferent specialities and markets</w:t>
      </w:r>
      <w:r w:rsidR="000A5EC9">
        <w:t>.</w:t>
      </w:r>
    </w:p>
    <w:p w14:paraId="6A009137" w14:textId="7C95DD8F" w:rsidR="00BF3EF5" w:rsidRDefault="00BF3EF5" w:rsidP="00CC2A64">
      <w:pPr>
        <w:pStyle w:val="ListBullet"/>
      </w:pPr>
      <w:r>
        <w:rPr>
          <w:b/>
        </w:rPr>
        <w:t xml:space="preserve">Commissioners: </w:t>
      </w:r>
      <w:r>
        <w:t xml:space="preserve">Commissioners are responsible for </w:t>
      </w:r>
      <w:r w:rsidR="00754C0E">
        <w:t xml:space="preserve">analysing </w:t>
      </w:r>
      <w:r>
        <w:t xml:space="preserve">the needs of </w:t>
      </w:r>
      <w:r w:rsidR="00754C0E">
        <w:t>communities</w:t>
      </w:r>
      <w:r>
        <w:t xml:space="preserve">, prioritising them, and </w:t>
      </w:r>
      <w:r w:rsidR="00AA2D75">
        <w:t xml:space="preserve">procuring services from </w:t>
      </w:r>
      <w:r>
        <w:t xml:space="preserve">providers to </w:t>
      </w:r>
      <w:r w:rsidR="00AA2D75">
        <w:t>address</w:t>
      </w:r>
      <w:r>
        <w:t xml:space="preserve"> these needs</w:t>
      </w:r>
      <w:r w:rsidR="00F26A8A">
        <w:t xml:space="preserve">. </w:t>
      </w:r>
      <w:r>
        <w:t>Commissioners are responsible for paying providers as needs are met.</w:t>
      </w:r>
      <w:r w:rsidR="00DB6D7F">
        <w:t xml:space="preserve"> </w:t>
      </w:r>
      <w:r w:rsidR="00AA2D75">
        <w:t xml:space="preserve">Commissioners are also </w:t>
      </w:r>
      <w:r w:rsidR="00CF2ABE">
        <w:t>influenced by government policy</w:t>
      </w:r>
      <w:r w:rsidR="000A5EC9">
        <w:t>.</w:t>
      </w:r>
    </w:p>
    <w:p w14:paraId="7F79CF7F" w14:textId="03894D6B" w:rsidR="00BF3EF5" w:rsidRPr="00BF3EF5" w:rsidRDefault="00BF3EF5" w:rsidP="00CC2A64">
      <w:pPr>
        <w:pStyle w:val="ListBullet"/>
      </w:pPr>
      <w:r>
        <w:rPr>
          <w:b/>
        </w:rPr>
        <w:t xml:space="preserve">Current providers: </w:t>
      </w:r>
      <w:r>
        <w:t xml:space="preserve">These providers currently supply services on behalf of commissioners to </w:t>
      </w:r>
      <w:r w:rsidR="005924C6">
        <w:t xml:space="preserve">the community, and </w:t>
      </w:r>
      <w:r>
        <w:t xml:space="preserve">receive payments from commissioners for doing so. </w:t>
      </w:r>
      <w:r w:rsidR="002F0577">
        <w:t xml:space="preserve">Current providers may choose to </w:t>
      </w:r>
      <w:r w:rsidR="00323A35">
        <w:t xml:space="preserve">cease </w:t>
      </w:r>
      <w:r w:rsidR="002F0577">
        <w:t>participat</w:t>
      </w:r>
      <w:r w:rsidR="00323A35">
        <w:t>ing</w:t>
      </w:r>
      <w:r w:rsidR="002F0577">
        <w:t xml:space="preserve"> in a market </w:t>
      </w:r>
      <w:r w:rsidR="00F26A8A">
        <w:t>at any point in time</w:t>
      </w:r>
      <w:r w:rsidR="000A5EC9">
        <w:t>.</w:t>
      </w:r>
    </w:p>
    <w:p w14:paraId="713B51C8" w14:textId="65798FAA" w:rsidR="00BF3EF5" w:rsidRPr="00BF3EF5" w:rsidRDefault="00BF3EF5" w:rsidP="00CC2A64">
      <w:pPr>
        <w:pStyle w:val="ListBullet"/>
      </w:pPr>
      <w:r>
        <w:rPr>
          <w:b/>
        </w:rPr>
        <w:t xml:space="preserve">Potential providers: </w:t>
      </w:r>
      <w:r w:rsidR="007266E5">
        <w:t xml:space="preserve">Potential providers do not currently supply services, however if the conditions of the market are appealing enough, they will </w:t>
      </w:r>
      <w:r w:rsidR="00B11646">
        <w:t xml:space="preserve">consider </w:t>
      </w:r>
      <w:r w:rsidR="007266E5">
        <w:t>enter</w:t>
      </w:r>
      <w:r w:rsidR="00B11646">
        <w:t>ing</w:t>
      </w:r>
      <w:r w:rsidR="007266E5">
        <w:t xml:space="preserve"> the market. PHNs are largely responsible for making markets </w:t>
      </w:r>
      <w:proofErr w:type="gramStart"/>
      <w:r w:rsidR="007266E5">
        <w:t>appealing,</w:t>
      </w:r>
      <w:proofErr w:type="gramEnd"/>
      <w:r w:rsidR="007266E5">
        <w:t xml:space="preserve"> however regulators are also highly influential</w:t>
      </w:r>
      <w:r w:rsidR="00F37238">
        <w:t xml:space="preserve"> </w:t>
      </w:r>
      <w:r w:rsidR="00323A35">
        <w:t>in</w:t>
      </w:r>
      <w:r w:rsidR="00F37238">
        <w:t xml:space="preserve"> this</w:t>
      </w:r>
      <w:r w:rsidR="000A5EC9">
        <w:t>.</w:t>
      </w:r>
    </w:p>
    <w:p w14:paraId="52CBC6A1" w14:textId="33F681C0" w:rsidR="00BF3EF5" w:rsidRPr="00BF3EF5" w:rsidRDefault="00717D3F" w:rsidP="00CC2A64">
      <w:pPr>
        <w:pStyle w:val="ListBullet"/>
      </w:pPr>
      <w:r>
        <w:rPr>
          <w:b/>
        </w:rPr>
        <w:t>P</w:t>
      </w:r>
      <w:r w:rsidR="00BF3EF5">
        <w:rPr>
          <w:b/>
        </w:rPr>
        <w:t xml:space="preserve">atients and </w:t>
      </w:r>
      <w:r w:rsidR="00F26A8A">
        <w:rPr>
          <w:b/>
        </w:rPr>
        <w:t>c</w:t>
      </w:r>
      <w:r w:rsidR="00BF3EF5">
        <w:rPr>
          <w:b/>
        </w:rPr>
        <w:t xml:space="preserve">ommunities: </w:t>
      </w:r>
      <w:r>
        <w:t>Patients and c</w:t>
      </w:r>
      <w:r w:rsidR="00754C0E">
        <w:t xml:space="preserve">ommunities </w:t>
      </w:r>
      <w:r w:rsidR="00F26A8A">
        <w:t xml:space="preserve">benefit from the delivery of </w:t>
      </w:r>
      <w:r>
        <w:t xml:space="preserve">health </w:t>
      </w:r>
      <w:r w:rsidR="00F26A8A">
        <w:t>services</w:t>
      </w:r>
      <w:r w:rsidR="00754C0E">
        <w:t>, and m</w:t>
      </w:r>
      <w:r w:rsidR="00BF3EF5" w:rsidRPr="00BF3EF5">
        <w:t xml:space="preserve">arkets are </w:t>
      </w:r>
      <w:r w:rsidR="00754C0E">
        <w:t xml:space="preserve">heavily influenced </w:t>
      </w:r>
      <w:r w:rsidR="00BF3EF5" w:rsidRPr="00BF3EF5">
        <w:t>by the</w:t>
      </w:r>
      <w:r w:rsidR="00B11646">
        <w:t>ir</w:t>
      </w:r>
      <w:r w:rsidR="00BF3EF5" w:rsidRPr="00BF3EF5">
        <w:t xml:space="preserve"> </w:t>
      </w:r>
      <w:r w:rsidR="00F26A8A">
        <w:t xml:space="preserve">needs and </w:t>
      </w:r>
      <w:r w:rsidR="00B11646">
        <w:t>preferences</w:t>
      </w:r>
      <w:r w:rsidR="00F26A8A">
        <w:t xml:space="preserve">. Patients and communities are the </w:t>
      </w:r>
      <w:r w:rsidR="00B11646">
        <w:t>‘</w:t>
      </w:r>
      <w:r w:rsidR="00F26A8A">
        <w:t>customers</w:t>
      </w:r>
      <w:r w:rsidR="00B11646">
        <w:t>’</w:t>
      </w:r>
      <w:r w:rsidR="003A335F">
        <w:t>.</w:t>
      </w:r>
    </w:p>
    <w:p w14:paraId="65339C29" w14:textId="0B2F9441" w:rsidR="00AA26B3" w:rsidRDefault="00AA26B3" w:rsidP="00CC2A64">
      <w:pPr>
        <w:pStyle w:val="Paragraphtext"/>
      </w:pPr>
      <w:r>
        <w:t xml:space="preserve">From these markets, PHNs will seek </w:t>
      </w:r>
      <w:r w:rsidRPr="00CA216F">
        <w:t xml:space="preserve">a number of providers </w:t>
      </w:r>
      <w:r w:rsidR="005E02DA">
        <w:t>who</w:t>
      </w:r>
      <w:r w:rsidR="005E02DA" w:rsidRPr="00CA216F">
        <w:t xml:space="preserve"> </w:t>
      </w:r>
      <w:r w:rsidRPr="00CA216F">
        <w:t xml:space="preserve">have the </w:t>
      </w:r>
      <w:r>
        <w:t xml:space="preserve">necessary </w:t>
      </w:r>
      <w:r w:rsidRPr="00CA216F">
        <w:t xml:space="preserve">capacity and capability, </w:t>
      </w:r>
      <w:r>
        <w:t xml:space="preserve">and </w:t>
      </w:r>
      <w:r w:rsidRPr="00CA216F">
        <w:t xml:space="preserve">are willing and available to deliver something that commissioners need or want to secure at an affordable price and in the </w:t>
      </w:r>
      <w:r>
        <w:t>desired</w:t>
      </w:r>
      <w:r w:rsidRPr="00CA216F">
        <w:t xml:space="preserve"> way</w:t>
      </w:r>
      <w:r>
        <w:t>.</w:t>
      </w:r>
    </w:p>
    <w:p w14:paraId="294B0254" w14:textId="45CD7FBA" w:rsidR="001D067D" w:rsidRDefault="001D067D" w:rsidP="00CC2A64">
      <w:pPr>
        <w:pStyle w:val="Paragraphtext"/>
      </w:pPr>
      <w:r>
        <w:t xml:space="preserve">When </w:t>
      </w:r>
      <w:r w:rsidR="00483843">
        <w:t>thinking about</w:t>
      </w:r>
      <w:r>
        <w:t xml:space="preserve"> the markets that PHNs work with, it is important to consider the following concepts:</w:t>
      </w:r>
    </w:p>
    <w:p w14:paraId="0215057F" w14:textId="386087CE" w:rsidR="001D067D" w:rsidRDefault="001D067D" w:rsidP="00CC2A64">
      <w:pPr>
        <w:pStyle w:val="ListBullet"/>
      </w:pPr>
      <w:r w:rsidRPr="001D067D">
        <w:rPr>
          <w:b/>
        </w:rPr>
        <w:t>Geographi</w:t>
      </w:r>
      <w:r w:rsidR="00043C00">
        <w:rPr>
          <w:b/>
        </w:rPr>
        <w:t>es</w:t>
      </w:r>
      <w:r w:rsidRPr="001D067D">
        <w:rPr>
          <w:b/>
        </w:rPr>
        <w:t>:</w:t>
      </w:r>
      <w:r>
        <w:t xml:space="preserve"> Markets need to have a geographic definition </w:t>
      </w:r>
      <w:r w:rsidR="00BE6A64">
        <w:t xml:space="preserve">within </w:t>
      </w:r>
      <w:r w:rsidR="00F26A8A">
        <w:t>which they can be considered</w:t>
      </w:r>
      <w:r>
        <w:t xml:space="preserve">. In most cases, </w:t>
      </w:r>
      <w:r w:rsidR="00084DAB">
        <w:t xml:space="preserve">this will be the </w:t>
      </w:r>
      <w:r>
        <w:t xml:space="preserve">PHN </w:t>
      </w:r>
      <w:r w:rsidR="00084DAB">
        <w:t xml:space="preserve">region, but PHNs </w:t>
      </w:r>
      <w:r>
        <w:t xml:space="preserve">should </w:t>
      </w:r>
      <w:r w:rsidR="00E1090C">
        <w:t xml:space="preserve">also </w:t>
      </w:r>
      <w:r>
        <w:t xml:space="preserve">consider </w:t>
      </w:r>
      <w:r w:rsidR="00084DAB">
        <w:t>sub-regional boundaries, as well as state boundaries</w:t>
      </w:r>
      <w:r w:rsidR="007B735F">
        <w:t>, where appropriate</w:t>
      </w:r>
      <w:r w:rsidR="000A5EC9">
        <w:t>.</w:t>
      </w:r>
    </w:p>
    <w:p w14:paraId="2056290B" w14:textId="67748B3E" w:rsidR="00ED1383" w:rsidRPr="00ED1383" w:rsidRDefault="00ED1383" w:rsidP="00CC2A64">
      <w:pPr>
        <w:pStyle w:val="ListBullet"/>
        <w:rPr>
          <w:b/>
        </w:rPr>
      </w:pPr>
      <w:r w:rsidRPr="00ED1383">
        <w:rPr>
          <w:b/>
        </w:rPr>
        <w:t xml:space="preserve">Service </w:t>
      </w:r>
      <w:r w:rsidR="00E1090C">
        <w:rPr>
          <w:b/>
        </w:rPr>
        <w:t>or outcome specifics</w:t>
      </w:r>
      <w:r w:rsidR="00043C00">
        <w:rPr>
          <w:b/>
        </w:rPr>
        <w:t>:</w:t>
      </w:r>
      <w:r w:rsidR="00043C00" w:rsidRPr="00043C00">
        <w:t xml:space="preserve"> </w:t>
      </w:r>
      <w:r w:rsidR="00043C00">
        <w:t xml:space="preserve">For example, </w:t>
      </w:r>
      <w:r w:rsidR="00043C00" w:rsidRPr="00043C00">
        <w:t>mental health</w:t>
      </w:r>
      <w:r w:rsidR="00C0309A">
        <w:t>, or alcohol and other drug treatment.</w:t>
      </w:r>
      <w:r w:rsidR="00DC597B">
        <w:t xml:space="preserve"> Where possible, PHNs need to </w:t>
      </w:r>
      <w:r w:rsidR="0067110F">
        <w:t xml:space="preserve">define their market clearly </w:t>
      </w:r>
      <w:r w:rsidR="00DC597B">
        <w:t>as this improves the quality of market thinking</w:t>
      </w:r>
      <w:r w:rsidR="000A5EC9">
        <w:t>.</w:t>
      </w:r>
    </w:p>
    <w:p w14:paraId="202171B4" w14:textId="7D0EA6F5" w:rsidR="007D53B5" w:rsidRDefault="007D53B5" w:rsidP="00CC2A64">
      <w:pPr>
        <w:pStyle w:val="ListBullet"/>
      </w:pPr>
      <w:r>
        <w:rPr>
          <w:b/>
        </w:rPr>
        <w:t>Cohort</w:t>
      </w:r>
      <w:r w:rsidR="00C0309A">
        <w:rPr>
          <w:b/>
        </w:rPr>
        <w:t>s</w:t>
      </w:r>
      <w:r>
        <w:rPr>
          <w:b/>
        </w:rPr>
        <w:t xml:space="preserve">: </w:t>
      </w:r>
      <w:r w:rsidR="004E6D16">
        <w:t>M</w:t>
      </w:r>
      <w:r>
        <w:t xml:space="preserve">arkets can </w:t>
      </w:r>
      <w:r w:rsidR="004E6D16">
        <w:t xml:space="preserve">also </w:t>
      </w:r>
      <w:r>
        <w:t xml:space="preserve">be defined by the </w:t>
      </w:r>
      <w:r w:rsidR="004E6D16">
        <w:t xml:space="preserve">cohorts </w:t>
      </w:r>
      <w:r>
        <w:t>that they seek to serve</w:t>
      </w:r>
      <w:r w:rsidR="004E6D16">
        <w:t xml:space="preserve">, for </w:t>
      </w:r>
      <w:r w:rsidR="00BE6A64">
        <w:t>example</w:t>
      </w:r>
      <w:r w:rsidR="004E6D16">
        <w:t>,</w:t>
      </w:r>
      <w:r w:rsidR="00BE6A64">
        <w:t xml:space="preserve"> </w:t>
      </w:r>
      <w:r w:rsidR="00F37238">
        <w:t xml:space="preserve">older </w:t>
      </w:r>
      <w:r w:rsidR="00CF2ABE">
        <w:t>people, youth</w:t>
      </w:r>
      <w:r w:rsidR="000A5EC9">
        <w:t>.</w:t>
      </w:r>
    </w:p>
    <w:p w14:paraId="516A222A" w14:textId="3627F240" w:rsidR="0094006C" w:rsidRPr="007D53B5" w:rsidRDefault="0094006C" w:rsidP="00CC2A64">
      <w:pPr>
        <w:pStyle w:val="ListBullet"/>
      </w:pPr>
      <w:r>
        <w:rPr>
          <w:b/>
        </w:rPr>
        <w:t>Aboriginal and Torres Strait Islander people and communities:</w:t>
      </w:r>
      <w:r w:rsidR="00B57B61">
        <w:t xml:space="preserve"> </w:t>
      </w:r>
      <w:r w:rsidR="00035FE8">
        <w:t>T</w:t>
      </w:r>
      <w:r w:rsidR="00B57B61">
        <w:t xml:space="preserve">here are specific features </w:t>
      </w:r>
      <w:r w:rsidR="00035FE8">
        <w:t xml:space="preserve">required </w:t>
      </w:r>
      <w:r w:rsidR="00B57B61">
        <w:t xml:space="preserve">of markets to </w:t>
      </w:r>
      <w:r w:rsidR="00035FE8">
        <w:t xml:space="preserve">effectively meet </w:t>
      </w:r>
      <w:r w:rsidR="00B57B61">
        <w:t>the needs of this population</w:t>
      </w:r>
      <w:r w:rsidR="00035FE8">
        <w:t>, in way</w:t>
      </w:r>
      <w:r w:rsidR="00962319">
        <w:t>s</w:t>
      </w:r>
      <w:r w:rsidR="00035FE8">
        <w:t xml:space="preserve"> that </w:t>
      </w:r>
      <w:r w:rsidR="00962319">
        <w:t>are</w:t>
      </w:r>
      <w:r w:rsidR="00035FE8">
        <w:t xml:space="preserve"> </w:t>
      </w:r>
      <w:r w:rsidR="00B57B61">
        <w:t>cultural</w:t>
      </w:r>
      <w:r w:rsidR="00035FE8">
        <w:t>ly</w:t>
      </w:r>
      <w:r w:rsidR="00B57B61">
        <w:t xml:space="preserve"> competen</w:t>
      </w:r>
      <w:r w:rsidR="00035FE8">
        <w:t>t,</w:t>
      </w:r>
      <w:r w:rsidR="00B57B61">
        <w:t xml:space="preserve"> and cultural</w:t>
      </w:r>
      <w:r w:rsidR="00035FE8">
        <w:t>ly</w:t>
      </w:r>
      <w:r w:rsidR="00B57B61">
        <w:t xml:space="preserve"> safe</w:t>
      </w:r>
      <w:r w:rsidR="000A5EC9">
        <w:t>.</w:t>
      </w:r>
    </w:p>
    <w:p w14:paraId="2BCEFD23" w14:textId="358554A5" w:rsidR="00483843" w:rsidRDefault="00483843" w:rsidP="00CC2A64">
      <w:pPr>
        <w:pStyle w:val="ListBullet"/>
      </w:pPr>
      <w:r w:rsidRPr="00483843">
        <w:rPr>
          <w:b/>
        </w:rPr>
        <w:lastRenderedPageBreak/>
        <w:t>Size</w:t>
      </w:r>
      <w:r>
        <w:t>: The size of markets can vary significantly</w:t>
      </w:r>
      <w:r w:rsidR="001E4691">
        <w:t>, from ma</w:t>
      </w:r>
      <w:r w:rsidR="00013A80">
        <w:t>n</w:t>
      </w:r>
      <w:r w:rsidR="001E4691">
        <w:t xml:space="preserve">y providers with high levels of competition, to </w:t>
      </w:r>
      <w:r>
        <w:t>monopol</w:t>
      </w:r>
      <w:r w:rsidR="00CF2ABE">
        <w:t>ies</w:t>
      </w:r>
      <w:r w:rsidR="000A5EC9">
        <w:t>.</w:t>
      </w:r>
    </w:p>
    <w:p w14:paraId="2A3613F7" w14:textId="1BE181ED" w:rsidR="00ED1383" w:rsidRDefault="00013A80" w:rsidP="00CC2A64">
      <w:pPr>
        <w:pStyle w:val="ListBullet"/>
      </w:pPr>
      <w:r>
        <w:rPr>
          <w:b/>
        </w:rPr>
        <w:t>F</w:t>
      </w:r>
      <w:r w:rsidR="001D067D" w:rsidRPr="001D067D">
        <w:rPr>
          <w:b/>
        </w:rPr>
        <w:t>luid</w:t>
      </w:r>
      <w:r>
        <w:rPr>
          <w:b/>
        </w:rPr>
        <w:t>ity</w:t>
      </w:r>
      <w:r w:rsidR="001D067D" w:rsidRPr="001D067D">
        <w:rPr>
          <w:b/>
        </w:rPr>
        <w:t>:</w:t>
      </w:r>
      <w:r w:rsidR="001D067D">
        <w:t xml:space="preserve"> </w:t>
      </w:r>
      <w:r w:rsidR="00ED1383">
        <w:t>Markets chang</w:t>
      </w:r>
      <w:r>
        <w:t>e</w:t>
      </w:r>
      <w:r w:rsidR="00ED1383">
        <w:t xml:space="preserve"> as </w:t>
      </w:r>
      <w:r>
        <w:t xml:space="preserve">the </w:t>
      </w:r>
      <w:r w:rsidR="00ED1383">
        <w:t>conditions impacting markets change</w:t>
      </w:r>
      <w:r w:rsidR="007B735F">
        <w:t>,</w:t>
      </w:r>
      <w:r w:rsidR="00ED1383">
        <w:t xml:space="preserve"> and as the priorities and pressures facing providers</w:t>
      </w:r>
      <w:r>
        <w:t>, change</w:t>
      </w:r>
      <w:r w:rsidR="00ED1383">
        <w:t xml:space="preserve">. New providers may look to enter into markets if the conditions are favourable, and providers may look to exit if they are not. PHNs are able to use their influence in order to change the types of providers </w:t>
      </w:r>
      <w:r w:rsidR="005E02DA">
        <w:t xml:space="preserve">who </w:t>
      </w:r>
      <w:r w:rsidR="00F37238">
        <w:t>operate within their market</w:t>
      </w:r>
      <w:r w:rsidR="000A5EC9">
        <w:t>.</w:t>
      </w:r>
    </w:p>
    <w:p w14:paraId="19A7A086" w14:textId="00B6A503" w:rsidR="002C1385" w:rsidRDefault="00013A80" w:rsidP="00CC2A64">
      <w:pPr>
        <w:pStyle w:val="ListBullet"/>
      </w:pPr>
      <w:r>
        <w:rPr>
          <w:b/>
        </w:rPr>
        <w:t>S</w:t>
      </w:r>
      <w:r w:rsidR="00DC597B">
        <w:rPr>
          <w:b/>
        </w:rPr>
        <w:t>ensitiv</w:t>
      </w:r>
      <w:r>
        <w:rPr>
          <w:b/>
        </w:rPr>
        <w:t>ity</w:t>
      </w:r>
      <w:r w:rsidR="00DC597B">
        <w:rPr>
          <w:b/>
        </w:rPr>
        <w:t xml:space="preserve">: </w:t>
      </w:r>
      <w:r w:rsidR="00DC597B">
        <w:t xml:space="preserve">Markets can be affected by a range of different </w:t>
      </w:r>
      <w:r w:rsidR="00962319">
        <w:t>factors</w:t>
      </w:r>
      <w:r w:rsidR="00DC597B">
        <w:t xml:space="preserve"> which can encourage or discourage providers to </w:t>
      </w:r>
      <w:r w:rsidR="007B735F">
        <w:t xml:space="preserve">operate </w:t>
      </w:r>
      <w:r w:rsidR="00DC597B">
        <w:t>within them</w:t>
      </w:r>
      <w:r w:rsidR="00962319">
        <w:t xml:space="preserve">, including </w:t>
      </w:r>
      <w:r w:rsidR="00DC597B">
        <w:t>the ease of working in a market, barriers to entry, the availability of suitable workforce, financial attractiveness and the alignment of m</w:t>
      </w:r>
      <w:r w:rsidR="00F37238">
        <w:t>arkets with provider strategies</w:t>
      </w:r>
      <w:r w:rsidR="000A5EC9">
        <w:t>.</w:t>
      </w:r>
    </w:p>
    <w:p w14:paraId="24CA73C0" w14:textId="2E1210A2" w:rsidR="001F3588" w:rsidRDefault="004F0FED" w:rsidP="00CC2A64">
      <w:pPr>
        <w:pStyle w:val="ListBullet"/>
      </w:pPr>
      <w:r w:rsidRPr="00307529">
        <w:rPr>
          <w:b/>
        </w:rPr>
        <w:t>Demand is influential</w:t>
      </w:r>
      <w:r w:rsidRPr="00307529">
        <w:t xml:space="preserve">: </w:t>
      </w:r>
      <w:r>
        <w:t>Markets are sensitive to demand and will seek to respond to it. Demand can vary in terms of the variety and quantity of things required</w:t>
      </w:r>
      <w:r w:rsidR="00962319">
        <w:t xml:space="preserve">, and </w:t>
      </w:r>
      <w:r>
        <w:t>this will i</w:t>
      </w:r>
      <w:r w:rsidR="003A335F">
        <w:t>nfluence how providers respond.</w:t>
      </w:r>
    </w:p>
    <w:p w14:paraId="4EC5EDC6" w14:textId="176223D0" w:rsidR="002C1385" w:rsidRDefault="005834D0" w:rsidP="002C1385">
      <w:pPr>
        <w:pStyle w:val="Heading2"/>
      </w:pPr>
      <w:bookmarkStart w:id="20" w:name="_Toc515529495"/>
      <w:r>
        <w:t xml:space="preserve">The importance of </w:t>
      </w:r>
      <w:r w:rsidR="002C1385">
        <w:t xml:space="preserve">markets </w:t>
      </w:r>
      <w:r w:rsidR="007D53B5">
        <w:t xml:space="preserve">within </w:t>
      </w:r>
      <w:r w:rsidR="002C1385">
        <w:t>commissioning</w:t>
      </w:r>
      <w:bookmarkEnd w:id="20"/>
    </w:p>
    <w:p w14:paraId="3D4FA740" w14:textId="15F9D6DC" w:rsidR="002F0577" w:rsidRDefault="002F0577" w:rsidP="00CC2A64">
      <w:pPr>
        <w:pStyle w:val="Paragraphtext"/>
      </w:pPr>
      <w:r>
        <w:t>The commissioning cycle places a significant reliance on the role of markets</w:t>
      </w:r>
      <w:r w:rsidR="008B47C4">
        <w:t xml:space="preserve">, </w:t>
      </w:r>
      <w:r>
        <w:t xml:space="preserve">beyond their role in </w:t>
      </w:r>
      <w:r w:rsidR="001E1DEF">
        <w:t xml:space="preserve">service </w:t>
      </w:r>
      <w:r>
        <w:t>deliver</w:t>
      </w:r>
      <w:r w:rsidR="001E1DEF">
        <w:t>y</w:t>
      </w:r>
      <w:r w:rsidR="008B47C4">
        <w:t>; it also</w:t>
      </w:r>
      <w:r>
        <w:t xml:space="preserve"> includes </w:t>
      </w:r>
      <w:r w:rsidR="001E1DEF">
        <w:t xml:space="preserve">data gathering and insight sharing, and innovation, which </w:t>
      </w:r>
      <w:r>
        <w:t xml:space="preserve">collectively support the achievement of outcomes. It is therefore important that PHNs </w:t>
      </w:r>
      <w:r w:rsidR="008B47C4">
        <w:t xml:space="preserve">have a thorough </w:t>
      </w:r>
      <w:r>
        <w:t>understand</w:t>
      </w:r>
      <w:r w:rsidR="008B47C4">
        <w:t>ing of</w:t>
      </w:r>
      <w:r>
        <w:t xml:space="preserve">, </w:t>
      </w:r>
      <w:r w:rsidR="008B47C4">
        <w:t xml:space="preserve">and can effectively </w:t>
      </w:r>
      <w:r>
        <w:t xml:space="preserve">support and </w:t>
      </w:r>
      <w:r w:rsidR="008B47C4">
        <w:t>help to develop</w:t>
      </w:r>
      <w:r w:rsidR="005544C6">
        <w:t>,</w:t>
      </w:r>
      <w:r>
        <w:t xml:space="preserve"> markets. The role</w:t>
      </w:r>
      <w:r w:rsidR="00EF1E15">
        <w:t>s</w:t>
      </w:r>
      <w:r>
        <w:t xml:space="preserve"> that markets play include:</w:t>
      </w:r>
    </w:p>
    <w:p w14:paraId="579F7A86" w14:textId="3182AA9E" w:rsidR="00AA26B3" w:rsidRDefault="00AA26B3" w:rsidP="003D5106">
      <w:pPr>
        <w:pStyle w:val="ListBullet"/>
      </w:pPr>
      <w:r>
        <w:rPr>
          <w:b/>
        </w:rPr>
        <w:t xml:space="preserve">Service delivery: </w:t>
      </w:r>
      <w:r w:rsidR="00EF1E15" w:rsidRPr="00EF1E15">
        <w:t>As commissioners,</w:t>
      </w:r>
      <w:r w:rsidR="00EF1E15">
        <w:rPr>
          <w:b/>
        </w:rPr>
        <w:t xml:space="preserve"> </w:t>
      </w:r>
      <w:r>
        <w:t>PHNs are reliant on markets to provide a range of services that can be delivered to patients and communities. Without markets, PHNs would be unable to effectively discharge their role and outcomes would not be met</w:t>
      </w:r>
      <w:r w:rsidR="00001956">
        <w:t>.</w:t>
      </w:r>
    </w:p>
    <w:p w14:paraId="4BE590BA" w14:textId="516E65E5" w:rsidR="00A13A0D" w:rsidRPr="00A13A0D" w:rsidRDefault="00A13A0D" w:rsidP="003D5106">
      <w:pPr>
        <w:pStyle w:val="ListBullet"/>
        <w:rPr>
          <w:b/>
        </w:rPr>
      </w:pPr>
      <w:r w:rsidRPr="00A13A0D">
        <w:rPr>
          <w:b/>
        </w:rPr>
        <w:t>Data gather</w:t>
      </w:r>
      <w:r w:rsidR="00EF1E15">
        <w:rPr>
          <w:b/>
        </w:rPr>
        <w:t>ing</w:t>
      </w:r>
      <w:r w:rsidRPr="00A13A0D">
        <w:rPr>
          <w:b/>
        </w:rPr>
        <w:t xml:space="preserve"> / insight shar</w:t>
      </w:r>
      <w:r w:rsidR="00EF1E15">
        <w:rPr>
          <w:b/>
        </w:rPr>
        <w:t>ing</w:t>
      </w:r>
      <w:r>
        <w:rPr>
          <w:b/>
        </w:rPr>
        <w:t xml:space="preserve">: </w:t>
      </w:r>
      <w:r>
        <w:t xml:space="preserve">Commissioning places an importance of working collaboratively with the market so that PHNs can leverage the market’s insights and expertise in a range of areas. This may include providers sharing data and research, being involved in setting and confirming key priorities through a process of co-design, or in shaping </w:t>
      </w:r>
      <w:proofErr w:type="gramStart"/>
      <w:r>
        <w:t>a</w:t>
      </w:r>
      <w:r w:rsidR="00001956">
        <w:t xml:space="preserve"> </w:t>
      </w:r>
      <w:r>
        <w:t>procurement</w:t>
      </w:r>
      <w:proofErr w:type="gramEnd"/>
      <w:r>
        <w:t xml:space="preserve"> process </w:t>
      </w:r>
      <w:r w:rsidR="00F37238">
        <w:t>to ensure maximum participation</w:t>
      </w:r>
      <w:r w:rsidR="00001956">
        <w:t>.</w:t>
      </w:r>
    </w:p>
    <w:p w14:paraId="00F4BA31" w14:textId="6C8AC629" w:rsidR="002F0577" w:rsidRDefault="002F0577" w:rsidP="003D5106">
      <w:pPr>
        <w:pStyle w:val="ListBullet"/>
      </w:pPr>
      <w:r>
        <w:rPr>
          <w:b/>
        </w:rPr>
        <w:t>Innovat</w:t>
      </w:r>
      <w:r w:rsidR="00EF1E15">
        <w:rPr>
          <w:b/>
        </w:rPr>
        <w:t>ion</w:t>
      </w:r>
      <w:r>
        <w:rPr>
          <w:b/>
        </w:rPr>
        <w:t>:</w:t>
      </w:r>
      <w:r>
        <w:t xml:space="preserve"> In a commissioning cycle, PHNs are reliant on the market to develop innovative ideas with regards to how services are delivered or new ways of working. The commissioning framework </w:t>
      </w:r>
      <w:r w:rsidR="00A13A0D">
        <w:t xml:space="preserve">rebalances </w:t>
      </w:r>
      <w:r>
        <w:t xml:space="preserve">the emphasis </w:t>
      </w:r>
      <w:r w:rsidR="00A13A0D">
        <w:t>of innovation</w:t>
      </w:r>
      <w:r w:rsidR="003A335F">
        <w:t xml:space="preserve"> generation towards the market.</w:t>
      </w:r>
    </w:p>
    <w:p w14:paraId="21E08C75" w14:textId="22E0FF51" w:rsidR="00584507" w:rsidRDefault="00A13A0D" w:rsidP="00CC2A64">
      <w:pPr>
        <w:pStyle w:val="Paragraphtext"/>
      </w:pPr>
      <w:r>
        <w:t xml:space="preserve">This new perspective of markets represents a significant evolution from more historic practices where </w:t>
      </w:r>
      <w:r w:rsidR="00BE6A64">
        <w:t>they w</w:t>
      </w:r>
      <w:r>
        <w:t>ere simply required to deliver a range of specific services within defined contract</w:t>
      </w:r>
      <w:r w:rsidR="00DD6DE6">
        <w:t>s</w:t>
      </w:r>
      <w:r>
        <w:t>. Interaction with the market was more limited during this approach and heavily structured.</w:t>
      </w:r>
    </w:p>
    <w:p w14:paraId="46E58611" w14:textId="67B2AD3C" w:rsidR="002C1385" w:rsidRDefault="00E458C2" w:rsidP="00CC2A64">
      <w:pPr>
        <w:pStyle w:val="Paragraphtext"/>
      </w:pPr>
      <w:r>
        <w:t xml:space="preserve">Given the reliance that PHNs </w:t>
      </w:r>
      <w:r w:rsidR="00584507">
        <w:t>have on markets</w:t>
      </w:r>
      <w:r w:rsidR="00DD6DE6">
        <w:t>,</w:t>
      </w:r>
      <w:r w:rsidR="00584507">
        <w:t xml:space="preserve"> it is important that they are structured appropriately. The role of PHNs in shaping markets where this is not the case is</w:t>
      </w:r>
      <w:r w:rsidR="00BE6A64">
        <w:t xml:space="preserve"> a key aspect of commissioning.</w:t>
      </w:r>
      <w:r w:rsidR="00A13A0D">
        <w:t xml:space="preserve"> The collective implications for PHNs in relation to the role of markets are </w:t>
      </w:r>
      <w:r w:rsidR="003A335F">
        <w:t>summarised below.</w:t>
      </w:r>
    </w:p>
    <w:p w14:paraId="0F9ECA27" w14:textId="413495BE" w:rsidR="002F0577" w:rsidRDefault="00A13A0D" w:rsidP="003D5106">
      <w:pPr>
        <w:pStyle w:val="ListBullet"/>
      </w:pPr>
      <w:r>
        <w:t xml:space="preserve">PHNs </w:t>
      </w:r>
      <w:r w:rsidR="00DD6DE6">
        <w:t xml:space="preserve">need to </w:t>
      </w:r>
      <w:r>
        <w:t>have a clear understanding of their markets</w:t>
      </w:r>
      <w:r w:rsidR="00DD6DE6">
        <w:t>, including</w:t>
      </w:r>
      <w:r>
        <w:t xml:space="preserve"> </w:t>
      </w:r>
      <w:r w:rsidR="003F65E2">
        <w:t xml:space="preserve">knowledge of what factors influence </w:t>
      </w:r>
      <w:r w:rsidR="00DD6DE6">
        <w:t xml:space="preserve">provider </w:t>
      </w:r>
      <w:r w:rsidR="003F65E2">
        <w:t>behaviour and participation</w:t>
      </w:r>
      <w:r w:rsidR="00DD6DE6">
        <w:t xml:space="preserve"> in the commissioning process</w:t>
      </w:r>
      <w:r w:rsidR="003F65E2">
        <w:t xml:space="preserve">. </w:t>
      </w:r>
      <w:r w:rsidR="00DD6DE6">
        <w:t xml:space="preserve">As part of this, </w:t>
      </w:r>
      <w:r w:rsidR="003F65E2">
        <w:t xml:space="preserve">PHNs </w:t>
      </w:r>
      <w:r w:rsidR="00DD6DE6">
        <w:t xml:space="preserve">need to </w:t>
      </w:r>
      <w:r w:rsidR="003F65E2">
        <w:t xml:space="preserve">understand the tools and levers that they </w:t>
      </w:r>
      <w:r w:rsidR="00BE6A64">
        <w:t xml:space="preserve">can </w:t>
      </w:r>
      <w:r w:rsidR="003F65E2">
        <w:t xml:space="preserve">apply </w:t>
      </w:r>
      <w:r w:rsidR="00C25C6A">
        <w:t xml:space="preserve">to </w:t>
      </w:r>
      <w:r w:rsidR="00DD6DE6">
        <w:t xml:space="preserve">help develop </w:t>
      </w:r>
      <w:r w:rsidR="00C25C6A">
        <w:t xml:space="preserve">markets to be sustainable </w:t>
      </w:r>
      <w:r w:rsidR="00F37238">
        <w:t xml:space="preserve">and </w:t>
      </w:r>
      <w:r w:rsidR="00DD6DE6">
        <w:t xml:space="preserve">capable of effectively delivering the services and </w:t>
      </w:r>
      <w:r w:rsidR="00F37238">
        <w:t>outcomes sought</w:t>
      </w:r>
      <w:r w:rsidR="000A5EC9">
        <w:t>.</w:t>
      </w:r>
    </w:p>
    <w:p w14:paraId="7544BF55" w14:textId="19617164" w:rsidR="003F65E2" w:rsidRDefault="003F65E2" w:rsidP="003D5106">
      <w:pPr>
        <w:pStyle w:val="ListBullet"/>
      </w:pPr>
      <w:r>
        <w:t>PHNs</w:t>
      </w:r>
      <w:r w:rsidR="00DD6DE6">
        <w:t>’</w:t>
      </w:r>
      <w:r>
        <w:t xml:space="preserve"> interactions with their markets </w:t>
      </w:r>
      <w:r w:rsidR="00DD6DE6">
        <w:t xml:space="preserve">need to </w:t>
      </w:r>
      <w:r>
        <w:t>go beyond formal procurement process</w:t>
      </w:r>
      <w:r w:rsidR="00DD6DE6">
        <w:t xml:space="preserve">es, and </w:t>
      </w:r>
      <w:r>
        <w:t xml:space="preserve">occur through each stage of the commissioning </w:t>
      </w:r>
      <w:r w:rsidR="0047757B">
        <w:t>framework</w:t>
      </w:r>
      <w:r w:rsidR="000A5EC9">
        <w:t>.</w:t>
      </w:r>
    </w:p>
    <w:p w14:paraId="73AC973F" w14:textId="4A47DB39" w:rsidR="003F65E2" w:rsidRDefault="00DD6DE6" w:rsidP="003D5106">
      <w:pPr>
        <w:pStyle w:val="ListBullet"/>
      </w:pPr>
      <w:r>
        <w:lastRenderedPageBreak/>
        <w:t>T</w:t>
      </w:r>
      <w:r w:rsidR="003F65E2">
        <w:t xml:space="preserve">he relationship between PHNs and the market needs to </w:t>
      </w:r>
      <w:r w:rsidR="00BE6A64">
        <w:t xml:space="preserve">evolve </w:t>
      </w:r>
      <w:r w:rsidR="003F65E2">
        <w:t>to be more collaborative and iterative</w:t>
      </w:r>
      <w:r>
        <w:t>, rather than just transactional</w:t>
      </w:r>
      <w:r w:rsidR="003F65E2">
        <w:t>. In many ways, PHNs need to consider the market as a valued partner who they will work closely with to achieve their goal</w:t>
      </w:r>
      <w:r>
        <w:t>s</w:t>
      </w:r>
      <w:r w:rsidR="003F65E2">
        <w:t>. To facilitate this, providers will also need to evolve their understand</w:t>
      </w:r>
      <w:r w:rsidR="00584507">
        <w:t>ing of how they work with PHNs</w:t>
      </w:r>
      <w:r>
        <w:t xml:space="preserve">; and </w:t>
      </w:r>
      <w:r w:rsidR="00584507">
        <w:t xml:space="preserve">PHNs will need to play a leading role </w:t>
      </w:r>
      <w:r>
        <w:t>by working with providers to</w:t>
      </w:r>
      <w:r w:rsidR="005544C6">
        <w:t xml:space="preserve"> help</w:t>
      </w:r>
      <w:r>
        <w:t xml:space="preserve"> build their capability in responding to PHNs’ commissioning processes</w:t>
      </w:r>
      <w:r w:rsidR="000A5EC9">
        <w:t>.</w:t>
      </w:r>
    </w:p>
    <w:p w14:paraId="271BB7D9" w14:textId="5EC24A0D" w:rsidR="00C25C6A" w:rsidRDefault="00C25C6A" w:rsidP="003D5106">
      <w:pPr>
        <w:pStyle w:val="ListBullet"/>
      </w:pPr>
      <w:r>
        <w:t>PHNs n</w:t>
      </w:r>
      <w:r w:rsidR="00AA26B3">
        <w:t>eed to have an understanding of</w:t>
      </w:r>
      <w:r>
        <w:t xml:space="preserve"> </w:t>
      </w:r>
      <w:r w:rsidR="00DD6DE6">
        <w:t xml:space="preserve">good </w:t>
      </w:r>
      <w:r>
        <w:t xml:space="preserve">practice </w:t>
      </w:r>
      <w:r w:rsidR="00D32809">
        <w:t xml:space="preserve">and clinical governance </w:t>
      </w:r>
      <w:r w:rsidR="00DD6DE6">
        <w:t xml:space="preserve">in primary health care service delivery, to help support commissioning of quality services that meet the needs of </w:t>
      </w:r>
      <w:r w:rsidR="00F37238">
        <w:t xml:space="preserve">the </w:t>
      </w:r>
      <w:r w:rsidR="00602E8B">
        <w:t xml:space="preserve">people in their </w:t>
      </w:r>
      <w:r w:rsidR="00CF2ABE">
        <w:t>regions</w:t>
      </w:r>
      <w:r w:rsidR="000A5EC9">
        <w:t>.</w:t>
      </w:r>
    </w:p>
    <w:p w14:paraId="091AF4AC" w14:textId="65E9D039" w:rsidR="003F65E2" w:rsidRDefault="003F65E2" w:rsidP="003D5106">
      <w:pPr>
        <w:pStyle w:val="ListBullet"/>
      </w:pPr>
      <w:r>
        <w:t xml:space="preserve">PHNs </w:t>
      </w:r>
      <w:r w:rsidR="00634D23">
        <w:t>should take into account</w:t>
      </w:r>
      <w:r>
        <w:t xml:space="preserve"> the </w:t>
      </w:r>
      <w:r w:rsidR="00634D23">
        <w:t xml:space="preserve">perspectives, suggestions, </w:t>
      </w:r>
      <w:r>
        <w:t>concerns</w:t>
      </w:r>
      <w:r w:rsidR="00634D23">
        <w:t xml:space="preserve"> and</w:t>
      </w:r>
      <w:r>
        <w:t xml:space="preserve"> issues </w:t>
      </w:r>
      <w:proofErr w:type="gramStart"/>
      <w:r>
        <w:t>raised</w:t>
      </w:r>
      <w:proofErr w:type="gramEnd"/>
      <w:r>
        <w:t xml:space="preserve"> </w:t>
      </w:r>
      <w:r w:rsidR="00634D23">
        <w:t xml:space="preserve">by </w:t>
      </w:r>
      <w:r w:rsidR="00F37238">
        <w:t>the market</w:t>
      </w:r>
      <w:r w:rsidR="00634D23">
        <w:t xml:space="preserve">, </w:t>
      </w:r>
      <w:r w:rsidR="00602E8B">
        <w:t xml:space="preserve">and consider ways to respond to these issues </w:t>
      </w:r>
      <w:r w:rsidR="00634D23">
        <w:t>as part of their mar</w:t>
      </w:r>
      <w:r w:rsidR="00CF2ABE">
        <w:t>ket making and development role</w:t>
      </w:r>
      <w:r w:rsidR="000A5EC9">
        <w:t>.</w:t>
      </w:r>
    </w:p>
    <w:p w14:paraId="0F797358" w14:textId="55E60DF2" w:rsidR="002F0577" w:rsidRPr="00C25C6A" w:rsidRDefault="00602E8B" w:rsidP="003D5106">
      <w:pPr>
        <w:pStyle w:val="ListBullet"/>
      </w:pPr>
      <w:r w:rsidRPr="00137B76">
        <w:t xml:space="preserve">PHNs should also </w:t>
      </w:r>
      <w:r>
        <w:t xml:space="preserve">give consideration to how to </w:t>
      </w:r>
      <w:r w:rsidRPr="00137B76">
        <w:t xml:space="preserve">market themselves as </w:t>
      </w:r>
      <w:r>
        <w:t>organisations</w:t>
      </w:r>
      <w:r w:rsidRPr="00137B76">
        <w:t xml:space="preserve"> that </w:t>
      </w:r>
      <w:r>
        <w:t>are</w:t>
      </w:r>
      <w:r w:rsidRPr="00137B76">
        <w:t xml:space="preserve"> </w:t>
      </w:r>
      <w:r w:rsidR="0036230C">
        <w:t xml:space="preserve">professional and </w:t>
      </w:r>
      <w:r w:rsidRPr="00137B76">
        <w:t>attractive to do business with</w:t>
      </w:r>
      <w:r w:rsidR="006C01F5">
        <w:t>. It is also important that PHNs recognise that p</w:t>
      </w:r>
      <w:r w:rsidR="003F65E2" w:rsidRPr="00C25C6A">
        <w:t xml:space="preserve">roviders </w:t>
      </w:r>
      <w:r w:rsidR="006C01F5">
        <w:t xml:space="preserve">can exercise </w:t>
      </w:r>
      <w:r w:rsidR="00BE6A64">
        <w:t>choice</w:t>
      </w:r>
      <w:r w:rsidR="006C01F5">
        <w:t>, and</w:t>
      </w:r>
      <w:r w:rsidR="005544C6">
        <w:t xml:space="preserve"> may </w:t>
      </w:r>
      <w:r w:rsidR="003F65E2" w:rsidRPr="00C25C6A">
        <w:t xml:space="preserve">leave the market if they </w:t>
      </w:r>
      <w:r w:rsidR="006C01F5">
        <w:t>consider that bette</w:t>
      </w:r>
      <w:r w:rsidR="00CF2ABE">
        <w:t>r opportunities exist elsewhere</w:t>
      </w:r>
      <w:r w:rsidR="000A5EC9">
        <w:t>.</w:t>
      </w:r>
    </w:p>
    <w:p w14:paraId="417AB968" w14:textId="01317954" w:rsidR="00BE6A64" w:rsidRDefault="0072348A" w:rsidP="003D5106">
      <w:pPr>
        <w:pStyle w:val="ListBullet"/>
      </w:pPr>
      <w:r>
        <w:t xml:space="preserve">In discharging their </w:t>
      </w:r>
      <w:r w:rsidR="00C25C6A" w:rsidRPr="00C25C6A">
        <w:t xml:space="preserve">market </w:t>
      </w:r>
      <w:r>
        <w:t xml:space="preserve">making and development role, PHNs need to consider how to ensure that primary health care services that are commissioned </w:t>
      </w:r>
      <w:r w:rsidR="00B57B61">
        <w:t xml:space="preserve">for </w:t>
      </w:r>
      <w:r w:rsidR="00AE6C40" w:rsidRPr="00C25C6A">
        <w:t>Aboriginal and Torres Strait Islander people</w:t>
      </w:r>
      <w:r w:rsidR="0047757B">
        <w:t xml:space="preserve"> and communities</w:t>
      </w:r>
      <w:r w:rsidR="00B57B61">
        <w:t xml:space="preserve"> </w:t>
      </w:r>
      <w:r w:rsidR="005544C6">
        <w:t xml:space="preserve">are </w:t>
      </w:r>
      <w:r w:rsidR="00B57B61">
        <w:t>cultural</w:t>
      </w:r>
      <w:r>
        <w:t>ly</w:t>
      </w:r>
      <w:r w:rsidR="00B57B61">
        <w:t xml:space="preserve"> </w:t>
      </w:r>
      <w:r>
        <w:t xml:space="preserve">appropriate </w:t>
      </w:r>
      <w:r w:rsidR="00B57B61">
        <w:t>and cultural</w:t>
      </w:r>
      <w:r>
        <w:t>ly</w:t>
      </w:r>
      <w:r w:rsidR="00B57B61">
        <w:t xml:space="preserve"> safe</w:t>
      </w:r>
      <w:r w:rsidR="00C25C6A" w:rsidRPr="00C25C6A">
        <w:t>.</w:t>
      </w:r>
      <w:r w:rsidR="00BE6A64" w:rsidRPr="00BE6A64">
        <w:t xml:space="preserve"> </w:t>
      </w:r>
    </w:p>
    <w:p w14:paraId="623404A6" w14:textId="792C7085" w:rsidR="00AE6C40" w:rsidRDefault="00BE6A64" w:rsidP="00CC2A64">
      <w:pPr>
        <w:pStyle w:val="Paragraphtext"/>
      </w:pPr>
      <w:r>
        <w:t>It should be noted that wi</w:t>
      </w:r>
      <w:r w:rsidR="00736B90">
        <w:t xml:space="preserve">thin an </w:t>
      </w:r>
      <w:r w:rsidR="005544C6">
        <w:t xml:space="preserve">outcomes based commissioning </w:t>
      </w:r>
      <w:r>
        <w:t>environment, the expectation of markets is consistent with this contemporary view. In addition however, the expectation of the participation of markets in each of these stage</w:t>
      </w:r>
      <w:r w:rsidR="0036230C">
        <w:t>s</w:t>
      </w:r>
      <w:r>
        <w:t xml:space="preserve"> is potentially greater, with markets also expected to be transferred a greater degree of risk</w:t>
      </w:r>
      <w:r w:rsidR="0036230C">
        <w:t>,</w:t>
      </w:r>
      <w:r>
        <w:t xml:space="preserve"> and to have </w:t>
      </w:r>
      <w:r w:rsidR="00C25E94">
        <w:t>a proportion</w:t>
      </w:r>
      <w:r>
        <w:t xml:space="preserve"> of their reward linked to overall performance.</w:t>
      </w:r>
    </w:p>
    <w:p w14:paraId="6E5525C5" w14:textId="1E571855" w:rsidR="002C1385" w:rsidRDefault="0036230C" w:rsidP="002C1385">
      <w:pPr>
        <w:pStyle w:val="Heading2"/>
      </w:pPr>
      <w:bookmarkStart w:id="21" w:name="_Toc515529496"/>
      <w:r>
        <w:t xml:space="preserve">Market implications of </w:t>
      </w:r>
      <w:r w:rsidR="00C25E94">
        <w:t xml:space="preserve">incorporating </w:t>
      </w:r>
      <w:r>
        <w:t>outcomes based approaches</w:t>
      </w:r>
      <w:bookmarkEnd w:id="21"/>
    </w:p>
    <w:p w14:paraId="16DFB3AF" w14:textId="4930E19F" w:rsidR="0036230C" w:rsidRDefault="0036230C" w:rsidP="00CC2A64">
      <w:pPr>
        <w:pStyle w:val="Paragraphtext"/>
      </w:pPr>
      <w:r w:rsidRPr="001827FF">
        <w:t xml:space="preserve">Moving to </w:t>
      </w:r>
      <w:r w:rsidR="00C25E94">
        <w:t xml:space="preserve">incorporate </w:t>
      </w:r>
      <w:r w:rsidRPr="001827FF">
        <w:t xml:space="preserve">commissioning for outcomes has significant market implications in terms of how providers see and respond to opportunities. PHNs should </w:t>
      </w:r>
      <w:r>
        <w:t>give particular consideration to</w:t>
      </w:r>
      <w:r w:rsidRPr="001827FF">
        <w:t xml:space="preserve"> these factors</w:t>
      </w:r>
      <w:r>
        <w:t>, which</w:t>
      </w:r>
      <w:r w:rsidRPr="001827FF">
        <w:t xml:space="preserve"> include:</w:t>
      </w:r>
    </w:p>
    <w:p w14:paraId="1EFCF840" w14:textId="08769BFB" w:rsidR="0036230C" w:rsidRDefault="00CF2ABE" w:rsidP="003D5106">
      <w:pPr>
        <w:pStyle w:val="ListBullet"/>
      </w:pPr>
      <w:r>
        <w:t>A</w:t>
      </w:r>
      <w:r w:rsidR="0036230C">
        <w:t xml:space="preserve"> lack of understanding and experience on the</w:t>
      </w:r>
      <w:r w:rsidR="00486BF6">
        <w:t xml:space="preserve"> part of many current providers</w:t>
      </w:r>
      <w:r w:rsidR="002C00CF">
        <w:t>.</w:t>
      </w:r>
    </w:p>
    <w:p w14:paraId="69CC6126" w14:textId="494AAA60" w:rsidR="0036230C" w:rsidRDefault="00CF2ABE" w:rsidP="003D5106">
      <w:pPr>
        <w:pStyle w:val="ListBullet"/>
      </w:pPr>
      <w:r>
        <w:t>T</w:t>
      </w:r>
      <w:r w:rsidR="0036230C">
        <w:t xml:space="preserve">he market adapting to </w:t>
      </w:r>
      <w:proofErr w:type="gramStart"/>
      <w:r w:rsidR="0036230C">
        <w:t>who</w:t>
      </w:r>
      <w:proofErr w:type="gramEnd"/>
      <w:r w:rsidR="0036230C">
        <w:t xml:space="preserve"> is specifying and shaping solutions (a role that shifts more f</w:t>
      </w:r>
      <w:r>
        <w:t>rom commissioners to providers)</w:t>
      </w:r>
      <w:r w:rsidR="002C00CF">
        <w:t>.</w:t>
      </w:r>
    </w:p>
    <w:p w14:paraId="60B7EDF5" w14:textId="5076F592" w:rsidR="0036230C" w:rsidRDefault="00CF2ABE" w:rsidP="003D5106">
      <w:pPr>
        <w:pStyle w:val="ListBullet"/>
      </w:pPr>
      <w:r>
        <w:t>A</w:t>
      </w:r>
      <w:r w:rsidR="005544C6">
        <w:t xml:space="preserve"> greater</w:t>
      </w:r>
      <w:r w:rsidR="0036230C">
        <w:t xml:space="preserve"> level of risk transfer from commissioners to providers, as an inherent par</w:t>
      </w:r>
      <w:r>
        <w:t>t of commissioning for outcomes</w:t>
      </w:r>
      <w:r w:rsidR="002C00CF">
        <w:t>.</w:t>
      </w:r>
    </w:p>
    <w:p w14:paraId="0B30B336" w14:textId="7EB7D3ED" w:rsidR="0036230C" w:rsidRDefault="00CF2ABE" w:rsidP="003D5106">
      <w:pPr>
        <w:pStyle w:val="ListBullet"/>
      </w:pPr>
      <w:r>
        <w:t>O</w:t>
      </w:r>
      <w:r w:rsidR="0036230C">
        <w:t xml:space="preserve">ver time, </w:t>
      </w:r>
      <w:r w:rsidR="00C25E94">
        <w:t xml:space="preserve">moving towards incorporating </w:t>
      </w:r>
      <w:r w:rsidR="00D32809">
        <w:t>commissioning for</w:t>
      </w:r>
      <w:r w:rsidR="0036230C">
        <w:t xml:space="preserve"> outcomes</w:t>
      </w:r>
      <w:r w:rsidR="00C25E94">
        <w:t xml:space="preserve">, </w:t>
      </w:r>
      <w:r w:rsidR="00D32809">
        <w:t xml:space="preserve">rather than just </w:t>
      </w:r>
      <w:r w:rsidR="0036230C">
        <w:t>defined units</w:t>
      </w:r>
      <w:r>
        <w:t xml:space="preserve"> or occasions of fixed services</w:t>
      </w:r>
      <w:r w:rsidR="002C00CF">
        <w:t>.</w:t>
      </w:r>
    </w:p>
    <w:p w14:paraId="54F813CD" w14:textId="6178644A" w:rsidR="0036230C" w:rsidRDefault="00CF2ABE" w:rsidP="003D5106">
      <w:pPr>
        <w:pStyle w:val="ListBullet"/>
      </w:pPr>
      <w:r>
        <w:t>P</w:t>
      </w:r>
      <w:r w:rsidR="0036230C">
        <w:t xml:space="preserve">ayment mechanisms – </w:t>
      </w:r>
      <w:r w:rsidR="00C25E94">
        <w:t xml:space="preserve">seeking to </w:t>
      </w:r>
      <w:r w:rsidR="0036230C">
        <w:t>shift from volume to value</w:t>
      </w:r>
      <w:r w:rsidR="00021018">
        <w:t>.</w:t>
      </w:r>
    </w:p>
    <w:p w14:paraId="736ACD44" w14:textId="383A56B3" w:rsidR="004958E3" w:rsidRPr="003D5106" w:rsidRDefault="001E0A14" w:rsidP="00E73531">
      <w:pPr>
        <w:pStyle w:val="Paragraphtext"/>
      </w:pPr>
      <w:r>
        <w:t>T</w:t>
      </w:r>
      <w:r w:rsidR="0036230C">
        <w:t>hese</w:t>
      </w:r>
      <w:r>
        <w:t xml:space="preserve"> and other</w:t>
      </w:r>
      <w:r w:rsidR="0036230C">
        <w:t xml:space="preserve"> considerations </w:t>
      </w:r>
      <w:r>
        <w:t>are explored further</w:t>
      </w:r>
      <w:r w:rsidR="0036230C">
        <w:t xml:space="preserve"> in the </w:t>
      </w:r>
      <w:r w:rsidR="00C42225">
        <w:t xml:space="preserve">2018 </w:t>
      </w:r>
      <w:r w:rsidR="0036230C" w:rsidRPr="00407F82">
        <w:rPr>
          <w:i/>
        </w:rPr>
        <w:t>Commissioning for Outcomes</w:t>
      </w:r>
      <w:r w:rsidR="00BF2053">
        <w:rPr>
          <w:i/>
        </w:rPr>
        <w:t xml:space="preserve"> Discussion Paper</w:t>
      </w:r>
      <w:r w:rsidR="00C25E94">
        <w:rPr>
          <w:rStyle w:val="FootnoteReference"/>
          <w:i/>
        </w:rPr>
        <w:footnoteReference w:id="6"/>
      </w:r>
      <w:r w:rsidR="0036230C">
        <w:t>.</w:t>
      </w:r>
    </w:p>
    <w:p w14:paraId="06B942E5" w14:textId="7ECF57DE" w:rsidR="00307529" w:rsidRDefault="00307529" w:rsidP="00307529">
      <w:pPr>
        <w:pStyle w:val="Heading2"/>
      </w:pPr>
      <w:bookmarkStart w:id="22" w:name="_Toc515529497"/>
      <w:r>
        <w:lastRenderedPageBreak/>
        <w:t>Supporting Aboriginal and Torres Strait Islander people and communities</w:t>
      </w:r>
      <w:bookmarkEnd w:id="22"/>
    </w:p>
    <w:p w14:paraId="33DE8FEC" w14:textId="1DD22BE6" w:rsidR="00307529" w:rsidRPr="00C441D0" w:rsidRDefault="00307529" w:rsidP="00CC2A64">
      <w:pPr>
        <w:pStyle w:val="Paragraphtext"/>
      </w:pPr>
      <w:r w:rsidRPr="00C441D0">
        <w:t>At every contact point with the health system, the opportunity exists to provide care that is culturally safe, high quality, responsive and accessible for all Aboriginal and Torres Strait Islander people</w:t>
      </w:r>
      <w:r>
        <w:t xml:space="preserve"> and communities</w:t>
      </w:r>
      <w:r w:rsidRPr="00C441D0">
        <w:t>. All services delivering primary health care at the local, regional and state levels should seek to optimise their engagement and involvement with Aboriginal and Torres Strait Islander peo</w:t>
      </w:r>
      <w:r w:rsidR="003A335F">
        <w:t>ple to improve health outcomes.</w:t>
      </w:r>
    </w:p>
    <w:p w14:paraId="7C4417EA" w14:textId="77777777" w:rsidR="00307529" w:rsidRPr="00C441D0" w:rsidRDefault="00307529" w:rsidP="00CC2A64">
      <w:pPr>
        <w:pStyle w:val="Paragraphtext"/>
      </w:pPr>
      <w:r w:rsidRPr="00C441D0">
        <w:t>PHNs should take into account the Guiding Principles</w:t>
      </w:r>
      <w:r>
        <w:rPr>
          <w:rStyle w:val="FootnoteReference"/>
        </w:rPr>
        <w:footnoteReference w:id="7"/>
      </w:r>
      <w:r w:rsidRPr="00C441D0">
        <w:t xml:space="preserve"> which recognise the commitment by PHNs and ACCHS to work together to improve access to health services and improve health outcomes for Aboriginal and Torres Strait Islander people</w:t>
      </w:r>
      <w:r>
        <w:t xml:space="preserve"> and communities</w:t>
      </w:r>
      <w:r w:rsidRPr="00C441D0">
        <w:t>. The Guiding Principles were deve</w:t>
      </w:r>
      <w:r>
        <w:t>loped in consultation with ACCHS</w:t>
      </w:r>
      <w:r w:rsidRPr="00C441D0">
        <w:t xml:space="preserve">s and PHNs. The Guiding Principles provide guidance for actions to be taken by each party across </w:t>
      </w:r>
      <w:r>
        <w:t>the following</w:t>
      </w:r>
      <w:r w:rsidRPr="00C441D0">
        <w:t xml:space="preserve"> key domains: Closing the Gap, cultural competency, commissioning, engagement and representation, accountability, data and reporting, service delivery, and research.</w:t>
      </w:r>
      <w:r>
        <w:rPr>
          <w:rStyle w:val="FootnoteReference"/>
        </w:rPr>
        <w:footnoteReference w:id="8"/>
      </w:r>
    </w:p>
    <w:p w14:paraId="42E39183" w14:textId="3BF7E389" w:rsidR="00307529" w:rsidRPr="00307529" w:rsidRDefault="00307529" w:rsidP="00CC2A64">
      <w:pPr>
        <w:pStyle w:val="Paragraphtext"/>
      </w:pPr>
      <w:r w:rsidRPr="00C441D0">
        <w:t>Commissioning for services or outcomes should be considered through the eyes of the service recipients. This is particularly important in commissioning services for Aboriginal and</w:t>
      </w:r>
      <w:r>
        <w:t xml:space="preserve"> Torres Strait Islander people and communities. Market assessment should include criteria for cultural awareness, cultural competency and cultural safety.</w:t>
      </w:r>
    </w:p>
    <w:p w14:paraId="36D749DE" w14:textId="77777777" w:rsidR="005F08FC" w:rsidRPr="00B43597" w:rsidRDefault="005F08FC" w:rsidP="005F08FC">
      <w:pPr>
        <w:pStyle w:val="Heading2"/>
      </w:pPr>
      <w:bookmarkStart w:id="23" w:name="_Toc515529498"/>
      <w:r w:rsidRPr="00166499">
        <w:t>Secur</w:t>
      </w:r>
      <w:r w:rsidRPr="00CE0CF8">
        <w:t>ing probity and avoiding conflicts of interest in dealing with market providers</w:t>
      </w:r>
      <w:bookmarkEnd w:id="23"/>
    </w:p>
    <w:p w14:paraId="4A3084DC" w14:textId="6351A003" w:rsidR="005F08FC" w:rsidRDefault="005F08FC" w:rsidP="00CC2A64">
      <w:pPr>
        <w:pStyle w:val="Paragraphtext"/>
      </w:pPr>
      <w:r>
        <w:t xml:space="preserve">PHNs are </w:t>
      </w:r>
      <w:r w:rsidR="009B2D87">
        <w:t>required to ensure that their commissioning activities are conducted with</w:t>
      </w:r>
      <w:r w:rsidR="002B2D32">
        <w:t xml:space="preserve"> appropriate</w:t>
      </w:r>
      <w:r w:rsidR="009B2D87">
        <w:t xml:space="preserve"> probity arrangements. This will help </w:t>
      </w:r>
      <w:r w:rsidR="002B2D32">
        <w:t xml:space="preserve">to </w:t>
      </w:r>
      <w:r w:rsidR="009B2D87">
        <w:t xml:space="preserve">ensure best practice and minimise associated risks. </w:t>
      </w:r>
      <w:r>
        <w:t xml:space="preserve">Some of the areas where these issues need </w:t>
      </w:r>
      <w:r w:rsidR="009B2D87">
        <w:t xml:space="preserve">consideration </w:t>
      </w:r>
      <w:r w:rsidR="00887C56">
        <w:t>are listed below.</w:t>
      </w:r>
    </w:p>
    <w:p w14:paraId="4265B7AD" w14:textId="08EADDC3" w:rsidR="005F08FC" w:rsidRDefault="005F08FC" w:rsidP="00CC2A64">
      <w:pPr>
        <w:pStyle w:val="ListBullet"/>
      </w:pPr>
      <w:r>
        <w:t xml:space="preserve">Ensuring </w:t>
      </w:r>
      <w:r w:rsidR="009B2D87">
        <w:t xml:space="preserve">appropriate levels of </w:t>
      </w:r>
      <w:r>
        <w:t>openness and transp</w:t>
      </w:r>
      <w:r w:rsidR="00CF2ABE">
        <w:t>arency in all that the PHN does</w:t>
      </w:r>
      <w:r w:rsidR="00E73531">
        <w:t>.</w:t>
      </w:r>
    </w:p>
    <w:p w14:paraId="534433D3" w14:textId="354A3FE2" w:rsidR="005F08FC" w:rsidRDefault="009B2D87" w:rsidP="00CC2A64">
      <w:pPr>
        <w:pStyle w:val="ListBullet"/>
      </w:pPr>
      <w:r>
        <w:t xml:space="preserve">Ensuring that during </w:t>
      </w:r>
      <w:r w:rsidR="005F08FC">
        <w:t xml:space="preserve">engagement </w:t>
      </w:r>
      <w:r>
        <w:t>activities, confli</w:t>
      </w:r>
      <w:r w:rsidR="00CF2ABE">
        <w:t>cts of interest are not created</w:t>
      </w:r>
      <w:r w:rsidR="00E73531">
        <w:t>.</w:t>
      </w:r>
    </w:p>
    <w:p w14:paraId="7A850688" w14:textId="7C8183DC" w:rsidR="005F08FC" w:rsidRDefault="009B2D87" w:rsidP="00CC2A64">
      <w:pPr>
        <w:pStyle w:val="ListBullet"/>
      </w:pPr>
      <w:r>
        <w:t xml:space="preserve">Ensuring that during </w:t>
      </w:r>
      <w:r w:rsidR="005F08FC">
        <w:t xml:space="preserve">market soundings </w:t>
      </w:r>
      <w:r>
        <w:t>processes, probity gu</w:t>
      </w:r>
      <w:r w:rsidR="00CF2ABE">
        <w:t>idance is sought and adhered to</w:t>
      </w:r>
      <w:r w:rsidR="00E73531">
        <w:t>.</w:t>
      </w:r>
    </w:p>
    <w:p w14:paraId="5C588A4A" w14:textId="0FAC890F" w:rsidR="005F08FC" w:rsidRDefault="00FC19B8" w:rsidP="00CC2A64">
      <w:pPr>
        <w:pStyle w:val="ListBullet"/>
      </w:pPr>
      <w:r>
        <w:t>In c</w:t>
      </w:r>
      <w:r w:rsidR="005F08FC">
        <w:t>o-creation/</w:t>
      </w:r>
      <w:r w:rsidR="002B2D32">
        <w:t>co-</w:t>
      </w:r>
      <w:r w:rsidR="005F08FC">
        <w:t>design</w:t>
      </w:r>
      <w:r>
        <w:t>, where</w:t>
      </w:r>
      <w:r w:rsidR="005F08FC">
        <w:t xml:space="preserve"> PHNs can work with multiple providers to jointly derive solutions either within or outside of the formal procurement process</w:t>
      </w:r>
      <w:r>
        <w:t>, probity is also particularly important</w:t>
      </w:r>
      <w:r w:rsidR="005F08FC">
        <w:t xml:space="preserve">. </w:t>
      </w:r>
      <w:r w:rsidR="009B2D87">
        <w:t xml:space="preserve">Equally, PHNs may need to consider how to ensure the intellectual property of providers is protected. </w:t>
      </w:r>
      <w:r>
        <w:t>(</w:t>
      </w:r>
      <w:r w:rsidR="005F08FC">
        <w:t xml:space="preserve">Further advice </w:t>
      </w:r>
      <w:r>
        <w:t xml:space="preserve">on this </w:t>
      </w:r>
      <w:r w:rsidR="005F08FC">
        <w:t xml:space="preserve">was provided in </w:t>
      </w:r>
      <w:r w:rsidR="005F08FC" w:rsidRPr="00836DAB">
        <w:t xml:space="preserve">the </w:t>
      </w:r>
      <w:r w:rsidR="005F08FC" w:rsidRPr="008A7198">
        <w:t>2016</w:t>
      </w:r>
      <w:r w:rsidR="005F08FC" w:rsidRPr="00172BC6">
        <w:rPr>
          <w:i/>
        </w:rPr>
        <w:t xml:space="preserve"> Designing and Contracting Services Guidance</w:t>
      </w:r>
      <w:r w:rsidR="005F08FC">
        <w:rPr>
          <w:rStyle w:val="FootnoteReference"/>
        </w:rPr>
        <w:footnoteReference w:id="9"/>
      </w:r>
      <w:r>
        <w:t>)</w:t>
      </w:r>
      <w:r w:rsidR="00E73531">
        <w:t>.</w:t>
      </w:r>
    </w:p>
    <w:p w14:paraId="109CA064" w14:textId="6912BAC5" w:rsidR="001F3588" w:rsidRDefault="005F08FC" w:rsidP="00E73531">
      <w:pPr>
        <w:pStyle w:val="ListBullet"/>
        <w:numPr>
          <w:ilvl w:val="0"/>
          <w:numId w:val="0"/>
        </w:numPr>
        <w:spacing w:before="240"/>
      </w:pPr>
      <w:r>
        <w:t>Responsibility for these areas within the PHN needs to be agreed</w:t>
      </w:r>
      <w:r w:rsidR="009B2D87">
        <w:t xml:space="preserve"> and</w:t>
      </w:r>
      <w:r>
        <w:t xml:space="preserve"> documented as part of </w:t>
      </w:r>
      <w:r w:rsidR="00CF2ABE">
        <w:t>overall governance arrangements</w:t>
      </w:r>
      <w:r w:rsidR="00E73531">
        <w:t>.</w:t>
      </w:r>
    </w:p>
    <w:p w14:paraId="1177CA75" w14:textId="57B89712" w:rsidR="002C1385" w:rsidRPr="00056627" w:rsidRDefault="009F5D1F" w:rsidP="00056627">
      <w:pPr>
        <w:pStyle w:val="Heading1"/>
      </w:pPr>
      <w:bookmarkStart w:id="24" w:name="_Toc515529499"/>
      <w:r w:rsidRPr="00056627">
        <w:lastRenderedPageBreak/>
        <w:t>A</w:t>
      </w:r>
      <w:r w:rsidR="0023645F">
        <w:t>nalysing markets</w:t>
      </w:r>
      <w:bookmarkEnd w:id="24"/>
      <w:r w:rsidR="0023645F">
        <w:t xml:space="preserve"> </w:t>
      </w:r>
    </w:p>
    <w:p w14:paraId="3073BF88" w14:textId="73E7CF30" w:rsidR="002C1385" w:rsidRDefault="009F5D1F" w:rsidP="009F5D1F">
      <w:pPr>
        <w:pStyle w:val="Heading2"/>
      </w:pPr>
      <w:bookmarkStart w:id="25" w:name="_Toc515529500"/>
      <w:r>
        <w:t>The role and importance of market analysis</w:t>
      </w:r>
      <w:bookmarkEnd w:id="25"/>
    </w:p>
    <w:p w14:paraId="6A78ACBC" w14:textId="5EDA0EA3" w:rsidR="000F6B76" w:rsidRDefault="000F6B76" w:rsidP="00CC2A64">
      <w:pPr>
        <w:pStyle w:val="Paragraphtext"/>
      </w:pPr>
      <w:r>
        <w:t xml:space="preserve">Markets </w:t>
      </w:r>
      <w:r w:rsidR="00021705">
        <w:t xml:space="preserve">can be </w:t>
      </w:r>
      <w:r>
        <w:t>complex and heterogeneous across PHN regions. PHNs have a role in understanding this variability and responding accordingly, including in service or outcome specifics (e.g. mental health) and geographies (rural, remote and metropolitan). This also includes understanding the dynamics around specific populations including Aboriginal and Torres Strait Islander people</w:t>
      </w:r>
      <w:r w:rsidR="00790123">
        <w:t xml:space="preserve"> and communities</w:t>
      </w:r>
      <w:r w:rsidR="00187AD3">
        <w:t>,</w:t>
      </w:r>
      <w:r w:rsidR="00B57B61">
        <w:t xml:space="preserve"> to ensure commissioned activities</w:t>
      </w:r>
      <w:r>
        <w:t xml:space="preserve"> are culturally saf</w:t>
      </w:r>
      <w:r w:rsidR="00B57B61">
        <w:t>e and appropriate and meet</w:t>
      </w:r>
      <w:r>
        <w:t xml:space="preserve"> particular needs.</w:t>
      </w:r>
    </w:p>
    <w:p w14:paraId="5D553380" w14:textId="4E870FC7" w:rsidR="00187AD3" w:rsidRDefault="00584507" w:rsidP="00CC2A64">
      <w:pPr>
        <w:pStyle w:val="Paragraphtext"/>
      </w:pPr>
      <w:r>
        <w:t>Given the broad role that markets play in supporting the effectiveness of PHNs, it is critical that PHNs have a good understand</w:t>
      </w:r>
      <w:r w:rsidR="00790123">
        <w:t>ing</w:t>
      </w:r>
      <w:r>
        <w:t xml:space="preserve"> of markets</w:t>
      </w:r>
      <w:r w:rsidR="00187AD3">
        <w:t xml:space="preserve">, and that they are able to help </w:t>
      </w:r>
      <w:r w:rsidR="00BE6A64">
        <w:t xml:space="preserve">shape </w:t>
      </w:r>
      <w:r>
        <w:t>the</w:t>
      </w:r>
      <w:r w:rsidR="00187AD3">
        <w:t>ir</w:t>
      </w:r>
      <w:r>
        <w:t xml:space="preserve"> structure to better meet the overall needs of </w:t>
      </w:r>
      <w:r w:rsidR="00187AD3">
        <w:t xml:space="preserve">the people in </w:t>
      </w:r>
      <w:r>
        <w:t>PHNs</w:t>
      </w:r>
      <w:r w:rsidR="00187AD3">
        <w:t>’ regions</w:t>
      </w:r>
      <w:r>
        <w:t>.</w:t>
      </w:r>
    </w:p>
    <w:p w14:paraId="45C597BB" w14:textId="1BA89172" w:rsidR="008D6B35" w:rsidRDefault="008D6B35" w:rsidP="00CC2A64">
      <w:pPr>
        <w:pStyle w:val="Paragraphtext"/>
      </w:pPr>
      <w:r>
        <w:t xml:space="preserve">Market analysis should seek to </w:t>
      </w:r>
      <w:r w:rsidR="003A335F">
        <w:t>answer the following questions:</w:t>
      </w:r>
    </w:p>
    <w:p w14:paraId="1B4B7C38" w14:textId="3CD4DDF2" w:rsidR="008D6B35" w:rsidRDefault="008D6B35" w:rsidP="00CC2A64">
      <w:pPr>
        <w:pStyle w:val="ListBullet"/>
      </w:pPr>
      <w:r>
        <w:t xml:space="preserve">What is the existing structure of the market? For example what </w:t>
      </w:r>
      <w:proofErr w:type="gramStart"/>
      <w:r>
        <w:t>sort of providers a</w:t>
      </w:r>
      <w:r w:rsidR="003A335F">
        <w:t>re</w:t>
      </w:r>
      <w:proofErr w:type="gramEnd"/>
      <w:r w:rsidR="003A335F">
        <w:t xml:space="preserve"> currently offering services?</w:t>
      </w:r>
    </w:p>
    <w:p w14:paraId="3759DE14" w14:textId="104FDB6E" w:rsidR="00BE6A64" w:rsidRDefault="00BE6A64" w:rsidP="00CC2A64">
      <w:pPr>
        <w:pStyle w:val="ListBullet"/>
      </w:pPr>
      <w:r>
        <w:t xml:space="preserve">Why is the market structured as it is? What has influenced this? For example, why </w:t>
      </w:r>
      <w:r w:rsidR="00187AD3">
        <w:t>is</w:t>
      </w:r>
      <w:r>
        <w:t xml:space="preserve"> there a lack of particular providers, or why are providers not aligned to PHN objectives?</w:t>
      </w:r>
    </w:p>
    <w:p w14:paraId="05270F02" w14:textId="53AE854F" w:rsidR="003C3CB6" w:rsidRDefault="003C3CB6" w:rsidP="00CC2A64">
      <w:pPr>
        <w:pStyle w:val="ListBullet"/>
      </w:pPr>
      <w:r>
        <w:t xml:space="preserve">What are the collective capabilities, offerings and capacity of the market? What </w:t>
      </w:r>
      <w:r w:rsidR="00BE6A64">
        <w:t xml:space="preserve">does </w:t>
      </w:r>
      <w:r>
        <w:t>it currently offer and what is it willing to offer?</w:t>
      </w:r>
      <w:r w:rsidR="00BE6A64">
        <w:t xml:space="preserve"> Where are these services offered?</w:t>
      </w:r>
    </w:p>
    <w:p w14:paraId="6D30B8F3" w14:textId="59C6CF87" w:rsidR="000A23EB" w:rsidRDefault="008D6B35" w:rsidP="00CC2A64">
      <w:pPr>
        <w:pStyle w:val="ListBullet"/>
      </w:pPr>
      <w:r>
        <w:t xml:space="preserve">How can the structure of the market be altered to better meet </w:t>
      </w:r>
      <w:r w:rsidR="003C3CB6">
        <w:t xml:space="preserve">the </w:t>
      </w:r>
      <w:r w:rsidR="00187AD3">
        <w:t xml:space="preserve">primary health care </w:t>
      </w:r>
      <w:r w:rsidR="003C3CB6">
        <w:t>needs of PHN</w:t>
      </w:r>
      <w:r w:rsidR="00187AD3">
        <w:t xml:space="preserve"> populations</w:t>
      </w:r>
      <w:r w:rsidR="003C3CB6">
        <w:t xml:space="preserve">? </w:t>
      </w:r>
      <w:r w:rsidR="00187AD3">
        <w:t>W</w:t>
      </w:r>
      <w:r>
        <w:t>hat tools will help transform the market to a desired future state</w:t>
      </w:r>
      <w:r w:rsidR="00187AD3">
        <w:t>?</w:t>
      </w:r>
    </w:p>
    <w:p w14:paraId="68B26A33" w14:textId="12521A88" w:rsidR="003C3CB6" w:rsidRPr="003C3CB6" w:rsidRDefault="003C3CB6" w:rsidP="00CC2A64">
      <w:pPr>
        <w:pStyle w:val="ListBullet"/>
      </w:pPr>
      <w:r>
        <w:t xml:space="preserve">Are there </w:t>
      </w:r>
      <w:r w:rsidR="00187AD3">
        <w:t xml:space="preserve">other </w:t>
      </w:r>
      <w:r>
        <w:t>potential providers who may choose to enter the market</w:t>
      </w:r>
      <w:r w:rsidR="003A335F">
        <w:t xml:space="preserve"> under the right circumstances?</w:t>
      </w:r>
    </w:p>
    <w:p w14:paraId="1529EF7C" w14:textId="1C493E7B" w:rsidR="00584507" w:rsidRDefault="002C772D" w:rsidP="00CC2A64">
      <w:pPr>
        <w:pStyle w:val="Paragraphtext"/>
      </w:pPr>
      <w:r>
        <w:t xml:space="preserve">Thoroughly analysing and understanding markets helps to reduce </w:t>
      </w:r>
      <w:r w:rsidR="00D63B9D">
        <w:t>a number of risks for PHNs</w:t>
      </w:r>
      <w:r>
        <w:t xml:space="preserve">, </w:t>
      </w:r>
      <w:r w:rsidR="00C163F5">
        <w:t>and therefore has the following important benefits</w:t>
      </w:r>
      <w:r w:rsidR="004A6115">
        <w:t>:</w:t>
      </w:r>
    </w:p>
    <w:p w14:paraId="0D0DD3B1" w14:textId="40EEACA8" w:rsidR="00D63B9D" w:rsidRDefault="00C163F5" w:rsidP="00CC2A64">
      <w:pPr>
        <w:pStyle w:val="ListBullet"/>
      </w:pPr>
      <w:r>
        <w:t xml:space="preserve">Reduces the risk of </w:t>
      </w:r>
      <w:r w:rsidR="00D63B9D">
        <w:t xml:space="preserve">potential </w:t>
      </w:r>
      <w:r w:rsidR="00E9057A">
        <w:t xml:space="preserve">for </w:t>
      </w:r>
      <w:r w:rsidR="00D63B9D">
        <w:t xml:space="preserve">failure of commissioning initiatives due to a lack of interest in opportunities </w:t>
      </w:r>
      <w:r w:rsidR="00BE6A64">
        <w:t>by providers</w:t>
      </w:r>
      <w:r>
        <w:t xml:space="preserve">. Clearly understanding the market can help to </w:t>
      </w:r>
      <w:r w:rsidR="00D63B9D">
        <w:t>adequately reflect the opportunity in a</w:t>
      </w:r>
      <w:r w:rsidR="00E9057A">
        <w:t xml:space="preserve"> way that </w:t>
      </w:r>
      <w:r w:rsidR="00BE6A64">
        <w:t>appeal</w:t>
      </w:r>
      <w:r>
        <w:t>s</w:t>
      </w:r>
      <w:r w:rsidR="00BE6A64">
        <w:t xml:space="preserve"> to </w:t>
      </w:r>
      <w:r w:rsidR="00E9057A">
        <w:t xml:space="preserve">the </w:t>
      </w:r>
      <w:r w:rsidR="00BE6A64">
        <w:t>market</w:t>
      </w:r>
      <w:r w:rsidR="00E9057A">
        <w:t xml:space="preserve">, </w:t>
      </w:r>
      <w:r>
        <w:t xml:space="preserve">and help to avoid </w:t>
      </w:r>
      <w:r w:rsidR="00E9057A">
        <w:t>in</w:t>
      </w:r>
      <w:r w:rsidR="0098094F">
        <w:t>accurate</w:t>
      </w:r>
      <w:r w:rsidR="00E9057A">
        <w:t xml:space="preserve"> </w:t>
      </w:r>
      <w:r w:rsidR="00B57B61">
        <w:t>assum</w:t>
      </w:r>
      <w:r w:rsidR="00E9057A">
        <w:t xml:space="preserve">ptions as to the level of market </w:t>
      </w:r>
      <w:r w:rsidR="00B57B61">
        <w:t>capacity /capability</w:t>
      </w:r>
      <w:r w:rsidR="004A6115">
        <w:t>.</w:t>
      </w:r>
    </w:p>
    <w:p w14:paraId="6D5BE18E" w14:textId="1F6276CF" w:rsidR="00D63B9D" w:rsidRDefault="008F5347" w:rsidP="00CC2A64">
      <w:pPr>
        <w:pStyle w:val="ListBullet"/>
      </w:pPr>
      <w:r>
        <w:t>Helps to ensure the e</w:t>
      </w:r>
      <w:r w:rsidR="00C163F5">
        <w:t xml:space="preserve">ffective </w:t>
      </w:r>
      <w:r>
        <w:t>and efficient</w:t>
      </w:r>
      <w:r w:rsidR="00C163F5">
        <w:t xml:space="preserve"> use</w:t>
      </w:r>
      <w:r w:rsidR="00D63B9D">
        <w:t xml:space="preserve"> of resources in conducting commissioning activities</w:t>
      </w:r>
      <w:r>
        <w:t xml:space="preserve">, and avoid </w:t>
      </w:r>
      <w:r w:rsidR="00D63B9D">
        <w:t>sub-standard outcomes that</w:t>
      </w:r>
      <w:r w:rsidR="00F37238">
        <w:t xml:space="preserve"> do not meet aims or objectives</w:t>
      </w:r>
      <w:r w:rsidR="004A6115">
        <w:t>.</w:t>
      </w:r>
    </w:p>
    <w:p w14:paraId="1AC0754B" w14:textId="1F74AB82" w:rsidR="00D63B9D" w:rsidRDefault="008F5347" w:rsidP="00CC2A64">
      <w:pPr>
        <w:pStyle w:val="ListBullet"/>
      </w:pPr>
      <w:r>
        <w:t xml:space="preserve">Increases the PHN’s ability to </w:t>
      </w:r>
      <w:r w:rsidR="00C163F5">
        <w:t xml:space="preserve">improve </w:t>
      </w:r>
      <w:r w:rsidR="00D63B9D">
        <w:t>the structure of markets</w:t>
      </w:r>
      <w:r w:rsidR="004A6115">
        <w:t>.</w:t>
      </w:r>
    </w:p>
    <w:p w14:paraId="2CC8233D" w14:textId="03D49324" w:rsidR="00D63B9D" w:rsidRDefault="008F5347" w:rsidP="00CC2A64">
      <w:pPr>
        <w:pStyle w:val="ListBullet"/>
      </w:pPr>
      <w:r>
        <w:t>Helps to reduce l</w:t>
      </w:r>
      <w:r w:rsidR="00D63B9D">
        <w:t>ong-term risks of market underperformance</w:t>
      </w:r>
      <w:r>
        <w:t xml:space="preserve">, by enabling the </w:t>
      </w:r>
      <w:r w:rsidR="00D63B9D">
        <w:t xml:space="preserve">PHN </w:t>
      </w:r>
      <w:r>
        <w:t xml:space="preserve">to </w:t>
      </w:r>
      <w:r w:rsidR="00D63B9D">
        <w:t xml:space="preserve">understand significant root </w:t>
      </w:r>
      <w:r>
        <w:t xml:space="preserve">causes of issues </w:t>
      </w:r>
      <w:r w:rsidR="00D63B9D">
        <w:t>in the structure of the market</w:t>
      </w:r>
      <w:r>
        <w:t>, and seek to address them</w:t>
      </w:r>
      <w:r w:rsidR="00161E26">
        <w:t>.</w:t>
      </w:r>
    </w:p>
    <w:p w14:paraId="48751C89" w14:textId="72D08FDF" w:rsidR="00B34CE0" w:rsidRDefault="00D63B9D" w:rsidP="00CC2A64">
      <w:pPr>
        <w:pStyle w:val="Paragraphtext"/>
      </w:pPr>
      <w:r>
        <w:t>Market analysis should be performed regularly in a variety of ways. This may take the form of more formal exercises that seek to understand the structure of the market and each of the individual participants</w:t>
      </w:r>
      <w:r w:rsidR="00161E26">
        <w:t xml:space="preserve"> and </w:t>
      </w:r>
      <w:r>
        <w:t>informal practices such as gathering and sharing data points on the market as</w:t>
      </w:r>
      <w:r w:rsidR="00161E26">
        <w:t xml:space="preserve"> part of business as usual practices.</w:t>
      </w:r>
    </w:p>
    <w:p w14:paraId="51F5F483" w14:textId="77777777" w:rsidR="002C00CF" w:rsidRDefault="002C00CF">
      <w:pPr>
        <w:rPr>
          <w:rFonts w:cs="Arial"/>
          <w:b/>
          <w:bCs/>
          <w:iCs/>
          <w:color w:val="153A6E"/>
          <w:sz w:val="32"/>
          <w:szCs w:val="32"/>
        </w:rPr>
      </w:pPr>
      <w:bookmarkStart w:id="26" w:name="_Toc515529501"/>
      <w:r>
        <w:br w:type="page"/>
      </w:r>
    </w:p>
    <w:p w14:paraId="32B738F3" w14:textId="6D4A2EE5" w:rsidR="008D6B35" w:rsidRPr="00703121" w:rsidRDefault="008D6B35" w:rsidP="008D6B35">
      <w:pPr>
        <w:pStyle w:val="Heading2"/>
      </w:pPr>
      <w:r w:rsidRPr="00703121">
        <w:lastRenderedPageBreak/>
        <w:t>Informal market analys</w:t>
      </w:r>
      <w:r w:rsidR="00AD1DB5" w:rsidRPr="00703121">
        <w:t>is</w:t>
      </w:r>
      <w:r w:rsidR="006F7AB6" w:rsidRPr="00703121">
        <w:t xml:space="preserve"> approaches</w:t>
      </w:r>
      <w:bookmarkEnd w:id="26"/>
    </w:p>
    <w:p w14:paraId="58C25F67" w14:textId="77777777" w:rsidR="006F7AB6" w:rsidRPr="00703121" w:rsidRDefault="006F7AB6" w:rsidP="00CC2A64">
      <w:pPr>
        <w:pStyle w:val="Paragraphtext"/>
      </w:pPr>
      <w:r w:rsidRPr="00703121">
        <w:t xml:space="preserve">Informal market analysis approaches are a good way of pooling and considering data points that PHNs may gather in the normal course of business. These may be points around the concerns of providers, the performance of the market in different areas, or even wider feedback on planned market changes e.g. proposed changes around regulation or payment terms. Insights may </w:t>
      </w:r>
      <w:proofErr w:type="gramStart"/>
      <w:r w:rsidRPr="00703121">
        <w:t>gained</w:t>
      </w:r>
      <w:proofErr w:type="gramEnd"/>
      <w:r w:rsidRPr="00703121">
        <w:t xml:space="preserve"> from a variety of sources including:</w:t>
      </w:r>
    </w:p>
    <w:p w14:paraId="39B648DB" w14:textId="7A7AD2CF" w:rsidR="006F7AB6" w:rsidRPr="00703121" w:rsidRDefault="006F7AB6" w:rsidP="00CC2A64">
      <w:pPr>
        <w:pStyle w:val="ListBullet"/>
      </w:pPr>
      <w:r w:rsidRPr="00703121">
        <w:t>Industry briefings</w:t>
      </w:r>
    </w:p>
    <w:p w14:paraId="78B68FD4" w14:textId="1DF6BBA0" w:rsidR="006F7AB6" w:rsidRPr="00703121" w:rsidRDefault="006F7AB6" w:rsidP="00CC2A64">
      <w:pPr>
        <w:pStyle w:val="ListBullet"/>
      </w:pPr>
      <w:r w:rsidRPr="00703121">
        <w:t xml:space="preserve">PHN provider / market days where the PHN seeks to communicate key elements of their strategy </w:t>
      </w:r>
    </w:p>
    <w:p w14:paraId="1966EB5B" w14:textId="0F299183" w:rsidR="00C63E27" w:rsidRDefault="00F37238" w:rsidP="00CC2A64">
      <w:pPr>
        <w:pStyle w:val="ListBullet"/>
      </w:pPr>
      <w:r>
        <w:t>Procurement processes</w:t>
      </w:r>
    </w:p>
    <w:p w14:paraId="215C1C92" w14:textId="57F9BE15" w:rsidR="00C63E27" w:rsidRDefault="00C63E27" w:rsidP="00CC2A64">
      <w:pPr>
        <w:pStyle w:val="ListBullet"/>
      </w:pPr>
      <w:r>
        <w:t>Contr</w:t>
      </w:r>
      <w:r w:rsidR="00F37238">
        <w:t xml:space="preserve">act </w:t>
      </w:r>
      <w:r w:rsidR="007E7ECD">
        <w:t>management</w:t>
      </w:r>
    </w:p>
    <w:p w14:paraId="60E75DD9" w14:textId="7A16FC5D" w:rsidR="006F7AB6" w:rsidRDefault="007E7ECD" w:rsidP="00CC2A64">
      <w:pPr>
        <w:pStyle w:val="ListBullet"/>
      </w:pPr>
      <w:r>
        <w:t xml:space="preserve">Discussions </w:t>
      </w:r>
      <w:r w:rsidR="006F7AB6">
        <w:t>occurring with providers at key points during a contract (</w:t>
      </w:r>
      <w:r>
        <w:t xml:space="preserve">but not just limited to the </w:t>
      </w:r>
      <w:r w:rsidR="006F7AB6">
        <w:t>commencement</w:t>
      </w:r>
      <w:r>
        <w:t xml:space="preserve"> and end of the </w:t>
      </w:r>
      <w:r w:rsidR="006F7AB6">
        <w:t>contract)</w:t>
      </w:r>
    </w:p>
    <w:p w14:paraId="40C50E0F" w14:textId="5EDC7578" w:rsidR="006F7AB6" w:rsidRDefault="007E7ECD" w:rsidP="00CC2A64">
      <w:pPr>
        <w:pStyle w:val="ListBullet"/>
      </w:pPr>
      <w:r>
        <w:t>Discussions</w:t>
      </w:r>
      <w:r w:rsidR="006F7AB6">
        <w:t xml:space="preserve"> with peak </w:t>
      </w:r>
      <w:r w:rsidR="00C63E27">
        <w:t>bodies or other reference group</w:t>
      </w:r>
      <w:r w:rsidR="0093371E">
        <w:t>s</w:t>
      </w:r>
    </w:p>
    <w:p w14:paraId="7712A7A3" w14:textId="1BD0C5BA" w:rsidR="006F7AB6" w:rsidRPr="006F7AB6" w:rsidRDefault="006F7AB6" w:rsidP="00CC2A64">
      <w:pPr>
        <w:pStyle w:val="ListBullet"/>
      </w:pPr>
      <w:r>
        <w:t>Interactions and events with wider stakeholders</w:t>
      </w:r>
      <w:r w:rsidR="00161E26">
        <w:t>.</w:t>
      </w:r>
    </w:p>
    <w:p w14:paraId="2303E38D" w14:textId="2CC2F133" w:rsidR="002008CC" w:rsidRDefault="006F7AB6" w:rsidP="00CC2A64">
      <w:pPr>
        <w:pStyle w:val="Paragraphtext"/>
      </w:pPr>
      <w:r>
        <w:t xml:space="preserve">Whilst informal, collectively, this knowledge is a valuable source of insights in terms of understanding the general sentiments operating within a market at a </w:t>
      </w:r>
      <w:r w:rsidR="0093371E">
        <w:t xml:space="preserve">particular </w:t>
      </w:r>
      <w:r>
        <w:t xml:space="preserve">time. PHNs </w:t>
      </w:r>
      <w:r w:rsidR="0093371E">
        <w:t xml:space="preserve">could </w:t>
      </w:r>
      <w:r>
        <w:t xml:space="preserve">support this approach </w:t>
      </w:r>
      <w:r w:rsidR="0093371E">
        <w:t xml:space="preserve">by </w:t>
      </w:r>
      <w:r>
        <w:t xml:space="preserve">communicating </w:t>
      </w:r>
      <w:r w:rsidR="00161E26">
        <w:t xml:space="preserve">internally </w:t>
      </w:r>
      <w:r>
        <w:t xml:space="preserve">within the PHN that they are seeking to capture this </w:t>
      </w:r>
      <w:r w:rsidR="0093371E">
        <w:t>kind</w:t>
      </w:r>
      <w:r>
        <w:t xml:space="preserve"> of data. </w:t>
      </w:r>
      <w:r w:rsidR="0093371E">
        <w:t>PHN s</w:t>
      </w:r>
      <w:r>
        <w:t xml:space="preserve">taff </w:t>
      </w:r>
      <w:r w:rsidR="0093371E">
        <w:t xml:space="preserve">could be </w:t>
      </w:r>
      <w:r>
        <w:t>encourage</w:t>
      </w:r>
      <w:r w:rsidR="00101A08">
        <w:t>d</w:t>
      </w:r>
      <w:r>
        <w:t xml:space="preserve"> to record </w:t>
      </w:r>
      <w:r w:rsidR="0093371E">
        <w:t xml:space="preserve">factual information and data </w:t>
      </w:r>
      <w:r>
        <w:t xml:space="preserve">within a central repository. </w:t>
      </w:r>
      <w:proofErr w:type="gramStart"/>
      <w:r w:rsidR="00101A08">
        <w:t>Where required, key issu</w:t>
      </w:r>
      <w:r w:rsidR="003A335F">
        <w:t>es should be validated further.</w:t>
      </w:r>
      <w:proofErr w:type="gramEnd"/>
    </w:p>
    <w:p w14:paraId="2F836AA3" w14:textId="5B7C4F7C" w:rsidR="00101A08" w:rsidRDefault="0093371E" w:rsidP="00CC2A64">
      <w:pPr>
        <w:pStyle w:val="Paragraphtext"/>
      </w:pPr>
      <w:r>
        <w:t>I</w:t>
      </w:r>
      <w:r w:rsidR="006F7AB6">
        <w:t xml:space="preserve">nformal market analysis is a useful way for </w:t>
      </w:r>
      <w:r w:rsidR="002008CC">
        <w:t>PHNs</w:t>
      </w:r>
      <w:r w:rsidR="006F7AB6">
        <w:t xml:space="preserve"> to maintain an understanding of a market, but it should not replace more formal analysis. </w:t>
      </w:r>
      <w:r w:rsidR="002008CC">
        <w:t xml:space="preserve">As markets are continually changing, </w:t>
      </w:r>
      <w:r w:rsidR="00C65F2C">
        <w:t xml:space="preserve">market assessments should be updated on an </w:t>
      </w:r>
      <w:r>
        <w:t xml:space="preserve">ongoing </w:t>
      </w:r>
      <w:r w:rsidR="00C65F2C">
        <w:t>basis to ens</w:t>
      </w:r>
      <w:r w:rsidR="003A335F">
        <w:t>ure that they are kept current.</w:t>
      </w:r>
    </w:p>
    <w:p w14:paraId="5F9EC30F" w14:textId="68ADFA1A" w:rsidR="00101A08" w:rsidRDefault="00101A08" w:rsidP="00101A08">
      <w:pPr>
        <w:pStyle w:val="Heading2"/>
      </w:pPr>
      <w:bookmarkStart w:id="27" w:name="_Toc515529502"/>
      <w:r>
        <w:t>Formal market analysis</w:t>
      </w:r>
      <w:bookmarkEnd w:id="27"/>
    </w:p>
    <w:p w14:paraId="4CE50157" w14:textId="2CEBE6DA" w:rsidR="0061631C" w:rsidRDefault="00811FB4" w:rsidP="00CC2A64">
      <w:pPr>
        <w:pStyle w:val="Paragraphtext"/>
        <w:rPr>
          <w:i/>
          <w:iCs/>
          <w:szCs w:val="18"/>
        </w:rPr>
      </w:pPr>
      <w:r>
        <w:t>Formal</w:t>
      </w:r>
      <w:r w:rsidR="00101A08">
        <w:t xml:space="preserve"> market analysis is particularly useful where the PHN is aware of a current issue rel</w:t>
      </w:r>
      <w:r w:rsidR="00A2093B">
        <w:t xml:space="preserve">ating to supply (e.g. a lack of </w:t>
      </w:r>
      <w:r>
        <w:t xml:space="preserve">service </w:t>
      </w:r>
      <w:r w:rsidR="00101A08">
        <w:t xml:space="preserve">provision). Formal market analysis can help to identify the reasons behind </w:t>
      </w:r>
      <w:r>
        <w:t>market issues or deficiencies</w:t>
      </w:r>
      <w:r w:rsidR="00101A08">
        <w:t xml:space="preserve"> and assist in </w:t>
      </w:r>
      <w:r>
        <w:t>identifying</w:t>
      </w:r>
      <w:r w:rsidR="00101A08">
        <w:t xml:space="preserve"> strategies </w:t>
      </w:r>
      <w:r w:rsidR="00161E26">
        <w:t>to</w:t>
      </w:r>
      <w:r w:rsidR="00101A08">
        <w:t xml:space="preserve"> </w:t>
      </w:r>
      <w:r>
        <w:t>address them</w:t>
      </w:r>
      <w:r w:rsidR="00101A08">
        <w:t xml:space="preserve">. </w:t>
      </w:r>
      <w:r w:rsidR="009F4E7E">
        <w:t xml:space="preserve">Formal market analysis can also help PHNs </w:t>
      </w:r>
      <w:r>
        <w:t xml:space="preserve">to </w:t>
      </w:r>
      <w:r w:rsidR="009F4E7E">
        <w:t xml:space="preserve">understand both local and national markets. Whilst PHNs have tended to focus more on </w:t>
      </w:r>
      <w:r w:rsidR="009F4E7E" w:rsidRPr="00FC23F2">
        <w:t>local</w:t>
      </w:r>
      <w:r w:rsidR="009F4E7E">
        <w:t xml:space="preserve"> markets</w:t>
      </w:r>
      <w:r>
        <w:t>,</w:t>
      </w:r>
      <w:r w:rsidR="009F4E7E">
        <w:t xml:space="preserve"> it is important </w:t>
      </w:r>
      <w:r>
        <w:t xml:space="preserve">that PHNs also </w:t>
      </w:r>
      <w:r w:rsidR="009F4E7E">
        <w:t xml:space="preserve">to think broadly </w:t>
      </w:r>
      <w:r w:rsidR="00AE0AB3">
        <w:t xml:space="preserve">in searching for </w:t>
      </w:r>
      <w:r w:rsidR="009F4E7E">
        <w:t xml:space="preserve">appropriate and </w:t>
      </w:r>
      <w:r w:rsidR="00161E26">
        <w:t>innovative solutions</w:t>
      </w:r>
      <w:r w:rsidR="009F4E7E">
        <w:t xml:space="preserve">. </w:t>
      </w:r>
      <w:r w:rsidR="003C29E9">
        <w:t xml:space="preserve">The following diagram </w:t>
      </w:r>
      <w:r>
        <w:t>summarises</w:t>
      </w:r>
      <w:r w:rsidR="003C29E9">
        <w:t xml:space="preserve"> an approach to formal mar</w:t>
      </w:r>
      <w:r w:rsidR="000E3059">
        <w:t xml:space="preserve">ket analysis that </w:t>
      </w:r>
      <w:r>
        <w:t xml:space="preserve">could </w:t>
      </w:r>
      <w:r w:rsidR="000E3059">
        <w:t>be used by</w:t>
      </w:r>
      <w:r w:rsidR="003A335F">
        <w:t xml:space="preserve"> PHNs.</w:t>
      </w:r>
    </w:p>
    <w:p w14:paraId="7DE88326" w14:textId="7985DA99" w:rsidR="003C29E9" w:rsidRDefault="003C29E9" w:rsidP="003C29E9">
      <w:pPr>
        <w:pStyle w:val="Caption"/>
      </w:pPr>
      <w:bookmarkStart w:id="28" w:name="_Toc515525846"/>
      <w:r>
        <w:t xml:space="preserve">Figure </w:t>
      </w:r>
      <w:r w:rsidR="00541D06">
        <w:fldChar w:fldCharType="begin"/>
      </w:r>
      <w:r w:rsidR="00541D06">
        <w:instrText xml:space="preserve"> SEQ Figure \* ARABIC </w:instrText>
      </w:r>
      <w:r w:rsidR="00541D06">
        <w:fldChar w:fldCharType="separate"/>
      </w:r>
      <w:r w:rsidR="00B077F0">
        <w:rPr>
          <w:noProof/>
        </w:rPr>
        <w:t>1</w:t>
      </w:r>
      <w:r w:rsidR="00541D06">
        <w:rPr>
          <w:noProof/>
        </w:rPr>
        <w:fldChar w:fldCharType="end"/>
      </w:r>
      <w:r w:rsidR="00811FB4">
        <w:rPr>
          <w:noProof/>
        </w:rPr>
        <w:t>:</w:t>
      </w:r>
      <w:r>
        <w:t xml:space="preserve"> </w:t>
      </w:r>
      <w:r w:rsidR="00AE0AB3">
        <w:t>PHN market assessment methodology</w:t>
      </w:r>
      <w:bookmarkEnd w:id="28"/>
    </w:p>
    <w:p w14:paraId="1042D1E1" w14:textId="063CBA3A" w:rsidR="00AE0AB3" w:rsidRPr="00AE0AB3" w:rsidRDefault="00794E8D" w:rsidP="00CC2A64">
      <w:pPr>
        <w:pStyle w:val="Paragraphtext"/>
      </w:pPr>
      <w:r>
        <w:rPr>
          <w:noProof/>
          <w:lang w:eastAsia="en-AU"/>
        </w:rPr>
        <w:drawing>
          <wp:inline distT="0" distB="0" distL="0" distR="0" wp14:anchorId="6EA7E1B0" wp14:editId="2397F510">
            <wp:extent cx="5760085" cy="839470"/>
            <wp:effectExtent l="0" t="0" r="0" b="0"/>
            <wp:docPr id="20" name="Picture 20" descr="This diagram depicts six steps that PHNs could use to assess their markets. The steps are listed in order as: 1. Plan analysis; 2. Identify barriers to entry; 3. Review current market providers; 4. Identify broader providers; 5. Summarise findings and determine market health; and 6. Plan approaches to improve the market." title="PHN market assessment method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839470"/>
                    </a:xfrm>
                    <a:prstGeom prst="rect">
                      <a:avLst/>
                    </a:prstGeom>
                    <a:noFill/>
                  </pic:spPr>
                </pic:pic>
              </a:graphicData>
            </a:graphic>
          </wp:inline>
        </w:drawing>
      </w:r>
    </w:p>
    <w:p w14:paraId="43838F99" w14:textId="77777777" w:rsidR="002C00CF" w:rsidRDefault="002C00CF">
      <w:pPr>
        <w:rPr>
          <w:color w:val="000000" w:themeColor="text1"/>
        </w:rPr>
      </w:pPr>
      <w:r>
        <w:br w:type="page"/>
      </w:r>
    </w:p>
    <w:p w14:paraId="1CAD1C82" w14:textId="63B22007" w:rsidR="00884999" w:rsidRDefault="00AE0AB3" w:rsidP="00CC2A64">
      <w:pPr>
        <w:pStyle w:val="Paragraphtext"/>
      </w:pPr>
      <w:r>
        <w:lastRenderedPageBreak/>
        <w:t xml:space="preserve">Within each stage of the analysis, PHNs should seek to </w:t>
      </w:r>
      <w:r w:rsidR="009B5F28">
        <w:t>build their knowledge of the market and the options available to improve it. Each step does this by focusing on a range of areas</w:t>
      </w:r>
      <w:r>
        <w:t>:</w:t>
      </w:r>
    </w:p>
    <w:p w14:paraId="132CAB39" w14:textId="02A7F6AD" w:rsidR="00AE0AB3" w:rsidRPr="009B5F28" w:rsidRDefault="009B5F28" w:rsidP="0023645F">
      <w:pPr>
        <w:pStyle w:val="MajorHeading"/>
      </w:pPr>
      <w:r>
        <w:t>1.</w:t>
      </w:r>
      <w:r w:rsidRPr="009B5F28">
        <w:t xml:space="preserve"> Plan</w:t>
      </w:r>
      <w:r w:rsidR="00AE0AB3" w:rsidRPr="009B5F28">
        <w:t xml:space="preserve"> analysis</w:t>
      </w:r>
    </w:p>
    <w:p w14:paraId="2309C336" w14:textId="7785B538" w:rsidR="00AE0AB3" w:rsidRPr="009B5F28" w:rsidRDefault="009B5F28" w:rsidP="00CC2A64">
      <w:pPr>
        <w:pStyle w:val="ListNumber2"/>
      </w:pPr>
      <w:r>
        <w:t>PHNs should clearly d</w:t>
      </w:r>
      <w:r w:rsidR="00AE0AB3" w:rsidRPr="009B5F28">
        <w:t>efine the specific market to be analysed</w:t>
      </w:r>
      <w:r>
        <w:t xml:space="preserve"> in terms of the </w:t>
      </w:r>
      <w:r w:rsidR="00AE0AB3" w:rsidRPr="009B5F28">
        <w:t>service</w:t>
      </w:r>
      <w:r w:rsidR="00811FB4">
        <w:t>s</w:t>
      </w:r>
      <w:r w:rsidR="00AE0AB3" w:rsidRPr="009B5F28">
        <w:t xml:space="preserve"> </w:t>
      </w:r>
      <w:r>
        <w:t xml:space="preserve">provided and the geographical location. Other </w:t>
      </w:r>
      <w:r w:rsidR="00811FB4">
        <w:t xml:space="preserve">aspects </w:t>
      </w:r>
      <w:r>
        <w:t xml:space="preserve">should </w:t>
      </w:r>
      <w:r w:rsidR="00F37238">
        <w:t xml:space="preserve">be included </w:t>
      </w:r>
      <w:r w:rsidR="00811FB4">
        <w:t xml:space="preserve">in this definition, </w:t>
      </w:r>
      <w:r w:rsidR="00F37238">
        <w:t>where relevant</w:t>
      </w:r>
      <w:r w:rsidR="004A6115">
        <w:t>.</w:t>
      </w:r>
    </w:p>
    <w:p w14:paraId="3C9AC1CE" w14:textId="5F860B05" w:rsidR="00AE0AB3" w:rsidRPr="009B5F28" w:rsidRDefault="009B5F28" w:rsidP="00CC2A64">
      <w:pPr>
        <w:pStyle w:val="ListNumber2"/>
      </w:pPr>
      <w:r>
        <w:t xml:space="preserve">The future needs (demand) for the market should also be summarised in terms of </w:t>
      </w:r>
      <w:r w:rsidR="00AE0AB3" w:rsidRPr="009B5F28">
        <w:t>services, locations</w:t>
      </w:r>
      <w:r w:rsidR="00811FB4">
        <w:t>,</w:t>
      </w:r>
      <w:r w:rsidR="00AE0AB3" w:rsidRPr="009B5F28">
        <w:t xml:space="preserve"> diversity</w:t>
      </w:r>
      <w:r w:rsidR="00811FB4" w:rsidRPr="00811FB4">
        <w:t xml:space="preserve"> </w:t>
      </w:r>
      <w:r w:rsidR="00811FB4">
        <w:t xml:space="preserve">and </w:t>
      </w:r>
      <w:r w:rsidR="00811FB4" w:rsidRPr="009B5F28">
        <w:t>outcomes</w:t>
      </w:r>
      <w:r>
        <w:t xml:space="preserve">. This will </w:t>
      </w:r>
      <w:r w:rsidR="00811FB4">
        <w:t xml:space="preserve">help </w:t>
      </w:r>
      <w:r>
        <w:t>PHNs to understand wh</w:t>
      </w:r>
      <w:r w:rsidR="00F37238">
        <w:t>at they require from the market</w:t>
      </w:r>
      <w:r w:rsidR="004A6115">
        <w:t>.</w:t>
      </w:r>
    </w:p>
    <w:p w14:paraId="1809CF89" w14:textId="5EAF6F59" w:rsidR="00AE0AB3" w:rsidRPr="009B5F28" w:rsidRDefault="009B5F28" w:rsidP="00CC2A64">
      <w:pPr>
        <w:pStyle w:val="ListNumber2"/>
      </w:pPr>
      <w:r>
        <w:t>PHNs should c</w:t>
      </w:r>
      <w:r w:rsidR="00AE0AB3" w:rsidRPr="009B5F28">
        <w:t xml:space="preserve">ommunicate </w:t>
      </w:r>
      <w:r>
        <w:t xml:space="preserve">the </w:t>
      </w:r>
      <w:r w:rsidR="00AE0AB3" w:rsidRPr="009B5F28">
        <w:t>program of analysis to stakeholders and request input and insights</w:t>
      </w:r>
      <w:r>
        <w:t xml:space="preserve"> that may be able to support </w:t>
      </w:r>
      <w:r w:rsidR="00811FB4">
        <w:t xml:space="preserve">the </w:t>
      </w:r>
      <w:r>
        <w:t>analysis. Wider background data or information that may be useful should also be collected.</w:t>
      </w:r>
    </w:p>
    <w:p w14:paraId="30DF0344" w14:textId="52CA6474" w:rsidR="00AE0AB3" w:rsidRPr="009B5F28" w:rsidRDefault="009B5F28" w:rsidP="0023645F">
      <w:pPr>
        <w:pStyle w:val="MajorHeading"/>
      </w:pPr>
      <w:r>
        <w:t xml:space="preserve">2. </w:t>
      </w:r>
      <w:r w:rsidR="00AE0AB3" w:rsidRPr="009B5F28">
        <w:t>Identify the barriers to entry</w:t>
      </w:r>
    </w:p>
    <w:p w14:paraId="16BB1603" w14:textId="431C004C" w:rsidR="00AE0AB3" w:rsidRPr="009B5F28" w:rsidRDefault="009B5F28" w:rsidP="00CC2A64">
      <w:pPr>
        <w:pStyle w:val="ListNumber2"/>
      </w:pPr>
      <w:r>
        <w:t xml:space="preserve">It is important to consider the barriers to entry that may prevent providers from offering services. PHNs should think broadly, including </w:t>
      </w:r>
      <w:r w:rsidR="00545E10">
        <w:t xml:space="preserve">about issues </w:t>
      </w:r>
      <w:r>
        <w:t xml:space="preserve">around investment, workforce, location, skills and regulation. It may be useful for PHNs to consider what steps a new provider would need to go through in order to </w:t>
      </w:r>
      <w:r w:rsidR="003C0620">
        <w:t xml:space="preserve">significantly expand or diversify an existing service, or </w:t>
      </w:r>
      <w:r w:rsidR="003A335F">
        <w:t>establish a new service.</w:t>
      </w:r>
    </w:p>
    <w:p w14:paraId="4B6B6A20" w14:textId="397C8664" w:rsidR="00AE0AB3" w:rsidRPr="009B5F28" w:rsidRDefault="009B5F28" w:rsidP="0023645F">
      <w:pPr>
        <w:pStyle w:val="MajorHeading"/>
      </w:pPr>
      <w:r>
        <w:t xml:space="preserve">3. </w:t>
      </w:r>
      <w:r w:rsidR="00AE0AB3" w:rsidRPr="009B5F28">
        <w:t>Review current market providers</w:t>
      </w:r>
    </w:p>
    <w:p w14:paraId="070CCD16" w14:textId="0656C994" w:rsidR="00AE0AB3" w:rsidRPr="009B5F28" w:rsidRDefault="003D4893" w:rsidP="00CC2A64">
      <w:pPr>
        <w:pStyle w:val="ListNumber2"/>
      </w:pPr>
      <w:r>
        <w:t>PHNs</w:t>
      </w:r>
      <w:r w:rsidR="009B5F28">
        <w:t xml:space="preserve"> should seek to develop a good understand</w:t>
      </w:r>
      <w:r>
        <w:t>ing</w:t>
      </w:r>
      <w:r w:rsidR="009B5F28">
        <w:t xml:space="preserve"> of existing providers in the market. This should start by considering the</w:t>
      </w:r>
      <w:r w:rsidR="00AE0AB3" w:rsidRPr="009B5F28">
        <w:t xml:space="preserve"> overall </w:t>
      </w:r>
      <w:r w:rsidR="009B5F28">
        <w:t xml:space="preserve">appetite that exists in the market to deliver the required services and the </w:t>
      </w:r>
      <w:r w:rsidR="00AE0AB3" w:rsidRPr="009B5F28">
        <w:t>reasons for this</w:t>
      </w:r>
      <w:r w:rsidR="004A6115">
        <w:t>.</w:t>
      </w:r>
    </w:p>
    <w:p w14:paraId="1B03A5CC" w14:textId="4A7FDA1A" w:rsidR="009B5F28" w:rsidRDefault="009B5F28" w:rsidP="00CC2A64">
      <w:pPr>
        <w:pStyle w:val="ListNumber2"/>
      </w:pPr>
      <w:r>
        <w:t xml:space="preserve">Existing provision should be reviewed </w:t>
      </w:r>
      <w:r w:rsidR="003D4893">
        <w:t xml:space="preserve">in </w:t>
      </w:r>
      <w:r>
        <w:t xml:space="preserve">a number of dimensions including the quantity, location, type, </w:t>
      </w:r>
      <w:r w:rsidR="003D4893">
        <w:t>service offerings, scale</w:t>
      </w:r>
      <w:r>
        <w:t xml:space="preserve">, </w:t>
      </w:r>
      <w:r w:rsidR="003D4893">
        <w:t xml:space="preserve">quality, </w:t>
      </w:r>
      <w:r>
        <w:t>performance</w:t>
      </w:r>
      <w:r w:rsidR="003D4893">
        <w:t xml:space="preserve"> and </w:t>
      </w:r>
      <w:r>
        <w:t>risks</w:t>
      </w:r>
      <w:r w:rsidR="004A6115">
        <w:t>.</w:t>
      </w:r>
    </w:p>
    <w:p w14:paraId="6A7E428D" w14:textId="5E5C9EF4" w:rsidR="00AE0AB3" w:rsidRPr="009B5F28" w:rsidRDefault="009B5F28" w:rsidP="00CC2A64">
      <w:pPr>
        <w:pStyle w:val="ListNumber2"/>
      </w:pPr>
      <w:r>
        <w:t xml:space="preserve">Where </w:t>
      </w:r>
      <w:r w:rsidR="003D4893">
        <w:t>available</w:t>
      </w:r>
      <w:r>
        <w:t xml:space="preserve">, market share information will also provide useful </w:t>
      </w:r>
      <w:r w:rsidR="003D4893">
        <w:t xml:space="preserve">information on </w:t>
      </w:r>
      <w:r>
        <w:t>market dynamics.</w:t>
      </w:r>
    </w:p>
    <w:p w14:paraId="600F5AE6" w14:textId="51A52D89" w:rsidR="00AE0AB3" w:rsidRPr="009B5F28" w:rsidRDefault="009B5F28" w:rsidP="0023645F">
      <w:pPr>
        <w:pStyle w:val="MajorHeading"/>
      </w:pPr>
      <w:r>
        <w:t xml:space="preserve">4. </w:t>
      </w:r>
      <w:r w:rsidR="00AE0AB3" w:rsidRPr="009B5F28">
        <w:t>Identify broader providers</w:t>
      </w:r>
    </w:p>
    <w:p w14:paraId="616E753C" w14:textId="2E474D90" w:rsidR="00AE0AB3" w:rsidRPr="009B5F28" w:rsidRDefault="00006E05" w:rsidP="00CC2A64">
      <w:pPr>
        <w:pStyle w:val="ListNumber2"/>
      </w:pPr>
      <w:r>
        <w:t>The a</w:t>
      </w:r>
      <w:r w:rsidR="009B5F28">
        <w:t xml:space="preserve">nalysis should </w:t>
      </w:r>
      <w:r>
        <w:t xml:space="preserve">seek to </w:t>
      </w:r>
      <w:r w:rsidR="009B5F28">
        <w:t>understand potential provider groups</w:t>
      </w:r>
      <w:r>
        <w:t xml:space="preserve">, which would </w:t>
      </w:r>
      <w:r w:rsidR="009B5F28">
        <w:t xml:space="preserve">typically include </w:t>
      </w:r>
      <w:r w:rsidR="00AE0AB3" w:rsidRPr="009B5F28">
        <w:t xml:space="preserve">providers in adjacent </w:t>
      </w:r>
      <w:r w:rsidR="005B21B0">
        <w:t xml:space="preserve">or related </w:t>
      </w:r>
      <w:r w:rsidR="00AE0AB3" w:rsidRPr="009B5F28">
        <w:t xml:space="preserve">markets </w:t>
      </w:r>
      <w:r w:rsidR="009B5F28">
        <w:t xml:space="preserve">with transferrable skills </w:t>
      </w:r>
      <w:r w:rsidR="00AE0AB3" w:rsidRPr="009B5F28">
        <w:t>who may consider service delivery</w:t>
      </w:r>
      <w:r w:rsidR="00F37238">
        <w:t xml:space="preserve"> under the right circumstances</w:t>
      </w:r>
      <w:r w:rsidR="004A6115">
        <w:t>.</w:t>
      </w:r>
    </w:p>
    <w:p w14:paraId="0A1E741A" w14:textId="38AD135D" w:rsidR="00AE0AB3" w:rsidRPr="009B5F28" w:rsidRDefault="00006E05" w:rsidP="00CC2A64">
      <w:pPr>
        <w:pStyle w:val="ListNumber2"/>
      </w:pPr>
      <w:r>
        <w:t>The a</w:t>
      </w:r>
      <w:r w:rsidR="009B5F28">
        <w:t xml:space="preserve">nalysis should </w:t>
      </w:r>
      <w:r>
        <w:t xml:space="preserve">also </w:t>
      </w:r>
      <w:r w:rsidR="009B5F28">
        <w:t xml:space="preserve">seek to understand </w:t>
      </w:r>
      <w:r w:rsidR="00AE0AB3" w:rsidRPr="009B5F28">
        <w:t>why these providers do not currently deliver services</w:t>
      </w:r>
      <w:r>
        <w:t>,</w:t>
      </w:r>
      <w:r w:rsidR="009B5F28">
        <w:t xml:space="preserve"> and </w:t>
      </w:r>
      <w:r w:rsidR="00AE0AB3" w:rsidRPr="009B5F28">
        <w:t xml:space="preserve">what changes or support would be required for </w:t>
      </w:r>
      <w:r w:rsidR="009B5F28">
        <w:t xml:space="preserve">them to </w:t>
      </w:r>
      <w:r w:rsidR="00AE0AB3" w:rsidRPr="009B5F28">
        <w:t>enter into the market</w:t>
      </w:r>
      <w:r w:rsidR="009B5F28">
        <w:t>.</w:t>
      </w:r>
    </w:p>
    <w:p w14:paraId="12A33E39" w14:textId="006C2361" w:rsidR="00AE0AB3" w:rsidRPr="009B5F28" w:rsidRDefault="009B5F28" w:rsidP="0023645F">
      <w:pPr>
        <w:pStyle w:val="MajorHeading"/>
      </w:pPr>
      <w:r>
        <w:t xml:space="preserve">5. </w:t>
      </w:r>
      <w:r w:rsidR="00AE0AB3" w:rsidRPr="009B5F28">
        <w:t>Summarise findings and determine market health</w:t>
      </w:r>
    </w:p>
    <w:p w14:paraId="06E1AD3D" w14:textId="0CAF0D7D" w:rsidR="00054847" w:rsidRDefault="009B5F28" w:rsidP="00CC2A64">
      <w:pPr>
        <w:pStyle w:val="ListNumber2"/>
      </w:pPr>
      <w:r>
        <w:t xml:space="preserve">Analysis should be summarised </w:t>
      </w:r>
      <w:r w:rsidR="00AE0AB3" w:rsidRPr="009B5F28">
        <w:t>against the characteristics of high performing markets</w:t>
      </w:r>
      <w:r w:rsidR="00054847">
        <w:t xml:space="preserve"> (see section 4.1, below)</w:t>
      </w:r>
      <w:r w:rsidR="004A6115">
        <w:t>.</w:t>
      </w:r>
    </w:p>
    <w:p w14:paraId="3724667F" w14:textId="71E722FC" w:rsidR="00AE0AB3" w:rsidRPr="009B5F28" w:rsidRDefault="009B5F28" w:rsidP="00CC2A64">
      <w:pPr>
        <w:pStyle w:val="ListNumber2"/>
      </w:pPr>
      <w:r>
        <w:t>PHNs should consider</w:t>
      </w:r>
      <w:r w:rsidR="00054847">
        <w:t>,</w:t>
      </w:r>
      <w:r>
        <w:t xml:space="preserve"> t</w:t>
      </w:r>
      <w:r w:rsidR="00AE0AB3" w:rsidRPr="009B5F28">
        <w:t xml:space="preserve">est and confirm </w:t>
      </w:r>
      <w:r>
        <w:t xml:space="preserve">their findings </w:t>
      </w:r>
      <w:r w:rsidR="00AE0AB3" w:rsidRPr="009B5F28">
        <w:t>with providers</w:t>
      </w:r>
      <w:r w:rsidR="00D8261E">
        <w:t>, which</w:t>
      </w:r>
      <w:r>
        <w:t xml:space="preserve"> can be particularly useful around market issues.</w:t>
      </w:r>
    </w:p>
    <w:p w14:paraId="61856DAA" w14:textId="317B4203" w:rsidR="00AE0AB3" w:rsidRPr="009B5F28" w:rsidRDefault="009B5F28" w:rsidP="0023645F">
      <w:pPr>
        <w:pStyle w:val="MajorHeading"/>
      </w:pPr>
      <w:r>
        <w:t xml:space="preserve">6. </w:t>
      </w:r>
      <w:r w:rsidR="00AE0AB3" w:rsidRPr="009B5F28">
        <w:t>Plan approaches to improve the market</w:t>
      </w:r>
    </w:p>
    <w:p w14:paraId="32BC07CA" w14:textId="32A52830" w:rsidR="002A07BA" w:rsidRDefault="009B5F28" w:rsidP="00CC2A64">
      <w:pPr>
        <w:pStyle w:val="ListNumber2"/>
      </w:pPr>
      <w:r>
        <w:t xml:space="preserve">The conclusions of </w:t>
      </w:r>
      <w:r w:rsidR="00054847">
        <w:t xml:space="preserve">the market </w:t>
      </w:r>
      <w:r>
        <w:t xml:space="preserve">analysis should be </w:t>
      </w:r>
      <w:r w:rsidR="00DC21D3">
        <w:t>con</w:t>
      </w:r>
      <w:r w:rsidR="00D8261E">
        <w:t>sidered against the levers that</w:t>
      </w:r>
      <w:r w:rsidR="00AE0AB3" w:rsidRPr="009B5F28">
        <w:t xml:space="preserve"> </w:t>
      </w:r>
      <w:r w:rsidR="004870D1">
        <w:t xml:space="preserve">PHNs </w:t>
      </w:r>
      <w:r w:rsidR="00DC21D3">
        <w:t>can u</w:t>
      </w:r>
      <w:r w:rsidR="00CF2ABE">
        <w:t>se to facilitate market change</w:t>
      </w:r>
      <w:r w:rsidR="004A6115">
        <w:t>.</w:t>
      </w:r>
    </w:p>
    <w:p w14:paraId="3E22D254" w14:textId="050380A0" w:rsidR="00AE0AB3" w:rsidRPr="009B5F28" w:rsidRDefault="00DC21D3" w:rsidP="00CC2A64">
      <w:pPr>
        <w:pStyle w:val="ListNumber2"/>
      </w:pPr>
      <w:r>
        <w:t>This thinking should be tested and confirmed with providers. PHNs may also wish to consider small pilots to ensure that appr</w:t>
      </w:r>
      <w:r w:rsidR="00F37238">
        <w:t>oaches have the desired effects</w:t>
      </w:r>
      <w:r w:rsidR="004A6115">
        <w:t>.</w:t>
      </w:r>
    </w:p>
    <w:p w14:paraId="63CC8416" w14:textId="6877BC23" w:rsidR="00AE0AB3" w:rsidRPr="009B5F28" w:rsidRDefault="00DC21D3" w:rsidP="00CC2A64">
      <w:pPr>
        <w:pStyle w:val="ListNumber2"/>
      </w:pPr>
      <w:r>
        <w:t xml:space="preserve">Approaches should </w:t>
      </w:r>
      <w:r w:rsidR="004870D1">
        <w:t xml:space="preserve">then </w:t>
      </w:r>
      <w:r>
        <w:t>be co</w:t>
      </w:r>
      <w:r w:rsidR="003A335F">
        <w:t>nfirmed and next steps planned.</w:t>
      </w:r>
    </w:p>
    <w:p w14:paraId="341A23C6" w14:textId="54797FFA" w:rsidR="00DC21D3" w:rsidRDefault="00DC21D3" w:rsidP="00CC2A64">
      <w:pPr>
        <w:pStyle w:val="Paragraphtext"/>
      </w:pPr>
      <w:r>
        <w:lastRenderedPageBreak/>
        <w:t xml:space="preserve">In undertaking </w:t>
      </w:r>
      <w:r w:rsidR="004870D1">
        <w:t xml:space="preserve">the </w:t>
      </w:r>
      <w:r>
        <w:t xml:space="preserve">analysis, PHNs should consider </w:t>
      </w:r>
      <w:r w:rsidR="004870D1">
        <w:t xml:space="preserve">its </w:t>
      </w:r>
      <w:r>
        <w:t>purpose</w:t>
      </w:r>
      <w:r w:rsidR="004870D1">
        <w:t xml:space="preserve">, which </w:t>
      </w:r>
      <w:r>
        <w:t xml:space="preserve">may range from building general knowledge of the market, or seeking to solve particular issues. This knowledge can help to tailor the market analysis process and may guide the PHN </w:t>
      </w:r>
      <w:r w:rsidR="00F83441">
        <w:t xml:space="preserve">in </w:t>
      </w:r>
      <w:r>
        <w:t xml:space="preserve">emphasising certain areas of analysis. Additionally it is important that PHNs seek to work methodically through </w:t>
      </w:r>
      <w:r w:rsidR="00F83441">
        <w:t xml:space="preserve">the stages of </w:t>
      </w:r>
      <w:r>
        <w:t>analysis</w:t>
      </w:r>
      <w:r w:rsidR="00F83441">
        <w:t>, as</w:t>
      </w:r>
      <w:r>
        <w:t xml:space="preserve"> this will be </w:t>
      </w:r>
      <w:r w:rsidR="00F83441">
        <w:t xml:space="preserve">important </w:t>
      </w:r>
      <w:r>
        <w:t>in ensuring that developed approaches are fully informed by data and evidence.</w:t>
      </w:r>
    </w:p>
    <w:p w14:paraId="452116B3" w14:textId="542F7DEC" w:rsidR="00A2093B" w:rsidRDefault="00A2093B" w:rsidP="00CC2A64">
      <w:pPr>
        <w:pStyle w:val="Paragraphtext"/>
      </w:pPr>
      <w:r>
        <w:t>For market analysis relating to the needs and outcomes for Aboriginal and Torres Strait Islander people and communities</w:t>
      </w:r>
      <w:r w:rsidR="00D031BE">
        <w:t>,</w:t>
      </w:r>
      <w:r>
        <w:t xml:space="preserve"> specific consideration should be </w:t>
      </w:r>
      <w:r w:rsidR="00D031BE">
        <w:t xml:space="preserve">given </w:t>
      </w:r>
      <w:r>
        <w:t>to how these are designed</w:t>
      </w:r>
      <w:r w:rsidR="00D031BE">
        <w:t xml:space="preserve"> and</w:t>
      </w:r>
      <w:r>
        <w:t xml:space="preserve"> organised</w:t>
      </w:r>
      <w:r w:rsidR="00D031BE">
        <w:t>,</w:t>
      </w:r>
      <w:r>
        <w:t xml:space="preserve"> and how participation </w:t>
      </w:r>
      <w:r w:rsidR="00D031BE">
        <w:t xml:space="preserve">will </w:t>
      </w:r>
      <w:r>
        <w:t xml:space="preserve">occur. Initial discussions with the ACCHS in the PHN region </w:t>
      </w:r>
      <w:r w:rsidR="00873225">
        <w:t xml:space="preserve">are </w:t>
      </w:r>
      <w:r>
        <w:t>essential for the planning, organising and implement</w:t>
      </w:r>
      <w:r w:rsidR="00873225">
        <w:t>ing</w:t>
      </w:r>
      <w:r>
        <w:t xml:space="preserve"> the market analysis</w:t>
      </w:r>
      <w:r w:rsidR="00873225">
        <w:t>,</w:t>
      </w:r>
      <w:r>
        <w:t xml:space="preserve"> </w:t>
      </w:r>
      <w:r w:rsidR="00873225">
        <w:t xml:space="preserve">to ensure that </w:t>
      </w:r>
      <w:r w:rsidR="00E15589">
        <w:t xml:space="preserve">the process </w:t>
      </w:r>
      <w:r w:rsidR="00873225">
        <w:t xml:space="preserve">readily enables ACCHS to participate in a meaningful way, and so that the process is conducted </w:t>
      </w:r>
      <w:r>
        <w:t>in a way that builds trust.</w:t>
      </w:r>
    </w:p>
    <w:p w14:paraId="541BA8F4" w14:textId="0B71D600" w:rsidR="003C29E9" w:rsidRDefault="003C29E9" w:rsidP="00E368D8">
      <w:pPr>
        <w:pStyle w:val="Heading3"/>
      </w:pPr>
      <w:bookmarkStart w:id="29" w:name="_Toc515529503"/>
      <w:r>
        <w:t>Formal market analysis data sources</w:t>
      </w:r>
      <w:bookmarkEnd w:id="29"/>
    </w:p>
    <w:p w14:paraId="3A8B420E" w14:textId="133FCC97" w:rsidR="003C29E9" w:rsidRDefault="003C29E9" w:rsidP="00CC2A64">
      <w:pPr>
        <w:pStyle w:val="Paragraphtext"/>
      </w:pPr>
      <w:r>
        <w:t>Data can be gathered from a variety of sources to support this analysis</w:t>
      </w:r>
      <w:r w:rsidR="00E15589">
        <w:t xml:space="preserve">, and </w:t>
      </w:r>
      <w:r>
        <w:t xml:space="preserve">PHNs should look to build a rich market picture from a range of inputs. Potential sources </w:t>
      </w:r>
      <w:r w:rsidR="003A335F">
        <w:t>are listed below.</w:t>
      </w:r>
    </w:p>
    <w:p w14:paraId="139A0612" w14:textId="206329DF" w:rsidR="003C29E9" w:rsidRDefault="003C29E9" w:rsidP="00CC2A64">
      <w:pPr>
        <w:pStyle w:val="ListBullet"/>
      </w:pPr>
      <w:r w:rsidRPr="0079574E">
        <w:rPr>
          <w:b/>
        </w:rPr>
        <w:t xml:space="preserve">General research and data: </w:t>
      </w:r>
      <w:r>
        <w:t xml:space="preserve">This includes historic funding arrangements, </w:t>
      </w:r>
      <w:r w:rsidR="00652A21">
        <w:t>evaluations of prior initiatives and commissioning activities, external reports</w:t>
      </w:r>
      <w:r w:rsidR="0027133E">
        <w:t xml:space="preserve"> on primary health care or particular professions or parts of the sector</w:t>
      </w:r>
      <w:r w:rsidR="00652A21">
        <w:t xml:space="preserve">, outputs of previous planning cycles, </w:t>
      </w:r>
      <w:r>
        <w:t>speciality / regional reports</w:t>
      </w:r>
      <w:r w:rsidR="00CF2ABE">
        <w:t xml:space="preserve"> </w:t>
      </w:r>
      <w:r w:rsidR="00486BF6">
        <w:t>etc.</w:t>
      </w:r>
    </w:p>
    <w:p w14:paraId="68AF315C" w14:textId="6A6FA1DB" w:rsidR="003C29E9" w:rsidRDefault="003C29E9" w:rsidP="00CC2A64">
      <w:pPr>
        <w:pStyle w:val="ListBullet"/>
      </w:pPr>
      <w:r w:rsidRPr="0079574E">
        <w:rPr>
          <w:b/>
        </w:rPr>
        <w:t>Provider specific research:</w:t>
      </w:r>
      <w:r>
        <w:t xml:space="preserve"> Depending on the focus of the analysis this may involve </w:t>
      </w:r>
      <w:r w:rsidR="005B21B0">
        <w:t xml:space="preserve">examination </w:t>
      </w:r>
      <w:r>
        <w:t xml:space="preserve">of provider databases, </w:t>
      </w:r>
      <w:r w:rsidR="0027133E">
        <w:t xml:space="preserve">publicly available information from </w:t>
      </w:r>
      <w:r w:rsidR="00DC21D3">
        <w:t>regulatory bod</w:t>
      </w:r>
      <w:r w:rsidR="0027133E">
        <w:t>ies,</w:t>
      </w:r>
      <w:r w:rsidR="00DC21D3">
        <w:t xml:space="preserve"> or provider websites. PHNs should directly engage with providers to </w:t>
      </w:r>
      <w:r w:rsidR="0027133E">
        <w:t xml:space="preserve">help </w:t>
      </w:r>
      <w:r w:rsidR="00DC21D3">
        <w:t>bu</w:t>
      </w:r>
      <w:r w:rsidR="00554533">
        <w:t xml:space="preserve">ild </w:t>
      </w:r>
      <w:r w:rsidR="0027133E">
        <w:t xml:space="preserve">a thorough </w:t>
      </w:r>
      <w:r w:rsidR="00554533">
        <w:t>understanding of them</w:t>
      </w:r>
      <w:r w:rsidR="004A6115">
        <w:t>.</w:t>
      </w:r>
    </w:p>
    <w:p w14:paraId="65491AFF" w14:textId="57A13DE7" w:rsidR="003C29E9" w:rsidRDefault="003C29E9" w:rsidP="00CC2A64">
      <w:pPr>
        <w:pStyle w:val="ListBullet"/>
      </w:pPr>
      <w:r w:rsidRPr="0079574E">
        <w:rPr>
          <w:b/>
        </w:rPr>
        <w:t>Data gathered through the procurement process:</w:t>
      </w:r>
      <w:r>
        <w:t xml:space="preserve"> This includes engagement during / prior to a formal procurement process. This can include co-design sessions or wider</w:t>
      </w:r>
      <w:r w:rsidR="00554533">
        <w:t xml:space="preserve"> provider engagement activities</w:t>
      </w:r>
      <w:r w:rsidR="004A6115">
        <w:t>.</w:t>
      </w:r>
    </w:p>
    <w:p w14:paraId="6052CE67" w14:textId="204DFC3A" w:rsidR="003C29E9" w:rsidRDefault="003C29E9" w:rsidP="00CC2A64">
      <w:pPr>
        <w:pStyle w:val="ListBullet"/>
      </w:pPr>
      <w:r w:rsidRPr="0079574E">
        <w:rPr>
          <w:b/>
        </w:rPr>
        <w:t>Summary analysis and data</w:t>
      </w:r>
      <w:r w:rsidR="0079574E">
        <w:rPr>
          <w:b/>
        </w:rPr>
        <w:t>:</w:t>
      </w:r>
      <w:r>
        <w:t xml:space="preserve"> </w:t>
      </w:r>
      <w:r w:rsidR="0079574E">
        <w:t xml:space="preserve">This includes </w:t>
      </w:r>
      <w:r w:rsidR="005B21B0">
        <w:t>information</w:t>
      </w:r>
      <w:r w:rsidR="0079574E">
        <w:t xml:space="preserve"> and data </w:t>
      </w:r>
      <w:r>
        <w:t>collected as part of informal market analysis</w:t>
      </w:r>
      <w:r w:rsidR="003A335F">
        <w:t>.</w:t>
      </w:r>
    </w:p>
    <w:p w14:paraId="63C541B9" w14:textId="0098928C" w:rsidR="003C29E9" w:rsidRPr="000F6B76" w:rsidRDefault="003C29E9" w:rsidP="00CC2A64">
      <w:pPr>
        <w:pStyle w:val="Paragraphtext"/>
      </w:pPr>
      <w:r w:rsidRPr="00B73CC7">
        <w:t>PHNs should</w:t>
      </w:r>
      <w:r w:rsidR="005E41F2">
        <w:t xml:space="preserve"> </w:t>
      </w:r>
      <w:r w:rsidRPr="00B73CC7">
        <w:t xml:space="preserve">consider what data can be gathered from </w:t>
      </w:r>
      <w:r w:rsidR="00DF0178">
        <w:t xml:space="preserve">government bodies at </w:t>
      </w:r>
      <w:r w:rsidR="00D8261E">
        <w:t>the</w:t>
      </w:r>
      <w:r w:rsidRPr="00B73CC7">
        <w:t xml:space="preserve"> </w:t>
      </w:r>
      <w:r w:rsidR="00DF0178">
        <w:t>s</w:t>
      </w:r>
      <w:r w:rsidRPr="00B73CC7">
        <w:t xml:space="preserve">tate </w:t>
      </w:r>
      <w:r w:rsidR="00594F0B">
        <w:t xml:space="preserve">and territory and federal </w:t>
      </w:r>
      <w:r w:rsidRPr="00B73CC7">
        <w:t>level</w:t>
      </w:r>
      <w:r w:rsidR="00594F0B">
        <w:t>s</w:t>
      </w:r>
      <w:r w:rsidRPr="00B73CC7">
        <w:t xml:space="preserve">. Valuable information may be </w:t>
      </w:r>
      <w:r w:rsidR="00594F0B">
        <w:t xml:space="preserve">publicly </w:t>
      </w:r>
      <w:r w:rsidRPr="00B73CC7">
        <w:t xml:space="preserve">accessible from a range of </w:t>
      </w:r>
      <w:r w:rsidR="00DF0178">
        <w:t>a</w:t>
      </w:r>
      <w:r w:rsidRPr="00B73CC7">
        <w:t>gencies including other service</w:t>
      </w:r>
      <w:r w:rsidRPr="000F6B76">
        <w:t xml:space="preserve"> commissioners who have experience within particular market</w:t>
      </w:r>
      <w:r w:rsidR="00DF0178">
        <w:t>s</w:t>
      </w:r>
      <w:r w:rsidRPr="000F6B76">
        <w:t xml:space="preserve">. </w:t>
      </w:r>
      <w:r w:rsidR="00D40328">
        <w:t>Further guidance on market assessment approaches and data sources is contained with</w:t>
      </w:r>
      <w:r w:rsidR="005E082F">
        <w:t>in Tool 5</w:t>
      </w:r>
      <w:r w:rsidR="00D40328">
        <w:t xml:space="preserve"> of the </w:t>
      </w:r>
      <w:r w:rsidR="00C42225" w:rsidRPr="008A7198">
        <w:t>2018</w:t>
      </w:r>
      <w:r w:rsidR="00C42225" w:rsidRPr="00C42225">
        <w:rPr>
          <w:i/>
        </w:rPr>
        <w:t xml:space="preserve"> </w:t>
      </w:r>
      <w:r w:rsidR="00D40328" w:rsidRPr="00C42225">
        <w:rPr>
          <w:i/>
        </w:rPr>
        <w:t>Market Making and Development Toolkit</w:t>
      </w:r>
      <w:r w:rsidR="00D40328">
        <w:t>.</w:t>
      </w:r>
    </w:p>
    <w:p w14:paraId="61F3A474" w14:textId="356376A8" w:rsidR="00161E26" w:rsidRDefault="00161E26" w:rsidP="00E368D8">
      <w:pPr>
        <w:pStyle w:val="Heading3"/>
      </w:pPr>
      <w:bookmarkStart w:id="30" w:name="_Toc515529504"/>
      <w:r>
        <w:t>Provider databases</w:t>
      </w:r>
      <w:bookmarkEnd w:id="30"/>
    </w:p>
    <w:p w14:paraId="5AF8EC73" w14:textId="452F62B2" w:rsidR="00161E26" w:rsidRDefault="00E41EAF" w:rsidP="00CC2A64">
      <w:pPr>
        <w:pStyle w:val="Paragraphtext"/>
      </w:pPr>
      <w:r>
        <w:t>As part of a range of processes to</w:t>
      </w:r>
      <w:r w:rsidR="00161E26">
        <w:t xml:space="preserve"> support </w:t>
      </w:r>
      <w:r w:rsidR="00E52EF5">
        <w:t xml:space="preserve">market </w:t>
      </w:r>
      <w:r w:rsidR="00161E26">
        <w:t xml:space="preserve">analysis, PHNs may </w:t>
      </w:r>
      <w:r>
        <w:t xml:space="preserve">wish to consider </w:t>
      </w:r>
      <w:r w:rsidR="00161E26">
        <w:t>collat</w:t>
      </w:r>
      <w:r>
        <w:t>ing</w:t>
      </w:r>
      <w:r w:rsidR="00161E26">
        <w:t xml:space="preserve"> provider specific information in a database. This </w:t>
      </w:r>
      <w:r>
        <w:t xml:space="preserve">may </w:t>
      </w:r>
      <w:r w:rsidR="00161E26">
        <w:t>be useful where there is a concern around the providers operating within the market</w:t>
      </w:r>
      <w:r>
        <w:t xml:space="preserve"> in the PHN region</w:t>
      </w:r>
      <w:r w:rsidR="00161E26">
        <w:t xml:space="preserve">, or where the PHN is seeking to develop a better understanding of provider diversity. Whilst software exists to support this type of exercise, a standard program such as Excel </w:t>
      </w:r>
      <w:r>
        <w:t xml:space="preserve">may be </w:t>
      </w:r>
      <w:r w:rsidR="00161E26">
        <w:t>sufficient. Depending on the purpose behind collection, useful data may include points around:</w:t>
      </w:r>
    </w:p>
    <w:p w14:paraId="1A93F0B7" w14:textId="58E64F93" w:rsidR="00161E26" w:rsidRDefault="00CF2ABE" w:rsidP="00CC2A64">
      <w:pPr>
        <w:pStyle w:val="ListBullet"/>
      </w:pPr>
      <w:r>
        <w:t>S</w:t>
      </w:r>
      <w:r w:rsidR="00F37238">
        <w:t>ervice offering and range</w:t>
      </w:r>
    </w:p>
    <w:p w14:paraId="38865667" w14:textId="694E3EE9" w:rsidR="00161E26" w:rsidRDefault="00CF2ABE" w:rsidP="00CC2A64">
      <w:pPr>
        <w:pStyle w:val="ListBullet"/>
      </w:pPr>
      <w:r>
        <w:t>Ge</w:t>
      </w:r>
      <w:r w:rsidR="00F37238">
        <w:t>ographical locations supported</w:t>
      </w:r>
    </w:p>
    <w:p w14:paraId="14AD708F" w14:textId="1CD0EACA" w:rsidR="00161E26" w:rsidRDefault="00CF2ABE" w:rsidP="00CC2A64">
      <w:pPr>
        <w:pStyle w:val="ListBullet"/>
      </w:pPr>
      <w:r>
        <w:t>L</w:t>
      </w:r>
      <w:r w:rsidR="00161E26">
        <w:t>evel of culturall</w:t>
      </w:r>
      <w:r w:rsidR="00F37238">
        <w:t>y diverse communities supported</w:t>
      </w:r>
    </w:p>
    <w:p w14:paraId="5CC3C7D5" w14:textId="69004354" w:rsidR="00161E26" w:rsidRDefault="00CF2ABE" w:rsidP="00CC2A64">
      <w:pPr>
        <w:pStyle w:val="ListBullet"/>
      </w:pPr>
      <w:r>
        <w:t>F</w:t>
      </w:r>
      <w:r w:rsidR="00161E26">
        <w:t>inancial capacit</w:t>
      </w:r>
      <w:r w:rsidR="00F37238">
        <w:t>y</w:t>
      </w:r>
    </w:p>
    <w:p w14:paraId="5DD624D2" w14:textId="102D40AF" w:rsidR="00161E26" w:rsidRDefault="00CF2ABE" w:rsidP="00CC2A64">
      <w:pPr>
        <w:pStyle w:val="ListBullet"/>
      </w:pPr>
      <w:r>
        <w:lastRenderedPageBreak/>
        <w:t>W</w:t>
      </w:r>
      <w:r w:rsidR="00161E26">
        <w:t>orkforce o</w:t>
      </w:r>
      <w:r w:rsidR="00F37238">
        <w:t>verview / size / typical skills</w:t>
      </w:r>
    </w:p>
    <w:p w14:paraId="7B4F8273" w14:textId="38460AFC" w:rsidR="00161E26" w:rsidRDefault="00CF2ABE" w:rsidP="00CC2A64">
      <w:pPr>
        <w:pStyle w:val="ListBullet"/>
      </w:pPr>
      <w:r>
        <w:t>P</w:t>
      </w:r>
      <w:r w:rsidR="00F37238">
        <w:t>erformance issues</w:t>
      </w:r>
    </w:p>
    <w:p w14:paraId="344C60C7" w14:textId="601EE11E" w:rsidR="00161E26" w:rsidRDefault="00CF2ABE" w:rsidP="00CC2A64">
      <w:pPr>
        <w:pStyle w:val="ListBullet"/>
      </w:pPr>
      <w:r>
        <w:t>C</w:t>
      </w:r>
      <w:r w:rsidR="00161E26">
        <w:t>ontact leads for service areas.</w:t>
      </w:r>
    </w:p>
    <w:p w14:paraId="1A240E8C" w14:textId="135678EA" w:rsidR="002956B4" w:rsidRPr="00C9759C" w:rsidRDefault="00E41EAF" w:rsidP="00CC2A64">
      <w:pPr>
        <w:pStyle w:val="Paragraphtext"/>
      </w:pPr>
      <w:r>
        <w:t>If used, s</w:t>
      </w:r>
      <w:r w:rsidR="00161E26">
        <w:t xml:space="preserve">uch a database </w:t>
      </w:r>
      <w:r>
        <w:t xml:space="preserve">would need to </w:t>
      </w:r>
      <w:r w:rsidR="00161E26">
        <w:t xml:space="preserve">be </w:t>
      </w:r>
      <w:r w:rsidR="00D8261E">
        <w:t>regularly updated</w:t>
      </w:r>
      <w:r w:rsidR="00161E26">
        <w:t xml:space="preserve"> by the PHN</w:t>
      </w:r>
      <w:r>
        <w:t xml:space="preserve"> (which may be resource intensive)</w:t>
      </w:r>
      <w:r w:rsidR="00781BD5">
        <w:t>, and it</w:t>
      </w:r>
      <w:r>
        <w:t xml:space="preserve"> </w:t>
      </w:r>
      <w:r w:rsidR="00275D90">
        <w:t>would</w:t>
      </w:r>
      <w:r>
        <w:t xml:space="preserve"> </w:t>
      </w:r>
      <w:r w:rsidR="00781BD5">
        <w:t xml:space="preserve">only </w:t>
      </w:r>
      <w:r>
        <w:t xml:space="preserve">be one </w:t>
      </w:r>
      <w:r w:rsidR="00161E26">
        <w:t xml:space="preserve">source from which knowledge </w:t>
      </w:r>
      <w:r>
        <w:t xml:space="preserve">could </w:t>
      </w:r>
      <w:r w:rsidR="00161E26">
        <w:t xml:space="preserve">be drawn </w:t>
      </w:r>
      <w:r>
        <w:t xml:space="preserve">on </w:t>
      </w:r>
      <w:r w:rsidR="00161E26">
        <w:t xml:space="preserve">through a commissioning lifecycle For example, PHNs </w:t>
      </w:r>
      <w:r>
        <w:t xml:space="preserve">could </w:t>
      </w:r>
      <w:r w:rsidR="00161E26">
        <w:t xml:space="preserve">use the database </w:t>
      </w:r>
      <w:r>
        <w:t xml:space="preserve">as one means of </w:t>
      </w:r>
      <w:r w:rsidR="00161E26">
        <w:t>identify</w:t>
      </w:r>
      <w:r>
        <w:t>ing</w:t>
      </w:r>
      <w:r w:rsidR="00161E26">
        <w:t xml:space="preserve"> contacts to invite to a particular industry briefing, or organisations to support co-design efforts around a specific issue</w:t>
      </w:r>
      <w:r w:rsidR="00275D90">
        <w:t xml:space="preserve">. Accordingly, it is important to note that </w:t>
      </w:r>
      <w:r w:rsidR="00D51783">
        <w:t xml:space="preserve">even if such </w:t>
      </w:r>
      <w:r w:rsidR="00781BD5">
        <w:t xml:space="preserve">a </w:t>
      </w:r>
      <w:r w:rsidR="00D51783">
        <w:t xml:space="preserve">database were used, </w:t>
      </w:r>
      <w:r w:rsidR="00781BD5">
        <w:t>it</w:t>
      </w:r>
      <w:r w:rsidR="0037781D">
        <w:t xml:space="preserve"> should not necessarily be relied upon as a single source of information; </w:t>
      </w:r>
      <w:r w:rsidR="00781BD5">
        <w:t xml:space="preserve">the </w:t>
      </w:r>
      <w:r w:rsidR="00275D90">
        <w:t xml:space="preserve">PHN </w:t>
      </w:r>
      <w:r w:rsidR="00D51783">
        <w:t xml:space="preserve">would </w:t>
      </w:r>
      <w:r w:rsidR="0037781D">
        <w:t xml:space="preserve">also </w:t>
      </w:r>
      <w:r w:rsidR="00275D90">
        <w:t xml:space="preserve">need to look more broadly to ensure that other </w:t>
      </w:r>
      <w:r w:rsidR="0037781D">
        <w:t xml:space="preserve">unlisted </w:t>
      </w:r>
      <w:r w:rsidR="00275D90">
        <w:t xml:space="preserve">providers would not be automatically omitted or excluded from </w:t>
      </w:r>
      <w:r w:rsidR="00781BD5">
        <w:t>its</w:t>
      </w:r>
      <w:r w:rsidR="00275D90">
        <w:t xml:space="preserve"> market analyses, or from commissioning processes</w:t>
      </w:r>
      <w:r w:rsidR="003A335F">
        <w:t>.</w:t>
      </w:r>
    </w:p>
    <w:p w14:paraId="5C15744B" w14:textId="77777777" w:rsidR="002141CD" w:rsidRDefault="002141CD" w:rsidP="00E368D8">
      <w:pPr>
        <w:pStyle w:val="Heading3"/>
      </w:pPr>
      <w:bookmarkStart w:id="31" w:name="_Toc515529505"/>
      <w:r>
        <w:t>Presenting the outcomes of market analysis</w:t>
      </w:r>
      <w:bookmarkEnd w:id="31"/>
    </w:p>
    <w:p w14:paraId="5F08BF9E" w14:textId="06965D9B" w:rsidR="002141CD" w:rsidRDefault="002141CD" w:rsidP="00CC2A64">
      <w:pPr>
        <w:pStyle w:val="Paragraphtext"/>
      </w:pPr>
      <w:r>
        <w:t>The outputs of market analysis can be presented in a number of different ways. Commonly, analysis will be presented against the characteristics of high performing markets in order to understand where issues</w:t>
      </w:r>
      <w:r w:rsidR="00A2093B">
        <w:t xml:space="preserve"> may exist. Alternatively,</w:t>
      </w:r>
      <w:r>
        <w:t xml:space="preserve"> market segmentation can be used as a means of </w:t>
      </w:r>
      <w:r w:rsidR="00D04E47">
        <w:t xml:space="preserve">categorising </w:t>
      </w:r>
      <w:r>
        <w:t xml:space="preserve">markets </w:t>
      </w:r>
      <w:r w:rsidR="003F6DCB">
        <w:t xml:space="preserve">by </w:t>
      </w:r>
      <w:r>
        <w:t>types</w:t>
      </w:r>
      <w:r w:rsidR="003F6DCB">
        <w:t>, for example,</w:t>
      </w:r>
      <w:r>
        <w:t xml:space="preserve"> providers who deliver specific services, support particular geographic locations, support specific cohort</w:t>
      </w:r>
      <w:r w:rsidR="003F6DCB">
        <w:t>s,</w:t>
      </w:r>
      <w:r>
        <w:t xml:space="preserve"> or have specific </w:t>
      </w:r>
      <w:r w:rsidR="003F6DCB">
        <w:t xml:space="preserve">expertise and </w:t>
      </w:r>
      <w:r>
        <w:t xml:space="preserve">experience. Innovative approaches to presentation can also be used, such as </w:t>
      </w:r>
      <w:r w:rsidRPr="00CA4A74">
        <w:t xml:space="preserve">geographical information systems (GIS) to compare </w:t>
      </w:r>
      <w:r w:rsidR="003F6DCB">
        <w:t xml:space="preserve">existing </w:t>
      </w:r>
      <w:r w:rsidRPr="00CA4A74">
        <w:t xml:space="preserve">demand </w:t>
      </w:r>
      <w:r w:rsidR="00DF0178">
        <w:t xml:space="preserve">with </w:t>
      </w:r>
      <w:r w:rsidR="003F6DCB">
        <w:t xml:space="preserve">existing </w:t>
      </w:r>
      <w:r w:rsidR="00DF0178">
        <w:t xml:space="preserve">supply. </w:t>
      </w:r>
      <w:r>
        <w:t xml:space="preserve">PHNs do not necessarily need to have this level of sophistication in their analysis or mapping of their regions, but such approaches can provide </w:t>
      </w:r>
      <w:r w:rsidR="003A27F2">
        <w:t xml:space="preserve">useful visual </w:t>
      </w:r>
      <w:r>
        <w:t xml:space="preserve">representations of </w:t>
      </w:r>
      <w:r w:rsidR="003A27F2">
        <w:t xml:space="preserve">where gaps and oversupply exist, and help to </w:t>
      </w:r>
      <w:r>
        <w:t>support identification of appropriate remedies.</w:t>
      </w:r>
    </w:p>
    <w:p w14:paraId="52614F6F" w14:textId="77777777" w:rsidR="00253094" w:rsidRDefault="00253094">
      <w:pPr>
        <w:rPr>
          <w:rFonts w:cs="Arial"/>
          <w:b/>
          <w:bCs/>
          <w:color w:val="153A6E"/>
          <w:kern w:val="28"/>
          <w:sz w:val="36"/>
          <w:szCs w:val="32"/>
        </w:rPr>
      </w:pPr>
      <w:bookmarkStart w:id="32" w:name="_Toc515529506"/>
      <w:r>
        <w:br w:type="page"/>
      </w:r>
    </w:p>
    <w:p w14:paraId="09D35728" w14:textId="272BB23B" w:rsidR="009F5D1F" w:rsidRDefault="009F5D1F" w:rsidP="009F5D1F">
      <w:pPr>
        <w:pStyle w:val="Heading1"/>
      </w:pPr>
      <w:r>
        <w:lastRenderedPageBreak/>
        <w:t>M</w:t>
      </w:r>
      <w:r w:rsidR="0023645F">
        <w:t>arket performance</w:t>
      </w:r>
      <w:bookmarkEnd w:id="32"/>
    </w:p>
    <w:p w14:paraId="183B5042" w14:textId="53702DEB" w:rsidR="009F5D1F" w:rsidRDefault="009F5D1F" w:rsidP="009F5D1F">
      <w:pPr>
        <w:pStyle w:val="Heading2"/>
      </w:pPr>
      <w:bookmarkStart w:id="33" w:name="_Toc515529507"/>
      <w:r>
        <w:t>Characteristics of high performing markets</w:t>
      </w:r>
      <w:bookmarkEnd w:id="33"/>
      <w:r>
        <w:t xml:space="preserve"> </w:t>
      </w:r>
    </w:p>
    <w:p w14:paraId="5D096320" w14:textId="77695BBB" w:rsidR="00884999" w:rsidRDefault="00884999" w:rsidP="00CC2A64">
      <w:pPr>
        <w:pStyle w:val="ListBullet"/>
      </w:pPr>
      <w:r>
        <w:t xml:space="preserve">It is likely that the process of market analysis will highlight where issues exist in relation to either individual providers or the market as a whole. PHNs will need to support markets to </w:t>
      </w:r>
      <w:r w:rsidR="008170D0">
        <w:t>develop more of</w:t>
      </w:r>
      <w:r>
        <w:t xml:space="preserve"> the characteristics of high performance. </w:t>
      </w:r>
      <w:r w:rsidR="00D243D7">
        <w:t xml:space="preserve">More mature markets typically demonstrate these </w:t>
      </w:r>
      <w:r>
        <w:t>dimensions</w:t>
      </w:r>
      <w:r w:rsidR="008170D0">
        <w:t>, which are listed below.</w:t>
      </w:r>
    </w:p>
    <w:p w14:paraId="11167D4C" w14:textId="1347D36B" w:rsidR="00884999" w:rsidRDefault="00884999" w:rsidP="00CC2A64">
      <w:pPr>
        <w:pStyle w:val="ListBullet"/>
      </w:pPr>
      <w:r w:rsidRPr="00D81504">
        <w:rPr>
          <w:b/>
        </w:rPr>
        <w:t>Sustainable competition:</w:t>
      </w:r>
      <w:r>
        <w:t xml:space="preserve"> Competition can be beneficial in that it encourages efficiency and innovation within a market, and also provides choice. However</w:t>
      </w:r>
      <w:r w:rsidR="008170D0">
        <w:t>,</w:t>
      </w:r>
      <w:r>
        <w:t xml:space="preserve"> competition needs to be sustainable to ensure the market is not destabilised in the lo</w:t>
      </w:r>
      <w:r w:rsidR="00DF0178">
        <w:t>ng-</w:t>
      </w:r>
      <w:r>
        <w:t xml:space="preserve">term. Unstable competition can </w:t>
      </w:r>
      <w:r w:rsidR="008170D0">
        <w:t xml:space="preserve">lead to </w:t>
      </w:r>
      <w:r w:rsidR="00DF0178">
        <w:t xml:space="preserve">providers </w:t>
      </w:r>
      <w:r>
        <w:t>underbid</w:t>
      </w:r>
      <w:r w:rsidR="008170D0">
        <w:t>ding</w:t>
      </w:r>
      <w:r>
        <w:t xml:space="preserve"> </w:t>
      </w:r>
      <w:r w:rsidR="00DF0178">
        <w:t>each other</w:t>
      </w:r>
      <w:r w:rsidR="008170D0">
        <w:t>, which can lead to unsustainable operating models</w:t>
      </w:r>
      <w:r w:rsidR="002722D3">
        <w:t>, and the formation of less diverse markets, and potentially, monopolies</w:t>
      </w:r>
      <w:r w:rsidR="00001956">
        <w:t>.</w:t>
      </w:r>
    </w:p>
    <w:p w14:paraId="496938CA" w14:textId="124569CC" w:rsidR="00884999" w:rsidRDefault="00884999" w:rsidP="00CC2A64">
      <w:pPr>
        <w:pStyle w:val="ListBullet"/>
      </w:pPr>
      <w:r w:rsidRPr="00D81504">
        <w:rPr>
          <w:b/>
        </w:rPr>
        <w:t>Provide choice and limited monopolies:</w:t>
      </w:r>
      <w:r>
        <w:t xml:space="preserve"> It is important that where possible, PHNs are able to exerc</w:t>
      </w:r>
      <w:r w:rsidR="00A82EB9">
        <w:t>ise choice within their markets</w:t>
      </w:r>
      <w:r w:rsidR="00695B22">
        <w:t>,</w:t>
      </w:r>
      <w:r w:rsidR="00A82EB9">
        <w:t xml:space="preserve"> from a </w:t>
      </w:r>
      <w:r w:rsidR="00695B22">
        <w:t xml:space="preserve">diverse </w:t>
      </w:r>
      <w:r w:rsidR="00A82EB9">
        <w:t xml:space="preserve">range of providers. It is recognised that in rural and remote areas this may be </w:t>
      </w:r>
      <w:r w:rsidR="00695B22">
        <w:t xml:space="preserve">particularly </w:t>
      </w:r>
      <w:r w:rsidR="00A82EB9">
        <w:t>challenging, and PHNs may need to consider innovative ideas to attract and support competitive tension</w:t>
      </w:r>
      <w:r w:rsidR="00695B22">
        <w:t xml:space="preserve"> in these circumstances</w:t>
      </w:r>
      <w:r w:rsidR="008170D0">
        <w:t>.</w:t>
      </w:r>
      <w:r w:rsidR="000D1F08">
        <w:t xml:space="preserve"> (Refer to the 2016 </w:t>
      </w:r>
      <w:r w:rsidR="000D1F08">
        <w:rPr>
          <w:i/>
        </w:rPr>
        <w:t>Designing and Contracting Services Guidance</w:t>
      </w:r>
      <w:r w:rsidR="000D1F08" w:rsidRPr="00CC2A64">
        <w:rPr>
          <w:rStyle w:val="FootnoteReference"/>
        </w:rPr>
        <w:footnoteReference w:id="10"/>
      </w:r>
      <w:r w:rsidR="000D1F08">
        <w:t xml:space="preserve"> for further information on this)</w:t>
      </w:r>
      <w:r w:rsidR="00001956">
        <w:t>.</w:t>
      </w:r>
    </w:p>
    <w:p w14:paraId="781B30B9" w14:textId="0BF87A2C" w:rsidR="00884999" w:rsidRDefault="00884999" w:rsidP="00CC2A64">
      <w:pPr>
        <w:pStyle w:val="ListBullet"/>
      </w:pPr>
      <w:r w:rsidRPr="00D81504">
        <w:rPr>
          <w:b/>
        </w:rPr>
        <w:t>Diversity of service offerings</w:t>
      </w:r>
      <w:r w:rsidR="00A82EB9" w:rsidRPr="00D81504">
        <w:rPr>
          <w:b/>
        </w:rPr>
        <w:t>:</w:t>
      </w:r>
      <w:r w:rsidR="00A82EB9">
        <w:t xml:space="preserve"> PHNs should be able to access a range of different services from the market for each area of </w:t>
      </w:r>
      <w:r w:rsidR="00F01833">
        <w:t xml:space="preserve">primary </w:t>
      </w:r>
      <w:r w:rsidR="00A82EB9">
        <w:t xml:space="preserve">health care. </w:t>
      </w:r>
      <w:r w:rsidR="00D81504">
        <w:t xml:space="preserve">This includes offerings to </w:t>
      </w:r>
      <w:r w:rsidR="00F01833">
        <w:t xml:space="preserve">effectively meet the primary health care needs of </w:t>
      </w:r>
      <w:r w:rsidR="00D81504">
        <w:t>Aboriginal and Torres Strait Islan</w:t>
      </w:r>
      <w:r w:rsidR="00A2093B">
        <w:t xml:space="preserve">der people and </w:t>
      </w:r>
      <w:r w:rsidR="0053276F">
        <w:t>communities</w:t>
      </w:r>
      <w:r w:rsidR="004A50BE">
        <w:t>, and other groups that are at risk of poor health outcomes</w:t>
      </w:r>
      <w:r w:rsidR="00001956">
        <w:t>.</w:t>
      </w:r>
    </w:p>
    <w:p w14:paraId="21B56101" w14:textId="5673B343" w:rsidR="00884999" w:rsidRDefault="00884999" w:rsidP="00CC2A64">
      <w:pPr>
        <w:pStyle w:val="ListBullet"/>
      </w:pPr>
      <w:r w:rsidRPr="00D81504">
        <w:rPr>
          <w:b/>
        </w:rPr>
        <w:t>Evidence of innovation</w:t>
      </w:r>
      <w:r w:rsidR="00A82EB9" w:rsidRPr="00D81504">
        <w:rPr>
          <w:b/>
        </w:rPr>
        <w:t>:</w:t>
      </w:r>
      <w:r w:rsidR="00A82EB9">
        <w:t xml:space="preserve"> High performing markets are innovative</w:t>
      </w:r>
      <w:r w:rsidR="0059337D">
        <w:t>,</w:t>
      </w:r>
      <w:r w:rsidR="00A82EB9">
        <w:t xml:space="preserve"> with providers looking to introduce new ways of working</w:t>
      </w:r>
      <w:r w:rsidR="00D81504">
        <w:t xml:space="preserve"> that PHNs can </w:t>
      </w:r>
      <w:r w:rsidR="002722D3">
        <w:t>use</w:t>
      </w:r>
      <w:r w:rsidR="0059337D">
        <w:t>,</w:t>
      </w:r>
      <w:r w:rsidR="002722D3">
        <w:t xml:space="preserve"> </w:t>
      </w:r>
      <w:r w:rsidR="0059337D">
        <w:t xml:space="preserve">such as </w:t>
      </w:r>
      <w:r w:rsidR="002722D3">
        <w:t xml:space="preserve">innovative models of care, </w:t>
      </w:r>
      <w:r w:rsidR="00C63E27">
        <w:t>and the use of technology</w:t>
      </w:r>
      <w:r w:rsidR="00001956">
        <w:t>.</w:t>
      </w:r>
    </w:p>
    <w:p w14:paraId="51A32DAB" w14:textId="2FB103E8" w:rsidR="009F5D1F" w:rsidRDefault="00884999" w:rsidP="00CC2A64">
      <w:pPr>
        <w:pStyle w:val="ListBullet"/>
      </w:pPr>
      <w:r w:rsidRPr="00D81504">
        <w:rPr>
          <w:b/>
        </w:rPr>
        <w:t>Participative, collaborative and responsive</w:t>
      </w:r>
      <w:r w:rsidR="00D81504">
        <w:t xml:space="preserve">: The market plays an important role in supporting the ambitions of PHNs </w:t>
      </w:r>
      <w:r w:rsidR="002B2D32">
        <w:t xml:space="preserve">and </w:t>
      </w:r>
      <w:r w:rsidR="00D81504">
        <w:t xml:space="preserve">this goes beyond service delivery. It is therefore important that the market is </w:t>
      </w:r>
      <w:r w:rsidR="002B2D32">
        <w:t xml:space="preserve">responsive and </w:t>
      </w:r>
      <w:r w:rsidR="00D81504">
        <w:t>willing to work collaboratively with PHNs in a range of broader areas that relate to the co</w:t>
      </w:r>
      <w:r w:rsidR="00CF2ABE">
        <w:t>mmissioning framework</w:t>
      </w:r>
      <w:r w:rsidR="00001956">
        <w:t>.</w:t>
      </w:r>
    </w:p>
    <w:p w14:paraId="1B444873" w14:textId="34EFAAB5" w:rsidR="00C63E27" w:rsidRPr="00C63E27" w:rsidRDefault="00C63E27" w:rsidP="00CC2A64">
      <w:pPr>
        <w:pStyle w:val="ListBullet"/>
        <w:rPr>
          <w:b/>
        </w:rPr>
      </w:pPr>
      <w:r w:rsidRPr="00C63E27">
        <w:rPr>
          <w:b/>
        </w:rPr>
        <w:t>Quality services</w:t>
      </w:r>
      <w:r>
        <w:rPr>
          <w:b/>
        </w:rPr>
        <w:t xml:space="preserve">: </w:t>
      </w:r>
      <w:r>
        <w:t xml:space="preserve">PHNs should be able to access </w:t>
      </w:r>
      <w:r w:rsidR="00C76417">
        <w:t>high quality services that comply wi</w:t>
      </w:r>
      <w:r w:rsidR="00CF2ABE">
        <w:t>th risk and safety requirements</w:t>
      </w:r>
      <w:r w:rsidR="00001956">
        <w:t>.</w:t>
      </w:r>
    </w:p>
    <w:p w14:paraId="602011DE" w14:textId="7E999353" w:rsidR="00D81504" w:rsidRDefault="00D81504" w:rsidP="00CC2A64">
      <w:pPr>
        <w:pStyle w:val="ListBullet"/>
      </w:pPr>
      <w:r>
        <w:rPr>
          <w:b/>
        </w:rPr>
        <w:t>Value for money</w:t>
      </w:r>
      <w:r>
        <w:t xml:space="preserve">: </w:t>
      </w:r>
      <w:r w:rsidR="000A23EB">
        <w:t xml:space="preserve">PHNs </w:t>
      </w:r>
      <w:r w:rsidR="0059337D">
        <w:t>are required to achieve</w:t>
      </w:r>
      <w:r w:rsidR="000A23EB">
        <w:t xml:space="preserve"> value for money </w:t>
      </w:r>
      <w:r w:rsidR="0059337D">
        <w:t>in all their commissioning activities. E</w:t>
      </w:r>
      <w:r w:rsidR="000A23EB">
        <w:t>fficient market operations and appropriate competitive tensions</w:t>
      </w:r>
      <w:r w:rsidR="00DC1187">
        <w:t xml:space="preserve"> are important in supporting the achievement of value for money</w:t>
      </w:r>
      <w:r w:rsidR="003A335F">
        <w:t>.</w:t>
      </w:r>
    </w:p>
    <w:p w14:paraId="0366ED04" w14:textId="7B4D015A" w:rsidR="000A23EB" w:rsidRDefault="000A23EB" w:rsidP="000A23EB">
      <w:pPr>
        <w:pStyle w:val="Heading2"/>
      </w:pPr>
      <w:bookmarkStart w:id="34" w:name="_Toc515529508"/>
      <w:r>
        <w:t xml:space="preserve">Market </w:t>
      </w:r>
      <w:r w:rsidR="00D243D7">
        <w:t xml:space="preserve">issues and </w:t>
      </w:r>
      <w:r>
        <w:t>failure</w:t>
      </w:r>
      <w:bookmarkEnd w:id="34"/>
    </w:p>
    <w:p w14:paraId="39347F82" w14:textId="2CC64A3E" w:rsidR="000A23EB" w:rsidRDefault="001B5E10" w:rsidP="00CC2A64">
      <w:pPr>
        <w:pStyle w:val="Paragraphtext"/>
      </w:pPr>
      <w:r>
        <w:t>I</w:t>
      </w:r>
      <w:r w:rsidR="000A23EB">
        <w:t xml:space="preserve">t is important that PHNs </w:t>
      </w:r>
      <w:r>
        <w:t xml:space="preserve">can readily </w:t>
      </w:r>
      <w:r w:rsidR="000A23EB">
        <w:t xml:space="preserve">identify </w:t>
      </w:r>
      <w:r>
        <w:t>market failure when it occurs, and its</w:t>
      </w:r>
      <w:r w:rsidR="000A23EB">
        <w:t xml:space="preserve"> root causes rather than just </w:t>
      </w:r>
      <w:r w:rsidR="00DF0178">
        <w:t>demonstrated</w:t>
      </w:r>
      <w:r w:rsidR="000A23EB">
        <w:t xml:space="preserve"> symptoms. A robust market analysis process will support thi</w:t>
      </w:r>
      <w:r w:rsidR="00DF0178">
        <w:t>s</w:t>
      </w:r>
      <w:r w:rsidR="000A23EB">
        <w:t xml:space="preserve"> and help </w:t>
      </w:r>
      <w:r>
        <w:t xml:space="preserve">to </w:t>
      </w:r>
      <w:r w:rsidR="000A23EB">
        <w:t>provide indications as to potential approaches to rect</w:t>
      </w:r>
      <w:r w:rsidR="003A335F">
        <w:t>ification.</w:t>
      </w:r>
    </w:p>
    <w:p w14:paraId="3F0F6532" w14:textId="7DDE4ECF" w:rsidR="00D243D7" w:rsidRDefault="001B5E10" w:rsidP="00CC2A64">
      <w:pPr>
        <w:pStyle w:val="Paragraphtext"/>
      </w:pPr>
      <w:r>
        <w:t>A</w:t>
      </w:r>
      <w:r w:rsidR="00D243D7">
        <w:t>s commissioner</w:t>
      </w:r>
      <w:r>
        <w:t>s, PHNs</w:t>
      </w:r>
      <w:r w:rsidR="00D243D7">
        <w:t xml:space="preserve"> have a role to play as ‘market managers’</w:t>
      </w:r>
      <w:r>
        <w:t>,</w:t>
      </w:r>
      <w:r w:rsidR="00DF0178">
        <w:t xml:space="preserve"> </w:t>
      </w:r>
      <w:r w:rsidR="009141BC">
        <w:t xml:space="preserve">to </w:t>
      </w:r>
      <w:r>
        <w:t>influenc</w:t>
      </w:r>
      <w:r w:rsidR="009141BC">
        <w:t>e</w:t>
      </w:r>
      <w:r>
        <w:t xml:space="preserve"> </w:t>
      </w:r>
      <w:r w:rsidR="00D243D7">
        <w:t xml:space="preserve">the structure and performance of </w:t>
      </w:r>
      <w:r w:rsidR="009141BC">
        <w:t xml:space="preserve">primary health care </w:t>
      </w:r>
      <w:r w:rsidR="00D243D7">
        <w:t xml:space="preserve">markets using various </w:t>
      </w:r>
      <w:r>
        <w:t>mechanisms</w:t>
      </w:r>
      <w:r w:rsidR="00D243D7">
        <w:t xml:space="preserve">. Whilst PHNs play a role here, it should be noted that </w:t>
      </w:r>
      <w:r w:rsidR="00DF0178">
        <w:t xml:space="preserve">they are </w:t>
      </w:r>
      <w:r w:rsidR="00D243D7">
        <w:t>part of a broader health system</w:t>
      </w:r>
      <w:r w:rsidR="00DF0178">
        <w:t xml:space="preserve"> and have </w:t>
      </w:r>
      <w:r w:rsidR="00D243D7">
        <w:t>limit</w:t>
      </w:r>
      <w:r w:rsidR="009141BC">
        <w:t>ed</w:t>
      </w:r>
      <w:r w:rsidR="00D243D7">
        <w:t xml:space="preserve"> capacity to </w:t>
      </w:r>
      <w:r w:rsidR="009141BC">
        <w:t xml:space="preserve">solely </w:t>
      </w:r>
      <w:r w:rsidR="00D243D7">
        <w:t xml:space="preserve">address market issues. Other key funders, commissioners and stakeholders </w:t>
      </w:r>
      <w:r w:rsidR="009141BC">
        <w:t xml:space="preserve">also </w:t>
      </w:r>
      <w:r w:rsidR="00B91232">
        <w:t xml:space="preserve">have </w:t>
      </w:r>
      <w:r w:rsidR="009141BC">
        <w:t xml:space="preserve">important </w:t>
      </w:r>
      <w:r w:rsidR="00D243D7">
        <w:t>role</w:t>
      </w:r>
      <w:r w:rsidR="00B91232">
        <w:t>s</w:t>
      </w:r>
      <w:r w:rsidR="00D243D7">
        <w:t xml:space="preserve"> in </w:t>
      </w:r>
      <w:r w:rsidR="003A335F">
        <w:t>supporting market improvements.</w:t>
      </w:r>
    </w:p>
    <w:p w14:paraId="7AB689C1" w14:textId="1A9C2286" w:rsidR="005C4FB0" w:rsidRDefault="00D243D7" w:rsidP="00CC2A64">
      <w:pPr>
        <w:pStyle w:val="Paragraphtext"/>
      </w:pPr>
      <w:r>
        <w:lastRenderedPageBreak/>
        <w:t xml:space="preserve">For PHNs, market </w:t>
      </w:r>
      <w:r w:rsidR="00E20DC7">
        <w:t xml:space="preserve">deficiencies </w:t>
      </w:r>
      <w:r>
        <w:t xml:space="preserve">and </w:t>
      </w:r>
      <w:r w:rsidR="00E20DC7">
        <w:t xml:space="preserve">market </w:t>
      </w:r>
      <w:r>
        <w:t xml:space="preserve">failure typically relate to one </w:t>
      </w:r>
      <w:r w:rsidR="00C70019">
        <w:t xml:space="preserve">or more </w:t>
      </w:r>
      <w:r>
        <w:t>of the areas</w:t>
      </w:r>
      <w:r w:rsidR="00C70019">
        <w:t xml:space="preserve"> listed below.</w:t>
      </w:r>
    </w:p>
    <w:p w14:paraId="2F0A2175" w14:textId="62C0FB31" w:rsidR="005C4FB0" w:rsidRPr="00D243D7" w:rsidRDefault="00D243D7" w:rsidP="00CC2A64">
      <w:pPr>
        <w:pStyle w:val="ListBullet"/>
      </w:pPr>
      <w:r>
        <w:rPr>
          <w:b/>
        </w:rPr>
        <w:t>Absence of supply</w:t>
      </w:r>
      <w:r w:rsidR="00246B91">
        <w:rPr>
          <w:b/>
        </w:rPr>
        <w:t xml:space="preserve">: </w:t>
      </w:r>
      <w:r w:rsidR="00246B91">
        <w:t xml:space="preserve">Particularly relevant in rural and remote locations, PHNs may have a lack of providers </w:t>
      </w:r>
      <w:r w:rsidR="00E73531">
        <w:t xml:space="preserve">who </w:t>
      </w:r>
      <w:r w:rsidR="00246B91">
        <w:t xml:space="preserve">offer the services required to support the </w:t>
      </w:r>
      <w:r w:rsidR="0053276F">
        <w:t>outcomes needing to be achieved</w:t>
      </w:r>
      <w:r w:rsidR="004A6115">
        <w:t>.</w:t>
      </w:r>
    </w:p>
    <w:p w14:paraId="40DC5D40" w14:textId="3A16DCA0" w:rsidR="00D243D7" w:rsidRPr="00D243D7" w:rsidRDefault="00D243D7" w:rsidP="00CC2A64">
      <w:pPr>
        <w:pStyle w:val="ListBullet"/>
      </w:pPr>
      <w:r>
        <w:rPr>
          <w:b/>
        </w:rPr>
        <w:t>Inappropriate supply</w:t>
      </w:r>
      <w:r w:rsidR="00246B91">
        <w:rPr>
          <w:b/>
        </w:rPr>
        <w:t xml:space="preserve">: </w:t>
      </w:r>
      <w:r w:rsidR="00246B91">
        <w:t>This describes scenarios where providers exist, however t</w:t>
      </w:r>
      <w:r w:rsidR="00DF0178">
        <w:t xml:space="preserve">he services </w:t>
      </w:r>
      <w:r w:rsidR="00C70019">
        <w:t xml:space="preserve">that they </w:t>
      </w:r>
      <w:r w:rsidR="00DF0178">
        <w:t>offer do</w:t>
      </w:r>
      <w:r w:rsidR="00246B91">
        <w:t xml:space="preserve"> not fully align with </w:t>
      </w:r>
      <w:r w:rsidR="00C70019">
        <w:t xml:space="preserve">what is </w:t>
      </w:r>
      <w:r w:rsidR="00246B91">
        <w:t>sought by t</w:t>
      </w:r>
      <w:r w:rsidR="00A2093B">
        <w:t xml:space="preserve">he PHN. For example, </w:t>
      </w:r>
      <w:r w:rsidR="00107F7F">
        <w:t>mental</w:t>
      </w:r>
      <w:r w:rsidR="002B2D32">
        <w:t xml:space="preserve"> health</w:t>
      </w:r>
      <w:r w:rsidR="00107F7F">
        <w:t xml:space="preserve"> </w:t>
      </w:r>
      <w:r w:rsidR="00A2093B">
        <w:t xml:space="preserve">providers </w:t>
      </w:r>
      <w:r w:rsidR="00107F7F">
        <w:t xml:space="preserve">may exist in a region </w:t>
      </w:r>
      <w:r w:rsidR="00453434">
        <w:t xml:space="preserve">to </w:t>
      </w:r>
      <w:r w:rsidR="00107F7F">
        <w:t xml:space="preserve">support </w:t>
      </w:r>
      <w:r w:rsidR="00453434">
        <w:t xml:space="preserve">younger Australians with mental health needs, but services that support </w:t>
      </w:r>
      <w:r w:rsidR="00107F7F">
        <w:t>older Australians with mental health needs are required.</w:t>
      </w:r>
      <w:r w:rsidR="00246B91">
        <w:t xml:space="preserve"> Inappropriate supply can be common across </w:t>
      </w:r>
      <w:proofErr w:type="gramStart"/>
      <w:r w:rsidR="00246B91">
        <w:t>geographies,</w:t>
      </w:r>
      <w:proofErr w:type="gramEnd"/>
      <w:r w:rsidR="00246B91">
        <w:t xml:space="preserve"> however it is more prevalent in more rural and remote locations</w:t>
      </w:r>
      <w:r w:rsidR="004A6115">
        <w:t>.</w:t>
      </w:r>
    </w:p>
    <w:p w14:paraId="0E00778F" w14:textId="1AADBAB2" w:rsidR="00D243D7" w:rsidRPr="00D243D7" w:rsidRDefault="00D243D7" w:rsidP="00CC2A64">
      <w:pPr>
        <w:pStyle w:val="ListBullet"/>
      </w:pPr>
      <w:r>
        <w:rPr>
          <w:b/>
        </w:rPr>
        <w:t>Limited competition</w:t>
      </w:r>
      <w:r w:rsidR="00246B91">
        <w:rPr>
          <w:b/>
        </w:rPr>
        <w:t xml:space="preserve">: </w:t>
      </w:r>
      <w:r w:rsidR="00246B91">
        <w:t>This relates to circumstances where the market only contains a small number of providers who offer the required services</w:t>
      </w:r>
      <w:r w:rsidR="00E779E3">
        <w:t xml:space="preserve">, and consequently, </w:t>
      </w:r>
      <w:r w:rsidR="00246B91">
        <w:t xml:space="preserve">PHNs </w:t>
      </w:r>
      <w:r w:rsidR="00E779E3">
        <w:t xml:space="preserve">may be </w:t>
      </w:r>
      <w:r w:rsidR="0053276F">
        <w:t>unable to fully exercise choice</w:t>
      </w:r>
      <w:r w:rsidR="00A2093B">
        <w:t>.</w:t>
      </w:r>
      <w:r w:rsidR="00DB6D7F">
        <w:t xml:space="preserve"> </w:t>
      </w:r>
      <w:r w:rsidR="00A2093B">
        <w:t xml:space="preserve">This is </w:t>
      </w:r>
      <w:r w:rsidR="00E779E3">
        <w:t xml:space="preserve">also </w:t>
      </w:r>
      <w:r w:rsidR="00A2093B">
        <w:t>a particular issue for rural and remote communities where staff and skills shortages may exist</w:t>
      </w:r>
      <w:r w:rsidR="004A6115">
        <w:t>.</w:t>
      </w:r>
    </w:p>
    <w:p w14:paraId="47173C18" w14:textId="0E7FC133" w:rsidR="00D243D7" w:rsidRPr="00D243D7" w:rsidRDefault="00D243D7" w:rsidP="00CC2A64">
      <w:pPr>
        <w:pStyle w:val="ListBullet"/>
      </w:pPr>
      <w:r>
        <w:rPr>
          <w:b/>
        </w:rPr>
        <w:t>Lack of innovation</w:t>
      </w:r>
      <w:r w:rsidR="00246B91">
        <w:rPr>
          <w:b/>
        </w:rPr>
        <w:t xml:space="preserve">: </w:t>
      </w:r>
      <w:r w:rsidR="00246B91">
        <w:t xml:space="preserve">Whilst some markets may </w:t>
      </w:r>
      <w:r w:rsidR="004D5B31">
        <w:t xml:space="preserve">comprise </w:t>
      </w:r>
      <w:r w:rsidR="00246B91">
        <w:t xml:space="preserve">a range of providers who offer services as required, they may </w:t>
      </w:r>
      <w:r w:rsidR="004D5B31">
        <w:t xml:space="preserve">still </w:t>
      </w:r>
      <w:r w:rsidR="00246B91">
        <w:t xml:space="preserve">lack innovation and fail to bring </w:t>
      </w:r>
      <w:r w:rsidR="00DF0178">
        <w:t xml:space="preserve">or </w:t>
      </w:r>
      <w:r w:rsidR="00246B91">
        <w:t>incorpo</w:t>
      </w:r>
      <w:r w:rsidR="0053276F">
        <w:t>rate new ideas</w:t>
      </w:r>
      <w:r w:rsidR="004A6115">
        <w:t>.</w:t>
      </w:r>
    </w:p>
    <w:p w14:paraId="61694D3E" w14:textId="5623803E" w:rsidR="00D243D7" w:rsidRDefault="00D243D7" w:rsidP="00CC2A64">
      <w:pPr>
        <w:pStyle w:val="ListBullet"/>
      </w:pPr>
      <w:r>
        <w:rPr>
          <w:b/>
        </w:rPr>
        <w:t>Quality concerns</w:t>
      </w:r>
      <w:r w:rsidR="00246B91">
        <w:rPr>
          <w:b/>
        </w:rPr>
        <w:t xml:space="preserve">: </w:t>
      </w:r>
      <w:r w:rsidR="004D5B31">
        <w:t>Where s</w:t>
      </w:r>
      <w:r w:rsidR="004D5B31" w:rsidRPr="004D5B31">
        <w:t>ervice p</w:t>
      </w:r>
      <w:r w:rsidR="00246B91">
        <w:t xml:space="preserve">rovision is underperforming due to issues </w:t>
      </w:r>
      <w:r w:rsidR="004D5B31">
        <w:t xml:space="preserve">such as </w:t>
      </w:r>
      <w:r w:rsidR="00246B91">
        <w:t xml:space="preserve">quality, </w:t>
      </w:r>
      <w:r w:rsidR="0053276F">
        <w:t>clinical governance and safety</w:t>
      </w:r>
      <w:r w:rsidR="004D5B31">
        <w:t>, or risk management</w:t>
      </w:r>
      <w:r w:rsidR="004A6115">
        <w:t>.</w:t>
      </w:r>
    </w:p>
    <w:p w14:paraId="56AF83FC" w14:textId="5D855EE4" w:rsidR="007042F1" w:rsidRDefault="007042F1" w:rsidP="00CC2A64">
      <w:pPr>
        <w:pStyle w:val="ListBullet"/>
      </w:pPr>
      <w:r>
        <w:rPr>
          <w:b/>
        </w:rPr>
        <w:t>Barriers to entry:</w:t>
      </w:r>
      <w:r>
        <w:t xml:space="preserve"> </w:t>
      </w:r>
      <w:r w:rsidR="00737E66">
        <w:t>This can cover a range of factors that prevent providers from operating effectively within a market. Th</w:t>
      </w:r>
      <w:r w:rsidR="00DF0178">
        <w:t>ese</w:t>
      </w:r>
      <w:r w:rsidR="00737E66">
        <w:t xml:space="preserve"> can include issues such as the availability of suitably skilled workforce, the need to make significant financial investments prior to delivering a service</w:t>
      </w:r>
      <w:r w:rsidR="00AE6C40">
        <w:t>, qualification</w:t>
      </w:r>
      <w:r w:rsidR="00DF0178">
        <w:t xml:space="preserve">s or </w:t>
      </w:r>
      <w:r w:rsidR="00AE6C40">
        <w:t>cultural safety requirements or clinical governance standards</w:t>
      </w:r>
      <w:r w:rsidR="00737E66">
        <w:t>. Barriers to entry can also be linked to some of the above market issues, causing factors such as an absence of supply.</w:t>
      </w:r>
    </w:p>
    <w:p w14:paraId="382D3323" w14:textId="60964C15" w:rsidR="00D243D7" w:rsidRDefault="00D243D7" w:rsidP="00D243D7">
      <w:pPr>
        <w:pStyle w:val="Heading2"/>
      </w:pPr>
      <w:bookmarkStart w:id="35" w:name="_Toc515529509"/>
      <w:r>
        <w:t>Addressing market issues through market management</w:t>
      </w:r>
      <w:bookmarkEnd w:id="35"/>
    </w:p>
    <w:p w14:paraId="621C727B" w14:textId="7966044F" w:rsidR="00D243D7" w:rsidRDefault="00D243D7" w:rsidP="00E368D8">
      <w:pPr>
        <w:pStyle w:val="Heading3"/>
      </w:pPr>
      <w:bookmarkStart w:id="36" w:name="_Toc515529510"/>
      <w:r>
        <w:t>PHN levers</w:t>
      </w:r>
      <w:bookmarkEnd w:id="36"/>
    </w:p>
    <w:p w14:paraId="0AB5B049" w14:textId="547DC75F" w:rsidR="00737E66" w:rsidRDefault="00E97CA9" w:rsidP="00CC2A64">
      <w:pPr>
        <w:pStyle w:val="Paragraphtext"/>
      </w:pPr>
      <w:r>
        <w:t xml:space="preserve">The objectives of the PHN Program imply a role in shaping the structure of supply. Accordingly, </w:t>
      </w:r>
      <w:r w:rsidR="0028572A">
        <w:t xml:space="preserve">shaping the structure of supply </w:t>
      </w:r>
      <w:r w:rsidR="00737E66" w:rsidRPr="008979FE">
        <w:t>is a key</w:t>
      </w:r>
      <w:r>
        <w:t xml:space="preserve"> </w:t>
      </w:r>
      <w:r w:rsidR="00737E66" w:rsidRPr="008979FE">
        <w:t>element of the PHN commissioning framework</w:t>
      </w:r>
      <w:r>
        <w:t>, and addressing market issues is a key part of this</w:t>
      </w:r>
      <w:r w:rsidR="00737E66" w:rsidRPr="008979FE">
        <w:t>.</w:t>
      </w:r>
    </w:p>
    <w:p w14:paraId="6323BDFF" w14:textId="20716284" w:rsidR="004B35FA" w:rsidRDefault="004B35FA" w:rsidP="00CC2A64">
      <w:pPr>
        <w:pStyle w:val="Paragraphtext"/>
      </w:pPr>
      <w:r>
        <w:t xml:space="preserve">PHNs </w:t>
      </w:r>
      <w:r w:rsidR="00E97CA9">
        <w:t xml:space="preserve">have </w:t>
      </w:r>
      <w:r>
        <w:t xml:space="preserve">a range of levers that </w:t>
      </w:r>
      <w:r w:rsidR="00E97CA9">
        <w:t xml:space="preserve">they </w:t>
      </w:r>
      <w:r>
        <w:t xml:space="preserve">can </w:t>
      </w:r>
      <w:r w:rsidR="00E97CA9">
        <w:t xml:space="preserve">use to </w:t>
      </w:r>
      <w:r>
        <w:t xml:space="preserve">help </w:t>
      </w:r>
      <w:r w:rsidR="00ED300A">
        <w:t xml:space="preserve">effect </w:t>
      </w:r>
      <w:r>
        <w:t xml:space="preserve">changes in the structure of the market and the providers </w:t>
      </w:r>
      <w:r w:rsidR="005E02DA">
        <w:t xml:space="preserve">who </w:t>
      </w:r>
      <w:r>
        <w:t xml:space="preserve">work within it. Levers can be considered as any action, method or initiative that PHNs undertake that will have an impact on market dynamics. As such, they can cover a broader range of areas and include approaches that may be </w:t>
      </w:r>
      <w:r w:rsidR="00E97CA9">
        <w:t>tailored by</w:t>
      </w:r>
      <w:r>
        <w:t xml:space="preserve"> individual PHNs. In using levers, PHNs need to think creatively and flexibly. They also need to act </w:t>
      </w:r>
      <w:r w:rsidR="00E97CA9">
        <w:t xml:space="preserve">based on a thorough </w:t>
      </w:r>
      <w:r>
        <w:t xml:space="preserve">knowledge </w:t>
      </w:r>
      <w:r w:rsidR="00E97CA9">
        <w:t xml:space="preserve">of the market </w:t>
      </w:r>
      <w:r>
        <w:t xml:space="preserve">and a clear understanding of the root causes of </w:t>
      </w:r>
      <w:r w:rsidR="00E97CA9">
        <w:t>any gaps or deficiencies</w:t>
      </w:r>
      <w:r>
        <w:t>. For example</w:t>
      </w:r>
      <w:r w:rsidR="00E97CA9">
        <w:t>,</w:t>
      </w:r>
      <w:r>
        <w:t xml:space="preserve"> issues relating to a lack of supply will </w:t>
      </w:r>
      <w:r w:rsidR="00E97CA9">
        <w:t xml:space="preserve">be difficult to </w:t>
      </w:r>
      <w:r>
        <w:t xml:space="preserve">solve if root causes </w:t>
      </w:r>
      <w:r w:rsidR="00E97CA9">
        <w:t xml:space="preserve">relating to </w:t>
      </w:r>
      <w:r>
        <w:t xml:space="preserve">workforce availability are not addressed. </w:t>
      </w:r>
      <w:r w:rsidR="00E97CA9">
        <w:t>This also increases the importance of PHNs working with other funders, commissioners and stakeholders, who also have roles in influencing primar</w:t>
      </w:r>
      <w:r w:rsidR="003A335F">
        <w:t>y health care workforce supply.</w:t>
      </w:r>
    </w:p>
    <w:p w14:paraId="212F1608" w14:textId="511FA559" w:rsidR="004B35FA" w:rsidRDefault="004B35FA" w:rsidP="00CC2A64">
      <w:pPr>
        <w:pStyle w:val="Paragraphtext"/>
      </w:pPr>
      <w:r>
        <w:t>PHN levers can typically relate to a number of areas including:</w:t>
      </w:r>
    </w:p>
    <w:p w14:paraId="6AD2BE2E" w14:textId="77777777" w:rsidR="00C25E94" w:rsidRDefault="00C25E94">
      <w:pPr>
        <w:rPr>
          <w:b/>
          <w:bCs/>
          <w:color w:val="153A6E"/>
          <w:sz w:val="24"/>
          <w:szCs w:val="28"/>
        </w:rPr>
      </w:pPr>
      <w:r>
        <w:br w:type="page"/>
      </w:r>
    </w:p>
    <w:p w14:paraId="18A5E16F" w14:textId="4A34E8C6" w:rsidR="006C24FC" w:rsidRPr="00CC2A64" w:rsidRDefault="00C27D33" w:rsidP="00493EFE">
      <w:pPr>
        <w:pStyle w:val="Heading4"/>
      </w:pPr>
      <w:r>
        <w:lastRenderedPageBreak/>
        <w:t>Contract structuring</w:t>
      </w:r>
    </w:p>
    <w:p w14:paraId="32DA13A1" w14:textId="52386CDD" w:rsidR="006C24FC" w:rsidRDefault="0098679A" w:rsidP="00493EFE">
      <w:pPr>
        <w:pStyle w:val="ListBullet"/>
      </w:pPr>
      <w:r>
        <w:t>The size</w:t>
      </w:r>
      <w:r w:rsidR="00ED5E60">
        <w:t>, duration</w:t>
      </w:r>
      <w:r>
        <w:t xml:space="preserve"> and structure of a service contract can serve to attract or </w:t>
      </w:r>
      <w:r w:rsidR="00607CF4">
        <w:t>discourage</w:t>
      </w:r>
      <w:r>
        <w:t xml:space="preserve"> providers. Large contracts may prevent smaller (and potentially more innovative) providers </w:t>
      </w:r>
      <w:r w:rsidR="00607CF4">
        <w:t xml:space="preserve">from </w:t>
      </w:r>
      <w:r>
        <w:t>being able to participate</w:t>
      </w:r>
      <w:r w:rsidR="00607CF4">
        <w:t>,</w:t>
      </w:r>
      <w:r w:rsidR="00DF0178">
        <w:t xml:space="preserve"> and can also </w:t>
      </w:r>
      <w:r>
        <w:t>limit the choice that PHNs have in terms of providers who c</w:t>
      </w:r>
      <w:r w:rsidR="00CF2ABE">
        <w:t>an offer the services required</w:t>
      </w:r>
      <w:r w:rsidR="004A6115">
        <w:t>.</w:t>
      </w:r>
    </w:p>
    <w:p w14:paraId="0F40210D" w14:textId="4F75316B" w:rsidR="006C24FC" w:rsidRDefault="0098679A" w:rsidP="00493EFE">
      <w:pPr>
        <w:pStyle w:val="ListBullet"/>
      </w:pPr>
      <w:r>
        <w:t>Conversely, where PHNs have a broad range of small providers and are seeking a more co-ordinated response from them,</w:t>
      </w:r>
      <w:r w:rsidR="00ED5E60">
        <w:t xml:space="preserve"> </w:t>
      </w:r>
      <w:r w:rsidR="00607CF4">
        <w:t xml:space="preserve">PHNs could consider bundling </w:t>
      </w:r>
      <w:r w:rsidR="00ED5E60">
        <w:t>contracts together</w:t>
      </w:r>
      <w:r w:rsidR="00607CF4">
        <w:t xml:space="preserve"> to</w:t>
      </w:r>
      <w:r w:rsidR="00DB6D7F">
        <w:t xml:space="preserve"> </w:t>
      </w:r>
      <w:r w:rsidR="00607CF4">
        <w:t xml:space="preserve">help </w:t>
      </w:r>
      <w:r>
        <w:t>stimulate collaboration across provider groups</w:t>
      </w:r>
      <w:r w:rsidR="006C24FC">
        <w:t>, including, for example, multidisciplinary collaboration</w:t>
      </w:r>
      <w:r w:rsidR="004A6115">
        <w:t>.</w:t>
      </w:r>
    </w:p>
    <w:p w14:paraId="2F1B516A" w14:textId="1807DC84" w:rsidR="004B35FA" w:rsidRDefault="00ED5E60" w:rsidP="00493EFE">
      <w:pPr>
        <w:pStyle w:val="ListBullet"/>
      </w:pPr>
      <w:r>
        <w:t xml:space="preserve">PHNs should </w:t>
      </w:r>
      <w:r w:rsidR="00607CF4">
        <w:t xml:space="preserve">also </w:t>
      </w:r>
      <w:r>
        <w:t xml:space="preserve">consider how they have proposed to transfer </w:t>
      </w:r>
      <w:r w:rsidR="00607CF4">
        <w:t xml:space="preserve">some level of </w:t>
      </w:r>
      <w:r>
        <w:t>risk as part of the contract</w:t>
      </w:r>
      <w:r w:rsidR="00607CF4">
        <w:t>ing process</w:t>
      </w:r>
      <w:r>
        <w:t xml:space="preserve">. Changes to this factor may have significant impacts </w:t>
      </w:r>
      <w:r w:rsidR="0053276F">
        <w:t>on market appetite and capacity</w:t>
      </w:r>
      <w:r w:rsidR="004A6115">
        <w:t>.</w:t>
      </w:r>
    </w:p>
    <w:p w14:paraId="1C7D2535" w14:textId="77777777" w:rsidR="00493EFE" w:rsidRPr="00493EFE" w:rsidRDefault="0098679A" w:rsidP="00493EFE">
      <w:pPr>
        <w:pStyle w:val="Heading4"/>
      </w:pPr>
      <w:r>
        <w:t>Financial and payment terms</w:t>
      </w:r>
    </w:p>
    <w:p w14:paraId="089CAC9A" w14:textId="77777777" w:rsidR="00C25E94" w:rsidRDefault="0098679A" w:rsidP="00493EFE">
      <w:pPr>
        <w:pStyle w:val="ListBullet"/>
      </w:pPr>
      <w:r>
        <w:t xml:space="preserve">The financial terms within a contract (payment </w:t>
      </w:r>
      <w:r w:rsidR="00607CF4">
        <w:t>arrangements</w:t>
      </w:r>
      <w:r>
        <w:t xml:space="preserve">) </w:t>
      </w:r>
      <w:r w:rsidR="00607CF4">
        <w:t xml:space="preserve">may </w:t>
      </w:r>
      <w:r>
        <w:t xml:space="preserve">limit </w:t>
      </w:r>
      <w:r w:rsidRPr="006C24FC">
        <w:t xml:space="preserve">the participation of some provider groups who </w:t>
      </w:r>
      <w:r w:rsidR="006C24FC">
        <w:t>might</w:t>
      </w:r>
      <w:r w:rsidRPr="006C24FC">
        <w:t xml:space="preserve"> have limited capacity to operate within more restricted financial conditions. This may be an inadvertent consequence of pr</w:t>
      </w:r>
      <w:r w:rsidR="00DF0178" w:rsidRPr="006C24FC">
        <w:t>evious contracting arrangements</w:t>
      </w:r>
      <w:r w:rsidR="00B5328F">
        <w:t xml:space="preserve">, or </w:t>
      </w:r>
      <w:r w:rsidR="00B91232">
        <w:t>a result of</w:t>
      </w:r>
      <w:r w:rsidR="0062545E">
        <w:t xml:space="preserve"> </w:t>
      </w:r>
      <w:r w:rsidR="00B5328F">
        <w:t>contracts that are heavily outcomes based</w:t>
      </w:r>
      <w:r w:rsidR="00B91232">
        <w:t>,</w:t>
      </w:r>
      <w:r w:rsidR="00B5328F">
        <w:t xml:space="preserve"> which may </w:t>
      </w:r>
      <w:r w:rsidR="00B91232">
        <w:t>entail</w:t>
      </w:r>
      <w:r w:rsidR="00AA2D97">
        <w:t xml:space="preserve"> </w:t>
      </w:r>
      <w:r w:rsidR="00B5328F">
        <w:t>less regular cash flows)</w:t>
      </w:r>
      <w:r w:rsidR="00DF0178" w:rsidRPr="006C24FC">
        <w:t xml:space="preserve">. </w:t>
      </w:r>
    </w:p>
    <w:p w14:paraId="6EA9ED12" w14:textId="0AAEFD72" w:rsidR="0098679A" w:rsidRPr="0098679A" w:rsidRDefault="00C25E94" w:rsidP="00493EFE">
      <w:pPr>
        <w:pStyle w:val="ListBullet"/>
      </w:pPr>
      <w:r w:rsidRPr="000668C1">
        <w:t xml:space="preserve">As outcomes based commissioning is new to the sector, before considering any future changes to payment mechanisms, PHNs and providers </w:t>
      </w:r>
      <w:r w:rsidR="004A64C1">
        <w:t xml:space="preserve">can </w:t>
      </w:r>
      <w:r w:rsidRPr="000668C1">
        <w:t xml:space="preserve">work together to define the desired outcomes. Later, incremental changes to payment approaches </w:t>
      </w:r>
      <w:r w:rsidR="00541D06">
        <w:t>could</w:t>
      </w:r>
      <w:r w:rsidRPr="000668C1">
        <w:t xml:space="preserve"> be considered as the focus on outcomes becomes embedded.</w:t>
      </w:r>
    </w:p>
    <w:p w14:paraId="64B72928" w14:textId="35BCB8C7" w:rsidR="001D59DA" w:rsidRPr="00CC2A64" w:rsidRDefault="004B35FA" w:rsidP="00493EFE">
      <w:pPr>
        <w:pStyle w:val="Heading4"/>
      </w:pPr>
      <w:r w:rsidRPr="00CC2A64">
        <w:t>Procu</w:t>
      </w:r>
      <w:r w:rsidR="00C27D33">
        <w:t>rement processes and conditions</w:t>
      </w:r>
    </w:p>
    <w:p w14:paraId="1C6C3044" w14:textId="00EC6DAC" w:rsidR="001D59DA" w:rsidRDefault="0098679A" w:rsidP="00493EFE">
      <w:pPr>
        <w:pStyle w:val="ListBullet"/>
      </w:pPr>
      <w:r>
        <w:t>Procurement processes and conditions can be strategically used by PHNs to affect mar</w:t>
      </w:r>
      <w:r w:rsidR="00CF2ABE">
        <w:t>ket participation and dynamics</w:t>
      </w:r>
      <w:r w:rsidR="00A317D7">
        <w:t>.</w:t>
      </w:r>
    </w:p>
    <w:p w14:paraId="59E02BE6" w14:textId="09382146" w:rsidR="001D59DA" w:rsidRDefault="0098679A" w:rsidP="00493EFE">
      <w:pPr>
        <w:pStyle w:val="ListBullet"/>
      </w:pPr>
      <w:r>
        <w:t>Processes that are overly complex and which have a</w:t>
      </w:r>
      <w:r w:rsidR="000237FC">
        <w:t xml:space="preserve">n inordinate </w:t>
      </w:r>
      <w:r>
        <w:t>range of minimum standards are likely to limit the involvement of smaller providers</w:t>
      </w:r>
      <w:r w:rsidR="00177B6F">
        <w:t xml:space="preserve"> or providers from broader markets</w:t>
      </w:r>
      <w:r w:rsidR="000237FC">
        <w:t>, a</w:t>
      </w:r>
      <w:r w:rsidR="00C76417">
        <w:t xml:space="preserve">s are processes that require </w:t>
      </w:r>
      <w:r w:rsidR="000237FC">
        <w:t xml:space="preserve">lengthy, </w:t>
      </w:r>
      <w:r w:rsidR="00C76417">
        <w:t>high</w:t>
      </w:r>
      <w:r w:rsidR="000237FC">
        <w:t>ly detailed</w:t>
      </w:r>
      <w:r w:rsidR="00C76417">
        <w:t xml:space="preserve"> submission</w:t>
      </w:r>
      <w:r w:rsidR="000237FC">
        <w:t>s</w:t>
      </w:r>
      <w:r w:rsidR="00C76417">
        <w:t xml:space="preserve">, </w:t>
      </w:r>
      <w:r w:rsidR="000237FC">
        <w:t xml:space="preserve">or </w:t>
      </w:r>
      <w:r w:rsidR="00C76417">
        <w:t>the support of</w:t>
      </w:r>
      <w:r w:rsidR="00CF2ABE">
        <w:t xml:space="preserve"> (costly) advisors to complete</w:t>
      </w:r>
      <w:r w:rsidR="00A317D7">
        <w:t>.</w:t>
      </w:r>
    </w:p>
    <w:p w14:paraId="26D3E736" w14:textId="49614057" w:rsidR="001D59DA" w:rsidRDefault="001D59DA" w:rsidP="00493EFE">
      <w:pPr>
        <w:pStyle w:val="ListBullet"/>
      </w:pPr>
      <w:r>
        <w:t>P</w:t>
      </w:r>
      <w:r w:rsidR="0098679A">
        <w:t>rocurement conditions around the size and experience of providers can also be restrictive</w:t>
      </w:r>
      <w:r w:rsidR="000237FC">
        <w:t xml:space="preserve"> in some circumstances</w:t>
      </w:r>
      <w:r w:rsidR="00A317D7">
        <w:t>.</w:t>
      </w:r>
    </w:p>
    <w:p w14:paraId="50B0F11C" w14:textId="32EE1AA4" w:rsidR="001D59DA" w:rsidRDefault="000237FC" w:rsidP="00493EFE">
      <w:pPr>
        <w:pStyle w:val="ListBullet"/>
      </w:pPr>
      <w:r>
        <w:t>However, c</w:t>
      </w:r>
      <w:r w:rsidR="0098679A">
        <w:t xml:space="preserve">onditions can also be used </w:t>
      </w:r>
      <w:r>
        <w:t xml:space="preserve">by PHNs </w:t>
      </w:r>
      <w:r w:rsidR="0098679A">
        <w:t xml:space="preserve">to drive certain behaviours, such as collaboration across different groups and types of providers as a means to access </w:t>
      </w:r>
      <w:r>
        <w:t xml:space="preserve">multidisciplinary service provision and </w:t>
      </w:r>
      <w:r w:rsidR="0098679A">
        <w:t>innovation</w:t>
      </w:r>
      <w:r w:rsidR="00A317D7">
        <w:t>.</w:t>
      </w:r>
    </w:p>
    <w:p w14:paraId="14E20F47" w14:textId="7380DD51" w:rsidR="004B35FA" w:rsidRPr="004B35FA" w:rsidRDefault="00625CB0" w:rsidP="00493EFE">
      <w:pPr>
        <w:pStyle w:val="ListBullet"/>
      </w:pPr>
      <w:r>
        <w:t xml:space="preserve">Conditions around providers needing to demonstrate a track record of local knowledge and experience can also encourage partnerships </w:t>
      </w:r>
      <w:r w:rsidR="00DF0178">
        <w:t xml:space="preserve">with local providers and </w:t>
      </w:r>
      <w:r w:rsidR="000237FC">
        <w:t>br</w:t>
      </w:r>
      <w:r w:rsidR="00CF2ABE">
        <w:t>oader development of the market</w:t>
      </w:r>
      <w:r w:rsidR="00A317D7">
        <w:t>.</w:t>
      </w:r>
    </w:p>
    <w:p w14:paraId="071F0157" w14:textId="77777777" w:rsidR="00AF1F24" w:rsidRDefault="00AF1F24">
      <w:pPr>
        <w:rPr>
          <w:b/>
          <w:bCs/>
          <w:color w:val="153A6E"/>
          <w:sz w:val="24"/>
          <w:szCs w:val="28"/>
        </w:rPr>
      </w:pPr>
      <w:r>
        <w:br w:type="page"/>
      </w:r>
    </w:p>
    <w:p w14:paraId="6A47286E" w14:textId="6D44E556" w:rsidR="00493EFE" w:rsidRPr="00493EFE" w:rsidRDefault="004B35FA" w:rsidP="00493EFE">
      <w:pPr>
        <w:pStyle w:val="Heading4"/>
      </w:pPr>
      <w:r>
        <w:lastRenderedPageBreak/>
        <w:t>Communication activities</w:t>
      </w:r>
    </w:p>
    <w:p w14:paraId="3F85BD0C" w14:textId="44DEA7F1" w:rsidR="004B35FA" w:rsidRPr="004B35FA" w:rsidRDefault="000237FC" w:rsidP="00541D06">
      <w:pPr>
        <w:pStyle w:val="ListBullet"/>
      </w:pPr>
      <w:r>
        <w:t>C</w:t>
      </w:r>
      <w:r w:rsidR="00625CB0">
        <w:t xml:space="preserve">ommunication is a powerful tool that can be used to encourage </w:t>
      </w:r>
      <w:r>
        <w:t xml:space="preserve">provider </w:t>
      </w:r>
      <w:r w:rsidR="00625CB0">
        <w:t xml:space="preserve">participation </w:t>
      </w:r>
      <w:r>
        <w:t>in PHN commissioning processes</w:t>
      </w:r>
      <w:r w:rsidR="00625CB0">
        <w:t>. Where appropriate, PHNs may need to consider how to ‘sell’ the concept of working with them to potential providers as a means to attract</w:t>
      </w:r>
      <w:r w:rsidR="00DF0178">
        <w:t xml:space="preserve"> their</w:t>
      </w:r>
      <w:r w:rsidR="00625CB0">
        <w:t xml:space="preserve"> </w:t>
      </w:r>
      <w:r>
        <w:t>participation</w:t>
      </w:r>
      <w:r w:rsidR="00625CB0">
        <w:t xml:space="preserve">. Within a tender process, the communications of PHNs are also </w:t>
      </w:r>
      <w:proofErr w:type="gramStart"/>
      <w:r w:rsidR="00625CB0">
        <w:t>key</w:t>
      </w:r>
      <w:proofErr w:type="gramEnd"/>
      <w:r w:rsidR="00625CB0">
        <w:t xml:space="preserve"> in attracting </w:t>
      </w:r>
      <w:r w:rsidR="00DF0178">
        <w:t>participants</w:t>
      </w:r>
      <w:r w:rsidR="00A317D7">
        <w:t>.</w:t>
      </w:r>
    </w:p>
    <w:p w14:paraId="21CB7520" w14:textId="77777777" w:rsidR="00493EFE" w:rsidRPr="00493EFE" w:rsidRDefault="004B35FA" w:rsidP="00493EFE">
      <w:pPr>
        <w:pStyle w:val="Heading4"/>
      </w:pPr>
      <w:r>
        <w:t>Capacity development</w:t>
      </w:r>
    </w:p>
    <w:p w14:paraId="2EACF2DF" w14:textId="027A1D87" w:rsidR="000F5EE4" w:rsidRDefault="00BA0D0C" w:rsidP="00493EFE">
      <w:pPr>
        <w:pStyle w:val="ListBullet"/>
      </w:pPr>
      <w:r>
        <w:t>I</w:t>
      </w:r>
      <w:r w:rsidR="00625CB0">
        <w:t>nvest</w:t>
      </w:r>
      <w:r>
        <w:t>ing</w:t>
      </w:r>
      <w:r w:rsidR="00625CB0">
        <w:t xml:space="preserve"> in developing the capacity and capability of providers </w:t>
      </w:r>
      <w:r>
        <w:t xml:space="preserve">is an important </w:t>
      </w:r>
      <w:r w:rsidR="00625CB0">
        <w:t xml:space="preserve">means of longer term market development. </w:t>
      </w:r>
      <w:r w:rsidR="000F5EE4">
        <w:t>Based on an understanding of what specific capacity gaps exist, PHNs’ market d</w:t>
      </w:r>
      <w:r w:rsidR="00625CB0">
        <w:t xml:space="preserve">evelopment activities may </w:t>
      </w:r>
      <w:r w:rsidR="000F5EE4">
        <w:t>include things such as:</w:t>
      </w:r>
    </w:p>
    <w:p w14:paraId="7C8F7943" w14:textId="13156B04" w:rsidR="000F5EE4" w:rsidRDefault="00CF2ABE" w:rsidP="000E622B">
      <w:pPr>
        <w:pStyle w:val="ListBullet2"/>
      </w:pPr>
      <w:r>
        <w:t>O</w:t>
      </w:r>
      <w:r w:rsidR="000F5EE4">
        <w:t>ptimising communications with the market</w:t>
      </w:r>
      <w:r w:rsidR="00BF6B33">
        <w:t>, as t</w:t>
      </w:r>
      <w:r w:rsidR="00BF6B33" w:rsidRPr="00BF6B33">
        <w:t>he earlier potential providers can understand PHNs’ agendas and intentions, the more time they will have to build their capacity and ability to respond</w:t>
      </w:r>
      <w:r w:rsidR="00A317D7">
        <w:t>.</w:t>
      </w:r>
    </w:p>
    <w:p w14:paraId="223DFDB6" w14:textId="37B733B9" w:rsidR="000F5EE4" w:rsidRDefault="00CF2ABE" w:rsidP="00493EFE">
      <w:pPr>
        <w:pStyle w:val="ListBullet2"/>
      </w:pPr>
      <w:r>
        <w:t>P</w:t>
      </w:r>
      <w:r w:rsidR="000F5EE4">
        <w:t xml:space="preserve">rograms of capacity building such as learning and development </w:t>
      </w:r>
      <w:r>
        <w:t>programs or tools for providers</w:t>
      </w:r>
      <w:r w:rsidR="00A317D7">
        <w:t>.</w:t>
      </w:r>
    </w:p>
    <w:p w14:paraId="01351D17" w14:textId="0A480DB0" w:rsidR="00641FE8" w:rsidRPr="004005E7" w:rsidRDefault="00CF2ABE" w:rsidP="00493EFE">
      <w:pPr>
        <w:pStyle w:val="ListBullet2"/>
      </w:pPr>
      <w:r>
        <w:t>S</w:t>
      </w:r>
      <w:r w:rsidR="000F5EE4" w:rsidRPr="004005E7">
        <w:t>upporting self-help for providers, for example, through e-forums</w:t>
      </w:r>
      <w:r w:rsidR="00A317D7">
        <w:t>.</w:t>
      </w:r>
    </w:p>
    <w:p w14:paraId="55F8FA81" w14:textId="3F0DFC8C" w:rsidR="000F5EE4" w:rsidRPr="004005E7" w:rsidRDefault="00CF2ABE" w:rsidP="00493EFE">
      <w:pPr>
        <w:pStyle w:val="ListBullet2"/>
      </w:pPr>
      <w:r>
        <w:t>E</w:t>
      </w:r>
      <w:r w:rsidR="00641FE8" w:rsidRPr="004005E7">
        <w:t>ncouraging and supporting providers to come together, such as in consortia, as a potential means of developing their capacity.</w:t>
      </w:r>
    </w:p>
    <w:p w14:paraId="3BD4665B" w14:textId="2A5B4D46" w:rsidR="004B35FA" w:rsidRPr="00CC2A64" w:rsidRDefault="00A2093B" w:rsidP="00493EFE">
      <w:pPr>
        <w:pStyle w:val="ListBullet2"/>
      </w:pPr>
      <w:r w:rsidRPr="00CC2A64">
        <w:t>Th</w:t>
      </w:r>
      <w:r w:rsidR="007B6453" w:rsidRPr="00CC2A64">
        <w:t>ese</w:t>
      </w:r>
      <w:r w:rsidRPr="00CC2A64">
        <w:t xml:space="preserve"> </w:t>
      </w:r>
      <w:r w:rsidR="007B6453" w:rsidRPr="00CC2A64">
        <w:t xml:space="preserve">capacity development strategies can be </w:t>
      </w:r>
      <w:r w:rsidRPr="00CC2A64">
        <w:t xml:space="preserve">particularly important in rural and remote </w:t>
      </w:r>
      <w:r w:rsidR="007B6453" w:rsidRPr="00CC2A64">
        <w:t>areas</w:t>
      </w:r>
      <w:r w:rsidRPr="00CC2A64">
        <w:t xml:space="preserve"> where resources can be </w:t>
      </w:r>
      <w:proofErr w:type="gramStart"/>
      <w:r w:rsidRPr="00CC2A64">
        <w:t>scarce</w:t>
      </w:r>
      <w:r w:rsidR="007B6453" w:rsidRPr="00CC2A64">
        <w:t>,</w:t>
      </w:r>
      <w:proofErr w:type="gramEnd"/>
      <w:r w:rsidRPr="00CC2A64">
        <w:t xml:space="preserve"> and innovative and diverse approaches </w:t>
      </w:r>
      <w:r w:rsidR="007B6453" w:rsidRPr="00CC2A64">
        <w:t xml:space="preserve">to </w:t>
      </w:r>
      <w:r w:rsidRPr="00CC2A64">
        <w:t xml:space="preserve">meeting needs are essential </w:t>
      </w:r>
      <w:r w:rsidR="007B6453" w:rsidRPr="00CC2A64">
        <w:t>for helping to</w:t>
      </w:r>
      <w:r w:rsidRPr="00CC2A64">
        <w:t xml:space="preserve"> develop </w:t>
      </w:r>
      <w:r w:rsidR="007B6453" w:rsidRPr="00CC2A64">
        <w:t xml:space="preserve">market </w:t>
      </w:r>
      <w:r w:rsidRPr="00CC2A64">
        <w:t>capacity.</w:t>
      </w:r>
    </w:p>
    <w:p w14:paraId="5E70ABA6" w14:textId="6EBA1940" w:rsidR="00D243D7" w:rsidRPr="004005E7" w:rsidRDefault="00625CB0" w:rsidP="00CC2A64">
      <w:pPr>
        <w:pStyle w:val="Paragraphtext"/>
      </w:pPr>
      <w:r w:rsidRPr="004005E7">
        <w:t xml:space="preserve">In applying </w:t>
      </w:r>
      <w:r w:rsidR="00D320F0" w:rsidRPr="004005E7">
        <w:t>levers</w:t>
      </w:r>
      <w:r w:rsidRPr="004005E7">
        <w:t>, PHNs need to consider the impact that the</w:t>
      </w:r>
      <w:r w:rsidR="002E42AD" w:rsidRPr="004005E7">
        <w:t>y</w:t>
      </w:r>
      <w:r w:rsidRPr="004005E7">
        <w:t xml:space="preserve"> will have in addressing the root cause</w:t>
      </w:r>
      <w:r w:rsidR="002E42AD" w:rsidRPr="004005E7">
        <w:t>s</w:t>
      </w:r>
      <w:r w:rsidR="000E5F33" w:rsidRPr="004005E7">
        <w:t xml:space="preserve"> of market issues</w:t>
      </w:r>
      <w:r w:rsidRPr="004005E7">
        <w:t xml:space="preserve">. Consideration should be given to the time that may be taken to </w:t>
      </w:r>
      <w:r w:rsidR="00383B1C" w:rsidRPr="004005E7">
        <w:t xml:space="preserve">effect </w:t>
      </w:r>
      <w:r w:rsidRPr="004005E7">
        <w:t>change</w:t>
      </w:r>
      <w:r w:rsidR="00232BCC" w:rsidRPr="004005E7">
        <w:t xml:space="preserve"> and whether this will be </w:t>
      </w:r>
      <w:r w:rsidRPr="004005E7">
        <w:t xml:space="preserve">immediate </w:t>
      </w:r>
      <w:r w:rsidR="00232BCC" w:rsidRPr="004005E7">
        <w:t xml:space="preserve">(such as a procurement condition change) or </w:t>
      </w:r>
      <w:r w:rsidR="002E42AD" w:rsidRPr="004005E7">
        <w:t>over a</w:t>
      </w:r>
      <w:r w:rsidR="00232BCC" w:rsidRPr="004005E7">
        <w:t xml:space="preserve"> period of time (such as capacity development approaches</w:t>
      </w:r>
      <w:r w:rsidRPr="004005E7">
        <w:t>)</w:t>
      </w:r>
      <w:r w:rsidR="00232BCC" w:rsidRPr="004005E7">
        <w:t xml:space="preserve">. In addition, PHNs should </w:t>
      </w:r>
      <w:r w:rsidR="005846A6" w:rsidRPr="004005E7">
        <w:t xml:space="preserve">carefully </w:t>
      </w:r>
      <w:r w:rsidR="00232BCC" w:rsidRPr="004005E7">
        <w:t xml:space="preserve">consider risks or probity issues that may be </w:t>
      </w:r>
      <w:r w:rsidRPr="004005E7">
        <w:t>inadvertently created.</w:t>
      </w:r>
    </w:p>
    <w:p w14:paraId="0E9360BE" w14:textId="7C709F16" w:rsidR="00797E79" w:rsidRPr="004005E7" w:rsidRDefault="00797E79" w:rsidP="00CC2A64">
      <w:pPr>
        <w:pStyle w:val="Paragraphtext"/>
      </w:pPr>
      <w:r w:rsidRPr="004005E7">
        <w:t>It is also important that PHNs consider potential unintended consequences of their commissioning approaches, including impacts on smaller-scale local providers, and what those impacts may mean for the market more broadly in the immediate, and longer term.</w:t>
      </w:r>
      <w:r w:rsidR="00064409" w:rsidRPr="004005E7">
        <w:t xml:space="preserve"> Depending on the preferred model(s) of service provision, a PHN’s decisions may unintentionally exclude existing, perhaps smaller-scale providers from the market, which may, in turn, cause those providers to exit the market</w:t>
      </w:r>
      <w:r w:rsidR="00322B26" w:rsidRPr="004005E7">
        <w:t>.</w:t>
      </w:r>
    </w:p>
    <w:p w14:paraId="753B7AAB" w14:textId="68355E16" w:rsidR="00246B91" w:rsidRPr="004005E7" w:rsidRDefault="0014228C" w:rsidP="00E368D8">
      <w:pPr>
        <w:pStyle w:val="Heading3"/>
      </w:pPr>
      <w:bookmarkStart w:id="37" w:name="_Toc515529511"/>
      <w:r w:rsidRPr="004005E7">
        <w:t>Examples of u</w:t>
      </w:r>
      <w:r w:rsidR="00625CB0" w:rsidRPr="004005E7">
        <w:t>sing levers</w:t>
      </w:r>
      <w:bookmarkEnd w:id="37"/>
    </w:p>
    <w:p w14:paraId="694432B2" w14:textId="686CB109" w:rsidR="00D51B92" w:rsidRPr="004005E7" w:rsidRDefault="00625CB0" w:rsidP="00CC2A64">
      <w:pPr>
        <w:pStyle w:val="Paragraphtext"/>
      </w:pPr>
      <w:r w:rsidRPr="004005E7">
        <w:t xml:space="preserve">The following table provides a number of examples of how levers can be used and combined to address a range of common market issues. Market management responses are predicated on the PHN starting with a clear understanding of the root causes of </w:t>
      </w:r>
      <w:r w:rsidR="00337F74" w:rsidRPr="004005E7">
        <w:t>market deficiencies or market failure</w:t>
      </w:r>
      <w:r w:rsidRPr="004005E7">
        <w:t>.</w:t>
      </w:r>
    </w:p>
    <w:p w14:paraId="4E71FF13" w14:textId="77777777" w:rsidR="00541D06" w:rsidRDefault="00541D06">
      <w:pPr>
        <w:rPr>
          <w:b/>
          <w:bCs/>
          <w:color w:val="000000" w:themeColor="text1"/>
          <w:szCs w:val="18"/>
        </w:rPr>
      </w:pPr>
      <w:bookmarkStart w:id="38" w:name="_Toc515525851"/>
      <w:r>
        <w:br w:type="page"/>
      </w:r>
    </w:p>
    <w:p w14:paraId="23CE25C6" w14:textId="2CDDA790" w:rsidR="00D243D7" w:rsidRPr="004005E7" w:rsidRDefault="003461BE" w:rsidP="003461BE">
      <w:pPr>
        <w:pStyle w:val="Caption"/>
        <w:rPr>
          <w:szCs w:val="22"/>
          <w:lang w:val="en-GB"/>
        </w:rPr>
      </w:pPr>
      <w:r w:rsidRPr="004005E7">
        <w:lastRenderedPageBreak/>
        <w:t xml:space="preserve">Table </w:t>
      </w:r>
      <w:r w:rsidR="00541D06">
        <w:fldChar w:fldCharType="begin"/>
      </w:r>
      <w:r w:rsidR="00541D06">
        <w:instrText xml:space="preserve"> SEQ Table \* ARABIC </w:instrText>
      </w:r>
      <w:r w:rsidR="00541D06">
        <w:fldChar w:fldCharType="separate"/>
      </w:r>
      <w:r w:rsidR="00B077F0">
        <w:rPr>
          <w:noProof/>
        </w:rPr>
        <w:t>1</w:t>
      </w:r>
      <w:r w:rsidR="00541D06">
        <w:rPr>
          <w:noProof/>
        </w:rPr>
        <w:fldChar w:fldCharType="end"/>
      </w:r>
      <w:r w:rsidR="00D22472" w:rsidRPr="004005E7">
        <w:rPr>
          <w:noProof/>
        </w:rPr>
        <w:t>:</w:t>
      </w:r>
      <w:r w:rsidRPr="004005E7">
        <w:t xml:space="preserve"> Addressing market failure</w:t>
      </w:r>
      <w:bookmarkEnd w:id="38"/>
    </w:p>
    <w:tbl>
      <w:tblPr>
        <w:tblStyle w:val="PHNBlueTable"/>
        <w:tblW w:w="5000" w:type="pct"/>
        <w:tblLook w:val="04A0" w:firstRow="1" w:lastRow="0" w:firstColumn="1" w:lastColumn="0" w:noHBand="0" w:noVBand="1"/>
        <w:tblCaption w:val="Addressing market failure"/>
        <w:tblDescription w:val="This table has two columns and six rows. The first column describes five types of market failure that can occur, and the second column provides illustrative factors for PHNs to consider and potential ways to address each type of market failure. "/>
      </w:tblPr>
      <w:tblGrid>
        <w:gridCol w:w="2479"/>
        <w:gridCol w:w="6808"/>
      </w:tblGrid>
      <w:tr w:rsidR="00D243D7" w:rsidRPr="0053276F" w14:paraId="3859A62E" w14:textId="77777777" w:rsidTr="002C00CF">
        <w:trPr>
          <w:cnfStyle w:val="100000000000" w:firstRow="1" w:lastRow="0" w:firstColumn="0" w:lastColumn="0" w:oddVBand="0" w:evenVBand="0" w:oddHBand="0" w:evenHBand="0" w:firstRowFirstColumn="0" w:firstRowLastColumn="0" w:lastRowFirstColumn="0" w:lastRowLastColumn="0"/>
        </w:trPr>
        <w:tc>
          <w:tcPr>
            <w:tcW w:w="2485" w:type="dxa"/>
            <w:shd w:val="clear" w:color="auto" w:fill="8D188D"/>
          </w:tcPr>
          <w:p w14:paraId="368BE277" w14:textId="77777777" w:rsidR="00D243D7" w:rsidRPr="004005E7" w:rsidRDefault="00D243D7" w:rsidP="00720E99">
            <w:pPr>
              <w:pStyle w:val="TableHeaderWhite"/>
            </w:pPr>
            <w:r w:rsidRPr="004005E7">
              <w:t>Type of failure</w:t>
            </w:r>
          </w:p>
        </w:tc>
        <w:tc>
          <w:tcPr>
            <w:tcW w:w="6837" w:type="dxa"/>
            <w:shd w:val="clear" w:color="auto" w:fill="8D188D"/>
          </w:tcPr>
          <w:p w14:paraId="2F7BB849" w14:textId="77777777" w:rsidR="00D243D7" w:rsidRPr="004005E7" w:rsidRDefault="00D243D7" w:rsidP="00720E99">
            <w:pPr>
              <w:pStyle w:val="TableHeaderWhite"/>
            </w:pPr>
            <w:r w:rsidRPr="004005E7">
              <w:t>Illustrative factors for PHNs to consider and potential ways to address these</w:t>
            </w:r>
          </w:p>
        </w:tc>
      </w:tr>
      <w:tr w:rsidR="00D243D7" w:rsidRPr="0053276F" w14:paraId="28902561" w14:textId="77777777" w:rsidTr="002C00CF">
        <w:tc>
          <w:tcPr>
            <w:tcW w:w="2485" w:type="dxa"/>
          </w:tcPr>
          <w:p w14:paraId="40CD41BD" w14:textId="2D91E18B" w:rsidR="00D243D7" w:rsidRPr="004005E7" w:rsidRDefault="006542D2" w:rsidP="00DB6D7F">
            <w:pPr>
              <w:pStyle w:val="Tabletextnormal"/>
            </w:pPr>
            <w:r w:rsidRPr="004005E7">
              <w:t>I</w:t>
            </w:r>
            <w:r w:rsidR="00D243D7" w:rsidRPr="004005E7">
              <w:t>nsufficient</w:t>
            </w:r>
            <w:r w:rsidR="0014228C" w:rsidRPr="004005E7">
              <w:t xml:space="preserve"> / inappropriate </w:t>
            </w:r>
            <w:r w:rsidR="00D243D7" w:rsidRPr="004005E7">
              <w:t>providers available to deliver what is required and to secure competitive tension</w:t>
            </w:r>
          </w:p>
        </w:tc>
        <w:tc>
          <w:tcPr>
            <w:tcW w:w="6837" w:type="dxa"/>
          </w:tcPr>
          <w:p w14:paraId="7E7A2867" w14:textId="2981969D" w:rsidR="00D243D7" w:rsidRPr="004005E7" w:rsidRDefault="00D243D7" w:rsidP="00CC2A64">
            <w:pPr>
              <w:pStyle w:val="Tablelistbullet"/>
            </w:pPr>
            <w:r w:rsidRPr="004005E7">
              <w:t xml:space="preserve">Consider using processes </w:t>
            </w:r>
            <w:r w:rsidR="002E42AD" w:rsidRPr="004005E7">
              <w:t>such as</w:t>
            </w:r>
            <w:r w:rsidRPr="004005E7">
              <w:t xml:space="preserve"> market soundings and industry days to engage with the market </w:t>
            </w:r>
            <w:r w:rsidR="006542D2" w:rsidRPr="004005E7">
              <w:t xml:space="preserve">prior to a </w:t>
            </w:r>
            <w:r w:rsidRPr="004005E7">
              <w:t>formal procurement</w:t>
            </w:r>
            <w:r w:rsidR="006542D2" w:rsidRPr="004005E7">
              <w:t xml:space="preserve"> process commencement</w:t>
            </w:r>
            <w:r w:rsidR="002E42AD" w:rsidRPr="004005E7">
              <w:t xml:space="preserve"> to raise awareness and initial interest</w:t>
            </w:r>
            <w:r w:rsidR="00A317D7">
              <w:t>.</w:t>
            </w:r>
          </w:p>
          <w:p w14:paraId="2F6CEB1C" w14:textId="6B7BC28D" w:rsidR="00D243D7" w:rsidRPr="004005E7" w:rsidRDefault="006542D2" w:rsidP="00CC2A64">
            <w:pPr>
              <w:pStyle w:val="Tablelistbullet"/>
            </w:pPr>
            <w:r w:rsidRPr="004005E7">
              <w:t xml:space="preserve">Analyse </w:t>
            </w:r>
            <w:r w:rsidR="00D243D7" w:rsidRPr="004005E7">
              <w:t>providers in neighbouring PHN regions or further afield</w:t>
            </w:r>
            <w:r w:rsidR="00ED5E60" w:rsidRPr="004005E7">
              <w:t xml:space="preserve">, and </w:t>
            </w:r>
            <w:r w:rsidR="00D243D7" w:rsidRPr="004005E7">
              <w:t>consider what might attract them into the PHN’s markets</w:t>
            </w:r>
            <w:r w:rsidR="00C65E69" w:rsidRPr="004005E7">
              <w:t>.</w:t>
            </w:r>
            <w:r w:rsidR="00D320F0" w:rsidRPr="004005E7">
              <w:t xml:space="preserve"> This also applies to providers working in similar ‘adjacent’ sectors wh</w:t>
            </w:r>
            <w:r w:rsidR="0053276F" w:rsidRPr="004005E7">
              <w:t>ere skills may be transferrable</w:t>
            </w:r>
            <w:r w:rsidR="00A317D7">
              <w:t>.</w:t>
            </w:r>
          </w:p>
          <w:p w14:paraId="00845609" w14:textId="05E379F0" w:rsidR="00D243D7" w:rsidRPr="004005E7" w:rsidRDefault="00ED5E60" w:rsidP="00CC2A64">
            <w:pPr>
              <w:pStyle w:val="Tablelistbullet"/>
            </w:pPr>
            <w:r w:rsidRPr="004005E7">
              <w:t>Develop a commun</w:t>
            </w:r>
            <w:bookmarkStart w:id="39" w:name="_GoBack"/>
            <w:bookmarkEnd w:id="39"/>
            <w:r w:rsidRPr="004005E7">
              <w:t xml:space="preserve">ications strategy to raise awareness of the market opportunity. Ensure that exposure is generated in a range of areas including traditional and non-traditional providers who could provide services. </w:t>
            </w:r>
            <w:r w:rsidR="00D243D7" w:rsidRPr="004005E7">
              <w:t xml:space="preserve">Ensure the PHN is </w:t>
            </w:r>
            <w:r w:rsidRPr="004005E7">
              <w:t>seen as being good to work with</w:t>
            </w:r>
            <w:r w:rsidR="00A317D7">
              <w:t>.</w:t>
            </w:r>
          </w:p>
          <w:p w14:paraId="6FE547F8" w14:textId="02C99015" w:rsidR="00D243D7" w:rsidRPr="004005E7" w:rsidRDefault="00ED5E60" w:rsidP="00CC2A64">
            <w:pPr>
              <w:pStyle w:val="Tablelistbullet"/>
            </w:pPr>
            <w:r w:rsidRPr="004005E7">
              <w:t xml:space="preserve">Consider whether the </w:t>
            </w:r>
            <w:r w:rsidR="00337F74" w:rsidRPr="004005E7">
              <w:t xml:space="preserve">packaging or </w:t>
            </w:r>
            <w:r w:rsidRPr="004005E7">
              <w:t>bundling of contract</w:t>
            </w:r>
            <w:r w:rsidR="00337F74" w:rsidRPr="004005E7">
              <w:t>s, or splitting up of contract</w:t>
            </w:r>
            <w:r w:rsidRPr="004005E7">
              <w:t xml:space="preserve"> packages</w:t>
            </w:r>
            <w:r w:rsidR="00337F74" w:rsidRPr="004005E7">
              <w:t>,</w:t>
            </w:r>
            <w:r w:rsidRPr="004005E7">
              <w:t xml:space="preserve"> would increase market interest from </w:t>
            </w:r>
            <w:r w:rsidR="002E42AD" w:rsidRPr="004005E7">
              <w:t xml:space="preserve">new </w:t>
            </w:r>
            <w:r w:rsidRPr="004005E7">
              <w:t>providers who cur</w:t>
            </w:r>
            <w:r w:rsidR="0053276F" w:rsidRPr="004005E7">
              <w:t>rently do not serve the market</w:t>
            </w:r>
            <w:r w:rsidR="00A317D7">
              <w:t>.</w:t>
            </w:r>
          </w:p>
          <w:p w14:paraId="4A06F7D8" w14:textId="09A92955" w:rsidR="00D243D7" w:rsidRPr="004005E7" w:rsidRDefault="002E42AD" w:rsidP="00CC2A64">
            <w:pPr>
              <w:pStyle w:val="Tablelistbullet"/>
            </w:pPr>
            <w:r w:rsidRPr="004005E7">
              <w:t xml:space="preserve">Where </w:t>
            </w:r>
            <w:r w:rsidR="00D243D7" w:rsidRPr="004005E7">
              <w:t xml:space="preserve">there is flexibility, consider </w:t>
            </w:r>
            <w:r w:rsidR="00ED5E60" w:rsidRPr="004005E7">
              <w:t xml:space="preserve">the </w:t>
            </w:r>
            <w:r w:rsidR="00D243D7" w:rsidRPr="004005E7">
              <w:t xml:space="preserve">timing </w:t>
            </w:r>
            <w:r w:rsidR="00ED5E60" w:rsidRPr="004005E7">
              <w:t>of the procurement process. Market interest may be limited due to distraction from wider market opportunit</w:t>
            </w:r>
            <w:r w:rsidR="0053276F" w:rsidRPr="004005E7">
              <w:t>ies occurring at the same time</w:t>
            </w:r>
            <w:r w:rsidR="00A317D7">
              <w:t>.</w:t>
            </w:r>
          </w:p>
          <w:p w14:paraId="085EFD80" w14:textId="39A36218" w:rsidR="00D243D7" w:rsidRPr="004005E7" w:rsidRDefault="00D243D7" w:rsidP="00CC2A64">
            <w:pPr>
              <w:pStyle w:val="Tablelistbullet"/>
            </w:pPr>
            <w:r w:rsidRPr="004005E7">
              <w:t xml:space="preserve">Consider </w:t>
            </w:r>
            <w:r w:rsidR="00ED5E60" w:rsidRPr="004005E7">
              <w:t xml:space="preserve">wider contract structuring </w:t>
            </w:r>
            <w:r w:rsidR="00337F74" w:rsidRPr="004005E7">
              <w:t xml:space="preserve">in </w:t>
            </w:r>
            <w:r w:rsidR="00ED5E60" w:rsidRPr="004005E7">
              <w:t>areas such as financial and payment terms</w:t>
            </w:r>
            <w:r w:rsidR="002E42AD" w:rsidRPr="004005E7">
              <w:t xml:space="preserve"> and</w:t>
            </w:r>
            <w:r w:rsidR="00ED5E60" w:rsidRPr="004005E7">
              <w:t xml:space="preserve"> risk </w:t>
            </w:r>
            <w:r w:rsidR="00D320F0" w:rsidRPr="004005E7">
              <w:t>sharing</w:t>
            </w:r>
            <w:r w:rsidR="00ED5E60" w:rsidRPr="004005E7">
              <w:t>. Consider market insights and where these may be presenting a b</w:t>
            </w:r>
            <w:r w:rsidR="0053276F" w:rsidRPr="004005E7">
              <w:t>arrier to market participation</w:t>
            </w:r>
            <w:r w:rsidR="00A317D7">
              <w:t>.</w:t>
            </w:r>
          </w:p>
          <w:p w14:paraId="1EDF836E" w14:textId="4BF716BD" w:rsidR="0014228C" w:rsidRPr="004005E7" w:rsidRDefault="0014228C" w:rsidP="00CC2A64">
            <w:pPr>
              <w:pStyle w:val="Tablelistbullet"/>
            </w:pPr>
            <w:r w:rsidRPr="004005E7">
              <w:t>Consider joint-working with other commissioners (such</w:t>
            </w:r>
            <w:r w:rsidR="0053276F" w:rsidRPr="004005E7">
              <w:t xml:space="preserve"> as other PHNs or LHNs)</w:t>
            </w:r>
            <w:r w:rsidR="00A317D7">
              <w:t>.</w:t>
            </w:r>
          </w:p>
          <w:p w14:paraId="3A68494F" w14:textId="61302E05" w:rsidR="00A2093B" w:rsidRPr="004005E7" w:rsidRDefault="00A2093B" w:rsidP="00CC2A64">
            <w:pPr>
              <w:pStyle w:val="Tablelistbullet"/>
            </w:pPr>
            <w:r w:rsidRPr="004005E7">
              <w:t xml:space="preserve">Consider engagement with the community to share the issues and </w:t>
            </w:r>
            <w:proofErr w:type="gramStart"/>
            <w:r w:rsidRPr="004005E7">
              <w:t>innovate</w:t>
            </w:r>
            <w:proofErr w:type="gramEnd"/>
            <w:r w:rsidRPr="004005E7">
              <w:t xml:space="preserve"> solutions</w:t>
            </w:r>
            <w:r w:rsidR="00A317D7">
              <w:t>.</w:t>
            </w:r>
          </w:p>
          <w:p w14:paraId="0404EB1E" w14:textId="10625C19" w:rsidR="00A2093B" w:rsidRPr="004005E7" w:rsidRDefault="00A2093B" w:rsidP="00CC2A64">
            <w:pPr>
              <w:pStyle w:val="Tablelistbullet"/>
            </w:pPr>
            <w:r w:rsidRPr="004005E7">
              <w:t xml:space="preserve">In the context of </w:t>
            </w:r>
            <w:r w:rsidR="00337F74" w:rsidRPr="004005E7">
              <w:t xml:space="preserve">commissioning primary health care services for </w:t>
            </w:r>
            <w:r w:rsidRPr="004005E7">
              <w:t>Aboriginal and Torres Strait Islander people and communit</w:t>
            </w:r>
            <w:r w:rsidR="00337F74" w:rsidRPr="004005E7">
              <w:t>ies,</w:t>
            </w:r>
            <w:r w:rsidRPr="004005E7">
              <w:t xml:space="preserve"> co-design and engage with the ACCHS and communit</w:t>
            </w:r>
            <w:r w:rsidR="00337F74" w:rsidRPr="004005E7">
              <w:t>ies</w:t>
            </w:r>
            <w:r w:rsidRPr="004005E7">
              <w:t xml:space="preserve"> to develop plans and solutions</w:t>
            </w:r>
            <w:r w:rsidR="00A317D7">
              <w:t>.</w:t>
            </w:r>
          </w:p>
          <w:p w14:paraId="2CC54FB9" w14:textId="2873DC3D" w:rsidR="00D243D7" w:rsidRPr="004005E7" w:rsidRDefault="00ED5E60" w:rsidP="00CC2A64">
            <w:pPr>
              <w:pStyle w:val="Tablelistbullet"/>
            </w:pPr>
            <w:r w:rsidRPr="004005E7">
              <w:t>Engage in a capacity building program that seeks to develop key provider competencies</w:t>
            </w:r>
            <w:r w:rsidR="00337F74" w:rsidRPr="004005E7">
              <w:t xml:space="preserve">, </w:t>
            </w:r>
            <w:r w:rsidRPr="004005E7">
              <w:t xml:space="preserve">prior to launching the </w:t>
            </w:r>
            <w:r w:rsidR="00D243D7" w:rsidRPr="004005E7">
              <w:t>procurement processes</w:t>
            </w:r>
            <w:r w:rsidR="00A317D7">
              <w:t>.</w:t>
            </w:r>
          </w:p>
        </w:tc>
      </w:tr>
      <w:tr w:rsidR="00081EF2" w:rsidRPr="0053276F" w14:paraId="335A83ED" w14:textId="77777777" w:rsidTr="002C00CF">
        <w:trPr>
          <w:trHeight w:val="946"/>
        </w:trPr>
        <w:tc>
          <w:tcPr>
            <w:tcW w:w="2485" w:type="dxa"/>
          </w:tcPr>
          <w:p w14:paraId="29559224" w14:textId="3283E85A" w:rsidR="00081EF2" w:rsidRPr="004005E7" w:rsidRDefault="00081EF2" w:rsidP="00DB6D7F">
            <w:pPr>
              <w:pStyle w:val="Tabletextnormal"/>
            </w:pPr>
            <w:r w:rsidRPr="004005E7">
              <w:t>Market is dominated by large players with limited smaller organisations</w:t>
            </w:r>
          </w:p>
        </w:tc>
        <w:tc>
          <w:tcPr>
            <w:tcW w:w="6837" w:type="dxa"/>
          </w:tcPr>
          <w:p w14:paraId="4CD83FBA" w14:textId="37E1E94B" w:rsidR="00081EF2" w:rsidRPr="004005E7" w:rsidRDefault="00081EF2" w:rsidP="00CC2A64">
            <w:pPr>
              <w:pStyle w:val="Tablelistbullet"/>
            </w:pPr>
            <w:r w:rsidRPr="004005E7">
              <w:t xml:space="preserve">Review procurement processes to ensure they do not </w:t>
            </w:r>
            <w:r w:rsidR="00337F74" w:rsidRPr="004005E7">
              <w:t xml:space="preserve">inherently </w:t>
            </w:r>
            <w:r w:rsidRPr="004005E7">
              <w:t>favour larger providers</w:t>
            </w:r>
            <w:r w:rsidR="000A3E35" w:rsidRPr="004005E7">
              <w:t>.</w:t>
            </w:r>
            <w:r w:rsidRPr="004005E7">
              <w:t xml:space="preserve"> </w:t>
            </w:r>
            <w:r w:rsidR="000A3E35" w:rsidRPr="004005E7">
              <w:t xml:space="preserve">In some cases the provider who is best placed to </w:t>
            </w:r>
            <w:r w:rsidR="000A3E35" w:rsidRPr="004005E7">
              <w:rPr>
                <w:i/>
              </w:rPr>
              <w:t>bid</w:t>
            </w:r>
            <w:r w:rsidR="000A3E35" w:rsidRPr="004005E7">
              <w:t xml:space="preserve"> (rather than </w:t>
            </w:r>
            <w:r w:rsidR="000A3E35" w:rsidRPr="004005E7">
              <w:rPr>
                <w:i/>
              </w:rPr>
              <w:t>provide</w:t>
            </w:r>
            <w:r w:rsidR="000A3E35" w:rsidRPr="004005E7">
              <w:t>)</w:t>
            </w:r>
            <w:r w:rsidR="00CF2ABE">
              <w:t xml:space="preserve"> may win competitive processes</w:t>
            </w:r>
            <w:r w:rsidR="00A317D7">
              <w:t>.</w:t>
            </w:r>
          </w:p>
          <w:p w14:paraId="3BEDAB60" w14:textId="77777777" w:rsidR="001536BA" w:rsidRPr="004005E7" w:rsidRDefault="001536BA" w:rsidP="00CC2A64">
            <w:pPr>
              <w:pStyle w:val="Tablelistbullet"/>
            </w:pPr>
            <w:r w:rsidRPr="004005E7">
              <w:t>Un-bundle service requirements to make smaller packages that may help to encourage or attract smaller providers.</w:t>
            </w:r>
          </w:p>
          <w:p w14:paraId="10B50CA4" w14:textId="2928BF5E" w:rsidR="001536BA" w:rsidRPr="004005E7" w:rsidRDefault="001536BA" w:rsidP="00CC2A64">
            <w:pPr>
              <w:pStyle w:val="Tablelistbullet"/>
            </w:pPr>
            <w:r w:rsidRPr="004005E7">
              <w:t xml:space="preserve">Where appropriate, consider supporting consortia based bids that include smaller providers, and consider encouraging larger providers to include rather </w:t>
            </w:r>
            <w:r w:rsidR="00CF2ABE">
              <w:t>than discount smaller providers</w:t>
            </w:r>
            <w:r w:rsidR="00A317D7">
              <w:t>.</w:t>
            </w:r>
            <w:r w:rsidR="002C00CF">
              <w:br/>
            </w:r>
          </w:p>
          <w:p w14:paraId="1F11B2E4" w14:textId="17382079" w:rsidR="00081EF2" w:rsidRPr="004005E7" w:rsidRDefault="002E42AD" w:rsidP="00CC2A64">
            <w:pPr>
              <w:pStyle w:val="Tablelistbullet"/>
            </w:pPr>
            <w:proofErr w:type="gramStart"/>
            <w:r w:rsidRPr="004005E7">
              <w:lastRenderedPageBreak/>
              <w:t>Review risk transfer approaches given t</w:t>
            </w:r>
            <w:r w:rsidR="00081EF2" w:rsidRPr="004005E7">
              <w:t>he ability to take and manage risk is</w:t>
            </w:r>
            <w:proofErr w:type="gramEnd"/>
            <w:r w:rsidR="00081EF2" w:rsidRPr="004005E7">
              <w:t xml:space="preserve"> likely to be low</w:t>
            </w:r>
            <w:r w:rsidR="0053276F" w:rsidRPr="004005E7">
              <w:t>er for smaller providers</w:t>
            </w:r>
            <w:r w:rsidR="003A335F">
              <w:t>.</w:t>
            </w:r>
          </w:p>
          <w:p w14:paraId="49349253" w14:textId="21480B8B" w:rsidR="001536BA" w:rsidRPr="004005E7" w:rsidRDefault="002E42AD" w:rsidP="00CC2A64">
            <w:pPr>
              <w:pStyle w:val="Tablelistbullet"/>
            </w:pPr>
            <w:r w:rsidRPr="004005E7">
              <w:t>Consider capacity building activities</w:t>
            </w:r>
            <w:r w:rsidR="00081EF2" w:rsidRPr="004005E7">
              <w:t xml:space="preserve"> </w:t>
            </w:r>
            <w:r w:rsidR="00337F74" w:rsidRPr="004005E7">
              <w:t xml:space="preserve">that could be </w:t>
            </w:r>
            <w:r w:rsidR="00081EF2" w:rsidRPr="004005E7">
              <w:t>specifically targeted at smaller providers</w:t>
            </w:r>
            <w:r w:rsidR="00A317D7">
              <w:t>.</w:t>
            </w:r>
          </w:p>
          <w:p w14:paraId="52D43DFA" w14:textId="7D5EDCA3" w:rsidR="00081EF2" w:rsidRPr="004005E7" w:rsidRDefault="001536BA" w:rsidP="00AF1F24">
            <w:pPr>
              <w:pStyle w:val="Tablelistbullet"/>
            </w:pPr>
            <w:r w:rsidRPr="004005E7">
              <w:t>Engage and get feedback from smaller providers about how they think they can work with PHNs and what would help to support that</w:t>
            </w:r>
            <w:r w:rsidR="00A317D7">
              <w:t>.</w:t>
            </w:r>
          </w:p>
        </w:tc>
      </w:tr>
      <w:tr w:rsidR="00D243D7" w:rsidRPr="0053276F" w14:paraId="143C0FF5" w14:textId="77777777" w:rsidTr="002C00CF">
        <w:trPr>
          <w:trHeight w:val="390"/>
        </w:trPr>
        <w:tc>
          <w:tcPr>
            <w:tcW w:w="2485" w:type="dxa"/>
          </w:tcPr>
          <w:p w14:paraId="4EB11DEB" w14:textId="00DE66F4" w:rsidR="00D243D7" w:rsidRPr="004005E7" w:rsidRDefault="0014228C" w:rsidP="00DB6D7F">
            <w:pPr>
              <w:pStyle w:val="Tabletextnormal"/>
            </w:pPr>
            <w:r w:rsidRPr="004005E7">
              <w:lastRenderedPageBreak/>
              <w:t>E</w:t>
            </w:r>
            <w:r w:rsidR="00D243D7" w:rsidRPr="004005E7">
              <w:t xml:space="preserve">xisting providers are not able to meet </w:t>
            </w:r>
            <w:r w:rsidR="002E42AD" w:rsidRPr="004005E7">
              <w:t>PHN</w:t>
            </w:r>
            <w:r w:rsidR="00D243D7" w:rsidRPr="004005E7">
              <w:t xml:space="preserve"> requests</w:t>
            </w:r>
            <w:r w:rsidR="00BF6B33" w:rsidRPr="004005E7">
              <w:t xml:space="preserve"> for tender and delivery requirements</w:t>
            </w:r>
            <w:r w:rsidR="00D243D7" w:rsidRPr="004005E7">
              <w:t xml:space="preserve"> </w:t>
            </w:r>
          </w:p>
        </w:tc>
        <w:tc>
          <w:tcPr>
            <w:tcW w:w="6837" w:type="dxa"/>
          </w:tcPr>
          <w:p w14:paraId="28C96F5A" w14:textId="39C0A2EC" w:rsidR="0014228C" w:rsidRPr="00DB6D7F" w:rsidRDefault="0014228C" w:rsidP="00CC2A64">
            <w:pPr>
              <w:pStyle w:val="Tablelistbullet"/>
            </w:pPr>
            <w:r w:rsidRPr="00DB6D7F">
              <w:t xml:space="preserve">Engage with the market to ensure a detailed understanding of </w:t>
            </w:r>
            <w:r w:rsidR="002E42AD" w:rsidRPr="00DB6D7F">
              <w:t xml:space="preserve">underlying </w:t>
            </w:r>
            <w:r w:rsidRPr="00DB6D7F">
              <w:t>issues and test reme</w:t>
            </w:r>
            <w:r w:rsidR="0053276F" w:rsidRPr="00DB6D7F">
              <w:t>dy approaches</w:t>
            </w:r>
            <w:r w:rsidR="00A317D7" w:rsidRPr="00DB6D7F">
              <w:t>.</w:t>
            </w:r>
          </w:p>
          <w:p w14:paraId="6A5A4AEC" w14:textId="2E370ECD" w:rsidR="0014228C" w:rsidRPr="00DB6D7F" w:rsidRDefault="0014228C" w:rsidP="00CC2A64">
            <w:pPr>
              <w:pStyle w:val="Tablelistbullet"/>
            </w:pPr>
            <w:r w:rsidRPr="00DB6D7F">
              <w:t xml:space="preserve">Consider approaches that the PHN can use to </w:t>
            </w:r>
            <w:r w:rsidR="00D243D7" w:rsidRPr="00DB6D7F">
              <w:t>build capacity</w:t>
            </w:r>
            <w:r w:rsidRPr="00DB6D7F">
              <w:t xml:space="preserve"> </w:t>
            </w:r>
            <w:r w:rsidR="002E42AD" w:rsidRPr="00DB6D7F">
              <w:t xml:space="preserve">and expertise </w:t>
            </w:r>
            <w:r w:rsidRPr="00DB6D7F">
              <w:t>within the mark</w:t>
            </w:r>
            <w:r w:rsidR="0053276F" w:rsidRPr="00DB6D7F">
              <w:t>et through development programs</w:t>
            </w:r>
            <w:r w:rsidR="00A317D7" w:rsidRPr="00DB6D7F">
              <w:t>.</w:t>
            </w:r>
          </w:p>
          <w:p w14:paraId="35287A46" w14:textId="113FAADD" w:rsidR="0014228C" w:rsidRPr="00DB6D7F" w:rsidRDefault="0014228C" w:rsidP="00CC2A64">
            <w:pPr>
              <w:pStyle w:val="Tablelistbullet"/>
            </w:pPr>
            <w:r w:rsidRPr="00DB6D7F">
              <w:t xml:space="preserve">Encourage market </w:t>
            </w:r>
            <w:r w:rsidR="00D243D7" w:rsidRPr="00DB6D7F">
              <w:t xml:space="preserve">consortia </w:t>
            </w:r>
            <w:r w:rsidRPr="00DB6D7F">
              <w:t xml:space="preserve">as a means to </w:t>
            </w:r>
            <w:r w:rsidR="002E42AD" w:rsidRPr="00DB6D7F">
              <w:t xml:space="preserve">generate </w:t>
            </w:r>
            <w:r w:rsidRPr="00DB6D7F">
              <w:t xml:space="preserve">increased market capacity. Structure the procurement process to reward organisations who bring a range of factors such </w:t>
            </w:r>
            <w:r w:rsidR="002E42AD" w:rsidRPr="00DB6D7F">
              <w:t>as</w:t>
            </w:r>
            <w:r w:rsidRPr="00DB6D7F">
              <w:t xml:space="preserve"> established processes (large mature providers) together with </w:t>
            </w:r>
            <w:r w:rsidR="002E42AD" w:rsidRPr="00DB6D7F">
              <w:t xml:space="preserve">specific skills </w:t>
            </w:r>
            <w:r w:rsidRPr="00DB6D7F">
              <w:t xml:space="preserve">(smaller </w:t>
            </w:r>
            <w:r w:rsidR="002E42AD" w:rsidRPr="00DB6D7F">
              <w:t>niche</w:t>
            </w:r>
            <w:r w:rsidR="0053276F" w:rsidRPr="00DB6D7F">
              <w:t xml:space="preserve"> providers)</w:t>
            </w:r>
            <w:r w:rsidR="00A317D7" w:rsidRPr="00DB6D7F">
              <w:t>.</w:t>
            </w:r>
          </w:p>
          <w:p w14:paraId="45067BE7" w14:textId="528A9256" w:rsidR="00D243D7" w:rsidRPr="00DB6D7F" w:rsidRDefault="00D243D7" w:rsidP="00CC2A64">
            <w:pPr>
              <w:pStyle w:val="Tablelistbullet"/>
            </w:pPr>
            <w:r w:rsidRPr="00DB6D7F">
              <w:t xml:space="preserve">Consider </w:t>
            </w:r>
            <w:r w:rsidR="002E42AD" w:rsidRPr="00DB6D7F">
              <w:t>if</w:t>
            </w:r>
            <w:r w:rsidRPr="00DB6D7F">
              <w:t xml:space="preserve"> </w:t>
            </w:r>
            <w:r w:rsidR="0014228C" w:rsidRPr="00DB6D7F">
              <w:t>the procurement approach and conditions set by the PHN are appropriate</w:t>
            </w:r>
            <w:r w:rsidR="00A317D7" w:rsidRPr="00DB6D7F">
              <w:t>.</w:t>
            </w:r>
          </w:p>
          <w:p w14:paraId="17899594" w14:textId="291CD3F8" w:rsidR="00A2093B" w:rsidRPr="004005E7" w:rsidRDefault="00A2093B" w:rsidP="00CC2A64">
            <w:pPr>
              <w:pStyle w:val="Tablelistbullet"/>
            </w:pPr>
            <w:r w:rsidRPr="00DB6D7F">
              <w:t xml:space="preserve">Consider engagement with the community to share the issues and </w:t>
            </w:r>
            <w:proofErr w:type="gramStart"/>
            <w:r w:rsidRPr="00DB6D7F">
              <w:t>innovate</w:t>
            </w:r>
            <w:proofErr w:type="gramEnd"/>
            <w:r w:rsidRPr="00DB6D7F">
              <w:t xml:space="preserve"> solutions</w:t>
            </w:r>
            <w:r w:rsidR="00A317D7" w:rsidRPr="00DB6D7F">
              <w:t>.</w:t>
            </w:r>
          </w:p>
        </w:tc>
      </w:tr>
      <w:tr w:rsidR="00D243D7" w:rsidRPr="0053276F" w14:paraId="3CC21B6C" w14:textId="77777777" w:rsidTr="002C00CF">
        <w:tc>
          <w:tcPr>
            <w:tcW w:w="2485" w:type="dxa"/>
          </w:tcPr>
          <w:p w14:paraId="5F3CDE87" w14:textId="764589E1" w:rsidR="00D243D7" w:rsidRPr="004005E7" w:rsidRDefault="0014228C" w:rsidP="00DB6D7F">
            <w:pPr>
              <w:pStyle w:val="Tabletextnormal"/>
            </w:pPr>
            <w:r w:rsidRPr="004005E7">
              <w:t>Lack of innovation exists within the market</w:t>
            </w:r>
          </w:p>
        </w:tc>
        <w:tc>
          <w:tcPr>
            <w:tcW w:w="6837" w:type="dxa"/>
          </w:tcPr>
          <w:p w14:paraId="09AF9101" w14:textId="3B434B42" w:rsidR="00D243D7" w:rsidRPr="00DB6D7F" w:rsidRDefault="00AF1F24" w:rsidP="00CC2A64">
            <w:pPr>
              <w:pStyle w:val="Tablelistbullet"/>
            </w:pPr>
            <w:r>
              <w:t>F</w:t>
            </w:r>
            <w:r w:rsidR="00C65E69" w:rsidRPr="00DB6D7F">
              <w:t xml:space="preserve">acilitate knowledge share and brainstorming events with diverse stakeholder groups to develop innovation ideas around specific service areas. Discussion </w:t>
            </w:r>
            <w:r w:rsidR="002E42AD" w:rsidRPr="00DB6D7F">
              <w:t xml:space="preserve">to </w:t>
            </w:r>
            <w:r w:rsidR="00C65E69" w:rsidRPr="00DB6D7F">
              <w:t>identify wider arrangements that could support innovative practices (i.e. ong</w:t>
            </w:r>
            <w:r w:rsidR="0053276F" w:rsidRPr="00DB6D7F">
              <w:t>oing data sharing arrangements)</w:t>
            </w:r>
            <w:r w:rsidR="00A317D7" w:rsidRPr="00DB6D7F">
              <w:t>.</w:t>
            </w:r>
          </w:p>
          <w:p w14:paraId="2B743979" w14:textId="009A06EE" w:rsidR="00C65E69" w:rsidRPr="00DB6D7F" w:rsidRDefault="00C65E69" w:rsidP="00CC2A64">
            <w:pPr>
              <w:pStyle w:val="Tablelistbullet"/>
            </w:pPr>
            <w:r w:rsidRPr="00DB6D7F">
              <w:t>Co-commissioning approaches with other funders in order to create additional scale as a means of attracting innovative providers from other locati</w:t>
            </w:r>
            <w:r w:rsidR="0053276F" w:rsidRPr="00DB6D7F">
              <w:t>ons / areas to enter the market</w:t>
            </w:r>
            <w:r w:rsidR="00337F74" w:rsidRPr="00DB6D7F">
              <w:t>.</w:t>
            </w:r>
          </w:p>
          <w:p w14:paraId="758CFC90" w14:textId="1FAAE7FD" w:rsidR="00C65E69" w:rsidRPr="004005E7" w:rsidRDefault="00AF1F24" w:rsidP="00AF1F24">
            <w:pPr>
              <w:pStyle w:val="Tablelistbullet"/>
            </w:pPr>
            <w:r>
              <w:t>Conduct i</w:t>
            </w:r>
            <w:r w:rsidR="00C65E69" w:rsidRPr="00DB6D7F">
              <w:t xml:space="preserve">nnovation </w:t>
            </w:r>
            <w:r w:rsidR="002E42AD" w:rsidRPr="00DB6D7F">
              <w:t xml:space="preserve">stimulation activities </w:t>
            </w:r>
            <w:r w:rsidR="00C65E69" w:rsidRPr="00DB6D7F">
              <w:t xml:space="preserve">prior to the procurement process. This could </w:t>
            </w:r>
            <w:r w:rsidR="002E42AD" w:rsidRPr="00DB6D7F">
              <w:t xml:space="preserve">include working </w:t>
            </w:r>
            <w:r w:rsidR="00C65E69" w:rsidRPr="00DB6D7F">
              <w:t>with providers to trial and test new service delivery models, the results of which can be sha</w:t>
            </w:r>
            <w:r w:rsidR="0053276F" w:rsidRPr="00DB6D7F">
              <w:t>red more widely with the sector</w:t>
            </w:r>
            <w:r w:rsidR="00A317D7" w:rsidRPr="00DB6D7F">
              <w:t>.</w:t>
            </w:r>
          </w:p>
        </w:tc>
      </w:tr>
      <w:tr w:rsidR="0014228C" w:rsidRPr="0053276F" w14:paraId="0B700609" w14:textId="77777777" w:rsidTr="002C00CF">
        <w:tc>
          <w:tcPr>
            <w:tcW w:w="2485" w:type="dxa"/>
          </w:tcPr>
          <w:p w14:paraId="46BD461F" w14:textId="7EC2DBD4" w:rsidR="0014228C" w:rsidRPr="004005E7" w:rsidRDefault="0014228C" w:rsidP="00DB6D7F">
            <w:pPr>
              <w:pStyle w:val="Tabletextnormal"/>
            </w:pPr>
            <w:r w:rsidRPr="004005E7">
              <w:t>Providers are unable to support opportunities due to limited workforce availability</w:t>
            </w:r>
          </w:p>
        </w:tc>
        <w:tc>
          <w:tcPr>
            <w:tcW w:w="6837" w:type="dxa"/>
          </w:tcPr>
          <w:p w14:paraId="2AFD754F" w14:textId="2E9DCB9E" w:rsidR="0014228C" w:rsidRPr="00DB6D7F" w:rsidRDefault="00AF1F24" w:rsidP="00CC2A64">
            <w:pPr>
              <w:pStyle w:val="Tablelistbullet"/>
            </w:pPr>
            <w:r>
              <w:t>W</w:t>
            </w:r>
            <w:r w:rsidR="00C65E69" w:rsidRPr="00DB6D7F">
              <w:t xml:space="preserve">ork with </w:t>
            </w:r>
            <w:r w:rsidR="002E42AD" w:rsidRPr="00DB6D7F">
              <w:t>s</w:t>
            </w:r>
            <w:r w:rsidR="00C65E69" w:rsidRPr="00DB6D7F">
              <w:t xml:space="preserve">tate and </w:t>
            </w:r>
            <w:r w:rsidR="002E42AD" w:rsidRPr="00DB6D7F">
              <w:t>l</w:t>
            </w:r>
            <w:r w:rsidR="00C65E69" w:rsidRPr="00DB6D7F">
              <w:t xml:space="preserve">ocal </w:t>
            </w:r>
            <w:r w:rsidR="002E42AD" w:rsidRPr="00DB6D7F">
              <w:t>g</w:t>
            </w:r>
            <w:r w:rsidR="00C65E69" w:rsidRPr="00DB6D7F">
              <w:t xml:space="preserve">overnment agencies to consider how to support workforce development. Solutions may involve </w:t>
            </w:r>
            <w:r w:rsidR="002E42AD" w:rsidRPr="00DB6D7F">
              <w:t xml:space="preserve">industry wide </w:t>
            </w:r>
            <w:r w:rsidR="00C65E69" w:rsidRPr="00DB6D7F">
              <w:t xml:space="preserve">capability development </w:t>
            </w:r>
            <w:r w:rsidR="002E42AD" w:rsidRPr="00DB6D7F">
              <w:t xml:space="preserve">programs </w:t>
            </w:r>
            <w:r w:rsidR="003B7715" w:rsidRPr="00DB6D7F">
              <w:t xml:space="preserve">or </w:t>
            </w:r>
            <w:r w:rsidR="00C65E69" w:rsidRPr="00DB6D7F">
              <w:t>events to support individuals to get the required skills to ent</w:t>
            </w:r>
            <w:r w:rsidR="0053276F" w:rsidRPr="00DB6D7F">
              <w:t>er into the market</w:t>
            </w:r>
            <w:r w:rsidR="00A317D7" w:rsidRPr="00DB6D7F">
              <w:t>.</w:t>
            </w:r>
          </w:p>
          <w:p w14:paraId="3BBA2B63" w14:textId="70482DEB" w:rsidR="002E42AD" w:rsidRPr="00DB6D7F" w:rsidRDefault="00AF1F24" w:rsidP="00CC2A64">
            <w:pPr>
              <w:pStyle w:val="Tablelistbullet"/>
            </w:pPr>
            <w:r>
              <w:t>C</w:t>
            </w:r>
            <w:r w:rsidR="003B7715" w:rsidRPr="00DB6D7F">
              <w:t>ould</w:t>
            </w:r>
            <w:r w:rsidR="002E42AD" w:rsidRPr="00DB6D7F">
              <w:t xml:space="preserve"> </w:t>
            </w:r>
            <w:r w:rsidR="003B7715" w:rsidRPr="00DB6D7F">
              <w:t xml:space="preserve">consider </w:t>
            </w:r>
            <w:r w:rsidR="002E42AD" w:rsidRPr="00DB6D7F">
              <w:t>partner</w:t>
            </w:r>
            <w:r w:rsidR="003B7715" w:rsidRPr="00DB6D7F">
              <w:t>ing</w:t>
            </w:r>
            <w:r w:rsidR="002E42AD" w:rsidRPr="00DB6D7F">
              <w:t xml:space="preserve"> with local education</w:t>
            </w:r>
            <w:r w:rsidR="003B7715" w:rsidRPr="00DB6D7F">
              <w:t xml:space="preserve">al </w:t>
            </w:r>
            <w:r w:rsidR="002E42AD" w:rsidRPr="00DB6D7F">
              <w:t xml:space="preserve">institutions to </w:t>
            </w:r>
            <w:r w:rsidR="0053276F" w:rsidRPr="00DB6D7F">
              <w:t xml:space="preserve">collaborate on ideas to </w:t>
            </w:r>
            <w:r w:rsidR="00CF2ABE" w:rsidRPr="00DB6D7F">
              <w:t>help address shortages</w:t>
            </w:r>
            <w:r w:rsidR="00A317D7" w:rsidRPr="00DB6D7F">
              <w:t>.</w:t>
            </w:r>
          </w:p>
          <w:p w14:paraId="6637F2F1" w14:textId="526ACEAA" w:rsidR="00232BCC" w:rsidRPr="004005E7" w:rsidRDefault="00232BCC" w:rsidP="00AF1F24">
            <w:pPr>
              <w:pStyle w:val="Tablelistbullet"/>
            </w:pPr>
            <w:r w:rsidRPr="00DB6D7F">
              <w:t xml:space="preserve">To support long-term growth in this area, </w:t>
            </w:r>
            <w:r w:rsidR="00831826" w:rsidRPr="00DB6D7F">
              <w:t xml:space="preserve">where appropriate, consider </w:t>
            </w:r>
            <w:r w:rsidR="002E42AD" w:rsidRPr="00DB6D7F">
              <w:t>request</w:t>
            </w:r>
            <w:r w:rsidR="00831826" w:rsidRPr="00DB6D7F">
              <w:t>ing</w:t>
            </w:r>
            <w:r w:rsidRPr="00DB6D7F">
              <w:t xml:space="preserve"> that in service contracts, providers have a workforce development program that supports </w:t>
            </w:r>
            <w:r w:rsidR="002E42AD" w:rsidRPr="00DB6D7F">
              <w:t>long-</w:t>
            </w:r>
            <w:r w:rsidRPr="00DB6D7F">
              <w:t xml:space="preserve">term </w:t>
            </w:r>
            <w:r w:rsidR="002E42AD" w:rsidRPr="00DB6D7F">
              <w:t xml:space="preserve">workforce </w:t>
            </w:r>
            <w:r w:rsidR="00CF2ABE" w:rsidRPr="00DB6D7F">
              <w:t>capacity in chosen locations</w:t>
            </w:r>
            <w:r w:rsidR="00486BF6" w:rsidRPr="00DB6D7F">
              <w:t>.</w:t>
            </w:r>
          </w:p>
        </w:tc>
      </w:tr>
    </w:tbl>
    <w:p w14:paraId="59726100" w14:textId="77777777" w:rsidR="002C00CF" w:rsidRDefault="002C00CF" w:rsidP="00CC2A64">
      <w:pPr>
        <w:pStyle w:val="Paragraphtext"/>
        <w:rPr>
          <w:lang w:val="en-GB"/>
        </w:rPr>
      </w:pPr>
    </w:p>
    <w:p w14:paraId="00A64464" w14:textId="140032CA" w:rsidR="0052688F" w:rsidRPr="004005E7" w:rsidRDefault="002E42AD" w:rsidP="00CC2A64">
      <w:pPr>
        <w:pStyle w:val="Paragraphtext"/>
        <w:rPr>
          <w:lang w:val="en-GB"/>
        </w:rPr>
      </w:pPr>
      <w:r w:rsidRPr="004005E7">
        <w:rPr>
          <w:lang w:val="en-GB"/>
        </w:rPr>
        <w:lastRenderedPageBreak/>
        <w:t>Analysis of f</w:t>
      </w:r>
      <w:r w:rsidR="0052688F" w:rsidRPr="004005E7">
        <w:rPr>
          <w:lang w:val="en-GB"/>
        </w:rPr>
        <w:t xml:space="preserve">eedback </w:t>
      </w:r>
      <w:r w:rsidRPr="004005E7">
        <w:rPr>
          <w:lang w:val="en-GB"/>
        </w:rPr>
        <w:t xml:space="preserve">from </w:t>
      </w:r>
      <w:r w:rsidR="0052688F" w:rsidRPr="004005E7">
        <w:rPr>
          <w:lang w:val="en-GB"/>
        </w:rPr>
        <w:t>PHNs in relation to addressing market issues and using market levers captures a number of useful points</w:t>
      </w:r>
      <w:r w:rsidR="005F7F71" w:rsidRPr="004005E7">
        <w:rPr>
          <w:lang w:val="en-GB"/>
        </w:rPr>
        <w:t>, as listed below.</w:t>
      </w:r>
    </w:p>
    <w:p w14:paraId="680C47D1" w14:textId="7CB674D5" w:rsidR="00D243D7" w:rsidRPr="004005E7" w:rsidRDefault="00D243D7" w:rsidP="00CC2A64">
      <w:pPr>
        <w:pStyle w:val="ListBullet"/>
        <w:rPr>
          <w:lang w:val="en-GB"/>
        </w:rPr>
      </w:pPr>
      <w:r w:rsidRPr="004005E7">
        <w:rPr>
          <w:lang w:val="en-GB"/>
        </w:rPr>
        <w:t xml:space="preserve">Market failure is more likely to take place </w:t>
      </w:r>
      <w:r w:rsidR="0052688F" w:rsidRPr="004005E7">
        <w:rPr>
          <w:lang w:val="en-GB"/>
        </w:rPr>
        <w:t>in rural and remote communities where economic environments c</w:t>
      </w:r>
      <w:r w:rsidR="0053276F" w:rsidRPr="004005E7">
        <w:rPr>
          <w:lang w:val="en-GB"/>
        </w:rPr>
        <w:t>an create additional challenges</w:t>
      </w:r>
      <w:r w:rsidR="00345B51">
        <w:rPr>
          <w:lang w:val="en-GB"/>
        </w:rPr>
        <w:t>.</w:t>
      </w:r>
    </w:p>
    <w:p w14:paraId="72B0E4B8" w14:textId="7EAD16FF" w:rsidR="00D243D7" w:rsidRPr="004005E7" w:rsidRDefault="00D243D7" w:rsidP="00CC2A64">
      <w:pPr>
        <w:pStyle w:val="ListBullet"/>
        <w:rPr>
          <w:lang w:val="en-GB"/>
        </w:rPr>
      </w:pPr>
      <w:r w:rsidRPr="004005E7">
        <w:rPr>
          <w:lang w:val="en-GB"/>
        </w:rPr>
        <w:t xml:space="preserve">Some providers (especially smaller ones) </w:t>
      </w:r>
      <w:r w:rsidR="0052688F" w:rsidRPr="004005E7">
        <w:rPr>
          <w:lang w:val="en-GB"/>
        </w:rPr>
        <w:t xml:space="preserve">have reported </w:t>
      </w:r>
      <w:r w:rsidR="005F7F71" w:rsidRPr="004005E7">
        <w:rPr>
          <w:lang w:val="en-GB"/>
        </w:rPr>
        <w:t xml:space="preserve">more </w:t>
      </w:r>
      <w:r w:rsidR="0052688F" w:rsidRPr="004005E7">
        <w:rPr>
          <w:lang w:val="en-GB"/>
        </w:rPr>
        <w:t>difficult</w:t>
      </w:r>
      <w:r w:rsidR="002E42AD" w:rsidRPr="004005E7">
        <w:rPr>
          <w:lang w:val="en-GB"/>
        </w:rPr>
        <w:t>y in</w:t>
      </w:r>
      <w:r w:rsidRPr="004005E7">
        <w:rPr>
          <w:lang w:val="en-GB"/>
        </w:rPr>
        <w:t xml:space="preserve"> </w:t>
      </w:r>
      <w:r w:rsidR="0052688F" w:rsidRPr="004005E7">
        <w:rPr>
          <w:lang w:val="en-GB"/>
        </w:rPr>
        <w:t xml:space="preserve">adjusting </w:t>
      </w:r>
      <w:r w:rsidRPr="004005E7">
        <w:rPr>
          <w:lang w:val="en-GB"/>
        </w:rPr>
        <w:t xml:space="preserve">to the </w:t>
      </w:r>
      <w:r w:rsidR="002E42AD" w:rsidRPr="004005E7">
        <w:rPr>
          <w:lang w:val="en-GB"/>
        </w:rPr>
        <w:t xml:space="preserve">additional requirements of working within </w:t>
      </w:r>
      <w:r w:rsidRPr="004005E7">
        <w:rPr>
          <w:lang w:val="en-GB"/>
        </w:rPr>
        <w:t xml:space="preserve">the commissioning process. </w:t>
      </w:r>
      <w:r w:rsidR="002E42AD" w:rsidRPr="004005E7">
        <w:rPr>
          <w:lang w:val="en-GB"/>
        </w:rPr>
        <w:t xml:space="preserve">Capability </w:t>
      </w:r>
      <w:r w:rsidRPr="004005E7">
        <w:rPr>
          <w:lang w:val="en-GB"/>
        </w:rPr>
        <w:t>development in this area is important</w:t>
      </w:r>
      <w:r w:rsidR="005F7F71" w:rsidRPr="004005E7">
        <w:rPr>
          <w:lang w:val="en-GB"/>
        </w:rPr>
        <w:t xml:space="preserve"> so that smaller local organisations are supported to gr</w:t>
      </w:r>
      <w:r w:rsidR="00CF2ABE">
        <w:rPr>
          <w:lang w:val="en-GB"/>
        </w:rPr>
        <w:t>ow and develop their capability</w:t>
      </w:r>
      <w:r w:rsidR="00345B51">
        <w:rPr>
          <w:lang w:val="en-GB"/>
        </w:rPr>
        <w:t>.</w:t>
      </w:r>
    </w:p>
    <w:p w14:paraId="3C12145B" w14:textId="51582BFF" w:rsidR="00D243D7" w:rsidRPr="004005E7" w:rsidRDefault="00D243D7" w:rsidP="00CC2A64">
      <w:pPr>
        <w:pStyle w:val="ListBullet"/>
        <w:rPr>
          <w:lang w:val="en-GB"/>
        </w:rPr>
      </w:pPr>
      <w:r w:rsidRPr="004005E7">
        <w:rPr>
          <w:lang w:val="en-GB"/>
        </w:rPr>
        <w:t>Market development requires investment of time and resources by PHNs</w:t>
      </w:r>
      <w:r w:rsidR="009C66BB" w:rsidRPr="004005E7">
        <w:rPr>
          <w:lang w:val="en-GB"/>
        </w:rPr>
        <w:t xml:space="preserve"> to ensure sustainability</w:t>
      </w:r>
      <w:r w:rsidRPr="004005E7">
        <w:rPr>
          <w:lang w:val="en-GB"/>
        </w:rPr>
        <w:t xml:space="preserve"> across the country. This needs to be balanced appropriately, relative to direct program spend on health</w:t>
      </w:r>
      <w:r w:rsidR="00064409" w:rsidRPr="004005E7">
        <w:rPr>
          <w:lang w:val="en-GB"/>
        </w:rPr>
        <w:t xml:space="preserve"> </w:t>
      </w:r>
      <w:r w:rsidRPr="004005E7">
        <w:rPr>
          <w:lang w:val="en-GB"/>
        </w:rPr>
        <w:t>care – this can be a challenge given PHN funding regimes</w:t>
      </w:r>
      <w:r w:rsidR="00345B51">
        <w:rPr>
          <w:lang w:val="en-GB"/>
        </w:rPr>
        <w:t>.</w:t>
      </w:r>
    </w:p>
    <w:p w14:paraId="1CA3BFED" w14:textId="3E9CBD1D" w:rsidR="00D243D7" w:rsidRPr="004005E7" w:rsidRDefault="00D243D7" w:rsidP="00CC2A64">
      <w:pPr>
        <w:pStyle w:val="ListBullet"/>
        <w:rPr>
          <w:lang w:val="en-GB"/>
        </w:rPr>
      </w:pPr>
      <w:r w:rsidRPr="004005E7">
        <w:rPr>
          <w:lang w:val="en-GB"/>
        </w:rPr>
        <w:t>PHNs are required to consider their working practices, governance arrangements and partnerships when working with ACCHS and other Aboriginal and Torres Strait health organisations</w:t>
      </w:r>
      <w:r w:rsidR="00F91C3B" w:rsidRPr="004005E7">
        <w:rPr>
          <w:lang w:val="en-GB"/>
        </w:rPr>
        <w:t xml:space="preserve"> so that cultural awareness, competency</w:t>
      </w:r>
      <w:r w:rsidRPr="004005E7">
        <w:rPr>
          <w:lang w:val="en-GB"/>
        </w:rPr>
        <w:t xml:space="preserve"> and safety are considered as part of how the market operates and the potential solutions i</w:t>
      </w:r>
      <w:r w:rsidR="009C66BB" w:rsidRPr="004005E7">
        <w:rPr>
          <w:lang w:val="en-GB"/>
        </w:rPr>
        <w:t>t</w:t>
      </w:r>
      <w:r w:rsidR="0053276F" w:rsidRPr="004005E7">
        <w:rPr>
          <w:lang w:val="en-GB"/>
        </w:rPr>
        <w:t xml:space="preserve"> can provide</w:t>
      </w:r>
      <w:r w:rsidR="00345B51">
        <w:rPr>
          <w:lang w:val="en-GB"/>
        </w:rPr>
        <w:t>.</w:t>
      </w:r>
    </w:p>
    <w:p w14:paraId="083C1AA7" w14:textId="6687385B" w:rsidR="009C66BB" w:rsidRPr="004005E7" w:rsidRDefault="009C66BB" w:rsidP="00CC2A64">
      <w:pPr>
        <w:pStyle w:val="ListBullet"/>
        <w:rPr>
          <w:lang w:val="en-GB"/>
        </w:rPr>
      </w:pPr>
      <w:r w:rsidRPr="004005E7">
        <w:rPr>
          <w:lang w:val="en-GB"/>
        </w:rPr>
        <w:t xml:space="preserve">In some areas, more traditional approaches to providers </w:t>
      </w:r>
      <w:r w:rsidR="005E02DA">
        <w:rPr>
          <w:lang w:val="en-GB"/>
        </w:rPr>
        <w:t>who</w:t>
      </w:r>
      <w:r w:rsidR="005E02DA" w:rsidRPr="004005E7">
        <w:rPr>
          <w:lang w:val="en-GB"/>
        </w:rPr>
        <w:t xml:space="preserve"> </w:t>
      </w:r>
      <w:r w:rsidRPr="004005E7">
        <w:rPr>
          <w:lang w:val="en-GB"/>
        </w:rPr>
        <w:t>have focussed on contract management have led to more adversarial relationships with providers. Progression from this type of relationship is important to support future commissioning objectives and the health of markets.</w:t>
      </w:r>
    </w:p>
    <w:p w14:paraId="05C802E6" w14:textId="77777777" w:rsidR="00253094" w:rsidRDefault="00253094">
      <w:pPr>
        <w:rPr>
          <w:rFonts w:cs="Arial"/>
          <w:b/>
          <w:bCs/>
          <w:color w:val="153A6E"/>
          <w:kern w:val="28"/>
          <w:sz w:val="36"/>
          <w:szCs w:val="32"/>
        </w:rPr>
      </w:pPr>
      <w:bookmarkStart w:id="40" w:name="_Toc515529512"/>
      <w:r>
        <w:br w:type="page"/>
      </w:r>
    </w:p>
    <w:p w14:paraId="0D1E50EF" w14:textId="56AEAA4C" w:rsidR="009F5D1F" w:rsidRPr="004005E7" w:rsidRDefault="00AE6C40" w:rsidP="0023645F">
      <w:pPr>
        <w:pStyle w:val="Heading1"/>
      </w:pPr>
      <w:r w:rsidRPr="004005E7">
        <w:lastRenderedPageBreak/>
        <w:t>E</w:t>
      </w:r>
      <w:r w:rsidR="0023645F" w:rsidRPr="004005E7">
        <w:t>vol</w:t>
      </w:r>
      <w:r w:rsidR="0023645F" w:rsidRPr="0023645F">
        <w:t>vin</w:t>
      </w:r>
      <w:r w:rsidR="0023645F" w:rsidRPr="004005E7">
        <w:t xml:space="preserve">g relationships of </w:t>
      </w:r>
      <w:r w:rsidR="00192720" w:rsidRPr="004005E7">
        <w:t>PHNs</w:t>
      </w:r>
      <w:r w:rsidR="0053276F" w:rsidRPr="004005E7">
        <w:t xml:space="preserve"> </w:t>
      </w:r>
      <w:r w:rsidR="0023645F" w:rsidRPr="004005E7">
        <w:t>and the market</w:t>
      </w:r>
      <w:bookmarkEnd w:id="40"/>
      <w:r w:rsidR="0023645F" w:rsidRPr="004005E7">
        <w:t xml:space="preserve"> </w:t>
      </w:r>
    </w:p>
    <w:p w14:paraId="0CEDFDA5" w14:textId="25050B00" w:rsidR="0034745C" w:rsidRPr="004005E7" w:rsidRDefault="00AE6C40" w:rsidP="00AE6C40">
      <w:pPr>
        <w:pStyle w:val="Heading2"/>
      </w:pPr>
      <w:bookmarkStart w:id="41" w:name="_Toc515529513"/>
      <w:r w:rsidRPr="004005E7">
        <w:t>The case for change</w:t>
      </w:r>
      <w:bookmarkEnd w:id="41"/>
    </w:p>
    <w:p w14:paraId="5D55B27B" w14:textId="27CF8F4E" w:rsidR="00D415FA" w:rsidRPr="004005E7" w:rsidRDefault="00AE6C40" w:rsidP="00CC2A64">
      <w:pPr>
        <w:pStyle w:val="Paragraphtext"/>
      </w:pPr>
      <w:r w:rsidRPr="004005E7">
        <w:t>Commissioning</w:t>
      </w:r>
      <w:r w:rsidR="002F5C8E" w:rsidRPr="004005E7">
        <w:t>, and as part of this process,</w:t>
      </w:r>
      <w:r w:rsidRPr="004005E7">
        <w:t xml:space="preserve"> market </w:t>
      </w:r>
      <w:r w:rsidR="002F5C8E" w:rsidRPr="004005E7">
        <w:t xml:space="preserve">making and development, </w:t>
      </w:r>
      <w:r w:rsidRPr="004005E7">
        <w:t xml:space="preserve">require a fundamentally different relationship between providers and PHNs. </w:t>
      </w:r>
      <w:r w:rsidR="00AF1F24" w:rsidRPr="004005E7">
        <w:t>Th</w:t>
      </w:r>
      <w:r w:rsidR="00AF1F24">
        <w:t>e</w:t>
      </w:r>
      <w:r w:rsidR="00AF1F24" w:rsidRPr="004005E7">
        <w:t xml:space="preserve"> </w:t>
      </w:r>
      <w:r w:rsidR="00AF1F24">
        <w:t xml:space="preserve">relationship </w:t>
      </w:r>
      <w:r w:rsidRPr="004005E7">
        <w:t xml:space="preserve">needs to move from a </w:t>
      </w:r>
      <w:r w:rsidR="00D46FB6" w:rsidRPr="004005E7">
        <w:t xml:space="preserve">more </w:t>
      </w:r>
      <w:r w:rsidRPr="004005E7">
        <w:t>transactional relationship based on the principles of ‘purchaser’ and ‘supplier’</w:t>
      </w:r>
      <w:r w:rsidR="00D46FB6" w:rsidRPr="004005E7">
        <w:t>,</w:t>
      </w:r>
      <w:r w:rsidRPr="004005E7">
        <w:t xml:space="preserve"> towards one that is focussed more on collab</w:t>
      </w:r>
      <w:r w:rsidR="009C66BB" w:rsidRPr="004005E7">
        <w:t>orative working and partnership</w:t>
      </w:r>
      <w:r w:rsidRPr="004005E7">
        <w:t xml:space="preserve">. </w:t>
      </w:r>
      <w:r w:rsidR="005C4FB0" w:rsidRPr="004005E7">
        <w:t>Th</w:t>
      </w:r>
      <w:r w:rsidR="00AF1F24">
        <w:t>is</w:t>
      </w:r>
      <w:r w:rsidR="005C4FB0" w:rsidRPr="004005E7">
        <w:t xml:space="preserve"> change </w:t>
      </w:r>
      <w:r w:rsidRPr="004005E7">
        <w:t>place</w:t>
      </w:r>
      <w:r w:rsidR="00AF1F24">
        <w:t>s</w:t>
      </w:r>
      <w:r w:rsidRPr="004005E7">
        <w:t xml:space="preserve"> new requirements on </w:t>
      </w:r>
      <w:r w:rsidR="009C66BB" w:rsidRPr="004005E7">
        <w:t xml:space="preserve">PHNs and </w:t>
      </w:r>
      <w:r w:rsidRPr="004005E7">
        <w:t>providers</w:t>
      </w:r>
      <w:r w:rsidR="00D46FB6" w:rsidRPr="004005E7">
        <w:t>,</w:t>
      </w:r>
      <w:r w:rsidR="009C66BB" w:rsidRPr="004005E7">
        <w:t xml:space="preserve"> </w:t>
      </w:r>
      <w:r w:rsidR="005C4FB0" w:rsidRPr="004005E7">
        <w:t>who may not have worked in this way before</w:t>
      </w:r>
      <w:r w:rsidRPr="004005E7">
        <w:t>. PHNs should therefore invest in market relationships, considering questions such as:</w:t>
      </w:r>
    </w:p>
    <w:p w14:paraId="3BAD0362" w14:textId="60B96725" w:rsidR="00AE6C40" w:rsidRPr="004005E7" w:rsidRDefault="00D415FA" w:rsidP="00CC2A64">
      <w:pPr>
        <w:pStyle w:val="ListBullet"/>
      </w:pPr>
      <w:r w:rsidRPr="004005E7">
        <w:t xml:space="preserve">What </w:t>
      </w:r>
      <w:r w:rsidR="00AE6C40" w:rsidRPr="004005E7">
        <w:t>are the key issues of providers and what concerns do they have?</w:t>
      </w:r>
    </w:p>
    <w:p w14:paraId="5B88F77C" w14:textId="38F93F60" w:rsidR="00D415FA" w:rsidRPr="004005E7" w:rsidRDefault="00AE6C40" w:rsidP="00CC2A64">
      <w:pPr>
        <w:pStyle w:val="ListBullet"/>
      </w:pPr>
      <w:r w:rsidRPr="004005E7">
        <w:t>How would they describe their experience of working with PHNs? Would it be positive or is there room for improvement?</w:t>
      </w:r>
    </w:p>
    <w:p w14:paraId="38F7A3C9" w14:textId="01A56B7B" w:rsidR="00D415FA" w:rsidRPr="004005E7" w:rsidRDefault="00AE6C40" w:rsidP="00CC2A64">
      <w:pPr>
        <w:pStyle w:val="ListBullet"/>
      </w:pPr>
      <w:r w:rsidRPr="004005E7">
        <w:t xml:space="preserve">Are there opportunities for </w:t>
      </w:r>
      <w:r w:rsidR="00D415FA" w:rsidRPr="004005E7">
        <w:t>PHN</w:t>
      </w:r>
      <w:r w:rsidRPr="004005E7">
        <w:t xml:space="preserve">s to change the </w:t>
      </w:r>
      <w:r w:rsidR="00D415FA" w:rsidRPr="004005E7">
        <w:t>perspectives of providers?</w:t>
      </w:r>
    </w:p>
    <w:p w14:paraId="0F532991" w14:textId="5997725A" w:rsidR="00AE6C40" w:rsidRPr="004005E7" w:rsidRDefault="00AE6C40" w:rsidP="00CC2A64">
      <w:pPr>
        <w:pStyle w:val="ListBullet"/>
      </w:pPr>
      <w:r w:rsidRPr="004005E7">
        <w:t xml:space="preserve">How can </w:t>
      </w:r>
      <w:r w:rsidR="005D7655">
        <w:t xml:space="preserve">PHNs </w:t>
      </w:r>
      <w:r w:rsidRPr="004005E7">
        <w:t xml:space="preserve">build a shared </w:t>
      </w:r>
      <w:r w:rsidR="00D415FA" w:rsidRPr="004005E7">
        <w:t xml:space="preserve">understanding of </w:t>
      </w:r>
      <w:r w:rsidR="005D7655">
        <w:t>their</w:t>
      </w:r>
      <w:r w:rsidR="005D7655" w:rsidRPr="004005E7">
        <w:t xml:space="preserve"> </w:t>
      </w:r>
      <w:r w:rsidRPr="004005E7">
        <w:t>purpose and aims that creates mutual priorities?</w:t>
      </w:r>
    </w:p>
    <w:p w14:paraId="4D7AB9DD" w14:textId="2543D07A" w:rsidR="00D415FA" w:rsidRPr="004005E7" w:rsidRDefault="00AE6C40" w:rsidP="00CC2A64">
      <w:pPr>
        <w:pStyle w:val="ListBullet"/>
      </w:pPr>
      <w:r w:rsidRPr="004005E7">
        <w:t>Where might f</w:t>
      </w:r>
      <w:r w:rsidR="00D415FA" w:rsidRPr="004005E7">
        <w:t xml:space="preserve">lexibility </w:t>
      </w:r>
      <w:r w:rsidRPr="004005E7">
        <w:t xml:space="preserve">exist </w:t>
      </w:r>
      <w:r w:rsidR="00D415FA" w:rsidRPr="004005E7">
        <w:t xml:space="preserve">to </w:t>
      </w:r>
      <w:r w:rsidRPr="004005E7">
        <w:t>support innovation?</w:t>
      </w:r>
    </w:p>
    <w:p w14:paraId="78393A4F" w14:textId="0C35FAD5" w:rsidR="00AE6C40" w:rsidRPr="004005E7" w:rsidRDefault="00AE6C40" w:rsidP="00CC2A64">
      <w:pPr>
        <w:pStyle w:val="ListBullet"/>
      </w:pPr>
      <w:r w:rsidRPr="004005E7">
        <w:t xml:space="preserve">Where are there immediate opportunities to work </w:t>
      </w:r>
      <w:r w:rsidR="00D46FB6" w:rsidRPr="004005E7">
        <w:t xml:space="preserve">more </w:t>
      </w:r>
      <w:r w:rsidRPr="004005E7">
        <w:t>close</w:t>
      </w:r>
      <w:r w:rsidR="00D46FB6" w:rsidRPr="004005E7">
        <w:t>ly</w:t>
      </w:r>
      <w:r w:rsidRPr="004005E7">
        <w:t xml:space="preserve"> together</w:t>
      </w:r>
      <w:r w:rsidR="009C66BB" w:rsidRPr="004005E7">
        <w:t>?</w:t>
      </w:r>
    </w:p>
    <w:p w14:paraId="30F16147" w14:textId="135AF81A" w:rsidR="002956B4" w:rsidRPr="004005E7" w:rsidRDefault="00AE6C40" w:rsidP="00CC2A64">
      <w:pPr>
        <w:pStyle w:val="Paragraphtext"/>
      </w:pPr>
      <w:r w:rsidRPr="004005E7">
        <w:t xml:space="preserve">Doing this is a useful exercise considering that </w:t>
      </w:r>
      <w:r w:rsidR="002A27F8" w:rsidRPr="004005E7">
        <w:t xml:space="preserve">PHNs as commissioners are not simply buyers of services and solutions. They </w:t>
      </w:r>
      <w:r w:rsidR="009C66BB" w:rsidRPr="004005E7">
        <w:t>compete</w:t>
      </w:r>
      <w:r w:rsidR="002A27F8" w:rsidRPr="004005E7">
        <w:t xml:space="preserve"> </w:t>
      </w:r>
      <w:r w:rsidR="009C66BB" w:rsidRPr="004005E7">
        <w:t xml:space="preserve">with </w:t>
      </w:r>
      <w:r w:rsidR="002A27F8" w:rsidRPr="004005E7">
        <w:t xml:space="preserve">other commissioners (PHNs and others) </w:t>
      </w:r>
      <w:r w:rsidR="009C66BB" w:rsidRPr="004005E7">
        <w:t xml:space="preserve">who are also </w:t>
      </w:r>
      <w:r w:rsidR="002A27F8" w:rsidRPr="004005E7">
        <w:t xml:space="preserve">seeking </w:t>
      </w:r>
      <w:r w:rsidR="009C66BB" w:rsidRPr="004005E7">
        <w:t xml:space="preserve">services </w:t>
      </w:r>
      <w:r w:rsidR="002A27F8" w:rsidRPr="004005E7">
        <w:t xml:space="preserve">from the </w:t>
      </w:r>
      <w:r w:rsidR="00D46FB6" w:rsidRPr="004005E7">
        <w:t>market</w:t>
      </w:r>
      <w:r w:rsidRPr="004005E7">
        <w:t xml:space="preserve">. In many </w:t>
      </w:r>
      <w:r w:rsidR="00D46FB6" w:rsidRPr="004005E7">
        <w:t xml:space="preserve">respects, </w:t>
      </w:r>
      <w:r w:rsidRPr="004005E7">
        <w:t>PHNs need to be considered ‘attractive’ to work with as otherwise providers may cho</w:t>
      </w:r>
      <w:r w:rsidR="00D46FB6" w:rsidRPr="004005E7">
        <w:t>o</w:t>
      </w:r>
      <w:r w:rsidRPr="004005E7">
        <w:t xml:space="preserve">se to invest their </w:t>
      </w:r>
      <w:r w:rsidR="009C66BB" w:rsidRPr="004005E7">
        <w:t xml:space="preserve">time and </w:t>
      </w:r>
      <w:r w:rsidR="003A335F">
        <w:t>resources elsewhere.</w:t>
      </w:r>
    </w:p>
    <w:p w14:paraId="0382FB10" w14:textId="5959CBF3" w:rsidR="00D24D9C" w:rsidRPr="004005E7" w:rsidRDefault="00AE6C40" w:rsidP="00D24D9C">
      <w:pPr>
        <w:pStyle w:val="Heading2"/>
      </w:pPr>
      <w:bookmarkStart w:id="42" w:name="_Toc515529514"/>
      <w:r w:rsidRPr="004005E7">
        <w:t>Continuous market engagement</w:t>
      </w:r>
      <w:bookmarkEnd w:id="42"/>
    </w:p>
    <w:p w14:paraId="44227E73" w14:textId="3220EB13" w:rsidR="00CE78D9" w:rsidRDefault="00AE6C40" w:rsidP="00CC2A64">
      <w:pPr>
        <w:pStyle w:val="Paragraphtext"/>
      </w:pPr>
      <w:r w:rsidRPr="004005E7">
        <w:t xml:space="preserve">As part of evolving their relationships with providers, PHNs should </w:t>
      </w:r>
      <w:r w:rsidR="00CE78D9" w:rsidRPr="004005E7">
        <w:t xml:space="preserve">engage </w:t>
      </w:r>
      <w:r w:rsidRPr="004005E7">
        <w:t xml:space="preserve">with </w:t>
      </w:r>
      <w:r w:rsidR="002E7C32" w:rsidRPr="004005E7">
        <w:t>them</w:t>
      </w:r>
      <w:r w:rsidR="00CE78D9" w:rsidRPr="004005E7">
        <w:t xml:space="preserve"> throughout the commissioning cycle. </w:t>
      </w:r>
      <w:r w:rsidR="00CE23F7" w:rsidRPr="004005E7">
        <w:t xml:space="preserve">In addition, PHNs should </w:t>
      </w:r>
      <w:r w:rsidR="002E7C32" w:rsidRPr="004005E7">
        <w:t xml:space="preserve">seek to </w:t>
      </w:r>
      <w:r w:rsidR="00CE23F7" w:rsidRPr="004005E7">
        <w:t xml:space="preserve">adhere to </w:t>
      </w:r>
      <w:r w:rsidR="002E7C32" w:rsidRPr="004005E7">
        <w:t xml:space="preserve">the principles of co-design </w:t>
      </w:r>
      <w:r w:rsidR="00CE23F7" w:rsidRPr="004005E7">
        <w:t>throughout the cycle</w:t>
      </w:r>
      <w:r w:rsidR="002E7C32" w:rsidRPr="004005E7">
        <w:t>, where appropriate</w:t>
      </w:r>
      <w:r w:rsidR="00CE23F7" w:rsidRPr="004005E7">
        <w:t>. Further details of co-design approaches were set out in the</w:t>
      </w:r>
      <w:r w:rsidR="00F91C3B" w:rsidRPr="004005E7">
        <w:t xml:space="preserve"> 2016</w:t>
      </w:r>
      <w:r w:rsidR="00CE23F7" w:rsidRPr="004005E7">
        <w:t xml:space="preserve"> </w:t>
      </w:r>
      <w:r w:rsidR="00CE23F7" w:rsidRPr="004005E7">
        <w:rPr>
          <w:i/>
        </w:rPr>
        <w:t>Designing and Contracting Services</w:t>
      </w:r>
      <w:r w:rsidR="00CE23F7" w:rsidRPr="004005E7">
        <w:t xml:space="preserve"> </w:t>
      </w:r>
      <w:r w:rsidR="00CE23F7" w:rsidRPr="004005E7">
        <w:rPr>
          <w:i/>
        </w:rPr>
        <w:t>Guidance</w:t>
      </w:r>
      <w:r w:rsidR="00CE23F7" w:rsidRPr="003D5106">
        <w:rPr>
          <w:rStyle w:val="FootnoteReference"/>
        </w:rPr>
        <w:footnoteReference w:id="11"/>
      </w:r>
      <w:r w:rsidR="00CE23F7" w:rsidRPr="004005E7">
        <w:t xml:space="preserve"> and related training.</w:t>
      </w:r>
      <w:r w:rsidR="008B77AA" w:rsidRPr="004005E7">
        <w:t xml:space="preserve"> </w:t>
      </w:r>
      <w:r w:rsidR="00D40328" w:rsidRPr="004005E7">
        <w:t xml:space="preserve">Further guidance on engagement with providers is contained within Tool 6 of the Market Making and Development Toolkit. </w:t>
      </w:r>
      <w:r w:rsidR="008B77AA" w:rsidRPr="004005E7">
        <w:t>Key aspects of how co-design can support each stage of the commissioning process are set out below:</w:t>
      </w:r>
    </w:p>
    <w:p w14:paraId="29EEB271" w14:textId="334C659B" w:rsidR="008B77AA" w:rsidRPr="00CF2ABE" w:rsidRDefault="00CF2ABE" w:rsidP="008B77AA">
      <w:pPr>
        <w:pStyle w:val="Caption"/>
      </w:pPr>
      <w:bookmarkStart w:id="43" w:name="_Toc515525852"/>
      <w:r>
        <w:t xml:space="preserve">Table </w:t>
      </w:r>
      <w:r w:rsidR="00541D06">
        <w:fldChar w:fldCharType="begin"/>
      </w:r>
      <w:r w:rsidR="00541D06">
        <w:instrText xml:space="preserve"> SEQ Table \* ARABIC </w:instrText>
      </w:r>
      <w:r w:rsidR="00541D06">
        <w:fldChar w:fldCharType="separate"/>
      </w:r>
      <w:r w:rsidR="00B077F0">
        <w:rPr>
          <w:noProof/>
        </w:rPr>
        <w:t>2</w:t>
      </w:r>
      <w:r w:rsidR="00541D06">
        <w:rPr>
          <w:noProof/>
        </w:rPr>
        <w:fldChar w:fldCharType="end"/>
      </w:r>
      <w:r w:rsidR="00345B51">
        <w:rPr>
          <w:noProof/>
        </w:rPr>
        <w:t>:</w:t>
      </w:r>
      <w:r>
        <w:t xml:space="preserve"> Co-design opportunities within the commissioning framework</w:t>
      </w:r>
      <w:bookmarkEnd w:id="43"/>
    </w:p>
    <w:tbl>
      <w:tblPr>
        <w:tblStyle w:val="PHNBlueTable"/>
        <w:tblW w:w="4900" w:type="pct"/>
        <w:tblLook w:val="04A0" w:firstRow="1" w:lastRow="0" w:firstColumn="1" w:lastColumn="0" w:noHBand="0" w:noVBand="1"/>
        <w:tblCaption w:val="Co-design opportunities within the commissioning framework"/>
        <w:tblDescription w:val="This table has two columns and five rows. The first column lists four stages within the commissioning cycle. The second column identifies engagement opportunities for co-design.   "/>
      </w:tblPr>
      <w:tblGrid>
        <w:gridCol w:w="2485"/>
        <w:gridCol w:w="6616"/>
      </w:tblGrid>
      <w:tr w:rsidR="00F53A81" w:rsidRPr="0023645F" w14:paraId="6458F059" w14:textId="77777777" w:rsidTr="007A242F">
        <w:trPr>
          <w:cnfStyle w:val="100000000000" w:firstRow="1" w:lastRow="0" w:firstColumn="0" w:lastColumn="0" w:oddVBand="0" w:evenVBand="0" w:oddHBand="0" w:evenHBand="0" w:firstRowFirstColumn="0" w:firstRowLastColumn="0" w:lastRowFirstColumn="0" w:lastRowLastColumn="0"/>
        </w:trPr>
        <w:tc>
          <w:tcPr>
            <w:tcW w:w="2276" w:type="dxa"/>
            <w:shd w:val="clear" w:color="auto" w:fill="8D188D"/>
          </w:tcPr>
          <w:p w14:paraId="799D979E" w14:textId="3E1D780B" w:rsidR="00F53A81" w:rsidRPr="0023645F" w:rsidRDefault="00F53A81" w:rsidP="0023645F">
            <w:pPr>
              <w:pStyle w:val="TableHeaderWhite"/>
            </w:pPr>
            <w:r w:rsidRPr="0023645F">
              <w:t>Commissioning stage</w:t>
            </w:r>
          </w:p>
        </w:tc>
        <w:tc>
          <w:tcPr>
            <w:tcW w:w="6060" w:type="dxa"/>
            <w:shd w:val="clear" w:color="auto" w:fill="8D188D"/>
          </w:tcPr>
          <w:p w14:paraId="2DCE7485" w14:textId="1ECA33E8" w:rsidR="00F53A81" w:rsidRPr="0023645F" w:rsidRDefault="00F53A81" w:rsidP="0023645F">
            <w:pPr>
              <w:pStyle w:val="TableHeaderWhite"/>
            </w:pPr>
            <w:r w:rsidRPr="0023645F">
              <w:t>Engagement opportunity</w:t>
            </w:r>
          </w:p>
        </w:tc>
      </w:tr>
      <w:tr w:rsidR="00F53A81" w:rsidRPr="00B650C0" w14:paraId="7004C40D" w14:textId="77777777" w:rsidTr="0023645F">
        <w:tc>
          <w:tcPr>
            <w:tcW w:w="2276" w:type="dxa"/>
          </w:tcPr>
          <w:p w14:paraId="0212A3BE" w14:textId="0A6AAC61" w:rsidR="00F53A81" w:rsidRPr="008A7198" w:rsidRDefault="00F53A81" w:rsidP="00DB6D7F">
            <w:pPr>
              <w:pStyle w:val="Tabletextnormal"/>
            </w:pPr>
            <w:r w:rsidRPr="008A7198">
              <w:t>Needs assessment</w:t>
            </w:r>
          </w:p>
        </w:tc>
        <w:tc>
          <w:tcPr>
            <w:tcW w:w="6060" w:type="dxa"/>
          </w:tcPr>
          <w:p w14:paraId="12CA97D4" w14:textId="74CE579D" w:rsidR="00F53A81" w:rsidRPr="008A7198" w:rsidRDefault="00444122" w:rsidP="00CC2A64">
            <w:pPr>
              <w:pStyle w:val="Tablelistbullet"/>
            </w:pPr>
            <w:r w:rsidRPr="008A7198">
              <w:t xml:space="preserve">Bringing providers and potential providers together </w:t>
            </w:r>
            <w:r w:rsidR="00F53A81" w:rsidRPr="008A7198">
              <w:t>at the start of the process to share thinking and obtain insights</w:t>
            </w:r>
            <w:r w:rsidR="00807329" w:rsidRPr="008A7198">
              <w:t xml:space="preserve">. </w:t>
            </w:r>
            <w:r w:rsidRPr="008A7198">
              <w:t>Encourage p</w:t>
            </w:r>
            <w:r w:rsidR="009C66BB" w:rsidRPr="008A7198">
              <w:t>roviders</w:t>
            </w:r>
            <w:r w:rsidR="00807329" w:rsidRPr="008A7198">
              <w:t xml:space="preserve"> </w:t>
            </w:r>
            <w:r w:rsidR="00F53A81" w:rsidRPr="008A7198">
              <w:t xml:space="preserve">to share </w:t>
            </w:r>
            <w:r w:rsidR="00807329" w:rsidRPr="008A7198">
              <w:t xml:space="preserve">views and data </w:t>
            </w:r>
            <w:r w:rsidR="00F53A81" w:rsidRPr="008A7198">
              <w:t xml:space="preserve">on what they see as key </w:t>
            </w:r>
            <w:r w:rsidRPr="008A7198">
              <w:t xml:space="preserve">needs and </w:t>
            </w:r>
            <w:r w:rsidR="00807329" w:rsidRPr="008A7198">
              <w:t>ou</w:t>
            </w:r>
            <w:r w:rsidR="0053276F" w:rsidRPr="008A7198">
              <w:t>tcomes</w:t>
            </w:r>
            <w:r w:rsidR="00345B51" w:rsidRPr="008A7198">
              <w:t>.</w:t>
            </w:r>
          </w:p>
          <w:p w14:paraId="431D4F32" w14:textId="393448E2" w:rsidR="00444122" w:rsidRPr="008A7198" w:rsidRDefault="00444122" w:rsidP="00CC2A64">
            <w:pPr>
              <w:pStyle w:val="Tablelistbullet"/>
            </w:pPr>
            <w:r w:rsidRPr="008A7198">
              <w:t>Building o</w:t>
            </w:r>
            <w:r w:rsidR="00535088" w:rsidRPr="008A7198">
              <w:t>n the market assessment process</w:t>
            </w:r>
            <w:r w:rsidR="00345B51" w:rsidRPr="008A7198">
              <w:t>.</w:t>
            </w:r>
            <w:r w:rsidR="005D7655">
              <w:br/>
            </w:r>
          </w:p>
          <w:p w14:paraId="0E91D51A" w14:textId="4E414C3C" w:rsidR="00F53A81" w:rsidRPr="008A7198" w:rsidRDefault="00807329" w:rsidP="00CC2A64">
            <w:pPr>
              <w:pStyle w:val="Tablelistbullet"/>
            </w:pPr>
            <w:r w:rsidRPr="008A7198">
              <w:lastRenderedPageBreak/>
              <w:t>Request</w:t>
            </w:r>
            <w:r w:rsidR="00444122" w:rsidRPr="008A7198">
              <w:t>ing</w:t>
            </w:r>
            <w:r w:rsidRPr="008A7198">
              <w:t xml:space="preserve"> </w:t>
            </w:r>
            <w:r w:rsidR="00444122" w:rsidRPr="008A7198">
              <w:t xml:space="preserve">provider </w:t>
            </w:r>
            <w:r w:rsidRPr="008A7198">
              <w:t xml:space="preserve">input </w:t>
            </w:r>
            <w:r w:rsidR="009C66BB" w:rsidRPr="008A7198">
              <w:t xml:space="preserve">and thoughts </w:t>
            </w:r>
            <w:r w:rsidRPr="008A7198">
              <w:t xml:space="preserve">around gaps </w:t>
            </w:r>
            <w:r w:rsidR="00444122" w:rsidRPr="008A7198">
              <w:t xml:space="preserve">in service provision </w:t>
            </w:r>
            <w:r w:rsidRPr="008A7198">
              <w:t>and opportuni</w:t>
            </w:r>
            <w:r w:rsidR="0053276F" w:rsidRPr="008A7198">
              <w:t>ties to improve market dynamics</w:t>
            </w:r>
            <w:r w:rsidR="00345B51" w:rsidRPr="008A7198">
              <w:t>.</w:t>
            </w:r>
          </w:p>
          <w:p w14:paraId="769C4920" w14:textId="60FC73B4" w:rsidR="00F53A81" w:rsidRPr="008A7198" w:rsidRDefault="00F53A81" w:rsidP="00CC2A64">
            <w:pPr>
              <w:pStyle w:val="Tablelistbullet"/>
            </w:pPr>
            <w:r w:rsidRPr="008A7198">
              <w:t>Sharing</w:t>
            </w:r>
            <w:r w:rsidR="00807329" w:rsidRPr="008A7198">
              <w:t xml:space="preserve"> </w:t>
            </w:r>
            <w:r w:rsidRPr="008A7198">
              <w:t xml:space="preserve">draft needs assessment results </w:t>
            </w:r>
            <w:r w:rsidR="00807329" w:rsidRPr="008A7198">
              <w:t xml:space="preserve">with providers </w:t>
            </w:r>
            <w:r w:rsidRPr="008A7198">
              <w:t xml:space="preserve">and </w:t>
            </w:r>
            <w:r w:rsidR="00807329" w:rsidRPr="008A7198">
              <w:t>request</w:t>
            </w:r>
            <w:r w:rsidR="00444122" w:rsidRPr="008A7198">
              <w:t>ing</w:t>
            </w:r>
            <w:r w:rsidR="00807329" w:rsidRPr="008A7198">
              <w:t xml:space="preserve"> </w:t>
            </w:r>
            <w:r w:rsidR="0053276F" w:rsidRPr="008A7198">
              <w:t>feedback</w:t>
            </w:r>
            <w:r w:rsidR="00345B51">
              <w:t>.</w:t>
            </w:r>
          </w:p>
          <w:p w14:paraId="2E90471C" w14:textId="4FEF9D73" w:rsidR="00D45C23" w:rsidRPr="008A7198" w:rsidRDefault="00D45C23" w:rsidP="00CC2A64">
            <w:pPr>
              <w:pStyle w:val="Tablelistbullet"/>
            </w:pPr>
            <w:r w:rsidRPr="008A7198">
              <w:t>Ensure</w:t>
            </w:r>
            <w:r w:rsidR="00B50217" w:rsidRPr="008A7198">
              <w:t xml:space="preserve"> the PHN has an awareness of the broader motivations of providers </w:t>
            </w:r>
            <w:r w:rsidR="00404F96" w:rsidRPr="008A7198">
              <w:t xml:space="preserve">and </w:t>
            </w:r>
            <w:r w:rsidR="00B50217" w:rsidRPr="008A7198">
              <w:t>the potential risks that this may lead to</w:t>
            </w:r>
            <w:r w:rsidR="00345B51">
              <w:t>.</w:t>
            </w:r>
          </w:p>
        </w:tc>
      </w:tr>
      <w:tr w:rsidR="00F53A81" w:rsidRPr="00B650C0" w14:paraId="49F3451B" w14:textId="77777777" w:rsidTr="0023645F">
        <w:tc>
          <w:tcPr>
            <w:tcW w:w="2276" w:type="dxa"/>
          </w:tcPr>
          <w:p w14:paraId="60BCA58A" w14:textId="4FC50CE4" w:rsidR="00F53A81" w:rsidRPr="008A7198" w:rsidRDefault="00F53A81" w:rsidP="00DB6D7F">
            <w:pPr>
              <w:pStyle w:val="Tabletextnormal"/>
            </w:pPr>
            <w:r w:rsidRPr="008A7198">
              <w:lastRenderedPageBreak/>
              <w:t>Annual planning</w:t>
            </w:r>
          </w:p>
        </w:tc>
        <w:tc>
          <w:tcPr>
            <w:tcW w:w="6060" w:type="dxa"/>
          </w:tcPr>
          <w:p w14:paraId="24C2F72B" w14:textId="7D270D2B" w:rsidR="00F53A81" w:rsidRPr="008A7198" w:rsidRDefault="005D7655" w:rsidP="00CC2A64">
            <w:pPr>
              <w:pStyle w:val="Tablelistbullet"/>
            </w:pPr>
            <w:r>
              <w:t>S</w:t>
            </w:r>
            <w:r w:rsidR="00F53A81" w:rsidRPr="008A7198">
              <w:t xml:space="preserve">eek to use </w:t>
            </w:r>
            <w:r>
              <w:t xml:space="preserve">PHN </w:t>
            </w:r>
            <w:r w:rsidR="00F53A81" w:rsidRPr="008A7198">
              <w:t xml:space="preserve">knowledge of </w:t>
            </w:r>
            <w:r w:rsidR="00807329" w:rsidRPr="008A7198">
              <w:t>issues, the</w:t>
            </w:r>
            <w:r w:rsidR="00F53A81" w:rsidRPr="008A7198">
              <w:t xml:space="preserve"> provider market and solutions elsewhere to inform thinking about where focus and priorities should be</w:t>
            </w:r>
            <w:r w:rsidR="00807329" w:rsidRPr="008A7198">
              <w:t>. These should be shared with providers using interactive sessions and workshops that capture provider perspectives. This has the benefit of pot</w:t>
            </w:r>
            <w:r w:rsidR="00FA5D2F" w:rsidRPr="008A7198">
              <w:t>entially</w:t>
            </w:r>
            <w:r w:rsidR="00BD1381" w:rsidRPr="008A7198">
              <w:t xml:space="preserve"> </w:t>
            </w:r>
            <w:r w:rsidR="00FA5D2F" w:rsidRPr="008A7198">
              <w:t xml:space="preserve">stimulating the market prior </w:t>
            </w:r>
            <w:r w:rsidR="0053276F" w:rsidRPr="008A7198">
              <w:t>to formal procurement processes</w:t>
            </w:r>
            <w:r w:rsidR="00345B51">
              <w:t>.</w:t>
            </w:r>
          </w:p>
          <w:p w14:paraId="402797B1" w14:textId="5E31243A" w:rsidR="00F53A81" w:rsidRPr="008A7198" w:rsidRDefault="005D7655" w:rsidP="00CC2A64">
            <w:pPr>
              <w:pStyle w:val="Tablelistbullet"/>
            </w:pPr>
            <w:r>
              <w:t>C</w:t>
            </w:r>
            <w:r w:rsidR="00F53A81" w:rsidRPr="008A7198">
              <w:t xml:space="preserve">ould conduct a briefing session </w:t>
            </w:r>
            <w:r w:rsidR="00807329" w:rsidRPr="008A7198">
              <w:t>to share finalised plans</w:t>
            </w:r>
            <w:r w:rsidR="00F53A81" w:rsidRPr="008A7198">
              <w:t xml:space="preserve"> to allow providers to begin to think about </w:t>
            </w:r>
            <w:r w:rsidR="00535088" w:rsidRPr="008A7198">
              <w:t>how they can support PHNs</w:t>
            </w:r>
            <w:r w:rsidR="00345B51">
              <w:t>.</w:t>
            </w:r>
          </w:p>
        </w:tc>
      </w:tr>
      <w:tr w:rsidR="00F53A81" w:rsidRPr="00B650C0" w14:paraId="4D06CF96" w14:textId="77777777" w:rsidTr="0023645F">
        <w:tc>
          <w:tcPr>
            <w:tcW w:w="2276" w:type="dxa"/>
          </w:tcPr>
          <w:p w14:paraId="20834B88" w14:textId="2A195C74" w:rsidR="00F53A81" w:rsidRPr="008A7198" w:rsidRDefault="00F53A81" w:rsidP="00DB6D7F">
            <w:pPr>
              <w:pStyle w:val="Tabletextnormal"/>
            </w:pPr>
            <w:r w:rsidRPr="008A7198">
              <w:t>Designing and contracting services</w:t>
            </w:r>
          </w:p>
        </w:tc>
        <w:tc>
          <w:tcPr>
            <w:tcW w:w="6060" w:type="dxa"/>
          </w:tcPr>
          <w:p w14:paraId="1B7E5FFD" w14:textId="06CBCF7A" w:rsidR="00807329" w:rsidRPr="008A7198" w:rsidRDefault="00807329" w:rsidP="00CC2A64">
            <w:pPr>
              <w:pStyle w:val="Tablelistbullet"/>
            </w:pPr>
            <w:r w:rsidRPr="008A7198">
              <w:t xml:space="preserve">Continual process of co-design </w:t>
            </w:r>
            <w:r w:rsidR="00FA5D2F" w:rsidRPr="008A7198">
              <w:t xml:space="preserve">including providers </w:t>
            </w:r>
            <w:r w:rsidRPr="008A7198">
              <w:t>to test and ref</w:t>
            </w:r>
            <w:r w:rsidR="0053276F" w:rsidRPr="008A7198">
              <w:t>ine throughout the design stage</w:t>
            </w:r>
            <w:r w:rsidR="00345B51">
              <w:t>.</w:t>
            </w:r>
          </w:p>
          <w:p w14:paraId="7B435C94" w14:textId="53E322BB" w:rsidR="00F53A81" w:rsidRPr="008A7198" w:rsidRDefault="00807329" w:rsidP="00CC2A64">
            <w:pPr>
              <w:pStyle w:val="Tablelistbullet"/>
            </w:pPr>
            <w:r w:rsidRPr="008A7198">
              <w:t>Market soundings to gain more specific input</w:t>
            </w:r>
            <w:r w:rsidR="00FA5D2F" w:rsidRPr="008A7198">
              <w:t xml:space="preserve"> particularly in relation to tailoring and creating the </w:t>
            </w:r>
            <w:r w:rsidR="0053276F" w:rsidRPr="008A7198">
              <w:t>procurement process</w:t>
            </w:r>
            <w:r w:rsidR="00345B51">
              <w:t>.</w:t>
            </w:r>
          </w:p>
          <w:p w14:paraId="10F7704D" w14:textId="4BB84E9A" w:rsidR="00D85A17" w:rsidRPr="008A7198" w:rsidRDefault="00D85A17" w:rsidP="00CC2A64">
            <w:pPr>
              <w:pStyle w:val="Tablelistbullet"/>
            </w:pPr>
            <w:r w:rsidRPr="008A7198">
              <w:t>Industry briefings to stimulate the market and ensure a consistent</w:t>
            </w:r>
            <w:r w:rsidR="0053276F" w:rsidRPr="008A7198">
              <w:t xml:space="preserve"> understanding of opportunities</w:t>
            </w:r>
            <w:r w:rsidR="00345B51">
              <w:t>.</w:t>
            </w:r>
          </w:p>
          <w:p w14:paraId="67F56A95" w14:textId="78AC4EA5" w:rsidR="00F53A81" w:rsidRPr="008A7198" w:rsidRDefault="00D85A17" w:rsidP="00CC2A64">
            <w:pPr>
              <w:pStyle w:val="Tablelistbullet"/>
            </w:pPr>
            <w:r w:rsidRPr="008A7198">
              <w:t>Various formal procurement interactions as governed by the procurement p</w:t>
            </w:r>
            <w:r w:rsidR="0053276F" w:rsidRPr="008A7198">
              <w:t>rocess and probity arrangements</w:t>
            </w:r>
            <w:r w:rsidR="00345B51">
              <w:t>.</w:t>
            </w:r>
          </w:p>
        </w:tc>
      </w:tr>
      <w:tr w:rsidR="00F53A81" w:rsidRPr="00B650C0" w14:paraId="59156D23" w14:textId="77777777" w:rsidTr="0023645F">
        <w:tc>
          <w:tcPr>
            <w:tcW w:w="2276" w:type="dxa"/>
          </w:tcPr>
          <w:p w14:paraId="1D51A680" w14:textId="7F9BFCA8" w:rsidR="00F53A81" w:rsidRPr="008A7198" w:rsidRDefault="00F53A81" w:rsidP="00DB6D7F">
            <w:pPr>
              <w:pStyle w:val="Tabletextnormal"/>
            </w:pPr>
            <w:r w:rsidRPr="008A7198">
              <w:t>Monitoring and evaluation</w:t>
            </w:r>
          </w:p>
        </w:tc>
        <w:tc>
          <w:tcPr>
            <w:tcW w:w="6060" w:type="dxa"/>
          </w:tcPr>
          <w:p w14:paraId="47970FDF" w14:textId="055214F1" w:rsidR="00F53A81" w:rsidRPr="008A7198" w:rsidRDefault="00D85A17" w:rsidP="00CC2A64">
            <w:pPr>
              <w:pStyle w:val="Tablelistbullet"/>
            </w:pPr>
            <w:r w:rsidRPr="008A7198">
              <w:t>Various contact points with providers to capture relevant information and ins</w:t>
            </w:r>
            <w:r w:rsidR="0053276F" w:rsidRPr="008A7198">
              <w:t>ights with regards to progress</w:t>
            </w:r>
            <w:r w:rsidR="00345B51">
              <w:t>.</w:t>
            </w:r>
          </w:p>
          <w:p w14:paraId="606D384B" w14:textId="7A384DEB" w:rsidR="00D85A17" w:rsidRPr="008A7198" w:rsidRDefault="00D85A17" w:rsidP="00CC2A64">
            <w:pPr>
              <w:pStyle w:val="Tablelistbullet"/>
            </w:pPr>
            <w:r w:rsidRPr="008A7198">
              <w:t xml:space="preserve">PHNs should not be limited to ‘formal’ interactions, and should treat delivery relationships </w:t>
            </w:r>
            <w:r w:rsidR="0053276F" w:rsidRPr="008A7198">
              <w:t>as part of ongoing partnerships</w:t>
            </w:r>
            <w:r w:rsidR="00FD558F" w:rsidRPr="008A7198">
              <w:t>.</w:t>
            </w:r>
          </w:p>
        </w:tc>
      </w:tr>
    </w:tbl>
    <w:p w14:paraId="304D55BB" w14:textId="36EF41FE" w:rsidR="00725EEC" w:rsidRDefault="00F53A81" w:rsidP="00F53A81">
      <w:pPr>
        <w:pStyle w:val="Heading2"/>
      </w:pPr>
      <w:bookmarkStart w:id="44" w:name="_Toc515529515"/>
      <w:r>
        <w:t>Common forms of market engagement</w:t>
      </w:r>
      <w:bookmarkEnd w:id="44"/>
    </w:p>
    <w:p w14:paraId="36325743" w14:textId="5121A676" w:rsidR="00F53A81" w:rsidRDefault="00DA2166" w:rsidP="00CC2A64">
      <w:pPr>
        <w:pStyle w:val="Paragraphtext"/>
      </w:pPr>
      <w:r>
        <w:t>It is likely that PHNs will find that there are a number of market engagement approaches that they use more frequently than others. These are s</w:t>
      </w:r>
      <w:r w:rsidR="003A335F">
        <w:t>et out in the following points.</w:t>
      </w:r>
    </w:p>
    <w:p w14:paraId="0949A9B4" w14:textId="46C7D409" w:rsidR="00725EEC" w:rsidRDefault="00FA5D2F" w:rsidP="00E368D8">
      <w:pPr>
        <w:pStyle w:val="Heading3"/>
      </w:pPr>
      <w:bookmarkStart w:id="45" w:name="_Toc515529516"/>
      <w:r>
        <w:t>M</w:t>
      </w:r>
      <w:r w:rsidR="00725EEC">
        <w:t>arket forums</w:t>
      </w:r>
      <w:bookmarkEnd w:id="45"/>
    </w:p>
    <w:p w14:paraId="11B95DD9" w14:textId="0D1137C2" w:rsidR="00725EEC" w:rsidRDefault="009C4FFB" w:rsidP="00CC2A64">
      <w:pPr>
        <w:pStyle w:val="Paragraphtext"/>
      </w:pPr>
      <w:r>
        <w:t xml:space="preserve">PHNs </w:t>
      </w:r>
      <w:r w:rsidR="00E62EB6">
        <w:t xml:space="preserve">can leverage </w:t>
      </w:r>
      <w:r>
        <w:t xml:space="preserve">market forums where </w:t>
      </w:r>
      <w:r w:rsidR="00E62EB6">
        <w:t xml:space="preserve">providers </w:t>
      </w:r>
      <w:r>
        <w:t xml:space="preserve">can come together and engage with the PHN. </w:t>
      </w:r>
      <w:r w:rsidR="00C65613">
        <w:t>T</w:t>
      </w:r>
      <w:r>
        <w:t xml:space="preserve">hese forums </w:t>
      </w:r>
      <w:r w:rsidR="00C65613">
        <w:t xml:space="preserve">could serve </w:t>
      </w:r>
      <w:r>
        <w:t>as opportunit</w:t>
      </w:r>
      <w:r w:rsidR="00C65613">
        <w:t>ies</w:t>
      </w:r>
      <w:r>
        <w:t xml:space="preserve"> </w:t>
      </w:r>
      <w:r w:rsidR="00C65613">
        <w:t xml:space="preserve">for PHNs </w:t>
      </w:r>
      <w:r>
        <w:t xml:space="preserve">to share their thinking and address general questions from the market. </w:t>
      </w:r>
      <w:r w:rsidR="00E62EB6">
        <w:t xml:space="preserve">The informal nature of such events </w:t>
      </w:r>
      <w:r w:rsidR="00404F96">
        <w:t>is</w:t>
      </w:r>
      <w:r w:rsidR="00E62EB6">
        <w:t xml:space="preserve"> useful in helping to evolve the working relationships with providers. It is worth noting, that it may take time for some providers to be fully comfortable sharing views and insights in this way with PHNs and other providers. </w:t>
      </w:r>
      <w:r w:rsidR="00FD558F">
        <w:t>PHNs may wish to conduct f</w:t>
      </w:r>
      <w:r w:rsidR="00FA5D2F">
        <w:t xml:space="preserve">orums at regular </w:t>
      </w:r>
      <w:r w:rsidR="00FD558F">
        <w:t>intervals</w:t>
      </w:r>
      <w:r w:rsidR="00FA5D2F">
        <w:t>.</w:t>
      </w:r>
    </w:p>
    <w:p w14:paraId="6A000726" w14:textId="0F44885C" w:rsidR="00725EEC" w:rsidRDefault="00725EEC" w:rsidP="00E368D8">
      <w:pPr>
        <w:pStyle w:val="Heading3"/>
      </w:pPr>
      <w:bookmarkStart w:id="46" w:name="_Toc515529517"/>
      <w:r>
        <w:lastRenderedPageBreak/>
        <w:t xml:space="preserve">Industry </w:t>
      </w:r>
      <w:r w:rsidR="00E62EB6">
        <w:t>briefings</w:t>
      </w:r>
      <w:bookmarkEnd w:id="46"/>
    </w:p>
    <w:p w14:paraId="60DCCB9F" w14:textId="1E47BDC8" w:rsidR="00C64AE9" w:rsidRPr="001B0B93" w:rsidRDefault="009C4FFB" w:rsidP="00CC2A64">
      <w:pPr>
        <w:pStyle w:val="Paragraphtext"/>
      </w:pPr>
      <w:r>
        <w:t xml:space="preserve">These </w:t>
      </w:r>
      <w:r w:rsidR="00E62EB6">
        <w:t xml:space="preserve">are typically used as </w:t>
      </w:r>
      <w:r w:rsidR="00FA5D2F">
        <w:t xml:space="preserve">a </w:t>
      </w:r>
      <w:r w:rsidR="00E62EB6">
        <w:t>precursor to a procurement process</w:t>
      </w:r>
      <w:r w:rsidR="00FA5D2F">
        <w:t>, or</w:t>
      </w:r>
      <w:r w:rsidR="00E62EB6">
        <w:t xml:space="preserve"> as part of a launch of a process</w:t>
      </w:r>
      <w:r>
        <w:t xml:space="preserve">. They bring together providers </w:t>
      </w:r>
      <w:r w:rsidR="005D7655">
        <w:t xml:space="preserve">who </w:t>
      </w:r>
      <w:r w:rsidR="00807217">
        <w:t xml:space="preserve">are </w:t>
      </w:r>
      <w:r>
        <w:t>interested in tendering for opportunities with the PHN and allow the PHN to share thinking about what it is seeking to commission</w:t>
      </w:r>
      <w:r w:rsidR="004A6BD5">
        <w:t>,</w:t>
      </w:r>
      <w:r>
        <w:t xml:space="preserve"> and </w:t>
      </w:r>
      <w:r w:rsidR="00E62EB6">
        <w:t>what is required from the market.</w:t>
      </w:r>
      <w:r w:rsidR="009C32CE">
        <w:t xml:space="preserve"> </w:t>
      </w:r>
      <w:r w:rsidR="00E62EB6">
        <w:t xml:space="preserve">Industry briefings are </w:t>
      </w:r>
      <w:r w:rsidR="00FA5D2F">
        <w:t xml:space="preserve">a </w:t>
      </w:r>
      <w:r w:rsidR="00E62EB6">
        <w:t xml:space="preserve">useful method to ensure a consistent understanding of opportunities </w:t>
      </w:r>
      <w:r w:rsidR="004A6BD5">
        <w:t>among</w:t>
      </w:r>
      <w:r w:rsidR="00E62EB6">
        <w:t xml:space="preserve"> provide</w:t>
      </w:r>
      <w:r w:rsidR="00FA5D2F">
        <w:t>r</w:t>
      </w:r>
      <w:r w:rsidR="00E62EB6">
        <w:t>s</w:t>
      </w:r>
      <w:r w:rsidR="004A6BD5">
        <w:t xml:space="preserve">, and that they </w:t>
      </w:r>
      <w:r w:rsidR="00FA5D2F">
        <w:t>are able to clarify their understanding</w:t>
      </w:r>
      <w:r w:rsidR="00E62EB6">
        <w:t xml:space="preserve">. Industry briefings also provide good networking opportunities that can help providers form </w:t>
      </w:r>
      <w:r w:rsidR="004A6BD5">
        <w:t xml:space="preserve">joint working </w:t>
      </w:r>
      <w:r w:rsidR="00E62EB6">
        <w:t>relationships</w:t>
      </w:r>
      <w:r w:rsidR="004A6BD5">
        <w:t xml:space="preserve"> that could support </w:t>
      </w:r>
      <w:r w:rsidR="00FA5D2F">
        <w:t>consortia</w:t>
      </w:r>
      <w:r w:rsidR="004A6BD5">
        <w:t xml:space="preserve"> arrangements as means of developing their capacity</w:t>
      </w:r>
      <w:r w:rsidR="00E62EB6">
        <w:t xml:space="preserve">. </w:t>
      </w:r>
      <w:r w:rsidR="00D40328">
        <w:t xml:space="preserve">Further guidance on planning and delivering and industry briefing is contained within Tool 3 of the </w:t>
      </w:r>
      <w:r w:rsidR="00C42225" w:rsidRPr="008A7198">
        <w:t>2018</w:t>
      </w:r>
      <w:r w:rsidR="00C42225" w:rsidRPr="00C42225">
        <w:rPr>
          <w:i/>
        </w:rPr>
        <w:t xml:space="preserve"> </w:t>
      </w:r>
      <w:r w:rsidR="00D40328" w:rsidRPr="00C42225">
        <w:rPr>
          <w:i/>
        </w:rPr>
        <w:t>Market Making and Development Toolkit</w:t>
      </w:r>
      <w:r w:rsidR="00D40328">
        <w:t>.</w:t>
      </w:r>
    </w:p>
    <w:p w14:paraId="1E1F35D1" w14:textId="62676B3A" w:rsidR="00725EEC" w:rsidRDefault="00F53A81" w:rsidP="00E368D8">
      <w:pPr>
        <w:pStyle w:val="Heading3"/>
      </w:pPr>
      <w:bookmarkStart w:id="47" w:name="_Toc515529518"/>
      <w:r>
        <w:t xml:space="preserve">Market </w:t>
      </w:r>
      <w:r w:rsidR="00725EEC">
        <w:t>soundings</w:t>
      </w:r>
      <w:bookmarkEnd w:id="47"/>
    </w:p>
    <w:p w14:paraId="11BCB5C7" w14:textId="049D9B47" w:rsidR="009C32CE" w:rsidRDefault="00E62EB6" w:rsidP="00CC2A64">
      <w:pPr>
        <w:pStyle w:val="Paragraphtext"/>
      </w:pPr>
      <w:r>
        <w:t xml:space="preserve">Market soundings can provide valuable input that can be used to shape a commissioning process. Usually conducted confidentially and as in-person </w:t>
      </w:r>
      <w:r w:rsidR="00C64AE9">
        <w:t>discussions</w:t>
      </w:r>
      <w:r>
        <w:t xml:space="preserve">, they provide the opportunity for providers to give frank and direct advice to </w:t>
      </w:r>
      <w:r w:rsidR="00C64AE9">
        <w:t xml:space="preserve">PHNs </w:t>
      </w:r>
      <w:r>
        <w:t xml:space="preserve">that should be considered. Market soundings can also be used to encourage market participation in opportunities and address specific market issues. </w:t>
      </w:r>
      <w:r w:rsidR="00D40328">
        <w:t xml:space="preserve">Further guidance on market soundings is contained within Tools 1 and 2 of the </w:t>
      </w:r>
      <w:r w:rsidR="00C42225" w:rsidRPr="008A7198">
        <w:t>2018</w:t>
      </w:r>
      <w:r w:rsidR="00C42225">
        <w:rPr>
          <w:i/>
        </w:rPr>
        <w:t xml:space="preserve"> </w:t>
      </w:r>
      <w:r w:rsidR="00D40328" w:rsidRPr="00C42225">
        <w:rPr>
          <w:i/>
        </w:rPr>
        <w:t>Market Making and Development Toolkit</w:t>
      </w:r>
      <w:r w:rsidR="00D40328">
        <w:t>.</w:t>
      </w:r>
    </w:p>
    <w:p w14:paraId="086FCADC" w14:textId="77777777" w:rsidR="001C3718" w:rsidRDefault="001C3718" w:rsidP="00E368D8">
      <w:pPr>
        <w:pStyle w:val="Heading3"/>
      </w:pPr>
      <w:bookmarkStart w:id="48" w:name="_Toc515529519"/>
      <w:r>
        <w:t>Multi-PHN engagement</w:t>
      </w:r>
      <w:bookmarkEnd w:id="48"/>
    </w:p>
    <w:p w14:paraId="43C60767" w14:textId="6573AC60" w:rsidR="001C3718" w:rsidRDefault="00E62EB6" w:rsidP="00CC2A64">
      <w:pPr>
        <w:pStyle w:val="Paragraphtext"/>
      </w:pPr>
      <w:r>
        <w:t>Some</w:t>
      </w:r>
      <w:r w:rsidR="001C3718">
        <w:t xml:space="preserve"> providers </w:t>
      </w:r>
      <w:r>
        <w:t xml:space="preserve">may </w:t>
      </w:r>
      <w:r w:rsidR="00EE30A7">
        <w:t>work with</w:t>
      </w:r>
      <w:r>
        <w:t xml:space="preserve"> </w:t>
      </w:r>
      <w:r w:rsidR="001C3718">
        <w:t>multiple PHNs</w:t>
      </w:r>
      <w:r>
        <w:t xml:space="preserve"> who have similar </w:t>
      </w:r>
      <w:r w:rsidR="001C3718">
        <w:t xml:space="preserve">requirements. </w:t>
      </w:r>
      <w:r>
        <w:t>Where appropriate</w:t>
      </w:r>
      <w:r w:rsidR="00FA5D2F">
        <w:t>,</w:t>
      </w:r>
      <w:r>
        <w:t xml:space="preserve"> PHNs may wish to work together in their approach </w:t>
      </w:r>
      <w:r w:rsidR="00C64AE9">
        <w:t>to</w:t>
      </w:r>
      <w:r>
        <w:t xml:space="preserve"> engaging </w:t>
      </w:r>
      <w:r w:rsidR="00C64AE9">
        <w:t xml:space="preserve">with </w:t>
      </w:r>
      <w:r>
        <w:t xml:space="preserve">the market. This may support </w:t>
      </w:r>
      <w:r w:rsidR="00C64AE9">
        <w:t xml:space="preserve">joint commissioning </w:t>
      </w:r>
      <w:r>
        <w:t>approaches and also support efficiency in provider engagement activities. Existing occasions of PHNs meeting together may provide opportu</w:t>
      </w:r>
      <w:r w:rsidR="003A335F">
        <w:t>nities for provider engagement.</w:t>
      </w:r>
    </w:p>
    <w:p w14:paraId="56881AE4" w14:textId="41486D09" w:rsidR="00E62EB6" w:rsidRDefault="00E62EB6" w:rsidP="00CC2A64">
      <w:pPr>
        <w:pStyle w:val="Paragraphtext"/>
      </w:pPr>
      <w:r>
        <w:t xml:space="preserve">Equally, PHNs may consider working with other parties in this way, such as </w:t>
      </w:r>
      <w:r w:rsidR="00FA5D2F">
        <w:t>state</w:t>
      </w:r>
      <w:r>
        <w:t xml:space="preserve"> </w:t>
      </w:r>
      <w:r w:rsidR="00FA5D2F">
        <w:t>government agencies</w:t>
      </w:r>
      <w:r w:rsidR="00C64AE9">
        <w:t>, including</w:t>
      </w:r>
      <w:r w:rsidR="00FA5D2F">
        <w:t xml:space="preserve"> LHNs</w:t>
      </w:r>
      <w:r w:rsidR="00C64AE9">
        <w:t xml:space="preserve"> (or their equivalent)</w:t>
      </w:r>
      <w:r w:rsidR="00FA5D2F">
        <w:t>, especially where there are shared broader perspectives</w:t>
      </w:r>
      <w:r w:rsidR="00C64AE9">
        <w:t>.</w:t>
      </w:r>
    </w:p>
    <w:p w14:paraId="4C6CD215" w14:textId="3D4E364A" w:rsidR="00F91C3B" w:rsidRDefault="00F91C3B" w:rsidP="00E368D8">
      <w:pPr>
        <w:pStyle w:val="Heading3"/>
      </w:pPr>
      <w:bookmarkStart w:id="49" w:name="_Toc515529520"/>
      <w:r>
        <w:t>Aboriginal and Torres Strait Islander people and communities</w:t>
      </w:r>
      <w:bookmarkEnd w:id="49"/>
    </w:p>
    <w:p w14:paraId="0B9A326E" w14:textId="128BC1C6" w:rsidR="00F91C3B" w:rsidRPr="00F91C3B" w:rsidRDefault="00F91C3B" w:rsidP="00CC2A64">
      <w:pPr>
        <w:pStyle w:val="Paragraphtext"/>
      </w:pPr>
      <w:r>
        <w:t>For market engagement relating to the needs and outcomes for Aboriginal and Torres Strait Islander people and communities</w:t>
      </w:r>
      <w:r w:rsidR="005F01E9">
        <w:t>,</w:t>
      </w:r>
      <w:r>
        <w:t xml:space="preserve"> specific consideration should be </w:t>
      </w:r>
      <w:r w:rsidR="005F01E9">
        <w:t xml:space="preserve">given </w:t>
      </w:r>
      <w:r>
        <w:t>to how these are designed</w:t>
      </w:r>
      <w:r w:rsidR="005F01E9">
        <w:t xml:space="preserve"> and</w:t>
      </w:r>
      <w:r>
        <w:t xml:space="preserve"> organised</w:t>
      </w:r>
      <w:r w:rsidR="005F01E9">
        <w:t>,</w:t>
      </w:r>
      <w:r>
        <w:t xml:space="preserve"> and how participation occurs.</w:t>
      </w:r>
      <w:r w:rsidR="00DB6D7F">
        <w:t xml:space="preserve"> </w:t>
      </w:r>
      <w:r>
        <w:t xml:space="preserve">Initial discussions with the ACCHS in the PHN region </w:t>
      </w:r>
      <w:r w:rsidR="005F01E9">
        <w:t xml:space="preserve">are important </w:t>
      </w:r>
      <w:r w:rsidR="00E53554">
        <w:t xml:space="preserve">in </w:t>
      </w:r>
      <w:r>
        <w:t>planning, organising and implement</w:t>
      </w:r>
      <w:r w:rsidR="00E53554">
        <w:t>ing</w:t>
      </w:r>
      <w:r>
        <w:t xml:space="preserve"> the market engagement</w:t>
      </w:r>
      <w:r w:rsidR="005F01E9">
        <w:t>,</w:t>
      </w:r>
      <w:r>
        <w:t xml:space="preserve"> to </w:t>
      </w:r>
      <w:r w:rsidR="005F01E9">
        <w:t>ensure that the process readily enables ACCHS to participate in a meaningful, way, and that the process is conducted in a culturally appropriate manner that builds trust.</w:t>
      </w:r>
      <w:r>
        <w:t xml:space="preserve"> Considerations for co-design</w:t>
      </w:r>
      <w:r w:rsidR="005F01E9">
        <w:t xml:space="preserve"> and</w:t>
      </w:r>
      <w:r>
        <w:t xml:space="preserve"> joint working, for example a stee</w:t>
      </w:r>
      <w:r w:rsidR="003A335F">
        <w:t>ring group, may be appropriate.</w:t>
      </w:r>
    </w:p>
    <w:p w14:paraId="575D7BCE" w14:textId="77777777" w:rsidR="00D13E96" w:rsidRDefault="00D13E96">
      <w:pPr>
        <w:rPr>
          <w:rFonts w:cs="Arial"/>
          <w:b/>
          <w:bCs/>
          <w:iCs/>
          <w:color w:val="153A6E"/>
          <w:sz w:val="32"/>
          <w:szCs w:val="32"/>
        </w:rPr>
      </w:pPr>
      <w:bookmarkStart w:id="50" w:name="_Toc504119838"/>
      <w:bookmarkStart w:id="51" w:name="_Toc515529521"/>
      <w:bookmarkEnd w:id="50"/>
      <w:r>
        <w:br w:type="page"/>
      </w:r>
    </w:p>
    <w:p w14:paraId="2F20760A" w14:textId="47DF2A10" w:rsidR="0026032E" w:rsidRDefault="003F27DD" w:rsidP="003E2CB3">
      <w:pPr>
        <w:pStyle w:val="Heading2"/>
      </w:pPr>
      <w:r>
        <w:lastRenderedPageBreak/>
        <w:t>Standardisation of engagement</w:t>
      </w:r>
      <w:r w:rsidR="00A60C36">
        <w:t xml:space="preserve"> materials and approaches</w:t>
      </w:r>
      <w:bookmarkEnd w:id="51"/>
    </w:p>
    <w:p w14:paraId="25ABF1B8" w14:textId="7E3765F1" w:rsidR="005D7655" w:rsidRDefault="00D83531" w:rsidP="00CC2A64">
      <w:pPr>
        <w:pStyle w:val="Paragraphtext"/>
        <w:rPr>
          <w:color w:val="auto"/>
        </w:rPr>
      </w:pPr>
      <w:r>
        <w:t>Complete standardisation is not feasible, or consistent with the design and intent of the PHN Program.</w:t>
      </w:r>
      <w:r w:rsidR="00DB6D7F">
        <w:t xml:space="preserve"> </w:t>
      </w:r>
      <w:r>
        <w:t>However, some level of s</w:t>
      </w:r>
      <w:r w:rsidR="003F27DD">
        <w:t>tand</w:t>
      </w:r>
      <w:r w:rsidR="008D6EEC">
        <w:t xml:space="preserve">ardisation in the approaches used by PHNs </w:t>
      </w:r>
      <w:r>
        <w:t>in</w:t>
      </w:r>
      <w:r w:rsidR="008D6EEC">
        <w:t xml:space="preserve"> </w:t>
      </w:r>
      <w:r w:rsidR="003F27DD">
        <w:t xml:space="preserve">how they interact with </w:t>
      </w:r>
      <w:r w:rsidR="008D6EEC">
        <w:t xml:space="preserve">the market </w:t>
      </w:r>
      <w:r>
        <w:t>may</w:t>
      </w:r>
      <w:r w:rsidR="003F27DD">
        <w:t xml:space="preserve"> be beneficial. </w:t>
      </w:r>
      <w:r w:rsidR="005D7655">
        <w:t xml:space="preserve">For example, PHNs </w:t>
      </w:r>
      <w:r w:rsidR="00D13E96">
        <w:t xml:space="preserve">could use </w:t>
      </w:r>
      <w:r w:rsidR="005D7655">
        <w:t xml:space="preserve">the </w:t>
      </w:r>
      <w:r w:rsidR="00D13E96">
        <w:t xml:space="preserve">commissioning </w:t>
      </w:r>
      <w:r w:rsidR="005D7655">
        <w:t xml:space="preserve">information sheets </w:t>
      </w:r>
      <w:r w:rsidR="00D13E96">
        <w:t xml:space="preserve">that have been developed for primary health care providers as a basis for their </w:t>
      </w:r>
      <w:r w:rsidR="00D13E96" w:rsidRPr="00F34D20">
        <w:rPr>
          <w:rFonts w:eastAsia="+mn-ea"/>
          <w:lang w:eastAsia="en-AU"/>
        </w:rPr>
        <w:t>discussions about changes associated with commissioning</w:t>
      </w:r>
      <w:r w:rsidR="00D13E96">
        <w:rPr>
          <w:rFonts w:eastAsia="+mn-ea"/>
          <w:lang w:eastAsia="en-AU"/>
        </w:rPr>
        <w:t>.</w:t>
      </w:r>
      <w:r w:rsidR="00D13E96">
        <w:t xml:space="preserve"> A level of c</w:t>
      </w:r>
      <w:r w:rsidR="00A60C36">
        <w:t xml:space="preserve">onsistency </w:t>
      </w:r>
      <w:r w:rsidR="00D13E96">
        <w:t xml:space="preserve">in approaches </w:t>
      </w:r>
      <w:r>
        <w:t xml:space="preserve">may </w:t>
      </w:r>
      <w:r w:rsidR="003F27DD">
        <w:t xml:space="preserve">help </w:t>
      </w:r>
      <w:r w:rsidR="00A60C36">
        <w:t>providers to become more familiar with new way</w:t>
      </w:r>
      <w:r w:rsidR="00FA5D2F">
        <w:t>s</w:t>
      </w:r>
      <w:r w:rsidR="00A60C36">
        <w:t xml:space="preserve"> of working</w:t>
      </w:r>
      <w:r>
        <w:t>,</w:t>
      </w:r>
      <w:r w:rsidR="00A60C36">
        <w:t xml:space="preserve"> which will help to drive efficiency</w:t>
      </w:r>
      <w:r>
        <w:t xml:space="preserve"> for providers and for PHNs</w:t>
      </w:r>
      <w:r w:rsidR="00A60C36">
        <w:t xml:space="preserve">. </w:t>
      </w:r>
    </w:p>
    <w:p w14:paraId="6833623E" w14:textId="5064F410" w:rsidR="00A60C36" w:rsidRDefault="00A60C36" w:rsidP="00CC2A64">
      <w:pPr>
        <w:pStyle w:val="Paragraphtext"/>
      </w:pPr>
      <w:r>
        <w:t>This will also allow PHN</w:t>
      </w:r>
      <w:r w:rsidR="00D83531">
        <w:t>s</w:t>
      </w:r>
      <w:r>
        <w:t xml:space="preserve"> to benefit from having core approaches to engagement activities that can be tailored, rather than having to </w:t>
      </w:r>
      <w:r w:rsidR="00D83531">
        <w:t xml:space="preserve">frequently </w:t>
      </w:r>
      <w:r>
        <w:t>create new materials. PHNs may also ch</w:t>
      </w:r>
      <w:r w:rsidR="00D83531">
        <w:t>o</w:t>
      </w:r>
      <w:r>
        <w:t>ose to leverage off the learnings of their peers, sharing approaches and tools. This may be of further benefit where providers work across PHNs.</w:t>
      </w:r>
    </w:p>
    <w:p w14:paraId="7E931131" w14:textId="6A757A37" w:rsidR="00B329C0" w:rsidRDefault="00A60C36" w:rsidP="00CC2A64">
      <w:pPr>
        <w:pStyle w:val="Paragraphtext"/>
      </w:pPr>
      <w:r>
        <w:t>Standardised materials and approaches should only be used as a basis for engagement. As such, they should always be tailored to reflect loc</w:t>
      </w:r>
      <w:r w:rsidR="003A335F">
        <w:t>al issues, nuances or concerns.</w:t>
      </w:r>
    </w:p>
    <w:p w14:paraId="2DE80C24" w14:textId="77777777" w:rsidR="00253094" w:rsidRDefault="00253094">
      <w:pPr>
        <w:rPr>
          <w:rFonts w:cs="Arial"/>
          <w:b/>
          <w:bCs/>
          <w:color w:val="153A6E"/>
          <w:kern w:val="28"/>
          <w:sz w:val="36"/>
          <w:szCs w:val="32"/>
        </w:rPr>
      </w:pPr>
      <w:bookmarkStart w:id="52" w:name="_Toc515529522"/>
      <w:r>
        <w:br w:type="page"/>
      </w:r>
    </w:p>
    <w:p w14:paraId="3AAF4E58" w14:textId="6523EA80" w:rsidR="007020F4" w:rsidRPr="00DB6D7F" w:rsidRDefault="00E82EBA" w:rsidP="00DB6D7F">
      <w:pPr>
        <w:pStyle w:val="Heading1"/>
      </w:pPr>
      <w:r w:rsidRPr="00DB6D7F">
        <w:lastRenderedPageBreak/>
        <w:t>D</w:t>
      </w:r>
      <w:r w:rsidR="0023645F" w:rsidRPr="00DB6D7F">
        <w:t>ecommissioning</w:t>
      </w:r>
      <w:bookmarkEnd w:id="52"/>
    </w:p>
    <w:p w14:paraId="5E9A0459" w14:textId="64E8C9FF" w:rsidR="007A1367" w:rsidRDefault="00E82EBA" w:rsidP="003E2CB3">
      <w:pPr>
        <w:pStyle w:val="Heading2"/>
      </w:pPr>
      <w:bookmarkStart w:id="53" w:name="_Toc515529523"/>
      <w:r>
        <w:t>The role of decommissioning</w:t>
      </w:r>
      <w:bookmarkEnd w:id="53"/>
    </w:p>
    <w:p w14:paraId="640267FE" w14:textId="0A2FEF95" w:rsidR="008E7606" w:rsidRDefault="009E648E" w:rsidP="00CC2A64">
      <w:pPr>
        <w:pStyle w:val="Paragraphtext"/>
      </w:pPr>
      <w:r w:rsidRPr="009E648E">
        <w:t xml:space="preserve">An important component of commissioning is recognising where services or current approaches may need to be </w:t>
      </w:r>
      <w:r w:rsidR="00AE0AB3">
        <w:t>redesigned. Where this is not possible, decommissioning should be considered</w:t>
      </w:r>
      <w:r w:rsidRPr="009E648E">
        <w:t>. Commissioners need to ensure that</w:t>
      </w:r>
      <w:r w:rsidR="008E7606">
        <w:t xml:space="preserve"> </w:t>
      </w:r>
      <w:r w:rsidRPr="009E648E">
        <w:t>resources can be released and redirected to deliver better quality and outcomes, if this is required</w:t>
      </w:r>
      <w:r w:rsidR="009D2499">
        <w:t>.</w:t>
      </w:r>
      <w:r w:rsidR="008E7606" w:rsidRPr="00CC2A64">
        <w:rPr>
          <w:rStyle w:val="FootnoteReference"/>
        </w:rPr>
        <w:footnoteReference w:id="12"/>
      </w:r>
      <w:r>
        <w:t xml:space="preserve"> </w:t>
      </w:r>
      <w:r w:rsidR="008E7606" w:rsidRPr="008E7606">
        <w:t>The UK National Audit Office</w:t>
      </w:r>
      <w:r w:rsidR="008E7606" w:rsidRPr="008E7606">
        <w:rPr>
          <w:rStyle w:val="FootnoteReference"/>
          <w:szCs w:val="22"/>
        </w:rPr>
        <w:footnoteReference w:id="13"/>
      </w:r>
      <w:r w:rsidR="008E7606" w:rsidRPr="008E7606">
        <w:t xml:space="preserve"> defines decommissioning as a </w:t>
      </w:r>
      <w:r w:rsidR="008E7606" w:rsidRPr="00FA5D2F">
        <w:rPr>
          <w:i/>
        </w:rPr>
        <w:t>“process of planning and managing a reduction in service activity or terminating a contract in line with commissioning objectives</w:t>
      </w:r>
      <w:r w:rsidR="008E7606" w:rsidRPr="008E7606">
        <w:t>”.</w:t>
      </w:r>
      <w:r w:rsidR="00DB6D7F">
        <w:t xml:space="preserve"> </w:t>
      </w:r>
      <w:r w:rsidR="008E7606" w:rsidRPr="008E7606">
        <w:t>Decommissioning can relate to the removal, reduction and/or replacement of a service or intervention</w:t>
      </w:r>
      <w:r w:rsidR="008E7606">
        <w:t>.</w:t>
      </w:r>
    </w:p>
    <w:p w14:paraId="478FF116" w14:textId="6B64A136" w:rsidR="00702D07" w:rsidRPr="00E82EBA" w:rsidRDefault="008E7606" w:rsidP="00CC2A64">
      <w:pPr>
        <w:pStyle w:val="Paragraphtext"/>
      </w:pPr>
      <w:r w:rsidRPr="00E82EBA">
        <w:t xml:space="preserve">It is inevitable that PHNs will decommission services where </w:t>
      </w:r>
      <w:r w:rsidR="007663AE">
        <w:t xml:space="preserve">existing </w:t>
      </w:r>
      <w:r w:rsidRPr="00E82EBA">
        <w:t xml:space="preserve">resources are </w:t>
      </w:r>
      <w:r w:rsidR="00E82EBA" w:rsidRPr="00E82EBA">
        <w:t xml:space="preserve">being inefficiently used and not </w:t>
      </w:r>
      <w:r w:rsidR="007663AE">
        <w:t xml:space="preserve">meeting identified regional needs and priorities, or </w:t>
      </w:r>
      <w:r w:rsidR="00E82EBA" w:rsidRPr="00E82EBA">
        <w:t xml:space="preserve">supporting outcomes. </w:t>
      </w:r>
      <w:r w:rsidRPr="00E82EBA">
        <w:t xml:space="preserve">It is acknowledged that these decisions can be difficult and can result in community </w:t>
      </w:r>
      <w:r w:rsidR="00537986" w:rsidRPr="00E82EBA">
        <w:t xml:space="preserve">and stakeholder </w:t>
      </w:r>
      <w:r w:rsidR="007663AE">
        <w:t>resistance</w:t>
      </w:r>
      <w:r w:rsidRPr="00E82EBA">
        <w:t>.</w:t>
      </w:r>
      <w:r w:rsidR="00E82EBA" w:rsidRPr="00E82EBA">
        <w:t xml:space="preserve"> </w:t>
      </w:r>
      <w:r w:rsidRPr="00E82EBA">
        <w:t>Section 6.2 of</w:t>
      </w:r>
      <w:r w:rsidR="0024562D" w:rsidRPr="00E82EBA">
        <w:t xml:space="preserve"> the </w:t>
      </w:r>
      <w:r w:rsidR="00F91C3B">
        <w:t>2016</w:t>
      </w:r>
      <w:r w:rsidR="007B2AE6" w:rsidRPr="00D473AD">
        <w:rPr>
          <w:i/>
        </w:rPr>
        <w:t xml:space="preserve"> </w:t>
      </w:r>
      <w:r w:rsidR="006577EC" w:rsidRPr="00D473AD">
        <w:rPr>
          <w:i/>
        </w:rPr>
        <w:t>D</w:t>
      </w:r>
      <w:r w:rsidR="003F58C7" w:rsidRPr="00D473AD">
        <w:rPr>
          <w:i/>
        </w:rPr>
        <w:t xml:space="preserve">esigning and </w:t>
      </w:r>
      <w:r w:rsidR="006577EC" w:rsidRPr="00D473AD">
        <w:rPr>
          <w:i/>
        </w:rPr>
        <w:t>C</w:t>
      </w:r>
      <w:r w:rsidR="003F58C7" w:rsidRPr="00D473AD">
        <w:rPr>
          <w:i/>
        </w:rPr>
        <w:t xml:space="preserve">ontracting </w:t>
      </w:r>
      <w:r w:rsidR="006577EC" w:rsidRPr="00D473AD">
        <w:rPr>
          <w:i/>
        </w:rPr>
        <w:t>S</w:t>
      </w:r>
      <w:r w:rsidR="0024562D" w:rsidRPr="00D473AD">
        <w:rPr>
          <w:i/>
        </w:rPr>
        <w:t xml:space="preserve">ervices </w:t>
      </w:r>
      <w:r w:rsidR="006577EC" w:rsidRPr="00D473AD">
        <w:rPr>
          <w:i/>
        </w:rPr>
        <w:t>G</w:t>
      </w:r>
      <w:r w:rsidR="007B2AE6" w:rsidRPr="00D473AD">
        <w:rPr>
          <w:i/>
        </w:rPr>
        <w:t>uidance</w:t>
      </w:r>
      <w:r w:rsidR="003F58C7" w:rsidRPr="00FA5D2F">
        <w:rPr>
          <w:rStyle w:val="FootnoteReference"/>
          <w:szCs w:val="22"/>
        </w:rPr>
        <w:footnoteReference w:id="14"/>
      </w:r>
      <w:r w:rsidR="00DB6D7F">
        <w:rPr>
          <w:rStyle w:val="FootnoteReference"/>
          <w:szCs w:val="22"/>
        </w:rPr>
        <w:t xml:space="preserve"> </w:t>
      </w:r>
      <w:r w:rsidR="00FA5D2F">
        <w:t>o</w:t>
      </w:r>
      <w:r w:rsidR="0024562D" w:rsidRPr="00E82EBA">
        <w:t>utlined typical components of a decommissioning process</w:t>
      </w:r>
      <w:r w:rsidR="00E82EBA" w:rsidRPr="00E82EBA">
        <w:t xml:space="preserve"> which should be considered</w:t>
      </w:r>
      <w:r w:rsidR="007274E0" w:rsidRPr="00E82EBA">
        <w:t>.</w:t>
      </w:r>
    </w:p>
    <w:p w14:paraId="64DE9A95" w14:textId="4E4497DD" w:rsidR="00BA5CDA" w:rsidRDefault="00BA5CDA" w:rsidP="00CC2A64">
      <w:pPr>
        <w:pStyle w:val="Paragraphtext"/>
      </w:pPr>
      <w:r>
        <w:t>Transparency and accountability are key factors in a decommissioning context.</w:t>
      </w:r>
      <w:r w:rsidR="00DB6D7F">
        <w:t xml:space="preserve"> </w:t>
      </w:r>
      <w:r>
        <w:t>PHN plans that include</w:t>
      </w:r>
      <w:r w:rsidRPr="00203747">
        <w:t xml:space="preserve"> decommissioning need to consider several factors including</w:t>
      </w:r>
      <w:r>
        <w:t>:</w:t>
      </w:r>
    </w:p>
    <w:p w14:paraId="4ADD2C08" w14:textId="329EBF2D" w:rsidR="00BA5CDA" w:rsidRDefault="00535088" w:rsidP="00CC2A64">
      <w:pPr>
        <w:pStyle w:val="ListBullet"/>
      </w:pPr>
      <w:r>
        <w:t>H</w:t>
      </w:r>
      <w:r w:rsidR="00BA5CDA" w:rsidRPr="00547585">
        <w:t>avi</w:t>
      </w:r>
      <w:r w:rsidR="00BA5CDA">
        <w:t xml:space="preserve">ng a </w:t>
      </w:r>
      <w:r>
        <w:t>strong evidence based rationale</w:t>
      </w:r>
    </w:p>
    <w:p w14:paraId="21EF09F2" w14:textId="13CB8234" w:rsidR="00BA5CDA" w:rsidRDefault="00535088" w:rsidP="00CC2A64">
      <w:pPr>
        <w:pStyle w:val="ListBullet"/>
      </w:pPr>
      <w:r>
        <w:t>C</w:t>
      </w:r>
      <w:r w:rsidR="00BA5CDA">
        <w:t xml:space="preserve">onsideration of timing and </w:t>
      </w:r>
      <w:r>
        <w:t>stages of commissioning process</w:t>
      </w:r>
    </w:p>
    <w:p w14:paraId="60A3B2DA" w14:textId="499C7754" w:rsidR="00851718" w:rsidRDefault="00535088" w:rsidP="00CC2A64">
      <w:pPr>
        <w:pStyle w:val="ListBullet"/>
      </w:pPr>
      <w:r>
        <w:t>T</w:t>
      </w:r>
      <w:r w:rsidR="00851718">
        <w:t>he importance of a robust risk assessment for decommissioning process</w:t>
      </w:r>
      <w:r w:rsidR="00BC5B7F">
        <w:t>es</w:t>
      </w:r>
      <w:r w:rsidR="00851718">
        <w:t>, to highlight significant risks and t</w:t>
      </w:r>
      <w:r>
        <w:t>he mitigating actions required</w:t>
      </w:r>
    </w:p>
    <w:p w14:paraId="6A5D56FD" w14:textId="1604911B" w:rsidR="00BA5CDA" w:rsidRDefault="00535088" w:rsidP="00CC2A64">
      <w:pPr>
        <w:pStyle w:val="ListBullet"/>
      </w:pPr>
      <w:r>
        <w:t>G</w:t>
      </w:r>
      <w:r w:rsidR="00BA5CDA" w:rsidRPr="00547585">
        <w:t>ood communication</w:t>
      </w:r>
      <w:r w:rsidR="00BA5CDA">
        <w:t xml:space="preserve">, </w:t>
      </w:r>
      <w:r w:rsidR="00BC5B7F" w:rsidRPr="00547585">
        <w:t>provid</w:t>
      </w:r>
      <w:r w:rsidR="00BC5B7F">
        <w:t xml:space="preserve">ing as much notice as possible and </w:t>
      </w:r>
      <w:r w:rsidR="00BA5CDA">
        <w:t>engaging with stakeholders to build understanding and support (this should be early</w:t>
      </w:r>
      <w:r>
        <w:t xml:space="preserve"> and sustained)</w:t>
      </w:r>
    </w:p>
    <w:p w14:paraId="3E4FECDB" w14:textId="4542643E" w:rsidR="00BC5B7F" w:rsidRDefault="00535088" w:rsidP="00CC2A64">
      <w:pPr>
        <w:pStyle w:val="ListBullet"/>
      </w:pPr>
      <w:r>
        <w:t>M</w:t>
      </w:r>
      <w:r w:rsidR="00BC5B7F">
        <w:t>aintaining early and good communication with the Department of Health regarding decommissioning and transitional arrangements, including raising potential risks or sensitivities and workin</w:t>
      </w:r>
      <w:r>
        <w:t>g through mitigation strategies</w:t>
      </w:r>
    </w:p>
    <w:p w14:paraId="6F58C4CA" w14:textId="1A552E92" w:rsidR="006C3E42" w:rsidRDefault="00535088" w:rsidP="00CC2A64">
      <w:pPr>
        <w:pStyle w:val="ListBullet"/>
      </w:pPr>
      <w:r>
        <w:t>B</w:t>
      </w:r>
      <w:r w:rsidR="006C3E42">
        <w:t xml:space="preserve">uilding </w:t>
      </w:r>
      <w:r>
        <w:t>mutual trust</w:t>
      </w:r>
      <w:r w:rsidR="001B403D">
        <w:t xml:space="preserve"> with both providers and the community</w:t>
      </w:r>
    </w:p>
    <w:p w14:paraId="3B19EB87" w14:textId="35D9C778" w:rsidR="00BA5CDA" w:rsidRDefault="00535088" w:rsidP="00CC2A64">
      <w:pPr>
        <w:pStyle w:val="ListBullet"/>
      </w:pPr>
      <w:r>
        <w:t>E</w:t>
      </w:r>
      <w:r w:rsidR="006C3E42">
        <w:t xml:space="preserve">stablishing transition arrangements </w:t>
      </w:r>
      <w:r w:rsidR="00851718">
        <w:t xml:space="preserve">(including data protection issues) </w:t>
      </w:r>
      <w:r w:rsidR="006C3E42">
        <w:t xml:space="preserve">and managing service continuity, </w:t>
      </w:r>
      <w:r w:rsidR="00851718">
        <w:t xml:space="preserve">by </w:t>
      </w:r>
      <w:r w:rsidR="006C3E42">
        <w:t xml:space="preserve">working </w:t>
      </w:r>
      <w:r w:rsidR="00224F78">
        <w:t xml:space="preserve">in partnership </w:t>
      </w:r>
      <w:r w:rsidR="006C3E42">
        <w:t xml:space="preserve">with the decommissioned providers and </w:t>
      </w:r>
      <w:r w:rsidR="00851718">
        <w:t>new providers</w:t>
      </w:r>
    </w:p>
    <w:p w14:paraId="28F7442D" w14:textId="41D70FDF" w:rsidR="006C3E42" w:rsidRDefault="00535088" w:rsidP="00CC2A64">
      <w:pPr>
        <w:pStyle w:val="ListBullet"/>
      </w:pPr>
      <w:r>
        <w:t>S</w:t>
      </w:r>
      <w:r w:rsidR="006C3E42" w:rsidRPr="00547585">
        <w:t>upport</w:t>
      </w:r>
      <w:r w:rsidR="006C3E42">
        <w:t>ing providers and their customers through the process</w:t>
      </w:r>
      <w:r w:rsidR="00851718">
        <w:t xml:space="preserve"> to ensure a smooth transition for service users and staff</w:t>
      </w:r>
    </w:p>
    <w:p w14:paraId="49498055" w14:textId="03F02682" w:rsidR="00BA5CDA" w:rsidRDefault="00535088" w:rsidP="00CC2A64">
      <w:pPr>
        <w:pStyle w:val="ListBullet"/>
      </w:pPr>
      <w:r>
        <w:t>C</w:t>
      </w:r>
      <w:r w:rsidR="00BA5CDA">
        <w:t>linical leadership</w:t>
      </w:r>
      <w:r w:rsidR="00404F96">
        <w:t xml:space="preserve">, including in relation to the transition </w:t>
      </w:r>
      <w:r w:rsidR="00AE7D7E">
        <w:t>between d</w:t>
      </w:r>
      <w:r w:rsidR="00404F96">
        <w:t xml:space="preserve">ecommissioned providers </w:t>
      </w:r>
      <w:r w:rsidR="00AE7D7E">
        <w:t>and</w:t>
      </w:r>
      <w:r w:rsidR="00404F96">
        <w:t xml:space="preserve"> new providers, and in terms of PHN Clinical Council involvement in</w:t>
      </w:r>
      <w:r w:rsidR="00AE7D7E">
        <w:t xml:space="preserve"> </w:t>
      </w:r>
      <w:r w:rsidR="00404F96">
        <w:t>decommissioning decisions</w:t>
      </w:r>
    </w:p>
    <w:p w14:paraId="6F7E0390" w14:textId="18C39BEC" w:rsidR="00BA5CDA" w:rsidRDefault="00535088" w:rsidP="00CC2A64">
      <w:pPr>
        <w:pStyle w:val="ListBullet"/>
      </w:pPr>
      <w:r>
        <w:t>T</w:t>
      </w:r>
      <w:r w:rsidR="009874DA">
        <w:t xml:space="preserve">he importance of </w:t>
      </w:r>
      <w:r w:rsidR="0062580B">
        <w:t xml:space="preserve">PHNs </w:t>
      </w:r>
      <w:r w:rsidR="009874DA">
        <w:t xml:space="preserve">seeking </w:t>
      </w:r>
      <w:r w:rsidR="00BA5CDA">
        <w:t>community support</w:t>
      </w:r>
      <w:r w:rsidR="00404F96">
        <w:t xml:space="preserve"> in relation to decommissioning </w:t>
      </w:r>
      <w:r w:rsidR="00AE7D7E">
        <w:t>decisions</w:t>
      </w:r>
      <w:r w:rsidR="00BA5CDA">
        <w:t>.</w:t>
      </w:r>
    </w:p>
    <w:p w14:paraId="66BB3284" w14:textId="1C52444F" w:rsidR="00702D07" w:rsidRDefault="00D40328" w:rsidP="00CC2A64">
      <w:pPr>
        <w:pStyle w:val="Paragraphtext"/>
      </w:pPr>
      <w:r>
        <w:lastRenderedPageBreak/>
        <w:t xml:space="preserve">Further guidance on decommissioning is contained within Tool 7 of the </w:t>
      </w:r>
      <w:r w:rsidR="00C42225" w:rsidRPr="008A7198">
        <w:t>2018</w:t>
      </w:r>
      <w:r w:rsidR="00C42225" w:rsidRPr="00C42225">
        <w:rPr>
          <w:i/>
        </w:rPr>
        <w:t xml:space="preserve"> </w:t>
      </w:r>
      <w:r w:rsidRPr="00C42225">
        <w:rPr>
          <w:i/>
        </w:rPr>
        <w:t>Market Making and Development Toolkit</w:t>
      </w:r>
      <w:r>
        <w:t>.</w:t>
      </w:r>
    </w:p>
    <w:p w14:paraId="519A356F" w14:textId="2400B3CD" w:rsidR="00E82EBA" w:rsidRDefault="00E82EBA" w:rsidP="00E82EBA">
      <w:pPr>
        <w:pStyle w:val="Heading2"/>
      </w:pPr>
      <w:bookmarkStart w:id="54" w:name="_Toc515529524"/>
      <w:r>
        <w:t>PHN learnings</w:t>
      </w:r>
      <w:bookmarkEnd w:id="54"/>
    </w:p>
    <w:p w14:paraId="65B7BE02" w14:textId="06A99BA6" w:rsidR="00702D07" w:rsidRDefault="00702D07" w:rsidP="00CC2A64">
      <w:pPr>
        <w:pStyle w:val="Paragraphtext"/>
      </w:pPr>
      <w:r>
        <w:t>In practice, decommissioning is a complex</w:t>
      </w:r>
      <w:r w:rsidR="00AE0AB3">
        <w:t>, time consuming</w:t>
      </w:r>
      <w:r>
        <w:t xml:space="preserve"> and often difficult process. Based on a PHN’s experience </w:t>
      </w:r>
      <w:r w:rsidR="00114E35">
        <w:t xml:space="preserve">in </w:t>
      </w:r>
      <w:r>
        <w:t>decommissioning rural health services, key issues for PHNs to consider in this process include:</w:t>
      </w:r>
    </w:p>
    <w:p w14:paraId="65A20E41" w14:textId="45E96121" w:rsidR="00702D07" w:rsidRPr="003E2CB3" w:rsidRDefault="00535088" w:rsidP="00CC2A64">
      <w:pPr>
        <w:pStyle w:val="ListBullet"/>
      </w:pPr>
      <w:r>
        <w:t>L</w:t>
      </w:r>
      <w:r w:rsidR="00702D07" w:rsidRPr="003E2CB3">
        <w:t>ocal community reaction to any cha</w:t>
      </w:r>
      <w:r w:rsidR="00E82EBA">
        <w:t>nges or pe</w:t>
      </w:r>
      <w:r w:rsidR="0053276F">
        <w:t>rceived service loss</w:t>
      </w:r>
    </w:p>
    <w:p w14:paraId="1509C548" w14:textId="4E6F6370" w:rsidR="00702D07" w:rsidRPr="003E2CB3" w:rsidRDefault="00535088" w:rsidP="00CC2A64">
      <w:pPr>
        <w:pStyle w:val="ListBullet"/>
      </w:pPr>
      <w:r>
        <w:t>P</w:t>
      </w:r>
      <w:r w:rsidR="00E82EBA">
        <w:t xml:space="preserve">otential </w:t>
      </w:r>
      <w:r w:rsidR="007663AE">
        <w:t xml:space="preserve">impacts on, and </w:t>
      </w:r>
      <w:r w:rsidR="00E82EBA">
        <w:t>feedback from</w:t>
      </w:r>
      <w:r w:rsidR="007663AE">
        <w:t>,</w:t>
      </w:r>
      <w:r w:rsidR="00E82EBA">
        <w:t xml:space="preserve"> wide</w:t>
      </w:r>
      <w:r w:rsidR="00FA5D2F">
        <w:t>r commissioners including local,</w:t>
      </w:r>
      <w:r w:rsidR="00E82EBA">
        <w:t xml:space="preserve"> </w:t>
      </w:r>
      <w:r w:rsidR="00FA5D2F">
        <w:t>s</w:t>
      </w:r>
      <w:r w:rsidR="00702D07" w:rsidRPr="003E2CB3">
        <w:t>tate</w:t>
      </w:r>
      <w:r w:rsidR="007663AE">
        <w:t xml:space="preserve"> and</w:t>
      </w:r>
      <w:r w:rsidR="00E82EBA">
        <w:t xml:space="preserve"> </w:t>
      </w:r>
      <w:r w:rsidR="00FA5D2F">
        <w:t>t</w:t>
      </w:r>
      <w:r w:rsidR="00702D07" w:rsidRPr="003E2CB3">
        <w:t>erritory</w:t>
      </w:r>
      <w:r w:rsidR="007663AE">
        <w:t xml:space="preserve"> governments</w:t>
      </w:r>
      <w:r w:rsidR="00FA5D2F">
        <w:t>,</w:t>
      </w:r>
      <w:r w:rsidR="00E82EBA">
        <w:t xml:space="preserve"> </w:t>
      </w:r>
      <w:r w:rsidR="007663AE">
        <w:t xml:space="preserve">to </w:t>
      </w:r>
      <w:r w:rsidR="00FA5D2F">
        <w:t>f</w:t>
      </w:r>
      <w:r w:rsidR="00E82EBA">
        <w:t>ederal G</w:t>
      </w:r>
      <w:r w:rsidR="00702D07" w:rsidRPr="003E2CB3">
        <w:t>overnment</w:t>
      </w:r>
    </w:p>
    <w:p w14:paraId="4CED0D33" w14:textId="6F462B1A" w:rsidR="009569F9" w:rsidRDefault="00535088" w:rsidP="00CC2A64">
      <w:pPr>
        <w:pStyle w:val="ListBullet"/>
      </w:pPr>
      <w:r>
        <w:t>T</w:t>
      </w:r>
      <w:r w:rsidR="00114E35">
        <w:t xml:space="preserve">he significant time, communication and additional resources that can be required to </w:t>
      </w:r>
      <w:r w:rsidR="009569F9">
        <w:t>manag</w:t>
      </w:r>
      <w:r w:rsidR="00114E35">
        <w:t>e</w:t>
      </w:r>
      <w:r w:rsidR="009569F9">
        <w:t xml:space="preserve"> service continuity</w:t>
      </w:r>
      <w:r w:rsidR="00DF1D8D">
        <w:t>,</w:t>
      </w:r>
      <w:r w:rsidR="009569F9">
        <w:t xml:space="preserve"> </w:t>
      </w:r>
      <w:r w:rsidR="00DF1D8D">
        <w:t xml:space="preserve">and ensure success during </w:t>
      </w:r>
      <w:r w:rsidR="009569F9">
        <w:t xml:space="preserve">transition </w:t>
      </w:r>
      <w:r w:rsidR="00DF1D8D">
        <w:t>and for the newly commissioned service</w:t>
      </w:r>
    </w:p>
    <w:p w14:paraId="36501DBE" w14:textId="38DACF30" w:rsidR="00702D07" w:rsidRPr="003E2CB3" w:rsidRDefault="00535088" w:rsidP="00CC2A64">
      <w:pPr>
        <w:pStyle w:val="ListBullet"/>
      </w:pPr>
      <w:r>
        <w:t>T</w:t>
      </w:r>
      <w:r w:rsidR="00A22251">
        <w:t xml:space="preserve">he </w:t>
      </w:r>
      <w:r w:rsidR="007663AE">
        <w:t>i</w:t>
      </w:r>
      <w:r w:rsidR="00702D07" w:rsidRPr="003E2CB3">
        <w:t>mportance of documenting and publishing factual information about the steps and processes followed by the PHN in the decision cycle</w:t>
      </w:r>
    </w:p>
    <w:p w14:paraId="1EE701B6" w14:textId="569F2393" w:rsidR="007C0FBE" w:rsidRDefault="00535088" w:rsidP="00CC2A64">
      <w:pPr>
        <w:pStyle w:val="ListBullet"/>
      </w:pPr>
      <w:r>
        <w:t>T</w:t>
      </w:r>
      <w:r w:rsidR="00A22251">
        <w:t xml:space="preserve">he </w:t>
      </w:r>
      <w:r w:rsidR="007663AE">
        <w:t>i</w:t>
      </w:r>
      <w:r w:rsidR="00D70C92">
        <w:t>mportance of c</w:t>
      </w:r>
      <w:r w:rsidR="00702D07" w:rsidRPr="003E2CB3">
        <w:t xml:space="preserve">onsistency and maintaining focus on the </w:t>
      </w:r>
      <w:r w:rsidR="00D70C92">
        <w:t>decommissioning</w:t>
      </w:r>
      <w:r w:rsidR="00A22251">
        <w:t xml:space="preserve"> process and objectivity of PHN</w:t>
      </w:r>
      <w:r w:rsidR="00D70C92">
        <w:t xml:space="preserve"> </w:t>
      </w:r>
      <w:r>
        <w:t>decisions</w:t>
      </w:r>
    </w:p>
    <w:p w14:paraId="107258A0" w14:textId="1656BFFA" w:rsidR="00A22251" w:rsidRDefault="00535088" w:rsidP="00CC2A64">
      <w:pPr>
        <w:pStyle w:val="ListBullet"/>
      </w:pPr>
      <w:r>
        <w:t>T</w:t>
      </w:r>
      <w:r w:rsidR="007C0FBE">
        <w:t>he importance of c</w:t>
      </w:r>
      <w:r w:rsidR="007C0FBE" w:rsidRPr="003E2CB3">
        <w:t>ommunity awareness and understanding of the implications of change</w:t>
      </w:r>
      <w:r>
        <w:t>, including workforce impacts</w:t>
      </w:r>
    </w:p>
    <w:p w14:paraId="3A91D5A5" w14:textId="7EC617E3" w:rsidR="00702D07" w:rsidRPr="003E2CB3" w:rsidRDefault="00535088" w:rsidP="00CC2A64">
      <w:pPr>
        <w:pStyle w:val="ListBullet"/>
      </w:pPr>
      <w:r>
        <w:t>P</w:t>
      </w:r>
      <w:r w:rsidR="00A22251">
        <w:t xml:space="preserve">otential </w:t>
      </w:r>
      <w:r w:rsidR="00A22251" w:rsidRPr="003E2CB3">
        <w:t xml:space="preserve">media response to </w:t>
      </w:r>
      <w:r w:rsidR="00A22251">
        <w:t xml:space="preserve">stakeholder </w:t>
      </w:r>
      <w:r w:rsidR="00A22251" w:rsidRPr="003E2CB3">
        <w:t>concern</w:t>
      </w:r>
      <w:r w:rsidR="00A22251">
        <w:t>s and reputational risks for all parties involved</w:t>
      </w:r>
      <w:r w:rsidR="00D70C92">
        <w:t>.</w:t>
      </w:r>
    </w:p>
    <w:p w14:paraId="66F4313C" w14:textId="766DCAB5" w:rsidR="007A1367" w:rsidRDefault="007A1367" w:rsidP="003E2CB3">
      <w:pPr>
        <w:pStyle w:val="Heading2"/>
      </w:pPr>
      <w:bookmarkStart w:id="55" w:name="_Toc515529525"/>
      <w:r>
        <w:t>Developments impacting decommissioning and redesign</w:t>
      </w:r>
      <w:bookmarkEnd w:id="55"/>
    </w:p>
    <w:p w14:paraId="5346A7BA" w14:textId="34351297" w:rsidR="007A1367" w:rsidRDefault="00481642" w:rsidP="00CC2A64">
      <w:pPr>
        <w:pStyle w:val="Paragraphtext"/>
      </w:pPr>
      <w:r>
        <w:t>The</w:t>
      </w:r>
      <w:r w:rsidR="00FA5D2F">
        <w:t>re are a number of factors that influence</w:t>
      </w:r>
      <w:r>
        <w:t xml:space="preserve"> the likelihood </w:t>
      </w:r>
      <w:r w:rsidR="00B05BCF">
        <w:t xml:space="preserve">of decommissioning or </w:t>
      </w:r>
      <w:r w:rsidR="00DC22A8">
        <w:t xml:space="preserve">the </w:t>
      </w:r>
      <w:r w:rsidR="00B05BCF">
        <w:t>need for redesign:</w:t>
      </w:r>
    </w:p>
    <w:p w14:paraId="012D0445" w14:textId="613B5B60" w:rsidR="00B05BCF" w:rsidRDefault="00535088" w:rsidP="00CC2A64">
      <w:pPr>
        <w:pStyle w:val="ListBullet"/>
      </w:pPr>
      <w:r>
        <w:t>T</w:t>
      </w:r>
      <w:r w:rsidR="00B05BCF">
        <w:t>he roles and responsibilities of PHNs continue to evolve</w:t>
      </w:r>
      <w:r w:rsidR="00DC22A8">
        <w:t>,</w:t>
      </w:r>
      <w:r w:rsidR="00B05BCF">
        <w:t xml:space="preserve"> for example in taking on </w:t>
      </w:r>
      <w:r w:rsidR="00564378">
        <w:t xml:space="preserve">broader </w:t>
      </w:r>
      <w:r w:rsidR="00DC22A8">
        <w:t>m</w:t>
      </w:r>
      <w:r w:rsidR="00B05BCF">
        <w:t xml:space="preserve">ental </w:t>
      </w:r>
      <w:r w:rsidR="00DC22A8">
        <w:t>h</w:t>
      </w:r>
      <w:r w:rsidR="00B05BCF">
        <w:t xml:space="preserve">ealth </w:t>
      </w:r>
      <w:r w:rsidR="00564378">
        <w:t xml:space="preserve">service commissioning </w:t>
      </w:r>
      <w:r w:rsidR="00B05BCF">
        <w:t>responsibilities</w:t>
      </w:r>
    </w:p>
    <w:p w14:paraId="6D73495D" w14:textId="121F7173" w:rsidR="00B05BCF" w:rsidRDefault="00535088" w:rsidP="00CC2A64">
      <w:pPr>
        <w:pStyle w:val="ListBullet"/>
      </w:pPr>
      <w:r>
        <w:t>O</w:t>
      </w:r>
      <w:r w:rsidR="00DC22A8">
        <w:t>ver subsequent</w:t>
      </w:r>
      <w:r w:rsidR="00D70C92">
        <w:t xml:space="preserve"> commissioning cycle</w:t>
      </w:r>
      <w:r w:rsidR="00DC22A8">
        <w:t>s</w:t>
      </w:r>
      <w:r w:rsidR="00D70C92">
        <w:t xml:space="preserve">, </w:t>
      </w:r>
      <w:r w:rsidR="00B05BCF">
        <w:t xml:space="preserve">PHNs </w:t>
      </w:r>
      <w:r w:rsidR="00D70C92">
        <w:t xml:space="preserve">will reconsider what they identify as </w:t>
      </w:r>
      <w:r w:rsidR="00B05BCF">
        <w:t xml:space="preserve">priorities </w:t>
      </w:r>
      <w:r w:rsidR="00D70C92">
        <w:t xml:space="preserve">as per </w:t>
      </w:r>
      <w:r w:rsidR="00DC22A8">
        <w:t xml:space="preserve">their </w:t>
      </w:r>
      <w:r w:rsidR="00D70C92">
        <w:t xml:space="preserve">needs </w:t>
      </w:r>
      <w:r w:rsidR="00B05BCF">
        <w:t>assessment</w:t>
      </w:r>
      <w:r w:rsidR="00DC22A8">
        <w:t xml:space="preserve"> and annual planning processes</w:t>
      </w:r>
      <w:r w:rsidR="00D70C92">
        <w:t xml:space="preserve">. This may lead to </w:t>
      </w:r>
      <w:r w:rsidR="00B05BCF">
        <w:t>decommissioning</w:t>
      </w:r>
    </w:p>
    <w:p w14:paraId="1A7062D0" w14:textId="73CE0A61" w:rsidR="00B05BCF" w:rsidRDefault="00535088" w:rsidP="00CC2A64">
      <w:pPr>
        <w:pStyle w:val="ListBullet"/>
      </w:pPr>
      <w:r>
        <w:t>A</w:t>
      </w:r>
      <w:r w:rsidR="00D70C92">
        <w:t xml:space="preserve">s </w:t>
      </w:r>
      <w:r w:rsidR="00B05BCF">
        <w:t xml:space="preserve">PHNs </w:t>
      </w:r>
      <w:r w:rsidR="00D70C92">
        <w:t xml:space="preserve">collaborate more with providers around service delivery, historic delivery models may be </w:t>
      </w:r>
      <w:r w:rsidR="00B05BCF">
        <w:t>decommission</w:t>
      </w:r>
      <w:r w:rsidR="00D70C92">
        <w:t>ed</w:t>
      </w:r>
      <w:r w:rsidR="00B05BCF">
        <w:t xml:space="preserve"> or </w:t>
      </w:r>
      <w:r w:rsidR="0053276F">
        <w:t>reshaped</w:t>
      </w:r>
      <w:r w:rsidR="00DC22A8">
        <w:t>,</w:t>
      </w:r>
      <w:r w:rsidR="0053276F">
        <w:t xml:space="preserve"> </w:t>
      </w:r>
      <w:r w:rsidR="00DC22A8">
        <w:t xml:space="preserve">as </w:t>
      </w:r>
      <w:r w:rsidR="0053276F">
        <w:t>appropriate</w:t>
      </w:r>
    </w:p>
    <w:p w14:paraId="252711A7" w14:textId="4A46E220" w:rsidR="002E6CC1" w:rsidRDefault="00535088" w:rsidP="00CC2A64">
      <w:pPr>
        <w:pStyle w:val="ListBullet"/>
      </w:pPr>
      <w:r>
        <w:t>M</w:t>
      </w:r>
      <w:r w:rsidR="002E6CC1">
        <w:t>ore PHNs are expecting and utilising consortia based approaches rather than one-to-one provider relationships. This can mean the need to decommission or support the market in reshap</w:t>
      </w:r>
      <w:r>
        <w:t>ing and adapting what it does</w:t>
      </w:r>
    </w:p>
    <w:p w14:paraId="73AD6560" w14:textId="012F7EFF" w:rsidR="002E6CC1" w:rsidRDefault="002E6CC1" w:rsidP="00CC2A64">
      <w:pPr>
        <w:pStyle w:val="ListBullet"/>
      </w:pPr>
      <w:r>
        <w:t>PHNs are migrating to more joint commissioni</w:t>
      </w:r>
      <w:r w:rsidR="00535088">
        <w:t>ng and integrated solutions</w:t>
      </w:r>
    </w:p>
    <w:p w14:paraId="65E7977A" w14:textId="2E4EDC2B" w:rsidR="001752C1" w:rsidRDefault="00535088" w:rsidP="00CC2A64">
      <w:pPr>
        <w:pStyle w:val="ListBullet"/>
      </w:pPr>
      <w:r>
        <w:t>A</w:t>
      </w:r>
      <w:r w:rsidR="00425FB9">
        <w:t xml:space="preserve">s </w:t>
      </w:r>
      <w:r w:rsidR="001752C1">
        <w:t xml:space="preserve">PHNs </w:t>
      </w:r>
      <w:r w:rsidR="00425FB9">
        <w:t xml:space="preserve">move </w:t>
      </w:r>
      <w:r w:rsidR="009D2499">
        <w:t xml:space="preserve">towards </w:t>
      </w:r>
      <w:r w:rsidR="00775000">
        <w:t xml:space="preserve">incorporating </w:t>
      </w:r>
      <w:r w:rsidR="001752C1">
        <w:t>a focus on outcomes</w:t>
      </w:r>
      <w:r w:rsidR="00425FB9">
        <w:t>,</w:t>
      </w:r>
      <w:r w:rsidR="001752C1">
        <w:t xml:space="preserve"> existing agreements and </w:t>
      </w:r>
      <w:r w:rsidR="00425FB9">
        <w:t>approa</w:t>
      </w:r>
      <w:r w:rsidR="003A335F">
        <w:t>ches may need to be redesigned.</w:t>
      </w:r>
    </w:p>
    <w:p w14:paraId="49AD1215" w14:textId="10E18A42" w:rsidR="000C23F3" w:rsidRPr="00BD1381" w:rsidRDefault="00462DB5" w:rsidP="00CC2A64">
      <w:pPr>
        <w:pStyle w:val="Paragraphtext"/>
      </w:pPr>
      <w:r w:rsidRPr="00BD1381">
        <w:t xml:space="preserve">The benefits of </w:t>
      </w:r>
      <w:r w:rsidR="00224F78" w:rsidRPr="00BD1381">
        <w:t xml:space="preserve">service </w:t>
      </w:r>
      <w:r w:rsidRPr="00BD1381">
        <w:t>redesign</w:t>
      </w:r>
      <w:r w:rsidR="00702D07" w:rsidRPr="00BD1381">
        <w:t xml:space="preserve"> can take time to fully </w:t>
      </w:r>
      <w:r w:rsidR="004E0FAF" w:rsidRPr="00BD1381">
        <w:t xml:space="preserve">emerge </w:t>
      </w:r>
      <w:r w:rsidR="00702D07" w:rsidRPr="00BD1381">
        <w:t>and there are often short-term implications that need to be managed</w:t>
      </w:r>
      <w:r w:rsidRPr="00BD1381">
        <w:t>, particular</w:t>
      </w:r>
      <w:r w:rsidR="00FA5D2F" w:rsidRPr="00BD1381">
        <w:t>ly ceasing the original service</w:t>
      </w:r>
      <w:r w:rsidR="00702D07" w:rsidRPr="00BD1381">
        <w:t xml:space="preserve"> and the impact this has on populations, service recipients and providers. </w:t>
      </w:r>
      <w:r w:rsidRPr="00BD1381">
        <w:t>These impacts need to be anti</w:t>
      </w:r>
      <w:r w:rsidR="00FA5D2F" w:rsidRPr="00BD1381">
        <w:t>cipated and managed by the PHN.</w:t>
      </w:r>
      <w:r w:rsidR="00702D07" w:rsidRPr="00BD1381">
        <w:t xml:space="preserve"> </w:t>
      </w:r>
      <w:r w:rsidR="00D201FB" w:rsidRPr="00BD1381">
        <w:t xml:space="preserve">PHNs need to </w:t>
      </w:r>
      <w:r w:rsidR="008E367A" w:rsidRPr="00BD1381">
        <w:t xml:space="preserve">also </w:t>
      </w:r>
      <w:r w:rsidR="00DD58B2" w:rsidRPr="00BD1381">
        <w:t>consider</w:t>
      </w:r>
      <w:r w:rsidR="00D201FB" w:rsidRPr="00BD1381">
        <w:t xml:space="preserve"> potential adverse consequences </w:t>
      </w:r>
      <w:r w:rsidR="0060377D" w:rsidRPr="00BD1381">
        <w:t xml:space="preserve">for </w:t>
      </w:r>
      <w:r w:rsidR="00D201FB" w:rsidRPr="00BD1381">
        <w:t xml:space="preserve">markets when planning and undertaking decommissioning </w:t>
      </w:r>
      <w:r w:rsidR="008E367A" w:rsidRPr="00BD1381">
        <w:t>and redesign activities</w:t>
      </w:r>
      <w:r w:rsidR="003A335F">
        <w:t>.</w:t>
      </w:r>
    </w:p>
    <w:p w14:paraId="2FF3A160" w14:textId="487857A7" w:rsidR="007020F4" w:rsidRDefault="00224F78" w:rsidP="00224F78">
      <w:pPr>
        <w:pStyle w:val="Heading2"/>
        <w:ind w:left="567" w:hanging="567"/>
      </w:pPr>
      <w:bookmarkStart w:id="56" w:name="_Toc515529526"/>
      <w:r>
        <w:lastRenderedPageBreak/>
        <w:t>Helping the market deal with redesign and potential decommissioning</w:t>
      </w:r>
      <w:bookmarkEnd w:id="56"/>
    </w:p>
    <w:p w14:paraId="33F2321C" w14:textId="77777777" w:rsidR="00CF07C8" w:rsidRDefault="00224F78" w:rsidP="00CC2A64">
      <w:pPr>
        <w:pStyle w:val="Paragraphtext"/>
      </w:pPr>
      <w:r>
        <w:t xml:space="preserve">As highlighted in this guidance, PHNs have a role in developing markets as part of their commissioning role. PHNs need to be aware of and take into consideration potential adverse consequences for markets, when planning and undertaking decommissioning processes. </w:t>
      </w:r>
    </w:p>
    <w:p w14:paraId="4BC77B95" w14:textId="6D792B85" w:rsidR="00224F78" w:rsidRDefault="00224F78" w:rsidP="00CC2A64">
      <w:pPr>
        <w:pStyle w:val="Paragraphtext"/>
      </w:pPr>
      <w:r>
        <w:t>As part of this, PHNs may need to be cognisant of decommissioned providers’ accumulated experience and expertise, and consider strategies to help them adapt to PHNs’ new requirements. Some of the factors that may assist in adaptation include:</w:t>
      </w:r>
    </w:p>
    <w:p w14:paraId="5B1DFC5F" w14:textId="560AC5FE" w:rsidR="00224F78" w:rsidRDefault="00535088" w:rsidP="00CC2A64">
      <w:pPr>
        <w:pStyle w:val="ListBullet"/>
      </w:pPr>
      <w:r>
        <w:t>T</w:t>
      </w:r>
      <w:r w:rsidR="00224F78">
        <w:t>he market being able to anticipate these changes, which could be helped by the PHN givi</w:t>
      </w:r>
      <w:r>
        <w:t>ng ‘notice’ of potential change</w:t>
      </w:r>
    </w:p>
    <w:p w14:paraId="2867BBFA" w14:textId="2BFA03E0" w:rsidR="00224F78" w:rsidRDefault="00535088" w:rsidP="00CC2A64">
      <w:pPr>
        <w:pStyle w:val="ListBullet"/>
      </w:pPr>
      <w:r>
        <w:t>Co-design with providers</w:t>
      </w:r>
    </w:p>
    <w:p w14:paraId="2EA33C24" w14:textId="42114103" w:rsidR="00224F78" w:rsidRDefault="00535088" w:rsidP="00CC2A64">
      <w:pPr>
        <w:pStyle w:val="ListBullet"/>
      </w:pPr>
      <w:r>
        <w:t>S</w:t>
      </w:r>
      <w:r w:rsidR="00224F78">
        <w:t>upporting adaptation and chang</w:t>
      </w:r>
      <w:r>
        <w:t>e within the provider community</w:t>
      </w:r>
    </w:p>
    <w:p w14:paraId="4746EE25" w14:textId="5F9619D3" w:rsidR="00224F78" w:rsidRDefault="00535088" w:rsidP="00CC2A64">
      <w:pPr>
        <w:pStyle w:val="ListBullet"/>
      </w:pPr>
      <w:r>
        <w:t>E</w:t>
      </w:r>
      <w:r w:rsidR="00224F78">
        <w:t>ncouraging providers to wo</w:t>
      </w:r>
      <w:r>
        <w:t>rk with others in consortia</w:t>
      </w:r>
    </w:p>
    <w:p w14:paraId="0752D84A" w14:textId="2650EE0A" w:rsidR="00224F78" w:rsidRPr="00224F78" w:rsidRDefault="00535088" w:rsidP="00CC2A64">
      <w:pPr>
        <w:pStyle w:val="ListBullet"/>
      </w:pPr>
      <w:r>
        <w:t>C</w:t>
      </w:r>
      <w:r w:rsidR="00224F78">
        <w:t>apacity building, as discussed above.</w:t>
      </w:r>
    </w:p>
    <w:p w14:paraId="7129D38E" w14:textId="77777777" w:rsidR="00253094" w:rsidRDefault="00253094">
      <w:pPr>
        <w:rPr>
          <w:rFonts w:cs="Arial"/>
          <w:b/>
          <w:bCs/>
          <w:color w:val="153A6E"/>
          <w:kern w:val="28"/>
          <w:sz w:val="36"/>
          <w:szCs w:val="32"/>
        </w:rPr>
      </w:pPr>
      <w:bookmarkStart w:id="57" w:name="_Toc504119843"/>
      <w:bookmarkStart w:id="58" w:name="_Toc504119844"/>
      <w:bookmarkStart w:id="59" w:name="_Toc504119850"/>
      <w:bookmarkStart w:id="60" w:name="_Toc515529527"/>
      <w:bookmarkEnd w:id="57"/>
      <w:bookmarkEnd w:id="58"/>
      <w:bookmarkEnd w:id="59"/>
      <w:r>
        <w:br w:type="page"/>
      </w:r>
    </w:p>
    <w:p w14:paraId="565BDE9D" w14:textId="3A267A2D" w:rsidR="009F0B99" w:rsidRPr="00DB6D7F" w:rsidRDefault="00863DF9" w:rsidP="00DB6D7F">
      <w:pPr>
        <w:pStyle w:val="Heading1"/>
      </w:pPr>
      <w:r w:rsidRPr="00DB6D7F">
        <w:lastRenderedPageBreak/>
        <w:t>S</w:t>
      </w:r>
      <w:r w:rsidR="0023645F" w:rsidRPr="00DB6D7F">
        <w:t>pecific market considerations</w:t>
      </w:r>
      <w:bookmarkEnd w:id="60"/>
      <w:r w:rsidR="0023645F" w:rsidRPr="00DB6D7F">
        <w:t xml:space="preserve"> </w:t>
      </w:r>
    </w:p>
    <w:p w14:paraId="0B05A4CC" w14:textId="1A960278" w:rsidR="007B6CE3" w:rsidRPr="009D4319" w:rsidRDefault="007B6CE3" w:rsidP="003E2CB3">
      <w:pPr>
        <w:pStyle w:val="Heading2"/>
      </w:pPr>
      <w:bookmarkStart w:id="61" w:name="_Toc515529528"/>
      <w:r w:rsidRPr="009D4319">
        <w:t>Aboriginal and Torres Strait Is</w:t>
      </w:r>
      <w:r>
        <w:t>lander health</w:t>
      </w:r>
      <w:bookmarkEnd w:id="61"/>
    </w:p>
    <w:p w14:paraId="6BD2F436" w14:textId="2B2EDA4B" w:rsidR="000226DE" w:rsidRPr="000226DE" w:rsidRDefault="000226DE" w:rsidP="00CC2A64">
      <w:pPr>
        <w:pStyle w:val="Paragraphtext"/>
      </w:pPr>
      <w:r w:rsidRPr="00C441D0">
        <w:t>PHNs should tak</w:t>
      </w:r>
      <w:r w:rsidR="00172BC6">
        <w:t xml:space="preserve">e into account the </w:t>
      </w:r>
      <w:r w:rsidRPr="00C441D0">
        <w:t>Guiding Principles</w:t>
      </w:r>
      <w:r w:rsidR="004E0FAF" w:rsidRPr="003D5106">
        <w:rPr>
          <w:rStyle w:val="FootnoteReference"/>
        </w:rPr>
        <w:t xml:space="preserve"> </w:t>
      </w:r>
      <w:r w:rsidR="004E0FAF" w:rsidRPr="00780F45">
        <w:rPr>
          <w:rStyle w:val="FootnoteReference"/>
        </w:rPr>
        <w:footnoteReference w:id="15"/>
      </w:r>
      <w:r w:rsidR="00943B20">
        <w:t>,</w:t>
      </w:r>
      <w:r w:rsidRPr="00C441D0">
        <w:t xml:space="preserve"> which recognise the commitment by PHNs and ACCHS to work together to improve </w:t>
      </w:r>
      <w:r w:rsidR="000817A9" w:rsidRPr="00C441D0">
        <w:t xml:space="preserve">access to health services and improve </w:t>
      </w:r>
      <w:r w:rsidR="00F67F6B">
        <w:t xml:space="preserve">health </w:t>
      </w:r>
      <w:r w:rsidRPr="00C441D0">
        <w:t xml:space="preserve">outcomes for Aboriginal and Torres Strait Islander people. </w:t>
      </w:r>
      <w:r w:rsidR="009F2B82">
        <w:t>D</w:t>
      </w:r>
      <w:r w:rsidRPr="00C441D0">
        <w:t>eve</w:t>
      </w:r>
      <w:r w:rsidR="00172BC6">
        <w:t>loped in consultation with ACCHS</w:t>
      </w:r>
      <w:r w:rsidRPr="00C441D0">
        <w:t xml:space="preserve"> and PHNs</w:t>
      </w:r>
      <w:r w:rsidR="009F2B82">
        <w:t xml:space="preserve">, </w:t>
      </w:r>
      <w:r w:rsidR="00515C34">
        <w:t xml:space="preserve">the Guiding Principles </w:t>
      </w:r>
      <w:r w:rsidRPr="00C441D0">
        <w:t xml:space="preserve">provide guidance for </w:t>
      </w:r>
      <w:r w:rsidR="00C430E9" w:rsidRPr="00C441D0">
        <w:t>actions to be taken by each party across</w:t>
      </w:r>
      <w:r w:rsidR="00C430E9">
        <w:t xml:space="preserve"> </w:t>
      </w:r>
      <w:r w:rsidR="00943B20">
        <w:t>the following</w:t>
      </w:r>
      <w:r w:rsidR="00943B20" w:rsidRPr="00C441D0">
        <w:t xml:space="preserve"> </w:t>
      </w:r>
      <w:r w:rsidRPr="00C441D0">
        <w:t>key domains:</w:t>
      </w:r>
      <w:r w:rsidR="00C430E9">
        <w:t xml:space="preserve"> Closing the Gap</w:t>
      </w:r>
      <w:r w:rsidRPr="00C441D0">
        <w:t>, cultural competency, commissioning, engagement and representation, accountability, data and reporting, service delivery, and research.</w:t>
      </w:r>
    </w:p>
    <w:p w14:paraId="728FE725" w14:textId="77777777" w:rsidR="007B6CE3" w:rsidRPr="009D4319" w:rsidRDefault="007B6CE3" w:rsidP="00E368D8">
      <w:pPr>
        <w:pStyle w:val="Heading3"/>
      </w:pPr>
      <w:bookmarkStart w:id="62" w:name="_Toc515529529"/>
      <w:r w:rsidRPr="009D4319">
        <w:t>Aboriginal and Torres Strait Islander Health Coalition/Partnership</w:t>
      </w:r>
      <w:bookmarkEnd w:id="62"/>
    </w:p>
    <w:p w14:paraId="70A06C2E" w14:textId="75420671" w:rsidR="005C083E" w:rsidRDefault="005C083E" w:rsidP="00CC2A64">
      <w:pPr>
        <w:pStyle w:val="Paragraphtext"/>
      </w:pPr>
      <w:r>
        <w:t xml:space="preserve">PHNs and many mainstream service providers have existing relationships with the Indigenous health sector and it </w:t>
      </w:r>
      <w:r w:rsidR="004E0FAF">
        <w:t>is important</w:t>
      </w:r>
      <w:r>
        <w:t xml:space="preserve"> that these collaborative linkages are ma</w:t>
      </w:r>
      <w:r w:rsidR="00DD58B2">
        <w:t>intained and further developed.</w:t>
      </w:r>
      <w:r>
        <w:t xml:space="preserve"> In seeking to strengthen these relationships and form partnerships, there are a number of considerations, including:</w:t>
      </w:r>
    </w:p>
    <w:p w14:paraId="2648E6E8" w14:textId="1B244270" w:rsidR="005C083E" w:rsidRDefault="005C083E" w:rsidP="00CC2A64">
      <w:pPr>
        <w:pStyle w:val="ListBullet"/>
      </w:pPr>
      <w:r w:rsidRPr="00E36019">
        <w:t xml:space="preserve">Before any partnership can be formed, PHNs and </w:t>
      </w:r>
      <w:r w:rsidR="003C3862">
        <w:t xml:space="preserve">commissioned service </w:t>
      </w:r>
      <w:r w:rsidRPr="00E36019">
        <w:t xml:space="preserve">providers should </w:t>
      </w:r>
      <w:r w:rsidR="003C3862" w:rsidRPr="00E36019">
        <w:t>be undertaking a range of activities to ensure that they are culturally safe in their practices. PHN</w:t>
      </w:r>
      <w:r w:rsidR="003C3862">
        <w:t>s are required to ensure that all of their</w:t>
      </w:r>
      <w:r w:rsidR="003C3862" w:rsidRPr="00E36019">
        <w:t xml:space="preserve"> commissioned service providers are culturally safe, aware and appropriat</w:t>
      </w:r>
      <w:r w:rsidR="001F520A">
        <w:t>e in their delivery of services</w:t>
      </w:r>
      <w:r w:rsidR="00712398">
        <w:t>.</w:t>
      </w:r>
    </w:p>
    <w:p w14:paraId="51CB0B41" w14:textId="0E953C96" w:rsidR="003C3862" w:rsidRDefault="003C3862" w:rsidP="00CC2A64">
      <w:pPr>
        <w:pStyle w:val="ListBullet"/>
      </w:pPr>
      <w:r>
        <w:t>It is necessary to treat Aboriginal and Torres Strait Islander health as its own paradigm with its own values</w:t>
      </w:r>
      <w:r w:rsidR="001F520A">
        <w:t>, strategies, contexts and KPIs</w:t>
      </w:r>
      <w:r w:rsidR="00712398">
        <w:t>.</w:t>
      </w:r>
    </w:p>
    <w:p w14:paraId="2893401A" w14:textId="0E420E0D" w:rsidR="007B6CE3" w:rsidRDefault="003C3862" w:rsidP="00CC2A64">
      <w:pPr>
        <w:pStyle w:val="ListBullet"/>
      </w:pPr>
      <w:r>
        <w:t>To support commissioning primary health care services for Aboriginal and Torres Strait Islander people, c</w:t>
      </w:r>
      <w:r w:rsidR="007B6CE3">
        <w:t>ollaborative relationship</w:t>
      </w:r>
      <w:r w:rsidR="00DD58B2">
        <w:t>s</w:t>
      </w:r>
      <w:r w:rsidR="007B6CE3">
        <w:t xml:space="preserve"> with a coalition</w:t>
      </w:r>
      <w:r w:rsidR="00E36019">
        <w:t xml:space="preserve"> or partnership approach</w:t>
      </w:r>
      <w:r w:rsidR="00F67F6B">
        <w:t xml:space="preserve"> should be pursued</w:t>
      </w:r>
      <w:r w:rsidR="00712398">
        <w:t>.</w:t>
      </w:r>
    </w:p>
    <w:p w14:paraId="340EFBD7" w14:textId="0448094A" w:rsidR="007B6CE3" w:rsidRDefault="007B6CE3" w:rsidP="00CC2A64">
      <w:pPr>
        <w:pStyle w:val="ListBullet"/>
      </w:pPr>
      <w:r>
        <w:t>This coalition/partnership approach should have the goals of:</w:t>
      </w:r>
    </w:p>
    <w:p w14:paraId="3DE02B24" w14:textId="029469D7" w:rsidR="007B6CE3" w:rsidRDefault="001F520A" w:rsidP="00CC2A64">
      <w:pPr>
        <w:pStyle w:val="ListBullet2"/>
      </w:pPr>
      <w:r>
        <w:t>E</w:t>
      </w:r>
      <w:r w:rsidR="00F91C3B">
        <w:t xml:space="preserve">nsuring sharing of </w:t>
      </w:r>
      <w:r w:rsidR="009F02CF">
        <w:t xml:space="preserve">power </w:t>
      </w:r>
      <w:r w:rsidR="00F91C3B">
        <w:t>and</w:t>
      </w:r>
      <w:r w:rsidR="007B6CE3">
        <w:t xml:space="preserve"> decision-making between the PHN and coalition participants</w:t>
      </w:r>
      <w:r w:rsidR="00F91C3B">
        <w:t>, for example through steering groups</w:t>
      </w:r>
      <w:r w:rsidR="001B403D">
        <w:t>;</w:t>
      </w:r>
      <w:r w:rsidR="00F91C3B">
        <w:t xml:space="preserve"> </w:t>
      </w:r>
      <w:r w:rsidR="001B403D">
        <w:t xml:space="preserve">the </w:t>
      </w:r>
      <w:r w:rsidR="00F91C3B">
        <w:t>PHN joining local community groups</w:t>
      </w:r>
      <w:r w:rsidR="001B403D">
        <w:t>;</w:t>
      </w:r>
      <w:r w:rsidR="00F91C3B">
        <w:t xml:space="preserve"> </w:t>
      </w:r>
      <w:r w:rsidR="001B403D">
        <w:t xml:space="preserve">or </w:t>
      </w:r>
      <w:r w:rsidR="00F91C3B">
        <w:t>joint committees. The choices for creating shared approaches to decision making are down to local needs</w:t>
      </w:r>
      <w:r w:rsidR="009F02CF">
        <w:t xml:space="preserve"> and</w:t>
      </w:r>
      <w:r w:rsidR="00F91C3B">
        <w:t xml:space="preserve"> relationships</w:t>
      </w:r>
      <w:r w:rsidR="009F02CF">
        <w:t>,</w:t>
      </w:r>
      <w:r w:rsidR="00F91C3B">
        <w:t xml:space="preserve"> and should be guided by the PHN</w:t>
      </w:r>
      <w:r w:rsidR="009F02CF">
        <w:t>’s</w:t>
      </w:r>
      <w:r w:rsidR="00F91C3B">
        <w:t xml:space="preserve"> constitution</w:t>
      </w:r>
      <w:r w:rsidR="00712398">
        <w:t>.</w:t>
      </w:r>
    </w:p>
    <w:p w14:paraId="5BE3DB38" w14:textId="06ECC34B" w:rsidR="007B6CE3" w:rsidRDefault="001F520A" w:rsidP="00CC2A64">
      <w:pPr>
        <w:pStyle w:val="ListBullet2"/>
      </w:pPr>
      <w:r>
        <w:t>O</w:t>
      </w:r>
      <w:r w:rsidR="007B6CE3">
        <w:t>verseeing and co-ordinating Aboriginal</w:t>
      </w:r>
      <w:r w:rsidR="009F02CF">
        <w:t xml:space="preserve"> and Torres Strait Islander</w:t>
      </w:r>
      <w:r w:rsidR="007B6CE3">
        <w:t xml:space="preserve"> ‘buy-in’ and community engagement</w:t>
      </w:r>
      <w:r w:rsidR="00712398">
        <w:t>.</w:t>
      </w:r>
    </w:p>
    <w:p w14:paraId="4F5DD6B3" w14:textId="440CD3C9" w:rsidR="007B6CE3" w:rsidRDefault="001F520A" w:rsidP="00CC2A64">
      <w:pPr>
        <w:pStyle w:val="ListBullet2"/>
      </w:pPr>
      <w:r>
        <w:t>O</w:t>
      </w:r>
      <w:r w:rsidR="007B6CE3">
        <w:t>verseeing the co-commissioning process</w:t>
      </w:r>
      <w:r w:rsidR="00712398">
        <w:t>.</w:t>
      </w:r>
    </w:p>
    <w:p w14:paraId="3121A9A3" w14:textId="3B25A10F" w:rsidR="009F02CF" w:rsidRDefault="001F520A" w:rsidP="00CC2A64">
      <w:pPr>
        <w:pStyle w:val="ListBullet2"/>
      </w:pPr>
      <w:r>
        <w:t>E</w:t>
      </w:r>
      <w:r w:rsidR="009F02CF">
        <w:t>nsur</w:t>
      </w:r>
      <w:r>
        <w:t>ing probity in co-commissioning</w:t>
      </w:r>
      <w:r w:rsidR="00712398">
        <w:t>.</w:t>
      </w:r>
    </w:p>
    <w:p w14:paraId="5E026552" w14:textId="1B266E33" w:rsidR="007B6CE3" w:rsidRDefault="001F520A" w:rsidP="00CC2A64">
      <w:pPr>
        <w:pStyle w:val="ListBullet2"/>
      </w:pPr>
      <w:r>
        <w:t>J</w:t>
      </w:r>
      <w:r w:rsidR="007B6CE3">
        <w:t>ointly deciding what success looks like and the KPI</w:t>
      </w:r>
      <w:r w:rsidR="003A335F">
        <w:t>s, tools and methods to measure</w:t>
      </w:r>
      <w:r w:rsidR="001B403D">
        <w:t> </w:t>
      </w:r>
      <w:r w:rsidR="007B6CE3">
        <w:t>it</w:t>
      </w:r>
      <w:r w:rsidR="00712398">
        <w:t>.</w:t>
      </w:r>
    </w:p>
    <w:p w14:paraId="1FE7BF46" w14:textId="0A766C09" w:rsidR="007B6CE3" w:rsidRDefault="001F520A" w:rsidP="00CC2A64">
      <w:pPr>
        <w:pStyle w:val="ListBullet2"/>
      </w:pPr>
      <w:r>
        <w:t>J</w:t>
      </w:r>
      <w:r w:rsidR="00F67F6B">
        <w:t>ointly responding when there is potenti</w:t>
      </w:r>
      <w:r w:rsidR="00F91C3B">
        <w:t>al for</w:t>
      </w:r>
      <w:r w:rsidR="009F02CF">
        <w:t>,</w:t>
      </w:r>
      <w:r w:rsidR="00F91C3B">
        <w:t xml:space="preserve"> or actual market failure</w:t>
      </w:r>
      <w:r w:rsidR="009F02CF">
        <w:t>.</w:t>
      </w:r>
    </w:p>
    <w:p w14:paraId="2A3A4C7F" w14:textId="5C461CAF" w:rsidR="007B6CE3" w:rsidRPr="009D4319" w:rsidRDefault="007B6CE3" w:rsidP="003E2CB3">
      <w:pPr>
        <w:pStyle w:val="Heading2"/>
      </w:pPr>
      <w:bookmarkStart w:id="63" w:name="_Toc515529530"/>
      <w:proofErr w:type="gramStart"/>
      <w:r w:rsidRPr="009D4319">
        <w:lastRenderedPageBreak/>
        <w:t>Cohort or Paradigm?</w:t>
      </w:r>
      <w:bookmarkEnd w:id="63"/>
      <w:proofErr w:type="gramEnd"/>
    </w:p>
    <w:p w14:paraId="2E8BD0A5" w14:textId="13B2B8F7" w:rsidR="005F4043" w:rsidRPr="002F29FC" w:rsidRDefault="00F67F6B" w:rsidP="00CC2A64">
      <w:pPr>
        <w:pStyle w:val="Paragraphtext"/>
      </w:pPr>
      <w:r w:rsidRPr="00F67F6B">
        <w:t>It is necessary to treat Aboriginal and Torres Strait Islander health as its own paradigm with its own values, strategies, contexts and KPIs.</w:t>
      </w:r>
      <w:r>
        <w:t xml:space="preserve"> </w:t>
      </w:r>
      <w:r w:rsidR="00B13DE2">
        <w:t>This</w:t>
      </w:r>
      <w:r w:rsidR="007B6CE3">
        <w:t xml:space="preserve"> should not be planned using a simple cohort-based or epidemiological planning model alone. Aboriginal and Torres Strait Islander health care is at its best, paradigmatic, and requires solid strategic partnerships with Aboriginal and Torres Strait Islander organisations and communities</w:t>
      </w:r>
      <w:r w:rsidR="00C77B29">
        <w:t>,</w:t>
      </w:r>
      <w:r w:rsidR="007B6CE3">
        <w:t xml:space="preserve"> to ensure mitigation of </w:t>
      </w:r>
      <w:r w:rsidR="00BE13F1">
        <w:t>a</w:t>
      </w:r>
      <w:r w:rsidR="007B6CE3">
        <w:t>ny unplanned for bias in making market analysis and needs assessment decisions</w:t>
      </w:r>
      <w:r w:rsidR="003F58C7">
        <w:t>.</w:t>
      </w:r>
      <w:r w:rsidR="00C3469E">
        <w:t xml:space="preserve"> These important issues are broadly reflected in the Guiding Principles</w:t>
      </w:r>
      <w:r w:rsidR="00780F45">
        <w:t>.</w:t>
      </w:r>
      <w:r w:rsidR="00780F45">
        <w:rPr>
          <w:rStyle w:val="FootnoteReference"/>
        </w:rPr>
        <w:footnoteReference w:id="16"/>
      </w:r>
      <w:bookmarkStart w:id="64" w:name="_Toc504119852"/>
      <w:bookmarkStart w:id="65" w:name="_Toc504119856"/>
      <w:bookmarkStart w:id="66" w:name="_Toc504119858"/>
      <w:bookmarkStart w:id="67" w:name="_Toc504119860"/>
      <w:bookmarkStart w:id="68" w:name="_Toc504119861"/>
      <w:bookmarkEnd w:id="16"/>
      <w:bookmarkEnd w:id="17"/>
      <w:bookmarkEnd w:id="18"/>
      <w:bookmarkEnd w:id="64"/>
      <w:bookmarkEnd w:id="65"/>
      <w:bookmarkEnd w:id="66"/>
      <w:bookmarkEnd w:id="67"/>
      <w:bookmarkEnd w:id="68"/>
    </w:p>
    <w:sectPr w:rsidR="005F4043" w:rsidRPr="002F29FC" w:rsidSect="0023645F">
      <w:headerReference w:type="even" r:id="rId17"/>
      <w:headerReference w:type="default" r:id="rId18"/>
      <w:headerReference w:type="first" r:id="rId19"/>
      <w:endnotePr>
        <w:numFmt w:val="decimal"/>
      </w:endnotePr>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9E9BE" w14:textId="77777777" w:rsidR="00632254" w:rsidRDefault="00632254" w:rsidP="000A3256">
      <w:r>
        <w:separator/>
      </w:r>
    </w:p>
  </w:endnote>
  <w:endnote w:type="continuationSeparator" w:id="0">
    <w:p w14:paraId="28534DBB" w14:textId="77777777" w:rsidR="00632254" w:rsidRDefault="00632254" w:rsidP="000A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FPEF">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894547"/>
      <w:docPartObj>
        <w:docPartGallery w:val="Page Numbers (Bottom of Page)"/>
        <w:docPartUnique/>
      </w:docPartObj>
    </w:sdtPr>
    <w:sdtEndPr>
      <w:rPr>
        <w:noProof/>
      </w:rPr>
    </w:sdtEndPr>
    <w:sdtContent>
      <w:p w14:paraId="681B3BC3" w14:textId="05106673" w:rsidR="00632254" w:rsidRPr="00C170A9" w:rsidRDefault="00632254" w:rsidP="0023645F">
        <w:pPr>
          <w:pStyle w:val="Footer"/>
        </w:pPr>
        <w:r>
          <w:t>Market Making and Development Guidance</w:t>
        </w:r>
        <w:r>
          <w:ptab w:relativeTo="margin" w:alignment="right" w:leader="none"/>
        </w:r>
        <w:r w:rsidRPr="00C170A9">
          <w:fldChar w:fldCharType="begin"/>
        </w:r>
        <w:r w:rsidRPr="00C170A9">
          <w:instrText xml:space="preserve"> PAGE   \* MERGEFORMAT </w:instrText>
        </w:r>
        <w:r w:rsidRPr="00C170A9">
          <w:fldChar w:fldCharType="separate"/>
        </w:r>
        <w:r w:rsidR="00541D06">
          <w:rPr>
            <w:noProof/>
          </w:rPr>
          <w:t>21</w:t>
        </w:r>
        <w:r w:rsidRPr="00C170A9">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14201"/>
      <w:docPartObj>
        <w:docPartGallery w:val="Page Numbers (Bottom of Page)"/>
        <w:docPartUnique/>
      </w:docPartObj>
    </w:sdtPr>
    <w:sdtEndPr>
      <w:rPr>
        <w:noProof/>
      </w:rPr>
    </w:sdtEndPr>
    <w:sdtContent>
      <w:p w14:paraId="0EB60A38" w14:textId="1DAAE858" w:rsidR="00632254" w:rsidRDefault="006322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251C7" w14:textId="77777777" w:rsidR="00632254" w:rsidRDefault="00632254" w:rsidP="000A3256">
      <w:r>
        <w:separator/>
      </w:r>
    </w:p>
  </w:footnote>
  <w:footnote w:type="continuationSeparator" w:id="0">
    <w:p w14:paraId="6A2B15E5" w14:textId="77777777" w:rsidR="00632254" w:rsidRDefault="00632254" w:rsidP="000A3256">
      <w:r>
        <w:continuationSeparator/>
      </w:r>
    </w:p>
  </w:footnote>
  <w:footnote w:id="1">
    <w:p w14:paraId="5D182A15" w14:textId="4C89E9B7" w:rsidR="00632254" w:rsidRPr="002A245C" w:rsidRDefault="00632254" w:rsidP="00564821">
      <w:pPr>
        <w:pStyle w:val="FootnoteText"/>
      </w:pPr>
      <w:r w:rsidRPr="003A335F">
        <w:rPr>
          <w:rStyle w:val="FootnoteReference"/>
          <w:szCs w:val="18"/>
        </w:rPr>
        <w:footnoteRef/>
      </w:r>
      <w:hyperlink w:history="1"/>
      <w:r w:rsidRPr="003A335F">
        <w:rPr>
          <w:szCs w:val="18"/>
        </w:rPr>
        <w:t xml:space="preserve"> </w:t>
      </w:r>
      <w:proofErr w:type="gramStart"/>
      <w:r w:rsidRPr="002A245C">
        <w:t>Australian Health Ministers</w:t>
      </w:r>
      <w:r>
        <w:t>’</w:t>
      </w:r>
      <w:r w:rsidRPr="002A245C">
        <w:t xml:space="preserve"> Advisory Council.</w:t>
      </w:r>
      <w:proofErr w:type="gramEnd"/>
      <w:r w:rsidRPr="002A245C">
        <w:t xml:space="preserve"> </w:t>
      </w:r>
      <w:proofErr w:type="gramStart"/>
      <w:r w:rsidRPr="002A245C">
        <w:t>(2016). Cultural Respect Framework 2016-2026 for Aboriginal and Torres Strait Islander Health.</w:t>
      </w:r>
      <w:proofErr w:type="gramEnd"/>
      <w:r w:rsidRPr="002A245C">
        <w:t xml:space="preserve"> Available at: </w:t>
      </w:r>
      <w:r w:rsidRPr="0086259A">
        <w:t>http://www.coaghealthcouncil.gov.au/Publications/Reports</w:t>
      </w:r>
    </w:p>
  </w:footnote>
  <w:footnote w:id="2">
    <w:p w14:paraId="03135062" w14:textId="218D99B8" w:rsidR="00632254" w:rsidRPr="00D6060C" w:rsidRDefault="00632254" w:rsidP="00564821">
      <w:pPr>
        <w:pStyle w:val="FootnoteText"/>
        <w:rPr>
          <w:i/>
        </w:rPr>
      </w:pPr>
      <w:r w:rsidRPr="003A335F">
        <w:rPr>
          <w:rStyle w:val="FootnoteReference"/>
        </w:rPr>
        <w:footnoteRef/>
      </w:r>
      <w:r>
        <w:t xml:space="preserve"> Bainbridge R, </w:t>
      </w:r>
      <w:proofErr w:type="spellStart"/>
      <w:r>
        <w:t>McCalman</w:t>
      </w:r>
      <w:proofErr w:type="spellEnd"/>
      <w:r>
        <w:t xml:space="preserve"> J, Clifford A, and </w:t>
      </w:r>
      <w:proofErr w:type="spellStart"/>
      <w:r>
        <w:t>Tsey</w:t>
      </w:r>
      <w:proofErr w:type="spellEnd"/>
      <w:r>
        <w:t xml:space="preserve"> K. (July 2015). </w:t>
      </w:r>
      <w:r>
        <w:rPr>
          <w:i/>
        </w:rPr>
        <w:t>Cultural competency in the delivery of health services for Indigenous people.</w:t>
      </w:r>
      <w:r>
        <w:t xml:space="preserve"> </w:t>
      </w:r>
      <w:r>
        <w:rPr>
          <w:i/>
        </w:rPr>
        <w:t xml:space="preserve">Issues Paper No.13 produced for the </w:t>
      </w:r>
      <w:r w:rsidRPr="00D6060C">
        <w:rPr>
          <w:i/>
        </w:rPr>
        <w:t>Closing the Gap Clearing House</w:t>
      </w:r>
      <w:r>
        <w:rPr>
          <w:i/>
        </w:rPr>
        <w:t>.</w:t>
      </w:r>
      <w:r w:rsidRPr="00D6060C">
        <w:rPr>
          <w:i/>
        </w:rPr>
        <w:t xml:space="preserve"> </w:t>
      </w:r>
      <w:r>
        <w:t xml:space="preserve">Available at: </w:t>
      </w:r>
      <w:r w:rsidRPr="00E048A8">
        <w:t>https://aifs.gov.au/publications/cultural-competency-delivery-health-services-indigenous-people</w:t>
      </w:r>
    </w:p>
  </w:footnote>
  <w:footnote w:id="3">
    <w:p w14:paraId="16FF7088" w14:textId="6A24D1B2" w:rsidR="00632254" w:rsidRPr="002A245C" w:rsidRDefault="00632254" w:rsidP="00564821">
      <w:pPr>
        <w:pStyle w:val="FootnoteText"/>
      </w:pPr>
      <w:r w:rsidRPr="003A335F">
        <w:rPr>
          <w:rStyle w:val="FootnoteReference"/>
        </w:rPr>
        <w:footnoteRef/>
      </w:r>
      <w:r w:rsidRPr="003A335F">
        <w:rPr>
          <w:vertAlign w:val="superscript"/>
        </w:rPr>
        <w:t xml:space="preserve"> </w:t>
      </w:r>
      <w:proofErr w:type="gramStart"/>
      <w:r w:rsidRPr="002A245C">
        <w:t>Australian Health Ministers</w:t>
      </w:r>
      <w:r>
        <w:t>’</w:t>
      </w:r>
      <w:r w:rsidRPr="002A245C">
        <w:t xml:space="preserve"> Advisory Council.</w:t>
      </w:r>
      <w:proofErr w:type="gramEnd"/>
      <w:r w:rsidRPr="002A245C">
        <w:t xml:space="preserve"> </w:t>
      </w:r>
      <w:proofErr w:type="gramStart"/>
      <w:r w:rsidRPr="002A245C">
        <w:t>(2016). Cultural Respect Framework 2016-2026 for Aboriginal and Torres Strait Islander Health.</w:t>
      </w:r>
      <w:proofErr w:type="gramEnd"/>
      <w:r w:rsidRPr="002A245C">
        <w:t xml:space="preserve"> Available at: </w:t>
      </w:r>
      <w:r w:rsidRPr="0086259A">
        <w:t>http://www.coaghealthcoun</w:t>
      </w:r>
      <w:r>
        <w:t>cil.gov.au/Publications/Reports</w:t>
      </w:r>
    </w:p>
  </w:footnote>
  <w:footnote w:id="4">
    <w:p w14:paraId="6CB98055" w14:textId="67716036" w:rsidR="00632254" w:rsidRPr="003A335F" w:rsidRDefault="00632254" w:rsidP="00554533">
      <w:pPr>
        <w:pStyle w:val="FootnoteText"/>
        <w:rPr>
          <w:szCs w:val="18"/>
          <w:lang w:eastAsia="en-AU"/>
        </w:rPr>
      </w:pPr>
      <w:r w:rsidRPr="003A335F">
        <w:rPr>
          <w:rStyle w:val="FootnoteReference"/>
          <w:szCs w:val="18"/>
        </w:rPr>
        <w:footnoteRef/>
      </w:r>
      <w:r w:rsidRPr="003A335F">
        <w:rPr>
          <w:szCs w:val="18"/>
        </w:rPr>
        <w:t xml:space="preserve"> </w:t>
      </w:r>
      <w:proofErr w:type="gramStart"/>
      <w:r w:rsidRPr="003A335F">
        <w:rPr>
          <w:rFonts w:cs="Calibri+FPEF"/>
          <w:szCs w:val="18"/>
          <w:lang w:eastAsia="en-AU"/>
        </w:rPr>
        <w:t>Australian Government Department of Health.</w:t>
      </w:r>
      <w:proofErr w:type="gramEnd"/>
      <w:r w:rsidRPr="003A335F">
        <w:rPr>
          <w:rFonts w:cs="Calibri+FPEF"/>
          <w:szCs w:val="18"/>
          <w:lang w:eastAsia="en-AU"/>
        </w:rPr>
        <w:t xml:space="preserve"> (2016). </w:t>
      </w:r>
      <w:r w:rsidRPr="003A335F">
        <w:rPr>
          <w:i/>
          <w:szCs w:val="18"/>
          <w:lang w:eastAsia="en-AU"/>
        </w:rPr>
        <w:t>Primary Health Networks Grant Programme Guidelines February 2016 – Version 1.2</w:t>
      </w:r>
      <w:r w:rsidRPr="003A335F">
        <w:rPr>
          <w:szCs w:val="18"/>
          <w:lang w:eastAsia="en-AU"/>
        </w:rPr>
        <w:t xml:space="preserve">. </w:t>
      </w:r>
      <w:r w:rsidRPr="003A335F">
        <w:rPr>
          <w:rFonts w:cs="Calibri+FPEF"/>
          <w:szCs w:val="18"/>
          <w:lang w:eastAsia="en-AU"/>
        </w:rPr>
        <w:t>Available at: www.health.gov.au/internet/main/publishing.nsf/Content/PHN-Program_Guidelines</w:t>
      </w:r>
    </w:p>
  </w:footnote>
  <w:footnote w:id="5">
    <w:p w14:paraId="3DADC798" w14:textId="77777777" w:rsidR="00632254" w:rsidRPr="001B4542" w:rsidRDefault="00632254" w:rsidP="00D16517">
      <w:pPr>
        <w:pStyle w:val="FootnoteText"/>
        <w:rPr>
          <w:sz w:val="16"/>
          <w:szCs w:val="16"/>
        </w:rPr>
      </w:pPr>
      <w:r w:rsidRPr="003A335F">
        <w:rPr>
          <w:rStyle w:val="FootnoteReference"/>
          <w:szCs w:val="18"/>
        </w:rPr>
        <w:footnoteRef/>
      </w:r>
      <w:r w:rsidRPr="003A335F">
        <w:rPr>
          <w:szCs w:val="18"/>
        </w:rPr>
        <w:t xml:space="preserve"> Horvath J. (2014). </w:t>
      </w:r>
      <w:proofErr w:type="gramStart"/>
      <w:r w:rsidRPr="003A335F">
        <w:rPr>
          <w:i/>
          <w:szCs w:val="18"/>
        </w:rPr>
        <w:t>Review of Medicare Locals – Report to the Minister for Health and Minister for Sport</w:t>
      </w:r>
      <w:r w:rsidRPr="003A335F">
        <w:rPr>
          <w:szCs w:val="18"/>
        </w:rPr>
        <w:t>.</w:t>
      </w:r>
      <w:proofErr w:type="gramEnd"/>
      <w:r w:rsidRPr="003A335F">
        <w:rPr>
          <w:szCs w:val="18"/>
        </w:rPr>
        <w:t xml:space="preserve"> </w:t>
      </w:r>
      <w:proofErr w:type="gramStart"/>
      <w:r w:rsidRPr="003A335F">
        <w:rPr>
          <w:szCs w:val="18"/>
        </w:rPr>
        <w:t>Recommendation 1.</w:t>
      </w:r>
      <w:proofErr w:type="gramEnd"/>
      <w:r w:rsidRPr="003A335F">
        <w:rPr>
          <w:szCs w:val="18"/>
        </w:rPr>
        <w:t xml:space="preserve"> Available at: http://www.health.gov.au/internet/main/Publishing.nsf/Content/review-medicare-locals-final-report</w:t>
      </w:r>
    </w:p>
  </w:footnote>
  <w:footnote w:id="6">
    <w:p w14:paraId="46F4735F" w14:textId="013CC14D" w:rsidR="00632254" w:rsidRDefault="00632254">
      <w:pPr>
        <w:pStyle w:val="FootnoteText"/>
      </w:pPr>
      <w:r>
        <w:rPr>
          <w:rStyle w:val="FootnoteReference"/>
        </w:rPr>
        <w:footnoteRef/>
      </w:r>
      <w:r>
        <w:t xml:space="preserve"> </w:t>
      </w:r>
      <w:proofErr w:type="gramStart"/>
      <w:r w:rsidRPr="000450E6">
        <w:rPr>
          <w:szCs w:val="18"/>
        </w:rPr>
        <w:t>Australian Government Department of Health.</w:t>
      </w:r>
      <w:proofErr w:type="gramEnd"/>
      <w:r w:rsidRPr="000450E6">
        <w:rPr>
          <w:szCs w:val="18"/>
        </w:rPr>
        <w:t xml:space="preserve"> (2018). </w:t>
      </w:r>
      <w:r>
        <w:rPr>
          <w:i/>
          <w:szCs w:val="18"/>
        </w:rPr>
        <w:t>Commissioning for Outcomes Discussion Paper</w:t>
      </w:r>
      <w:r w:rsidRPr="000450E6">
        <w:rPr>
          <w:i/>
          <w:szCs w:val="18"/>
        </w:rPr>
        <w:t xml:space="preserve">. </w:t>
      </w:r>
      <w:proofErr w:type="gramStart"/>
      <w:r w:rsidRPr="000450E6">
        <w:rPr>
          <w:szCs w:val="18"/>
        </w:rPr>
        <w:t>(Unpublished).</w:t>
      </w:r>
      <w:proofErr w:type="gramEnd"/>
    </w:p>
  </w:footnote>
  <w:footnote w:id="7">
    <w:p w14:paraId="1AF88298" w14:textId="77777777" w:rsidR="00632254" w:rsidRPr="007A242F" w:rsidRDefault="00632254" w:rsidP="003D5106">
      <w:pPr>
        <w:pStyle w:val="FootnoteText"/>
        <w:rPr>
          <w:szCs w:val="18"/>
        </w:rPr>
      </w:pPr>
      <w:r w:rsidRPr="007A242F">
        <w:rPr>
          <w:rStyle w:val="FootnoteReference"/>
          <w:szCs w:val="18"/>
        </w:rPr>
        <w:footnoteRef/>
      </w:r>
      <w:r w:rsidRPr="007A242F">
        <w:rPr>
          <w:szCs w:val="18"/>
        </w:rPr>
        <w:t xml:space="preserve"> </w:t>
      </w:r>
      <w:r w:rsidRPr="007A242F">
        <w:rPr>
          <w:i/>
          <w:szCs w:val="18"/>
        </w:rPr>
        <w:t>PHN and Aboriginal Community Controlled Health Organisations (ACCHOs) - Guiding Principles</w:t>
      </w:r>
      <w:r w:rsidRPr="007A242F">
        <w:rPr>
          <w:szCs w:val="18"/>
        </w:rPr>
        <w:t>. 2015. Available at: http://www.health.gov.au/internet/main/publishing.nsf/Content/PHN-Accho</w:t>
      </w:r>
    </w:p>
  </w:footnote>
  <w:footnote w:id="8">
    <w:p w14:paraId="4AB6C5DA" w14:textId="77777777" w:rsidR="00632254" w:rsidRPr="007A242F" w:rsidRDefault="00632254" w:rsidP="003D5106">
      <w:pPr>
        <w:pStyle w:val="FootnoteText"/>
        <w:rPr>
          <w:szCs w:val="18"/>
        </w:rPr>
      </w:pPr>
      <w:r w:rsidRPr="007A242F">
        <w:rPr>
          <w:rStyle w:val="FootnoteReference"/>
          <w:szCs w:val="18"/>
        </w:rPr>
        <w:footnoteRef/>
      </w:r>
      <w:r w:rsidRPr="007A242F">
        <w:rPr>
          <w:szCs w:val="18"/>
        </w:rPr>
        <w:t xml:space="preserve"> </w:t>
      </w:r>
      <w:r w:rsidRPr="007A242F">
        <w:rPr>
          <w:i/>
          <w:szCs w:val="18"/>
        </w:rPr>
        <w:t>PHN and Aboriginal Community Controlled Health Organisations (ACCHOs) - Guiding Principles</w:t>
      </w:r>
      <w:r w:rsidRPr="007A242F">
        <w:rPr>
          <w:szCs w:val="18"/>
        </w:rPr>
        <w:t>. 2015. Available at: http://www.health.gov.au/internet/main/publishing.nsf/Content/PHN-Accho</w:t>
      </w:r>
    </w:p>
  </w:footnote>
  <w:footnote w:id="9">
    <w:p w14:paraId="26476B93" w14:textId="6AF77B0E" w:rsidR="00632254" w:rsidRDefault="00632254" w:rsidP="00CC2A64">
      <w:pPr>
        <w:pStyle w:val="FootnoteText"/>
      </w:pPr>
      <w:r w:rsidRPr="007A242F">
        <w:rPr>
          <w:rStyle w:val="FootnoteReference"/>
          <w:szCs w:val="18"/>
        </w:rPr>
        <w:footnoteRef/>
      </w:r>
      <w:r w:rsidRPr="007A242F">
        <w:rPr>
          <w:szCs w:val="18"/>
        </w:rPr>
        <w:t xml:space="preserve"> </w:t>
      </w:r>
      <w:hyperlink w:history="1"/>
      <w:proofErr w:type="gramStart"/>
      <w:r w:rsidRPr="007A242F">
        <w:rPr>
          <w:szCs w:val="18"/>
        </w:rPr>
        <w:t>Australian Government Department of Health.</w:t>
      </w:r>
      <w:proofErr w:type="gramEnd"/>
      <w:r w:rsidRPr="007A242F">
        <w:rPr>
          <w:szCs w:val="18"/>
        </w:rPr>
        <w:t xml:space="preserve"> </w:t>
      </w:r>
      <w:proofErr w:type="gramStart"/>
      <w:r w:rsidRPr="007A242F">
        <w:rPr>
          <w:szCs w:val="18"/>
        </w:rPr>
        <w:t xml:space="preserve">(2016). </w:t>
      </w:r>
      <w:r w:rsidRPr="007A242F">
        <w:rPr>
          <w:i/>
          <w:szCs w:val="18"/>
        </w:rPr>
        <w:t>Designing and Contracting Services Guidance.</w:t>
      </w:r>
      <w:proofErr w:type="gramEnd"/>
      <w:r w:rsidRPr="007A242F">
        <w:rPr>
          <w:i/>
          <w:szCs w:val="18"/>
        </w:rPr>
        <w:t xml:space="preserve"> </w:t>
      </w:r>
      <w:r w:rsidRPr="007A242F">
        <w:rPr>
          <w:szCs w:val="18"/>
        </w:rPr>
        <w:t>Available at: http://www.health.gov.au/internet/main/publishing.nsf/Content/PHNCommissioningResources</w:t>
      </w:r>
    </w:p>
  </w:footnote>
  <w:footnote w:id="10">
    <w:p w14:paraId="5AE5D486" w14:textId="2FC65E71" w:rsidR="00632254" w:rsidRPr="007A242F" w:rsidRDefault="00632254">
      <w:pPr>
        <w:pStyle w:val="FootnoteText"/>
        <w:rPr>
          <w:szCs w:val="18"/>
        </w:rPr>
      </w:pPr>
      <w:r w:rsidRPr="007A242F">
        <w:rPr>
          <w:rStyle w:val="FootnoteReference"/>
          <w:szCs w:val="18"/>
        </w:rPr>
        <w:footnoteRef/>
      </w:r>
      <w:r w:rsidRPr="007A242F">
        <w:rPr>
          <w:szCs w:val="18"/>
        </w:rPr>
        <w:t xml:space="preserve"> </w:t>
      </w:r>
      <w:proofErr w:type="gramStart"/>
      <w:r w:rsidRPr="007A242F">
        <w:rPr>
          <w:szCs w:val="18"/>
        </w:rPr>
        <w:t>Australian Government Department of Health.</w:t>
      </w:r>
      <w:proofErr w:type="gramEnd"/>
      <w:r w:rsidRPr="007A242F">
        <w:rPr>
          <w:szCs w:val="18"/>
        </w:rPr>
        <w:t xml:space="preserve"> </w:t>
      </w:r>
      <w:proofErr w:type="gramStart"/>
      <w:r w:rsidRPr="007A242F">
        <w:rPr>
          <w:szCs w:val="18"/>
        </w:rPr>
        <w:t xml:space="preserve">(2016). </w:t>
      </w:r>
      <w:r w:rsidRPr="007A242F">
        <w:rPr>
          <w:i/>
          <w:szCs w:val="18"/>
        </w:rPr>
        <w:t>Designing and Contracting Services Guidance.</w:t>
      </w:r>
      <w:proofErr w:type="gramEnd"/>
      <w:r w:rsidRPr="007A242F">
        <w:rPr>
          <w:i/>
          <w:szCs w:val="18"/>
        </w:rPr>
        <w:t xml:space="preserve"> </w:t>
      </w:r>
      <w:r w:rsidRPr="007A242F">
        <w:rPr>
          <w:szCs w:val="18"/>
        </w:rPr>
        <w:t>Available at: http://www.health.gov.au/internet/main/publishing.nsf/Content/PHNCommissioningResources</w:t>
      </w:r>
    </w:p>
  </w:footnote>
  <w:footnote w:id="11">
    <w:p w14:paraId="0DA65B80" w14:textId="6FE2D938" w:rsidR="00632254" w:rsidRDefault="00632254" w:rsidP="00CE23F7">
      <w:pPr>
        <w:pStyle w:val="FootnoteText"/>
      </w:pPr>
      <w:r>
        <w:rPr>
          <w:rStyle w:val="FootnoteReference"/>
        </w:rPr>
        <w:footnoteRef/>
      </w:r>
      <w:r>
        <w:t xml:space="preserve"> </w:t>
      </w:r>
      <w:proofErr w:type="gramStart"/>
      <w:r w:rsidRPr="00554533">
        <w:t>Australian Government Department of Health.</w:t>
      </w:r>
      <w:proofErr w:type="gramEnd"/>
      <w:r w:rsidRPr="00554533">
        <w:t xml:space="preserve"> </w:t>
      </w:r>
      <w:proofErr w:type="gramStart"/>
      <w:r w:rsidRPr="00554533">
        <w:t xml:space="preserve">(2016). </w:t>
      </w:r>
      <w:r w:rsidRPr="00BE13F1">
        <w:rPr>
          <w:i/>
        </w:rPr>
        <w:t>Designing and Contracting Services</w:t>
      </w:r>
      <w:r w:rsidRPr="00554533">
        <w:t xml:space="preserve"> Guidance.</w:t>
      </w:r>
      <w:proofErr w:type="gramEnd"/>
      <w:r w:rsidRPr="00554533">
        <w:t xml:space="preserve"> </w:t>
      </w:r>
      <w:r>
        <w:t xml:space="preserve">Available at: </w:t>
      </w:r>
      <w:r w:rsidRPr="00554533">
        <w:t>www.health.gov.au/internet/main/publishing.nsf/Content/PHNCommissioningResources</w:t>
      </w:r>
    </w:p>
  </w:footnote>
  <w:footnote w:id="12">
    <w:p w14:paraId="6E323530" w14:textId="0F6D4A4E" w:rsidR="00632254" w:rsidRPr="00FA5D2F" w:rsidRDefault="00632254">
      <w:pPr>
        <w:pStyle w:val="FootnoteText"/>
      </w:pPr>
      <w:r>
        <w:rPr>
          <w:rStyle w:val="FootnoteReference"/>
        </w:rPr>
        <w:footnoteRef/>
      </w:r>
      <w:r w:rsidRPr="00A144F3">
        <w:rPr>
          <w:szCs w:val="18"/>
        </w:rPr>
        <w:t xml:space="preserve"> NHS England</w:t>
      </w:r>
      <w:r>
        <w:rPr>
          <w:szCs w:val="18"/>
        </w:rPr>
        <w:t>. (2014).</w:t>
      </w:r>
      <w:r w:rsidRPr="00FA5D2F">
        <w:rPr>
          <w:szCs w:val="18"/>
        </w:rPr>
        <w:t xml:space="preserve"> </w:t>
      </w:r>
      <w:proofErr w:type="gramStart"/>
      <w:r w:rsidRPr="00FA5D2F">
        <w:rPr>
          <w:i/>
          <w:szCs w:val="18"/>
        </w:rPr>
        <w:t>Commissioning</w:t>
      </w:r>
      <w:proofErr w:type="gramEnd"/>
      <w:r w:rsidRPr="00FA5D2F">
        <w:rPr>
          <w:i/>
          <w:szCs w:val="18"/>
        </w:rPr>
        <w:t xml:space="preserve"> for Effective Service Transformation: What we have learnt</w:t>
      </w:r>
      <w:r>
        <w:rPr>
          <w:szCs w:val="18"/>
        </w:rPr>
        <w:t xml:space="preserve">. Available at: </w:t>
      </w:r>
      <w:r w:rsidRPr="00FA5D2F">
        <w:rPr>
          <w:szCs w:val="18"/>
        </w:rPr>
        <w:t>www.england.nhs.uk/wp-content/uploads/2014/03/serv-trans-guide.pdf</w:t>
      </w:r>
    </w:p>
  </w:footnote>
  <w:footnote w:id="13">
    <w:p w14:paraId="455ADE9D" w14:textId="1F074642" w:rsidR="00632254" w:rsidRPr="00FA5D2F" w:rsidRDefault="00632254">
      <w:pPr>
        <w:pStyle w:val="FootnoteText"/>
      </w:pPr>
      <w:r w:rsidRPr="00FA5D2F">
        <w:rPr>
          <w:rStyle w:val="FootnoteReference"/>
        </w:rPr>
        <w:footnoteRef/>
      </w:r>
      <w:r w:rsidRPr="00FA5D2F">
        <w:t xml:space="preserve"> </w:t>
      </w:r>
      <w:proofErr w:type="gramStart"/>
      <w:r>
        <w:rPr>
          <w:szCs w:val="18"/>
        </w:rPr>
        <w:t>National Audit Office (</w:t>
      </w:r>
      <w:r w:rsidRPr="00FA5D2F">
        <w:rPr>
          <w:szCs w:val="18"/>
        </w:rPr>
        <w:t>2011</w:t>
      </w:r>
      <w:r>
        <w:rPr>
          <w:szCs w:val="18"/>
        </w:rPr>
        <w:t>).</w:t>
      </w:r>
      <w:proofErr w:type="gramEnd"/>
      <w:r w:rsidRPr="00FA5D2F">
        <w:rPr>
          <w:szCs w:val="18"/>
        </w:rPr>
        <w:t xml:space="preserve"> </w:t>
      </w:r>
      <w:r w:rsidRPr="00FA5D2F">
        <w:rPr>
          <w:i/>
          <w:szCs w:val="18"/>
        </w:rPr>
        <w:t>How to decommission public services delivered by civil society organisations and maintain value for money.</w:t>
      </w:r>
      <w:r>
        <w:rPr>
          <w:i/>
          <w:szCs w:val="18"/>
        </w:rPr>
        <w:t xml:space="preserve"> </w:t>
      </w:r>
      <w:r w:rsidRPr="00FA5D2F">
        <w:rPr>
          <w:szCs w:val="18"/>
        </w:rPr>
        <w:t>Available at:</w:t>
      </w:r>
      <w:r w:rsidRPr="00FA5D2F">
        <w:rPr>
          <w:i/>
          <w:szCs w:val="18"/>
        </w:rPr>
        <w:t xml:space="preserve"> </w:t>
      </w:r>
      <w:r w:rsidRPr="0053276F">
        <w:rPr>
          <w:szCs w:val="18"/>
        </w:rPr>
        <w:t>www.nao.org.uk/decommissioning/</w:t>
      </w:r>
    </w:p>
  </w:footnote>
  <w:footnote w:id="14">
    <w:p w14:paraId="3772C275" w14:textId="6FD123DA" w:rsidR="00632254" w:rsidRDefault="00632254">
      <w:pPr>
        <w:pStyle w:val="FootnoteText"/>
      </w:pPr>
      <w:r w:rsidRPr="00FA5D2F">
        <w:rPr>
          <w:rStyle w:val="FootnoteReference"/>
        </w:rPr>
        <w:footnoteRef/>
      </w:r>
      <w:r w:rsidRPr="00FA5D2F">
        <w:t xml:space="preserve"> </w:t>
      </w:r>
      <w:proofErr w:type="gramStart"/>
      <w:r w:rsidRPr="00BE13F1">
        <w:rPr>
          <w:szCs w:val="18"/>
        </w:rPr>
        <w:t>Australian Government Department of Health.</w:t>
      </w:r>
      <w:proofErr w:type="gramEnd"/>
      <w:r w:rsidRPr="00BE13F1">
        <w:rPr>
          <w:szCs w:val="18"/>
        </w:rPr>
        <w:t xml:space="preserve"> </w:t>
      </w:r>
      <w:proofErr w:type="gramStart"/>
      <w:r w:rsidRPr="00BE13F1">
        <w:rPr>
          <w:szCs w:val="18"/>
        </w:rPr>
        <w:t xml:space="preserve">(2016). </w:t>
      </w:r>
      <w:r w:rsidRPr="00BE13F1">
        <w:rPr>
          <w:i/>
          <w:szCs w:val="18"/>
        </w:rPr>
        <w:t>Designing and Contracting Services Guidance.</w:t>
      </w:r>
      <w:proofErr w:type="gramEnd"/>
      <w:r w:rsidRPr="00BE13F1">
        <w:rPr>
          <w:i/>
          <w:szCs w:val="18"/>
        </w:rPr>
        <w:t xml:space="preserve"> </w:t>
      </w:r>
      <w:r w:rsidRPr="00BE13F1">
        <w:rPr>
          <w:szCs w:val="18"/>
        </w:rPr>
        <w:t>Available at: www.health.gov.au/internet/main/publishing.nsf/Content/PHNCommissioningResources</w:t>
      </w:r>
    </w:p>
  </w:footnote>
  <w:footnote w:id="15">
    <w:p w14:paraId="6E9E1627" w14:textId="63CCD938" w:rsidR="00632254" w:rsidRPr="003A335F" w:rsidRDefault="00632254" w:rsidP="004E0FAF">
      <w:pPr>
        <w:pStyle w:val="FootnoteText"/>
        <w:rPr>
          <w:rFonts w:asciiTheme="minorHAnsi" w:hAnsiTheme="minorHAnsi"/>
          <w:szCs w:val="18"/>
        </w:rPr>
      </w:pPr>
      <w:r w:rsidRPr="003A335F">
        <w:rPr>
          <w:rStyle w:val="FootnoteReference"/>
          <w:szCs w:val="18"/>
        </w:rPr>
        <w:footnoteRef/>
      </w:r>
      <w:r w:rsidRPr="003A335F">
        <w:rPr>
          <w:szCs w:val="18"/>
        </w:rPr>
        <w:t xml:space="preserve"> </w:t>
      </w:r>
      <w:proofErr w:type="gramStart"/>
      <w:r w:rsidRPr="003A335F">
        <w:rPr>
          <w:rFonts w:asciiTheme="minorHAnsi" w:hAnsiTheme="minorHAnsi"/>
          <w:szCs w:val="18"/>
        </w:rPr>
        <w:t>Australian Government Department of Health.</w:t>
      </w:r>
      <w:proofErr w:type="gramEnd"/>
      <w:r w:rsidRPr="003A335F">
        <w:rPr>
          <w:rFonts w:asciiTheme="minorHAnsi" w:hAnsiTheme="minorHAnsi"/>
          <w:szCs w:val="18"/>
        </w:rPr>
        <w:t xml:space="preserve"> (2015). </w:t>
      </w:r>
      <w:r w:rsidRPr="003A335F">
        <w:rPr>
          <w:rFonts w:asciiTheme="minorHAnsi" w:hAnsiTheme="minorHAnsi"/>
          <w:i/>
          <w:szCs w:val="18"/>
        </w:rPr>
        <w:t>PHN and Aboriginal Community Controlled Health Organisations (ACCHOs) - Guiding Principles</w:t>
      </w:r>
      <w:r w:rsidRPr="003A335F">
        <w:rPr>
          <w:rFonts w:asciiTheme="minorHAnsi" w:hAnsiTheme="minorHAnsi"/>
          <w:szCs w:val="18"/>
        </w:rPr>
        <w:t>. Available at: www.health.gov.au/internet/main/publishing.nsf/Content/PHN-Accho</w:t>
      </w:r>
    </w:p>
  </w:footnote>
  <w:footnote w:id="16">
    <w:p w14:paraId="1F4EE935" w14:textId="2F06C65E" w:rsidR="00632254" w:rsidRDefault="00632254">
      <w:pPr>
        <w:pStyle w:val="FootnoteText"/>
      </w:pPr>
      <w:r w:rsidRPr="003A335F">
        <w:rPr>
          <w:rStyle w:val="FootnoteReference"/>
        </w:rPr>
        <w:footnoteRef/>
      </w:r>
      <w:r w:rsidRPr="003A335F">
        <w:rPr>
          <w:vertAlign w:val="superscript"/>
        </w:rPr>
        <w:t xml:space="preserve"> </w:t>
      </w:r>
      <w:proofErr w:type="gramStart"/>
      <w:r w:rsidRPr="007A242F">
        <w:rPr>
          <w:rFonts w:asciiTheme="minorHAnsi" w:hAnsiTheme="minorHAnsi"/>
          <w:szCs w:val="18"/>
        </w:rPr>
        <w:t>Australian Government Department of Health.</w:t>
      </w:r>
      <w:proofErr w:type="gramEnd"/>
      <w:r w:rsidRPr="007A242F">
        <w:rPr>
          <w:rFonts w:asciiTheme="minorHAnsi" w:hAnsiTheme="minorHAnsi"/>
          <w:szCs w:val="18"/>
        </w:rPr>
        <w:t xml:space="preserve"> (2015). </w:t>
      </w:r>
      <w:r w:rsidRPr="007A242F">
        <w:rPr>
          <w:rFonts w:asciiTheme="minorHAnsi" w:hAnsiTheme="minorHAnsi"/>
          <w:i/>
          <w:szCs w:val="18"/>
        </w:rPr>
        <w:t>PHN and Aboriginal Community Controlled Health Organisations (ACCHOs) - Guiding Principles</w:t>
      </w:r>
      <w:r w:rsidRPr="007A242F">
        <w:rPr>
          <w:rFonts w:asciiTheme="minorHAnsi" w:hAnsiTheme="minorHAnsi"/>
          <w:szCs w:val="18"/>
        </w:rPr>
        <w:t>. Available at: www.health.gov.au/internet/main/publishing.nsf/Content/PHN-Accho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F15ED" w14:textId="77777777" w:rsidR="00632254" w:rsidRDefault="00632254" w:rsidP="00521C17">
    <w:pPr>
      <w:pStyle w:val="Header"/>
    </w:pPr>
    <w:r>
      <w:rPr>
        <w:noProof/>
        <w:lang w:eastAsia="en-AU"/>
      </w:rPr>
      <w:drawing>
        <wp:inline distT="0" distB="0" distL="0" distR="0" wp14:anchorId="422921F7" wp14:editId="37DE1615">
          <wp:extent cx="6188710" cy="1069340"/>
          <wp:effectExtent l="0" t="0" r="2540" b="0"/>
          <wp:docPr id="11" name="Picture 11" descr="The Australian Government Department of Health and PHN identifier  "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88710" cy="10693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E5469" w14:textId="5EC03CFF" w:rsidR="00632254" w:rsidRDefault="00632254" w:rsidP="00564821">
    <w:pPr>
      <w:pStyle w:val="Header"/>
      <w:jc w:val="center"/>
    </w:pPr>
    <w:r>
      <w:rPr>
        <w:color w:val="FF0000"/>
      </w:rPr>
      <w:t>Consultation draft – NOT FOR FURTHER DISTRIBUTION</w:t>
    </w:r>
  </w:p>
  <w:p w14:paraId="5D5916E9" w14:textId="77777777" w:rsidR="00632254" w:rsidRDefault="00632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E4176" w14:textId="364CF0A1" w:rsidR="00632254" w:rsidRPr="0023645F" w:rsidRDefault="00632254" w:rsidP="00C45EC5">
    <w:pPr>
      <w:pStyle w:val="Header"/>
    </w:pPr>
    <w:r w:rsidRPr="0023645F">
      <w:ptab w:relativeTo="margin" w:alignment="left" w:leader="none"/>
    </w:r>
    <w:r>
      <w:ptab w:relativeTo="margin" w:alignment="right" w:leader="none"/>
    </w:r>
    <w:r w:rsidR="00541D06">
      <w:fldChar w:fldCharType="begin"/>
    </w:r>
    <w:r w:rsidR="00541D06">
      <w:instrText xml:space="preserve"> STYLEREF  "Section Heading"  \* MERGEFORMAT </w:instrText>
    </w:r>
    <w:r w:rsidR="00541D06">
      <w:fldChar w:fldCharType="separate"/>
    </w:r>
    <w:r w:rsidR="00541D06" w:rsidRPr="00541D06">
      <w:rPr>
        <w:noProof/>
        <w:lang w:val="en-US"/>
      </w:rPr>
      <w:t>Definitions</w:t>
    </w:r>
    <w:r w:rsidR="00541D06">
      <w:rPr>
        <w:noProof/>
      </w:rPr>
      <w:t xml:space="preserve"> of some key terms used in this guidance</w:t>
    </w:r>
    <w:r w:rsidR="00541D06">
      <w:rPr>
        <w:noProof/>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0A841" w14:textId="3B1F9058" w:rsidR="00632254" w:rsidRDefault="006322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BED7E" w14:textId="2FC3D94E" w:rsidR="00632254" w:rsidRPr="0023645F" w:rsidRDefault="00632254" w:rsidP="00BD4E04">
    <w:pPr>
      <w:pStyle w:val="Header"/>
    </w:pPr>
    <w:r w:rsidRPr="0023645F">
      <w:ptab w:relativeTo="margin" w:alignment="left" w:leader="none"/>
    </w:r>
    <w:r>
      <w:ptab w:relativeTo="margin" w:alignment="right" w:leader="none"/>
    </w:r>
    <w:r w:rsidR="00541D06">
      <w:fldChar w:fldCharType="begin"/>
    </w:r>
    <w:r w:rsidR="00541D06">
      <w:instrText xml:space="preserve"> STYLEREF  "Heading 1"  \* MERGEFORMAT </w:instrText>
    </w:r>
    <w:r w:rsidR="00541D06">
      <w:fldChar w:fldCharType="separate"/>
    </w:r>
    <w:r w:rsidR="00541D06" w:rsidRPr="00541D06">
      <w:rPr>
        <w:noProof/>
        <w:lang w:val="en-US"/>
      </w:rPr>
      <w:t>Market</w:t>
    </w:r>
    <w:r w:rsidR="00541D06">
      <w:rPr>
        <w:noProof/>
      </w:rPr>
      <w:t xml:space="preserve"> performance</w:t>
    </w:r>
    <w:r w:rsidR="00541D0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C07A9" w14:textId="184E4061" w:rsidR="00632254" w:rsidRDefault="00632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680068"/>
    <w:lvl w:ilvl="0">
      <w:start w:val="1"/>
      <w:numFmt w:val="bullet"/>
      <w:lvlText w:val="o"/>
      <w:lvlJc w:val="left"/>
      <w:pPr>
        <w:ind w:left="643" w:hanging="360"/>
      </w:pPr>
      <w:rPr>
        <w:rFonts w:ascii="Courier New" w:hAnsi="Courier New" w:cs="Courier New" w:hint="default"/>
      </w:rPr>
    </w:lvl>
  </w:abstractNum>
  <w:abstractNum w:abstractNumId="1">
    <w:nsid w:val="FFFFFF89"/>
    <w:multiLevelType w:val="singleLevel"/>
    <w:tmpl w:val="252C792A"/>
    <w:lvl w:ilvl="0">
      <w:start w:val="1"/>
      <w:numFmt w:val="bullet"/>
      <w:lvlText w:val=""/>
      <w:lvlJc w:val="left"/>
      <w:pPr>
        <w:tabs>
          <w:tab w:val="num" w:pos="360"/>
        </w:tabs>
        <w:ind w:left="360" w:hanging="360"/>
      </w:pPr>
      <w:rPr>
        <w:rFonts w:ascii="Symbol" w:hAnsi="Symbol" w:hint="default"/>
      </w:rPr>
    </w:lvl>
  </w:abstractNum>
  <w:abstractNum w:abstractNumId="2">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4">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5">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7">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9">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AC2463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8"/>
  </w:num>
  <w:num w:numId="3">
    <w:abstractNumId w:val="3"/>
  </w:num>
  <w:num w:numId="4">
    <w:abstractNumId w:val="6"/>
  </w:num>
  <w:num w:numId="5">
    <w:abstractNumId w:val="4"/>
  </w:num>
  <w:num w:numId="6">
    <w:abstractNumId w:val="0"/>
  </w:num>
  <w:num w:numId="7">
    <w:abstractNumId w:val="1"/>
  </w:num>
  <w:num w:numId="8">
    <w:abstractNumId w:val="7"/>
  </w:num>
  <w:num w:numId="9">
    <w:abstractNumId w:val="9"/>
  </w:num>
  <w:num w:numId="10">
    <w:abstractNumId w:val="2"/>
  </w:num>
  <w:num w:numId="11">
    <w:abstractNumId w:val="10"/>
  </w:num>
  <w:num w:numId="12">
    <w:abstractNumId w:val="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6B"/>
    <w:rsid w:val="00000014"/>
    <w:rsid w:val="00001956"/>
    <w:rsid w:val="00001B3F"/>
    <w:rsid w:val="00001BE2"/>
    <w:rsid w:val="000024A3"/>
    <w:rsid w:val="00002B2F"/>
    <w:rsid w:val="000030A3"/>
    <w:rsid w:val="0000349F"/>
    <w:rsid w:val="000034D1"/>
    <w:rsid w:val="00003798"/>
    <w:rsid w:val="0000389F"/>
    <w:rsid w:val="00004108"/>
    <w:rsid w:val="000042D3"/>
    <w:rsid w:val="000055C4"/>
    <w:rsid w:val="00006E05"/>
    <w:rsid w:val="00006E35"/>
    <w:rsid w:val="000079D1"/>
    <w:rsid w:val="00011431"/>
    <w:rsid w:val="00011799"/>
    <w:rsid w:val="00012434"/>
    <w:rsid w:val="000126A4"/>
    <w:rsid w:val="00012C16"/>
    <w:rsid w:val="00013344"/>
    <w:rsid w:val="00013A80"/>
    <w:rsid w:val="00013B60"/>
    <w:rsid w:val="000141E6"/>
    <w:rsid w:val="00014527"/>
    <w:rsid w:val="000148BD"/>
    <w:rsid w:val="00015A37"/>
    <w:rsid w:val="00015C70"/>
    <w:rsid w:val="000169A6"/>
    <w:rsid w:val="00016CA4"/>
    <w:rsid w:val="000171F7"/>
    <w:rsid w:val="000178F7"/>
    <w:rsid w:val="000207B5"/>
    <w:rsid w:val="0002084E"/>
    <w:rsid w:val="00020FEB"/>
    <w:rsid w:val="00020FFC"/>
    <w:rsid w:val="00021018"/>
    <w:rsid w:val="00021705"/>
    <w:rsid w:val="00021757"/>
    <w:rsid w:val="0002226A"/>
    <w:rsid w:val="000226DE"/>
    <w:rsid w:val="00022E59"/>
    <w:rsid w:val="00022EE2"/>
    <w:rsid w:val="0002366E"/>
    <w:rsid w:val="000237FC"/>
    <w:rsid w:val="00023BAA"/>
    <w:rsid w:val="000247EB"/>
    <w:rsid w:val="000252A5"/>
    <w:rsid w:val="0002581E"/>
    <w:rsid w:val="00025913"/>
    <w:rsid w:val="00025D56"/>
    <w:rsid w:val="000260EE"/>
    <w:rsid w:val="000274C8"/>
    <w:rsid w:val="000300A6"/>
    <w:rsid w:val="00030AA9"/>
    <w:rsid w:val="000314A4"/>
    <w:rsid w:val="000315AB"/>
    <w:rsid w:val="0003253A"/>
    <w:rsid w:val="00032D90"/>
    <w:rsid w:val="0003427F"/>
    <w:rsid w:val="000343C8"/>
    <w:rsid w:val="00035FE8"/>
    <w:rsid w:val="0003647B"/>
    <w:rsid w:val="0003697D"/>
    <w:rsid w:val="00036AE5"/>
    <w:rsid w:val="0003715B"/>
    <w:rsid w:val="00037183"/>
    <w:rsid w:val="00037CC5"/>
    <w:rsid w:val="00037F36"/>
    <w:rsid w:val="0004063A"/>
    <w:rsid w:val="000406D3"/>
    <w:rsid w:val="000412E1"/>
    <w:rsid w:val="00041771"/>
    <w:rsid w:val="00041910"/>
    <w:rsid w:val="00041F7F"/>
    <w:rsid w:val="000420B4"/>
    <w:rsid w:val="00042365"/>
    <w:rsid w:val="00042625"/>
    <w:rsid w:val="00042E83"/>
    <w:rsid w:val="00043568"/>
    <w:rsid w:val="00043C00"/>
    <w:rsid w:val="000443B9"/>
    <w:rsid w:val="00044E17"/>
    <w:rsid w:val="00044FF9"/>
    <w:rsid w:val="000450AF"/>
    <w:rsid w:val="000451BC"/>
    <w:rsid w:val="00045806"/>
    <w:rsid w:val="00046C1D"/>
    <w:rsid w:val="00051091"/>
    <w:rsid w:val="00051548"/>
    <w:rsid w:val="000515BD"/>
    <w:rsid w:val="00051D6E"/>
    <w:rsid w:val="00052AE8"/>
    <w:rsid w:val="00052BB6"/>
    <w:rsid w:val="00052F8D"/>
    <w:rsid w:val="00053F8E"/>
    <w:rsid w:val="00054847"/>
    <w:rsid w:val="0005488B"/>
    <w:rsid w:val="000556E5"/>
    <w:rsid w:val="00056120"/>
    <w:rsid w:val="00056627"/>
    <w:rsid w:val="00056891"/>
    <w:rsid w:val="00056F24"/>
    <w:rsid w:val="00057027"/>
    <w:rsid w:val="000570C3"/>
    <w:rsid w:val="00057D25"/>
    <w:rsid w:val="00060710"/>
    <w:rsid w:val="000622B4"/>
    <w:rsid w:val="000626B9"/>
    <w:rsid w:val="00062AFA"/>
    <w:rsid w:val="00064409"/>
    <w:rsid w:val="00065968"/>
    <w:rsid w:val="00065A47"/>
    <w:rsid w:val="00065D18"/>
    <w:rsid w:val="00065EDB"/>
    <w:rsid w:val="000668C1"/>
    <w:rsid w:val="00067C02"/>
    <w:rsid w:val="0007037F"/>
    <w:rsid w:val="00070944"/>
    <w:rsid w:val="00071406"/>
    <w:rsid w:val="00071EE6"/>
    <w:rsid w:val="00072B1E"/>
    <w:rsid w:val="00072FC4"/>
    <w:rsid w:val="000735EE"/>
    <w:rsid w:val="000747D7"/>
    <w:rsid w:val="0007512C"/>
    <w:rsid w:val="000751FD"/>
    <w:rsid w:val="00075A50"/>
    <w:rsid w:val="000777D1"/>
    <w:rsid w:val="00077A98"/>
    <w:rsid w:val="000804F3"/>
    <w:rsid w:val="000810AA"/>
    <w:rsid w:val="000817A9"/>
    <w:rsid w:val="000818CD"/>
    <w:rsid w:val="00081DBA"/>
    <w:rsid w:val="00081EF2"/>
    <w:rsid w:val="00082381"/>
    <w:rsid w:val="0008251D"/>
    <w:rsid w:val="00082E7F"/>
    <w:rsid w:val="00083C39"/>
    <w:rsid w:val="000846D5"/>
    <w:rsid w:val="00084BCF"/>
    <w:rsid w:val="00084DAB"/>
    <w:rsid w:val="00086E07"/>
    <w:rsid w:val="00087B67"/>
    <w:rsid w:val="0009071E"/>
    <w:rsid w:val="00091B59"/>
    <w:rsid w:val="00092C39"/>
    <w:rsid w:val="00093379"/>
    <w:rsid w:val="00093C86"/>
    <w:rsid w:val="00093E53"/>
    <w:rsid w:val="00094200"/>
    <w:rsid w:val="00094CA2"/>
    <w:rsid w:val="000954BD"/>
    <w:rsid w:val="0009565A"/>
    <w:rsid w:val="0009711C"/>
    <w:rsid w:val="000A06DC"/>
    <w:rsid w:val="000A09C6"/>
    <w:rsid w:val="000A0A01"/>
    <w:rsid w:val="000A0D4D"/>
    <w:rsid w:val="000A1B55"/>
    <w:rsid w:val="000A23EB"/>
    <w:rsid w:val="000A2A9E"/>
    <w:rsid w:val="000A2EA7"/>
    <w:rsid w:val="000A3123"/>
    <w:rsid w:val="000A3256"/>
    <w:rsid w:val="000A3E35"/>
    <w:rsid w:val="000A4065"/>
    <w:rsid w:val="000A5C85"/>
    <w:rsid w:val="000A5EC9"/>
    <w:rsid w:val="000A6018"/>
    <w:rsid w:val="000A6811"/>
    <w:rsid w:val="000A6FF6"/>
    <w:rsid w:val="000A793B"/>
    <w:rsid w:val="000A7990"/>
    <w:rsid w:val="000B05D2"/>
    <w:rsid w:val="000B0727"/>
    <w:rsid w:val="000B076A"/>
    <w:rsid w:val="000B105B"/>
    <w:rsid w:val="000B1547"/>
    <w:rsid w:val="000B36AE"/>
    <w:rsid w:val="000B3FC8"/>
    <w:rsid w:val="000B4545"/>
    <w:rsid w:val="000B4BA8"/>
    <w:rsid w:val="000B4CA0"/>
    <w:rsid w:val="000B4D0E"/>
    <w:rsid w:val="000B4D90"/>
    <w:rsid w:val="000B6085"/>
    <w:rsid w:val="000B6962"/>
    <w:rsid w:val="000B7916"/>
    <w:rsid w:val="000B7B4A"/>
    <w:rsid w:val="000B7FA6"/>
    <w:rsid w:val="000C020E"/>
    <w:rsid w:val="000C0241"/>
    <w:rsid w:val="000C1A27"/>
    <w:rsid w:val="000C1E77"/>
    <w:rsid w:val="000C23F3"/>
    <w:rsid w:val="000C2418"/>
    <w:rsid w:val="000C2597"/>
    <w:rsid w:val="000C28A8"/>
    <w:rsid w:val="000C29DA"/>
    <w:rsid w:val="000C4119"/>
    <w:rsid w:val="000C4277"/>
    <w:rsid w:val="000C6779"/>
    <w:rsid w:val="000C6EDB"/>
    <w:rsid w:val="000C74C8"/>
    <w:rsid w:val="000C7A8B"/>
    <w:rsid w:val="000D0808"/>
    <w:rsid w:val="000D0A20"/>
    <w:rsid w:val="000D1DAE"/>
    <w:rsid w:val="000D1F08"/>
    <w:rsid w:val="000D2049"/>
    <w:rsid w:val="000D22D0"/>
    <w:rsid w:val="000D2914"/>
    <w:rsid w:val="000D29CE"/>
    <w:rsid w:val="000D3E7A"/>
    <w:rsid w:val="000D3EA9"/>
    <w:rsid w:val="000D46EB"/>
    <w:rsid w:val="000D471A"/>
    <w:rsid w:val="000D546D"/>
    <w:rsid w:val="000D6470"/>
    <w:rsid w:val="000D6ACE"/>
    <w:rsid w:val="000D7676"/>
    <w:rsid w:val="000D79AF"/>
    <w:rsid w:val="000D7E07"/>
    <w:rsid w:val="000E019A"/>
    <w:rsid w:val="000E0A16"/>
    <w:rsid w:val="000E19B0"/>
    <w:rsid w:val="000E1BFE"/>
    <w:rsid w:val="000E2CFD"/>
    <w:rsid w:val="000E2DB0"/>
    <w:rsid w:val="000E3059"/>
    <w:rsid w:val="000E4365"/>
    <w:rsid w:val="000E4F32"/>
    <w:rsid w:val="000E5F33"/>
    <w:rsid w:val="000E61B3"/>
    <w:rsid w:val="000E622B"/>
    <w:rsid w:val="000E6383"/>
    <w:rsid w:val="000E714A"/>
    <w:rsid w:val="000E72BC"/>
    <w:rsid w:val="000F1578"/>
    <w:rsid w:val="000F2724"/>
    <w:rsid w:val="000F2C86"/>
    <w:rsid w:val="000F2DB3"/>
    <w:rsid w:val="000F3156"/>
    <w:rsid w:val="000F3D4E"/>
    <w:rsid w:val="000F42E7"/>
    <w:rsid w:val="000F489D"/>
    <w:rsid w:val="000F4E8B"/>
    <w:rsid w:val="000F5384"/>
    <w:rsid w:val="000F549D"/>
    <w:rsid w:val="000F577A"/>
    <w:rsid w:val="000F5E69"/>
    <w:rsid w:val="000F5EE4"/>
    <w:rsid w:val="000F6105"/>
    <w:rsid w:val="000F68BD"/>
    <w:rsid w:val="000F6B76"/>
    <w:rsid w:val="000F6BDC"/>
    <w:rsid w:val="000F6DFB"/>
    <w:rsid w:val="000F6F79"/>
    <w:rsid w:val="000F7566"/>
    <w:rsid w:val="001008F2"/>
    <w:rsid w:val="00100D7C"/>
    <w:rsid w:val="001011CB"/>
    <w:rsid w:val="00101421"/>
    <w:rsid w:val="00101555"/>
    <w:rsid w:val="001016C5"/>
    <w:rsid w:val="00101A08"/>
    <w:rsid w:val="00101A96"/>
    <w:rsid w:val="001020A9"/>
    <w:rsid w:val="00102468"/>
    <w:rsid w:val="00103585"/>
    <w:rsid w:val="00103FAE"/>
    <w:rsid w:val="001041FA"/>
    <w:rsid w:val="001042A1"/>
    <w:rsid w:val="001047A5"/>
    <w:rsid w:val="00104A93"/>
    <w:rsid w:val="001050A5"/>
    <w:rsid w:val="001057FA"/>
    <w:rsid w:val="00105B55"/>
    <w:rsid w:val="0010643C"/>
    <w:rsid w:val="0010797A"/>
    <w:rsid w:val="00107BC6"/>
    <w:rsid w:val="00107F7F"/>
    <w:rsid w:val="0011052B"/>
    <w:rsid w:val="001106AD"/>
    <w:rsid w:val="00111DBF"/>
    <w:rsid w:val="00112A29"/>
    <w:rsid w:val="0011370B"/>
    <w:rsid w:val="00114413"/>
    <w:rsid w:val="001147CF"/>
    <w:rsid w:val="00114E35"/>
    <w:rsid w:val="00115295"/>
    <w:rsid w:val="0011575F"/>
    <w:rsid w:val="001157C6"/>
    <w:rsid w:val="001161B0"/>
    <w:rsid w:val="001166FB"/>
    <w:rsid w:val="00116717"/>
    <w:rsid w:val="001168EA"/>
    <w:rsid w:val="00117C5B"/>
    <w:rsid w:val="0012008A"/>
    <w:rsid w:val="0012076F"/>
    <w:rsid w:val="0012133E"/>
    <w:rsid w:val="00121777"/>
    <w:rsid w:val="00121FF8"/>
    <w:rsid w:val="001226A7"/>
    <w:rsid w:val="00122CCE"/>
    <w:rsid w:val="001230D7"/>
    <w:rsid w:val="00123538"/>
    <w:rsid w:val="00123D03"/>
    <w:rsid w:val="0012425C"/>
    <w:rsid w:val="001245D4"/>
    <w:rsid w:val="00125972"/>
    <w:rsid w:val="00127503"/>
    <w:rsid w:val="00130EDF"/>
    <w:rsid w:val="00131642"/>
    <w:rsid w:val="00131C86"/>
    <w:rsid w:val="00131DC5"/>
    <w:rsid w:val="00132B3C"/>
    <w:rsid w:val="001339DF"/>
    <w:rsid w:val="001348B2"/>
    <w:rsid w:val="00135CC2"/>
    <w:rsid w:val="00135E2A"/>
    <w:rsid w:val="00136282"/>
    <w:rsid w:val="001367A7"/>
    <w:rsid w:val="00136B16"/>
    <w:rsid w:val="00136EC5"/>
    <w:rsid w:val="00137B76"/>
    <w:rsid w:val="00137E82"/>
    <w:rsid w:val="0014014D"/>
    <w:rsid w:val="0014023D"/>
    <w:rsid w:val="0014044B"/>
    <w:rsid w:val="0014073E"/>
    <w:rsid w:val="00140826"/>
    <w:rsid w:val="00140B23"/>
    <w:rsid w:val="00140D57"/>
    <w:rsid w:val="0014108C"/>
    <w:rsid w:val="0014118C"/>
    <w:rsid w:val="00141C62"/>
    <w:rsid w:val="0014228C"/>
    <w:rsid w:val="0014352F"/>
    <w:rsid w:val="00143961"/>
    <w:rsid w:val="00143C77"/>
    <w:rsid w:val="00144076"/>
    <w:rsid w:val="00144C47"/>
    <w:rsid w:val="00145A4F"/>
    <w:rsid w:val="00145ABE"/>
    <w:rsid w:val="00146592"/>
    <w:rsid w:val="00147028"/>
    <w:rsid w:val="001470E5"/>
    <w:rsid w:val="001474EE"/>
    <w:rsid w:val="00147A08"/>
    <w:rsid w:val="00147D4D"/>
    <w:rsid w:val="00147E6B"/>
    <w:rsid w:val="00151225"/>
    <w:rsid w:val="0015152D"/>
    <w:rsid w:val="00151F69"/>
    <w:rsid w:val="001534B1"/>
    <w:rsid w:val="001534B7"/>
    <w:rsid w:val="001536BA"/>
    <w:rsid w:val="00153B12"/>
    <w:rsid w:val="00153B80"/>
    <w:rsid w:val="00155A62"/>
    <w:rsid w:val="00155CCE"/>
    <w:rsid w:val="00156B54"/>
    <w:rsid w:val="00156CED"/>
    <w:rsid w:val="00157344"/>
    <w:rsid w:val="00160BE5"/>
    <w:rsid w:val="00160D18"/>
    <w:rsid w:val="00161555"/>
    <w:rsid w:val="0016178B"/>
    <w:rsid w:val="00161E26"/>
    <w:rsid w:val="00162779"/>
    <w:rsid w:val="00162B8A"/>
    <w:rsid w:val="0016335F"/>
    <w:rsid w:val="00165314"/>
    <w:rsid w:val="001654AF"/>
    <w:rsid w:val="0016582B"/>
    <w:rsid w:val="001658F9"/>
    <w:rsid w:val="00165F6D"/>
    <w:rsid w:val="00166379"/>
    <w:rsid w:val="00166499"/>
    <w:rsid w:val="0017082C"/>
    <w:rsid w:val="00172060"/>
    <w:rsid w:val="0017224A"/>
    <w:rsid w:val="001728FC"/>
    <w:rsid w:val="00172BC6"/>
    <w:rsid w:val="00173CD6"/>
    <w:rsid w:val="00174CF5"/>
    <w:rsid w:val="001752C1"/>
    <w:rsid w:val="00175C3F"/>
    <w:rsid w:val="0017784A"/>
    <w:rsid w:val="00177B6F"/>
    <w:rsid w:val="0018134D"/>
    <w:rsid w:val="001814CB"/>
    <w:rsid w:val="00181A19"/>
    <w:rsid w:val="00181D89"/>
    <w:rsid w:val="00182747"/>
    <w:rsid w:val="001827CB"/>
    <w:rsid w:val="001827FF"/>
    <w:rsid w:val="00183987"/>
    <w:rsid w:val="00183CC3"/>
    <w:rsid w:val="001842BF"/>
    <w:rsid w:val="0018510B"/>
    <w:rsid w:val="001851EB"/>
    <w:rsid w:val="0018577F"/>
    <w:rsid w:val="00187AD3"/>
    <w:rsid w:val="00187B7C"/>
    <w:rsid w:val="00187CA3"/>
    <w:rsid w:val="0019005A"/>
    <w:rsid w:val="001900F6"/>
    <w:rsid w:val="001914D8"/>
    <w:rsid w:val="0019247B"/>
    <w:rsid w:val="00192720"/>
    <w:rsid w:val="00192D2B"/>
    <w:rsid w:val="00193461"/>
    <w:rsid w:val="00193AC4"/>
    <w:rsid w:val="00194A83"/>
    <w:rsid w:val="00194CF2"/>
    <w:rsid w:val="001963A0"/>
    <w:rsid w:val="00197607"/>
    <w:rsid w:val="00197F3D"/>
    <w:rsid w:val="001A0582"/>
    <w:rsid w:val="001A0A60"/>
    <w:rsid w:val="001A1044"/>
    <w:rsid w:val="001A1077"/>
    <w:rsid w:val="001A1AA7"/>
    <w:rsid w:val="001A1B65"/>
    <w:rsid w:val="001A2B27"/>
    <w:rsid w:val="001A43DC"/>
    <w:rsid w:val="001A4A8E"/>
    <w:rsid w:val="001A4AA8"/>
    <w:rsid w:val="001A4D2A"/>
    <w:rsid w:val="001A4DA9"/>
    <w:rsid w:val="001A5481"/>
    <w:rsid w:val="001A6022"/>
    <w:rsid w:val="001A627A"/>
    <w:rsid w:val="001A7059"/>
    <w:rsid w:val="001A711D"/>
    <w:rsid w:val="001A77DC"/>
    <w:rsid w:val="001A784C"/>
    <w:rsid w:val="001A7928"/>
    <w:rsid w:val="001B04A2"/>
    <w:rsid w:val="001B0B93"/>
    <w:rsid w:val="001B116E"/>
    <w:rsid w:val="001B16F3"/>
    <w:rsid w:val="001B1880"/>
    <w:rsid w:val="001B19A4"/>
    <w:rsid w:val="001B1C38"/>
    <w:rsid w:val="001B3045"/>
    <w:rsid w:val="001B3443"/>
    <w:rsid w:val="001B3516"/>
    <w:rsid w:val="001B403D"/>
    <w:rsid w:val="001B4542"/>
    <w:rsid w:val="001B4791"/>
    <w:rsid w:val="001B4B20"/>
    <w:rsid w:val="001B5691"/>
    <w:rsid w:val="001B5AAC"/>
    <w:rsid w:val="001B5D5A"/>
    <w:rsid w:val="001B5E10"/>
    <w:rsid w:val="001B671C"/>
    <w:rsid w:val="001B7122"/>
    <w:rsid w:val="001B7768"/>
    <w:rsid w:val="001B7DAD"/>
    <w:rsid w:val="001B7DD3"/>
    <w:rsid w:val="001C04DB"/>
    <w:rsid w:val="001C0D02"/>
    <w:rsid w:val="001C1313"/>
    <w:rsid w:val="001C1B55"/>
    <w:rsid w:val="001C2EE2"/>
    <w:rsid w:val="001C35CB"/>
    <w:rsid w:val="001C3718"/>
    <w:rsid w:val="001C3786"/>
    <w:rsid w:val="001C43BF"/>
    <w:rsid w:val="001C4433"/>
    <w:rsid w:val="001C5369"/>
    <w:rsid w:val="001C6591"/>
    <w:rsid w:val="001C677E"/>
    <w:rsid w:val="001C6EC5"/>
    <w:rsid w:val="001C76C7"/>
    <w:rsid w:val="001D067D"/>
    <w:rsid w:val="001D1AEC"/>
    <w:rsid w:val="001D2892"/>
    <w:rsid w:val="001D3161"/>
    <w:rsid w:val="001D408B"/>
    <w:rsid w:val="001D423C"/>
    <w:rsid w:val="001D444E"/>
    <w:rsid w:val="001D4A9C"/>
    <w:rsid w:val="001D52E1"/>
    <w:rsid w:val="001D56AE"/>
    <w:rsid w:val="001D5936"/>
    <w:rsid w:val="001D59DA"/>
    <w:rsid w:val="001D60F5"/>
    <w:rsid w:val="001D6F8D"/>
    <w:rsid w:val="001E0A14"/>
    <w:rsid w:val="001E14C2"/>
    <w:rsid w:val="001E1A9B"/>
    <w:rsid w:val="001E1DEF"/>
    <w:rsid w:val="001E2416"/>
    <w:rsid w:val="001E2897"/>
    <w:rsid w:val="001E29E7"/>
    <w:rsid w:val="001E30F8"/>
    <w:rsid w:val="001E3E21"/>
    <w:rsid w:val="001E4425"/>
    <w:rsid w:val="001E4691"/>
    <w:rsid w:val="001E54FB"/>
    <w:rsid w:val="001E5D19"/>
    <w:rsid w:val="001E624B"/>
    <w:rsid w:val="001E63DA"/>
    <w:rsid w:val="001E6630"/>
    <w:rsid w:val="001E6F5B"/>
    <w:rsid w:val="001E72A9"/>
    <w:rsid w:val="001E7A1C"/>
    <w:rsid w:val="001F0132"/>
    <w:rsid w:val="001F03DF"/>
    <w:rsid w:val="001F19D0"/>
    <w:rsid w:val="001F1C21"/>
    <w:rsid w:val="001F1D9B"/>
    <w:rsid w:val="001F267D"/>
    <w:rsid w:val="001F281C"/>
    <w:rsid w:val="001F3201"/>
    <w:rsid w:val="001F34F9"/>
    <w:rsid w:val="001F3588"/>
    <w:rsid w:val="001F5161"/>
    <w:rsid w:val="001F520A"/>
    <w:rsid w:val="001F5DCC"/>
    <w:rsid w:val="001F676D"/>
    <w:rsid w:val="001F69B6"/>
    <w:rsid w:val="001F6DE8"/>
    <w:rsid w:val="001F7B86"/>
    <w:rsid w:val="001F7BD1"/>
    <w:rsid w:val="001F7F0C"/>
    <w:rsid w:val="001F7F75"/>
    <w:rsid w:val="0020006C"/>
    <w:rsid w:val="002008CC"/>
    <w:rsid w:val="002009AE"/>
    <w:rsid w:val="00200D0E"/>
    <w:rsid w:val="00201181"/>
    <w:rsid w:val="002013F5"/>
    <w:rsid w:val="002014A6"/>
    <w:rsid w:val="00201568"/>
    <w:rsid w:val="002018DC"/>
    <w:rsid w:val="00201ACB"/>
    <w:rsid w:val="00201BA6"/>
    <w:rsid w:val="00201E65"/>
    <w:rsid w:val="00201EB1"/>
    <w:rsid w:val="00203657"/>
    <w:rsid w:val="002037AF"/>
    <w:rsid w:val="002038F1"/>
    <w:rsid w:val="0020413A"/>
    <w:rsid w:val="00205FB0"/>
    <w:rsid w:val="00206624"/>
    <w:rsid w:val="00206A38"/>
    <w:rsid w:val="00210F47"/>
    <w:rsid w:val="00212477"/>
    <w:rsid w:val="00212F91"/>
    <w:rsid w:val="002135DC"/>
    <w:rsid w:val="002139F9"/>
    <w:rsid w:val="00214050"/>
    <w:rsid w:val="00214122"/>
    <w:rsid w:val="002141CD"/>
    <w:rsid w:val="0021444B"/>
    <w:rsid w:val="00215C68"/>
    <w:rsid w:val="002171EB"/>
    <w:rsid w:val="00217798"/>
    <w:rsid w:val="00217968"/>
    <w:rsid w:val="00217CB2"/>
    <w:rsid w:val="00220047"/>
    <w:rsid w:val="0022020F"/>
    <w:rsid w:val="002209A1"/>
    <w:rsid w:val="0022148A"/>
    <w:rsid w:val="00221B47"/>
    <w:rsid w:val="00223536"/>
    <w:rsid w:val="002240C1"/>
    <w:rsid w:val="002246D9"/>
    <w:rsid w:val="00224F78"/>
    <w:rsid w:val="00224F86"/>
    <w:rsid w:val="002251A8"/>
    <w:rsid w:val="00226952"/>
    <w:rsid w:val="00226976"/>
    <w:rsid w:val="00226A82"/>
    <w:rsid w:val="00226D38"/>
    <w:rsid w:val="002275DA"/>
    <w:rsid w:val="0023094A"/>
    <w:rsid w:val="00231BF9"/>
    <w:rsid w:val="002321B4"/>
    <w:rsid w:val="00232997"/>
    <w:rsid w:val="00232BCC"/>
    <w:rsid w:val="00232D30"/>
    <w:rsid w:val="00232EA8"/>
    <w:rsid w:val="00233CAD"/>
    <w:rsid w:val="0023426D"/>
    <w:rsid w:val="00234B3F"/>
    <w:rsid w:val="00235C65"/>
    <w:rsid w:val="00235F36"/>
    <w:rsid w:val="0023645F"/>
    <w:rsid w:val="00236BDF"/>
    <w:rsid w:val="002371E2"/>
    <w:rsid w:val="00237580"/>
    <w:rsid w:val="0023764E"/>
    <w:rsid w:val="00241B90"/>
    <w:rsid w:val="00241DAC"/>
    <w:rsid w:val="00242849"/>
    <w:rsid w:val="00242BBD"/>
    <w:rsid w:val="0024392F"/>
    <w:rsid w:val="00243F07"/>
    <w:rsid w:val="0024447F"/>
    <w:rsid w:val="00244F5F"/>
    <w:rsid w:val="0024562D"/>
    <w:rsid w:val="00246321"/>
    <w:rsid w:val="00246B91"/>
    <w:rsid w:val="00247739"/>
    <w:rsid w:val="002500A0"/>
    <w:rsid w:val="00250D53"/>
    <w:rsid w:val="00250DD8"/>
    <w:rsid w:val="00250E85"/>
    <w:rsid w:val="00250EC2"/>
    <w:rsid w:val="00251707"/>
    <w:rsid w:val="00252346"/>
    <w:rsid w:val="0025252A"/>
    <w:rsid w:val="00252987"/>
    <w:rsid w:val="00253094"/>
    <w:rsid w:val="0025383B"/>
    <w:rsid w:val="00253F24"/>
    <w:rsid w:val="00254E45"/>
    <w:rsid w:val="002557DB"/>
    <w:rsid w:val="00255E0C"/>
    <w:rsid w:val="00256311"/>
    <w:rsid w:val="00256802"/>
    <w:rsid w:val="00256DE6"/>
    <w:rsid w:val="002579F6"/>
    <w:rsid w:val="00260149"/>
    <w:rsid w:val="0026032E"/>
    <w:rsid w:val="00261039"/>
    <w:rsid w:val="00261856"/>
    <w:rsid w:val="0026238E"/>
    <w:rsid w:val="00262875"/>
    <w:rsid w:val="00262B70"/>
    <w:rsid w:val="00263A69"/>
    <w:rsid w:val="00263B7C"/>
    <w:rsid w:val="00263CEB"/>
    <w:rsid w:val="00264406"/>
    <w:rsid w:val="00264FA4"/>
    <w:rsid w:val="00265047"/>
    <w:rsid w:val="00265D17"/>
    <w:rsid w:val="00266636"/>
    <w:rsid w:val="00267588"/>
    <w:rsid w:val="00267E1A"/>
    <w:rsid w:val="00270608"/>
    <w:rsid w:val="0027133E"/>
    <w:rsid w:val="00271509"/>
    <w:rsid w:val="00271D2A"/>
    <w:rsid w:val="0027214D"/>
    <w:rsid w:val="002722D3"/>
    <w:rsid w:val="0027319E"/>
    <w:rsid w:val="00274863"/>
    <w:rsid w:val="0027523B"/>
    <w:rsid w:val="00275C28"/>
    <w:rsid w:val="00275D90"/>
    <w:rsid w:val="002761BC"/>
    <w:rsid w:val="00276BA9"/>
    <w:rsid w:val="00276CB8"/>
    <w:rsid w:val="0027711D"/>
    <w:rsid w:val="00277679"/>
    <w:rsid w:val="00277BCD"/>
    <w:rsid w:val="00277CBE"/>
    <w:rsid w:val="002809E2"/>
    <w:rsid w:val="00281336"/>
    <w:rsid w:val="002815FE"/>
    <w:rsid w:val="00284686"/>
    <w:rsid w:val="00284AD3"/>
    <w:rsid w:val="00284ADF"/>
    <w:rsid w:val="00285188"/>
    <w:rsid w:val="00285340"/>
    <w:rsid w:val="0028572A"/>
    <w:rsid w:val="00285FCD"/>
    <w:rsid w:val="00286B83"/>
    <w:rsid w:val="00287DB7"/>
    <w:rsid w:val="00290516"/>
    <w:rsid w:val="002910FA"/>
    <w:rsid w:val="002920E7"/>
    <w:rsid w:val="00292149"/>
    <w:rsid w:val="002926FD"/>
    <w:rsid w:val="00292958"/>
    <w:rsid w:val="00292A0A"/>
    <w:rsid w:val="00292EC7"/>
    <w:rsid w:val="00292FB1"/>
    <w:rsid w:val="00294509"/>
    <w:rsid w:val="00294A67"/>
    <w:rsid w:val="00294FD6"/>
    <w:rsid w:val="0029519D"/>
    <w:rsid w:val="002956B4"/>
    <w:rsid w:val="00295B08"/>
    <w:rsid w:val="00295B77"/>
    <w:rsid w:val="002964B0"/>
    <w:rsid w:val="002968D2"/>
    <w:rsid w:val="00297FB8"/>
    <w:rsid w:val="002A07BA"/>
    <w:rsid w:val="002A198A"/>
    <w:rsid w:val="002A1B78"/>
    <w:rsid w:val="002A1D34"/>
    <w:rsid w:val="002A2177"/>
    <w:rsid w:val="002A23F0"/>
    <w:rsid w:val="002A27F8"/>
    <w:rsid w:val="002A27FB"/>
    <w:rsid w:val="002A29D5"/>
    <w:rsid w:val="002A3445"/>
    <w:rsid w:val="002A34F6"/>
    <w:rsid w:val="002A394D"/>
    <w:rsid w:val="002A3C43"/>
    <w:rsid w:val="002A3ED2"/>
    <w:rsid w:val="002A51B8"/>
    <w:rsid w:val="002A5822"/>
    <w:rsid w:val="002A5B42"/>
    <w:rsid w:val="002A5B4B"/>
    <w:rsid w:val="002A5EAD"/>
    <w:rsid w:val="002A5FC6"/>
    <w:rsid w:val="002A681F"/>
    <w:rsid w:val="002A6DD7"/>
    <w:rsid w:val="002A6F72"/>
    <w:rsid w:val="002A6F83"/>
    <w:rsid w:val="002B07B5"/>
    <w:rsid w:val="002B0B13"/>
    <w:rsid w:val="002B0EF4"/>
    <w:rsid w:val="002B1286"/>
    <w:rsid w:val="002B1BAB"/>
    <w:rsid w:val="002B1E0C"/>
    <w:rsid w:val="002B2D32"/>
    <w:rsid w:val="002B3814"/>
    <w:rsid w:val="002B3CF2"/>
    <w:rsid w:val="002B4E26"/>
    <w:rsid w:val="002B551B"/>
    <w:rsid w:val="002B5A35"/>
    <w:rsid w:val="002B5E57"/>
    <w:rsid w:val="002B6015"/>
    <w:rsid w:val="002B62C7"/>
    <w:rsid w:val="002B697D"/>
    <w:rsid w:val="002B6AD9"/>
    <w:rsid w:val="002C00CF"/>
    <w:rsid w:val="002C084D"/>
    <w:rsid w:val="002C1385"/>
    <w:rsid w:val="002C1E61"/>
    <w:rsid w:val="002C2978"/>
    <w:rsid w:val="002C2D04"/>
    <w:rsid w:val="002C2DFB"/>
    <w:rsid w:val="002C46A9"/>
    <w:rsid w:val="002C5F5F"/>
    <w:rsid w:val="002C6293"/>
    <w:rsid w:val="002C652E"/>
    <w:rsid w:val="002C67ED"/>
    <w:rsid w:val="002C6FFC"/>
    <w:rsid w:val="002C772D"/>
    <w:rsid w:val="002C7B86"/>
    <w:rsid w:val="002D0472"/>
    <w:rsid w:val="002D1076"/>
    <w:rsid w:val="002D1873"/>
    <w:rsid w:val="002D289A"/>
    <w:rsid w:val="002D2C75"/>
    <w:rsid w:val="002D4276"/>
    <w:rsid w:val="002D4774"/>
    <w:rsid w:val="002D53C8"/>
    <w:rsid w:val="002D5473"/>
    <w:rsid w:val="002D5D3F"/>
    <w:rsid w:val="002D5FBC"/>
    <w:rsid w:val="002D6CD0"/>
    <w:rsid w:val="002D6D87"/>
    <w:rsid w:val="002D6DE3"/>
    <w:rsid w:val="002D74C8"/>
    <w:rsid w:val="002D7DA1"/>
    <w:rsid w:val="002D7F32"/>
    <w:rsid w:val="002D7F9C"/>
    <w:rsid w:val="002E0710"/>
    <w:rsid w:val="002E0D10"/>
    <w:rsid w:val="002E0D1B"/>
    <w:rsid w:val="002E10AF"/>
    <w:rsid w:val="002E115C"/>
    <w:rsid w:val="002E15AC"/>
    <w:rsid w:val="002E1BD9"/>
    <w:rsid w:val="002E1BE8"/>
    <w:rsid w:val="002E2271"/>
    <w:rsid w:val="002E23E3"/>
    <w:rsid w:val="002E2402"/>
    <w:rsid w:val="002E2568"/>
    <w:rsid w:val="002E2654"/>
    <w:rsid w:val="002E34FF"/>
    <w:rsid w:val="002E38AF"/>
    <w:rsid w:val="002E3C03"/>
    <w:rsid w:val="002E42AD"/>
    <w:rsid w:val="002E4671"/>
    <w:rsid w:val="002E4FC7"/>
    <w:rsid w:val="002E5122"/>
    <w:rsid w:val="002E57B5"/>
    <w:rsid w:val="002E62C6"/>
    <w:rsid w:val="002E655B"/>
    <w:rsid w:val="002E6A1D"/>
    <w:rsid w:val="002E6CC1"/>
    <w:rsid w:val="002E7C32"/>
    <w:rsid w:val="002F0577"/>
    <w:rsid w:val="002F0A03"/>
    <w:rsid w:val="002F107D"/>
    <w:rsid w:val="002F20C6"/>
    <w:rsid w:val="002F29F0"/>
    <w:rsid w:val="002F29FC"/>
    <w:rsid w:val="002F4809"/>
    <w:rsid w:val="002F53B0"/>
    <w:rsid w:val="002F5849"/>
    <w:rsid w:val="002F585A"/>
    <w:rsid w:val="002F5C8E"/>
    <w:rsid w:val="002F5CD0"/>
    <w:rsid w:val="002F64E0"/>
    <w:rsid w:val="002F6F12"/>
    <w:rsid w:val="002F78FE"/>
    <w:rsid w:val="002F7AF1"/>
    <w:rsid w:val="003001E9"/>
    <w:rsid w:val="003005DE"/>
    <w:rsid w:val="003022CA"/>
    <w:rsid w:val="00302A58"/>
    <w:rsid w:val="00302D61"/>
    <w:rsid w:val="0030357A"/>
    <w:rsid w:val="00303AC1"/>
    <w:rsid w:val="00304415"/>
    <w:rsid w:val="00304422"/>
    <w:rsid w:val="00304885"/>
    <w:rsid w:val="00304B2C"/>
    <w:rsid w:val="00304D45"/>
    <w:rsid w:val="00305B97"/>
    <w:rsid w:val="00306FB6"/>
    <w:rsid w:val="00307319"/>
    <w:rsid w:val="00307529"/>
    <w:rsid w:val="0030786C"/>
    <w:rsid w:val="00307973"/>
    <w:rsid w:val="00307E41"/>
    <w:rsid w:val="00307EE2"/>
    <w:rsid w:val="0031104A"/>
    <w:rsid w:val="00311AAB"/>
    <w:rsid w:val="00312D8D"/>
    <w:rsid w:val="00314B1D"/>
    <w:rsid w:val="00314FDA"/>
    <w:rsid w:val="003159EA"/>
    <w:rsid w:val="0031648B"/>
    <w:rsid w:val="00316F63"/>
    <w:rsid w:val="00320457"/>
    <w:rsid w:val="003205D9"/>
    <w:rsid w:val="003205F9"/>
    <w:rsid w:val="003208E9"/>
    <w:rsid w:val="00320C60"/>
    <w:rsid w:val="00320D8C"/>
    <w:rsid w:val="003220E3"/>
    <w:rsid w:val="00322B26"/>
    <w:rsid w:val="0032343C"/>
    <w:rsid w:val="00323A35"/>
    <w:rsid w:val="0032464E"/>
    <w:rsid w:val="003246E5"/>
    <w:rsid w:val="00324DC3"/>
    <w:rsid w:val="00325489"/>
    <w:rsid w:val="003257D7"/>
    <w:rsid w:val="00325C15"/>
    <w:rsid w:val="00325DC7"/>
    <w:rsid w:val="00326AE6"/>
    <w:rsid w:val="00326B8A"/>
    <w:rsid w:val="0032770D"/>
    <w:rsid w:val="00327AD5"/>
    <w:rsid w:val="00327BF7"/>
    <w:rsid w:val="003302CE"/>
    <w:rsid w:val="00330C93"/>
    <w:rsid w:val="00331B00"/>
    <w:rsid w:val="00333A00"/>
    <w:rsid w:val="00333DA3"/>
    <w:rsid w:val="00333E93"/>
    <w:rsid w:val="0033559E"/>
    <w:rsid w:val="00335CD6"/>
    <w:rsid w:val="00336266"/>
    <w:rsid w:val="003369E2"/>
    <w:rsid w:val="00337F74"/>
    <w:rsid w:val="00340109"/>
    <w:rsid w:val="003415E5"/>
    <w:rsid w:val="00341664"/>
    <w:rsid w:val="003423AF"/>
    <w:rsid w:val="00343221"/>
    <w:rsid w:val="00343ADC"/>
    <w:rsid w:val="00343F78"/>
    <w:rsid w:val="00344903"/>
    <w:rsid w:val="00344E4D"/>
    <w:rsid w:val="00344E7A"/>
    <w:rsid w:val="00345B51"/>
    <w:rsid w:val="003461BE"/>
    <w:rsid w:val="00346230"/>
    <w:rsid w:val="0034745C"/>
    <w:rsid w:val="00350807"/>
    <w:rsid w:val="00350E3C"/>
    <w:rsid w:val="00351370"/>
    <w:rsid w:val="00351A68"/>
    <w:rsid w:val="00351E53"/>
    <w:rsid w:val="003520AF"/>
    <w:rsid w:val="00352154"/>
    <w:rsid w:val="00352B21"/>
    <w:rsid w:val="00352DF1"/>
    <w:rsid w:val="0035342F"/>
    <w:rsid w:val="003539E1"/>
    <w:rsid w:val="00353F78"/>
    <w:rsid w:val="0035417C"/>
    <w:rsid w:val="00356B7D"/>
    <w:rsid w:val="003577A2"/>
    <w:rsid w:val="00357BCF"/>
    <w:rsid w:val="00357EC5"/>
    <w:rsid w:val="0036040B"/>
    <w:rsid w:val="00360A83"/>
    <w:rsid w:val="0036230C"/>
    <w:rsid w:val="0036287B"/>
    <w:rsid w:val="003629C3"/>
    <w:rsid w:val="003632C3"/>
    <w:rsid w:val="00363622"/>
    <w:rsid w:val="00363FBF"/>
    <w:rsid w:val="003641B8"/>
    <w:rsid w:val="003647CA"/>
    <w:rsid w:val="00364D2E"/>
    <w:rsid w:val="00365F44"/>
    <w:rsid w:val="00366A16"/>
    <w:rsid w:val="0036724E"/>
    <w:rsid w:val="003702A1"/>
    <w:rsid w:val="003710EA"/>
    <w:rsid w:val="003715C7"/>
    <w:rsid w:val="00371F94"/>
    <w:rsid w:val="0037287D"/>
    <w:rsid w:val="00372CD4"/>
    <w:rsid w:val="00372ECF"/>
    <w:rsid w:val="00373B90"/>
    <w:rsid w:val="00374423"/>
    <w:rsid w:val="00374757"/>
    <w:rsid w:val="003747CA"/>
    <w:rsid w:val="003760F3"/>
    <w:rsid w:val="00376E76"/>
    <w:rsid w:val="0037781D"/>
    <w:rsid w:val="00380700"/>
    <w:rsid w:val="003807E5"/>
    <w:rsid w:val="003813BF"/>
    <w:rsid w:val="003815CA"/>
    <w:rsid w:val="003821DF"/>
    <w:rsid w:val="0038242C"/>
    <w:rsid w:val="00382B0B"/>
    <w:rsid w:val="003831DE"/>
    <w:rsid w:val="003832EB"/>
    <w:rsid w:val="0038390C"/>
    <w:rsid w:val="00383B1C"/>
    <w:rsid w:val="00383E16"/>
    <w:rsid w:val="00383E1E"/>
    <w:rsid w:val="003844B2"/>
    <w:rsid w:val="0038451F"/>
    <w:rsid w:val="0038496B"/>
    <w:rsid w:val="00384C3E"/>
    <w:rsid w:val="0038507F"/>
    <w:rsid w:val="003859A3"/>
    <w:rsid w:val="00385D2E"/>
    <w:rsid w:val="00386373"/>
    <w:rsid w:val="0038651C"/>
    <w:rsid w:val="00386781"/>
    <w:rsid w:val="00386A66"/>
    <w:rsid w:val="00386D79"/>
    <w:rsid w:val="003872D8"/>
    <w:rsid w:val="0038744B"/>
    <w:rsid w:val="003878D6"/>
    <w:rsid w:val="00387D22"/>
    <w:rsid w:val="00387E17"/>
    <w:rsid w:val="00390306"/>
    <w:rsid w:val="00391878"/>
    <w:rsid w:val="00391A3F"/>
    <w:rsid w:val="00393476"/>
    <w:rsid w:val="00394596"/>
    <w:rsid w:val="0039488F"/>
    <w:rsid w:val="00394FB9"/>
    <w:rsid w:val="0039567F"/>
    <w:rsid w:val="00395C68"/>
    <w:rsid w:val="00396603"/>
    <w:rsid w:val="003976A0"/>
    <w:rsid w:val="00397818"/>
    <w:rsid w:val="0039790D"/>
    <w:rsid w:val="00397A5C"/>
    <w:rsid w:val="003A01EE"/>
    <w:rsid w:val="003A026A"/>
    <w:rsid w:val="003A132D"/>
    <w:rsid w:val="003A1925"/>
    <w:rsid w:val="003A1A32"/>
    <w:rsid w:val="003A1F9F"/>
    <w:rsid w:val="003A2614"/>
    <w:rsid w:val="003A27F2"/>
    <w:rsid w:val="003A29EA"/>
    <w:rsid w:val="003A31C0"/>
    <w:rsid w:val="003A335F"/>
    <w:rsid w:val="003A352B"/>
    <w:rsid w:val="003A5547"/>
    <w:rsid w:val="003A5A68"/>
    <w:rsid w:val="003A60D1"/>
    <w:rsid w:val="003A64FB"/>
    <w:rsid w:val="003A68C7"/>
    <w:rsid w:val="003A6CF4"/>
    <w:rsid w:val="003A7DA8"/>
    <w:rsid w:val="003B00E4"/>
    <w:rsid w:val="003B0751"/>
    <w:rsid w:val="003B0D7B"/>
    <w:rsid w:val="003B0DF5"/>
    <w:rsid w:val="003B1527"/>
    <w:rsid w:val="003B1AC9"/>
    <w:rsid w:val="003B2B7A"/>
    <w:rsid w:val="003B2D37"/>
    <w:rsid w:val="003B3247"/>
    <w:rsid w:val="003B349C"/>
    <w:rsid w:val="003B3860"/>
    <w:rsid w:val="003B40D4"/>
    <w:rsid w:val="003B4510"/>
    <w:rsid w:val="003B507C"/>
    <w:rsid w:val="003B529B"/>
    <w:rsid w:val="003B5A37"/>
    <w:rsid w:val="003B72E1"/>
    <w:rsid w:val="003B7307"/>
    <w:rsid w:val="003B74FD"/>
    <w:rsid w:val="003B75AC"/>
    <w:rsid w:val="003B7715"/>
    <w:rsid w:val="003B780E"/>
    <w:rsid w:val="003C004E"/>
    <w:rsid w:val="003C0620"/>
    <w:rsid w:val="003C09C8"/>
    <w:rsid w:val="003C11A1"/>
    <w:rsid w:val="003C1245"/>
    <w:rsid w:val="003C1A29"/>
    <w:rsid w:val="003C1F1B"/>
    <w:rsid w:val="003C2602"/>
    <w:rsid w:val="003C2606"/>
    <w:rsid w:val="003C2749"/>
    <w:rsid w:val="003C2826"/>
    <w:rsid w:val="003C29E9"/>
    <w:rsid w:val="003C3518"/>
    <w:rsid w:val="003C3862"/>
    <w:rsid w:val="003C3CB6"/>
    <w:rsid w:val="003C4271"/>
    <w:rsid w:val="003C42F7"/>
    <w:rsid w:val="003C4885"/>
    <w:rsid w:val="003C4AA1"/>
    <w:rsid w:val="003C4DFB"/>
    <w:rsid w:val="003C55D2"/>
    <w:rsid w:val="003C5BE5"/>
    <w:rsid w:val="003C5C47"/>
    <w:rsid w:val="003C5EE9"/>
    <w:rsid w:val="003C7D0E"/>
    <w:rsid w:val="003D1534"/>
    <w:rsid w:val="003D2247"/>
    <w:rsid w:val="003D2C02"/>
    <w:rsid w:val="003D2D32"/>
    <w:rsid w:val="003D3145"/>
    <w:rsid w:val="003D4893"/>
    <w:rsid w:val="003D4F6E"/>
    <w:rsid w:val="003D5106"/>
    <w:rsid w:val="003D5264"/>
    <w:rsid w:val="003D548B"/>
    <w:rsid w:val="003D5CA1"/>
    <w:rsid w:val="003D5D27"/>
    <w:rsid w:val="003D604A"/>
    <w:rsid w:val="003D6BA8"/>
    <w:rsid w:val="003D6E54"/>
    <w:rsid w:val="003D79A4"/>
    <w:rsid w:val="003E1CB3"/>
    <w:rsid w:val="003E1E9D"/>
    <w:rsid w:val="003E1EB8"/>
    <w:rsid w:val="003E2780"/>
    <w:rsid w:val="003E2CB3"/>
    <w:rsid w:val="003E36DC"/>
    <w:rsid w:val="003E3DAC"/>
    <w:rsid w:val="003E52EF"/>
    <w:rsid w:val="003E6CE1"/>
    <w:rsid w:val="003E71B3"/>
    <w:rsid w:val="003E7607"/>
    <w:rsid w:val="003F077B"/>
    <w:rsid w:val="003F0F72"/>
    <w:rsid w:val="003F14A4"/>
    <w:rsid w:val="003F205F"/>
    <w:rsid w:val="003F27DD"/>
    <w:rsid w:val="003F3059"/>
    <w:rsid w:val="003F3305"/>
    <w:rsid w:val="003F364C"/>
    <w:rsid w:val="003F43C0"/>
    <w:rsid w:val="003F4490"/>
    <w:rsid w:val="003F49BD"/>
    <w:rsid w:val="003F58C7"/>
    <w:rsid w:val="003F65E2"/>
    <w:rsid w:val="003F66F3"/>
    <w:rsid w:val="003F6A92"/>
    <w:rsid w:val="003F6DCB"/>
    <w:rsid w:val="003F6F3B"/>
    <w:rsid w:val="003F7ADF"/>
    <w:rsid w:val="004005E7"/>
    <w:rsid w:val="004006F4"/>
    <w:rsid w:val="004007BD"/>
    <w:rsid w:val="0040266C"/>
    <w:rsid w:val="00402702"/>
    <w:rsid w:val="00402DA2"/>
    <w:rsid w:val="004035A0"/>
    <w:rsid w:val="004038FB"/>
    <w:rsid w:val="00403C11"/>
    <w:rsid w:val="00404F96"/>
    <w:rsid w:val="00406143"/>
    <w:rsid w:val="004061AD"/>
    <w:rsid w:val="00406412"/>
    <w:rsid w:val="00406BCD"/>
    <w:rsid w:val="00406EE9"/>
    <w:rsid w:val="00407091"/>
    <w:rsid w:val="004076BA"/>
    <w:rsid w:val="00407815"/>
    <w:rsid w:val="00407F82"/>
    <w:rsid w:val="0041002C"/>
    <w:rsid w:val="00410237"/>
    <w:rsid w:val="00411151"/>
    <w:rsid w:val="004117A6"/>
    <w:rsid w:val="004118FC"/>
    <w:rsid w:val="00412368"/>
    <w:rsid w:val="00413816"/>
    <w:rsid w:val="00413C1E"/>
    <w:rsid w:val="00413C52"/>
    <w:rsid w:val="004140B0"/>
    <w:rsid w:val="00414B5F"/>
    <w:rsid w:val="00414E6C"/>
    <w:rsid w:val="00414ECA"/>
    <w:rsid w:val="0041516F"/>
    <w:rsid w:val="004152F9"/>
    <w:rsid w:val="00415D83"/>
    <w:rsid w:val="00415E36"/>
    <w:rsid w:val="00416D3B"/>
    <w:rsid w:val="00417FA3"/>
    <w:rsid w:val="00421D6C"/>
    <w:rsid w:val="00422065"/>
    <w:rsid w:val="00422643"/>
    <w:rsid w:val="00422FD5"/>
    <w:rsid w:val="00423DC1"/>
    <w:rsid w:val="004244C2"/>
    <w:rsid w:val="00424C3D"/>
    <w:rsid w:val="00425031"/>
    <w:rsid w:val="004255E7"/>
    <w:rsid w:val="00425DE6"/>
    <w:rsid w:val="00425FB9"/>
    <w:rsid w:val="004269ED"/>
    <w:rsid w:val="0042703C"/>
    <w:rsid w:val="0042757E"/>
    <w:rsid w:val="004276FA"/>
    <w:rsid w:val="00427A6F"/>
    <w:rsid w:val="00427BF9"/>
    <w:rsid w:val="004300BD"/>
    <w:rsid w:val="00430294"/>
    <w:rsid w:val="00430D2B"/>
    <w:rsid w:val="00430E72"/>
    <w:rsid w:val="0043109C"/>
    <w:rsid w:val="00431A14"/>
    <w:rsid w:val="00431DFB"/>
    <w:rsid w:val="00432032"/>
    <w:rsid w:val="00432072"/>
    <w:rsid w:val="004321C4"/>
    <w:rsid w:val="00433474"/>
    <w:rsid w:val="004352F2"/>
    <w:rsid w:val="00435421"/>
    <w:rsid w:val="00435909"/>
    <w:rsid w:val="0043686D"/>
    <w:rsid w:val="00436A6F"/>
    <w:rsid w:val="00436D62"/>
    <w:rsid w:val="00437094"/>
    <w:rsid w:val="0043720B"/>
    <w:rsid w:val="0043734A"/>
    <w:rsid w:val="0043740E"/>
    <w:rsid w:val="00437F08"/>
    <w:rsid w:val="004403B0"/>
    <w:rsid w:val="0044103C"/>
    <w:rsid w:val="00441B11"/>
    <w:rsid w:val="00441B87"/>
    <w:rsid w:val="00441C03"/>
    <w:rsid w:val="00442C1E"/>
    <w:rsid w:val="00442EED"/>
    <w:rsid w:val="00443AA9"/>
    <w:rsid w:val="00443C5F"/>
    <w:rsid w:val="00444122"/>
    <w:rsid w:val="00444AF4"/>
    <w:rsid w:val="0044586D"/>
    <w:rsid w:val="00446777"/>
    <w:rsid w:val="00447393"/>
    <w:rsid w:val="004474A4"/>
    <w:rsid w:val="004477CD"/>
    <w:rsid w:val="004506C5"/>
    <w:rsid w:val="00450761"/>
    <w:rsid w:val="00450C6F"/>
    <w:rsid w:val="00450D84"/>
    <w:rsid w:val="00451066"/>
    <w:rsid w:val="004519E4"/>
    <w:rsid w:val="00452531"/>
    <w:rsid w:val="00452663"/>
    <w:rsid w:val="00453434"/>
    <w:rsid w:val="004537B4"/>
    <w:rsid w:val="00454A53"/>
    <w:rsid w:val="00454BC0"/>
    <w:rsid w:val="00454E23"/>
    <w:rsid w:val="00454FBB"/>
    <w:rsid w:val="00455E8E"/>
    <w:rsid w:val="004561B2"/>
    <w:rsid w:val="00456405"/>
    <w:rsid w:val="00456790"/>
    <w:rsid w:val="00457432"/>
    <w:rsid w:val="0045763C"/>
    <w:rsid w:val="00460580"/>
    <w:rsid w:val="0046170D"/>
    <w:rsid w:val="00462CFE"/>
    <w:rsid w:val="00462DB5"/>
    <w:rsid w:val="0046333A"/>
    <w:rsid w:val="00463BDE"/>
    <w:rsid w:val="00463E69"/>
    <w:rsid w:val="00464085"/>
    <w:rsid w:val="00464272"/>
    <w:rsid w:val="00464796"/>
    <w:rsid w:val="004657D3"/>
    <w:rsid w:val="00465C92"/>
    <w:rsid w:val="00465DF2"/>
    <w:rsid w:val="00466386"/>
    <w:rsid w:val="004668A6"/>
    <w:rsid w:val="00466DFD"/>
    <w:rsid w:val="004672D7"/>
    <w:rsid w:val="00470758"/>
    <w:rsid w:val="00471C75"/>
    <w:rsid w:val="004728FE"/>
    <w:rsid w:val="00472938"/>
    <w:rsid w:val="00472B76"/>
    <w:rsid w:val="004736D5"/>
    <w:rsid w:val="00473CFA"/>
    <w:rsid w:val="00474BBE"/>
    <w:rsid w:val="004757C9"/>
    <w:rsid w:val="00476911"/>
    <w:rsid w:val="00476CED"/>
    <w:rsid w:val="00476D09"/>
    <w:rsid w:val="0047757B"/>
    <w:rsid w:val="004778F9"/>
    <w:rsid w:val="0048002D"/>
    <w:rsid w:val="0048052D"/>
    <w:rsid w:val="004808EA"/>
    <w:rsid w:val="00481642"/>
    <w:rsid w:val="00481BB0"/>
    <w:rsid w:val="0048283B"/>
    <w:rsid w:val="00482EE6"/>
    <w:rsid w:val="00483226"/>
    <w:rsid w:val="00483843"/>
    <w:rsid w:val="004841E1"/>
    <w:rsid w:val="0048493D"/>
    <w:rsid w:val="00485561"/>
    <w:rsid w:val="00485AB5"/>
    <w:rsid w:val="00486181"/>
    <w:rsid w:val="004862D4"/>
    <w:rsid w:val="004867E2"/>
    <w:rsid w:val="00486BF6"/>
    <w:rsid w:val="004870D1"/>
    <w:rsid w:val="00487696"/>
    <w:rsid w:val="00487CA8"/>
    <w:rsid w:val="00487F97"/>
    <w:rsid w:val="004901FA"/>
    <w:rsid w:val="004909FB"/>
    <w:rsid w:val="00490B57"/>
    <w:rsid w:val="00490EC8"/>
    <w:rsid w:val="004929A3"/>
    <w:rsid w:val="004929FB"/>
    <w:rsid w:val="00492BBD"/>
    <w:rsid w:val="00492EE9"/>
    <w:rsid w:val="00493EFE"/>
    <w:rsid w:val="00495007"/>
    <w:rsid w:val="00495021"/>
    <w:rsid w:val="004958B2"/>
    <w:rsid w:val="004958E3"/>
    <w:rsid w:val="00495BED"/>
    <w:rsid w:val="00497793"/>
    <w:rsid w:val="00497B68"/>
    <w:rsid w:val="004A0A8E"/>
    <w:rsid w:val="004A0E70"/>
    <w:rsid w:val="004A195E"/>
    <w:rsid w:val="004A378B"/>
    <w:rsid w:val="004A4380"/>
    <w:rsid w:val="004A4997"/>
    <w:rsid w:val="004A4F45"/>
    <w:rsid w:val="004A50BE"/>
    <w:rsid w:val="004A5BE9"/>
    <w:rsid w:val="004A6115"/>
    <w:rsid w:val="004A64C1"/>
    <w:rsid w:val="004A6BD5"/>
    <w:rsid w:val="004A6F9E"/>
    <w:rsid w:val="004A75D5"/>
    <w:rsid w:val="004A7C0B"/>
    <w:rsid w:val="004B050D"/>
    <w:rsid w:val="004B074F"/>
    <w:rsid w:val="004B0764"/>
    <w:rsid w:val="004B1395"/>
    <w:rsid w:val="004B2158"/>
    <w:rsid w:val="004B353D"/>
    <w:rsid w:val="004B35FA"/>
    <w:rsid w:val="004B372B"/>
    <w:rsid w:val="004B3AEA"/>
    <w:rsid w:val="004B3D6F"/>
    <w:rsid w:val="004B479E"/>
    <w:rsid w:val="004B59C3"/>
    <w:rsid w:val="004B5A0A"/>
    <w:rsid w:val="004B63BE"/>
    <w:rsid w:val="004B6462"/>
    <w:rsid w:val="004B6D4B"/>
    <w:rsid w:val="004C09AC"/>
    <w:rsid w:val="004C0DCA"/>
    <w:rsid w:val="004C1F8A"/>
    <w:rsid w:val="004C2008"/>
    <w:rsid w:val="004C2187"/>
    <w:rsid w:val="004C2A45"/>
    <w:rsid w:val="004C2B1F"/>
    <w:rsid w:val="004C2DA4"/>
    <w:rsid w:val="004C2E08"/>
    <w:rsid w:val="004C413D"/>
    <w:rsid w:val="004C437D"/>
    <w:rsid w:val="004C521D"/>
    <w:rsid w:val="004C61BC"/>
    <w:rsid w:val="004C675B"/>
    <w:rsid w:val="004C6E08"/>
    <w:rsid w:val="004C7F9E"/>
    <w:rsid w:val="004D03BF"/>
    <w:rsid w:val="004D0B67"/>
    <w:rsid w:val="004D1406"/>
    <w:rsid w:val="004D1B6C"/>
    <w:rsid w:val="004D1DB8"/>
    <w:rsid w:val="004D3655"/>
    <w:rsid w:val="004D3D37"/>
    <w:rsid w:val="004D3EF7"/>
    <w:rsid w:val="004D47D1"/>
    <w:rsid w:val="004D502D"/>
    <w:rsid w:val="004D5B31"/>
    <w:rsid w:val="004D6063"/>
    <w:rsid w:val="004D62A1"/>
    <w:rsid w:val="004D63DC"/>
    <w:rsid w:val="004D6D25"/>
    <w:rsid w:val="004D7F65"/>
    <w:rsid w:val="004E0309"/>
    <w:rsid w:val="004E030E"/>
    <w:rsid w:val="004E0FAF"/>
    <w:rsid w:val="004E1430"/>
    <w:rsid w:val="004E1C44"/>
    <w:rsid w:val="004E240D"/>
    <w:rsid w:val="004E2749"/>
    <w:rsid w:val="004E2BDC"/>
    <w:rsid w:val="004E31AD"/>
    <w:rsid w:val="004E46A9"/>
    <w:rsid w:val="004E4AC4"/>
    <w:rsid w:val="004E55D8"/>
    <w:rsid w:val="004E562F"/>
    <w:rsid w:val="004E6152"/>
    <w:rsid w:val="004E64F0"/>
    <w:rsid w:val="004E65EB"/>
    <w:rsid w:val="004E695A"/>
    <w:rsid w:val="004E6D16"/>
    <w:rsid w:val="004E7623"/>
    <w:rsid w:val="004E7D94"/>
    <w:rsid w:val="004F06B3"/>
    <w:rsid w:val="004F0CD2"/>
    <w:rsid w:val="004F0CEA"/>
    <w:rsid w:val="004F0FED"/>
    <w:rsid w:val="004F1181"/>
    <w:rsid w:val="004F2D1C"/>
    <w:rsid w:val="004F3B71"/>
    <w:rsid w:val="004F44B8"/>
    <w:rsid w:val="004F4660"/>
    <w:rsid w:val="004F4F16"/>
    <w:rsid w:val="004F500F"/>
    <w:rsid w:val="004F5E1A"/>
    <w:rsid w:val="004F6CED"/>
    <w:rsid w:val="004F71F2"/>
    <w:rsid w:val="004F7D0B"/>
    <w:rsid w:val="005002CE"/>
    <w:rsid w:val="00500940"/>
    <w:rsid w:val="00500B77"/>
    <w:rsid w:val="00501C9A"/>
    <w:rsid w:val="00502380"/>
    <w:rsid w:val="00503660"/>
    <w:rsid w:val="00504049"/>
    <w:rsid w:val="00504405"/>
    <w:rsid w:val="00505FAD"/>
    <w:rsid w:val="00506BC5"/>
    <w:rsid w:val="00506DBB"/>
    <w:rsid w:val="00507639"/>
    <w:rsid w:val="00510052"/>
    <w:rsid w:val="0051019D"/>
    <w:rsid w:val="005110DA"/>
    <w:rsid w:val="005126F3"/>
    <w:rsid w:val="0051274E"/>
    <w:rsid w:val="00512D58"/>
    <w:rsid w:val="00513925"/>
    <w:rsid w:val="00513EFE"/>
    <w:rsid w:val="00514F2A"/>
    <w:rsid w:val="005158D4"/>
    <w:rsid w:val="00515C34"/>
    <w:rsid w:val="00516339"/>
    <w:rsid w:val="00520548"/>
    <w:rsid w:val="005209C5"/>
    <w:rsid w:val="00521193"/>
    <w:rsid w:val="005212EB"/>
    <w:rsid w:val="0052175B"/>
    <w:rsid w:val="00521C17"/>
    <w:rsid w:val="0052420D"/>
    <w:rsid w:val="0052646E"/>
    <w:rsid w:val="0052688F"/>
    <w:rsid w:val="00526BE6"/>
    <w:rsid w:val="0052796E"/>
    <w:rsid w:val="00531127"/>
    <w:rsid w:val="00531884"/>
    <w:rsid w:val="005318BF"/>
    <w:rsid w:val="00531C49"/>
    <w:rsid w:val="0053262C"/>
    <w:rsid w:val="0053276F"/>
    <w:rsid w:val="00532ABD"/>
    <w:rsid w:val="005334A3"/>
    <w:rsid w:val="00533B0C"/>
    <w:rsid w:val="00534438"/>
    <w:rsid w:val="00534DDB"/>
    <w:rsid w:val="00535088"/>
    <w:rsid w:val="00535195"/>
    <w:rsid w:val="005353B0"/>
    <w:rsid w:val="00535617"/>
    <w:rsid w:val="00535C7C"/>
    <w:rsid w:val="0053603B"/>
    <w:rsid w:val="00536FBC"/>
    <w:rsid w:val="00537986"/>
    <w:rsid w:val="00537B21"/>
    <w:rsid w:val="0054098D"/>
    <w:rsid w:val="00540FC7"/>
    <w:rsid w:val="0054139F"/>
    <w:rsid w:val="00541B0B"/>
    <w:rsid w:val="00541D06"/>
    <w:rsid w:val="00542421"/>
    <w:rsid w:val="00542F10"/>
    <w:rsid w:val="00543F36"/>
    <w:rsid w:val="00544311"/>
    <w:rsid w:val="00544391"/>
    <w:rsid w:val="00544AAA"/>
    <w:rsid w:val="00545560"/>
    <w:rsid w:val="00545E10"/>
    <w:rsid w:val="00546280"/>
    <w:rsid w:val="00546A0A"/>
    <w:rsid w:val="00546E66"/>
    <w:rsid w:val="005505D5"/>
    <w:rsid w:val="0055075D"/>
    <w:rsid w:val="00550F3A"/>
    <w:rsid w:val="00551CDB"/>
    <w:rsid w:val="00552508"/>
    <w:rsid w:val="00552EDE"/>
    <w:rsid w:val="005544C6"/>
    <w:rsid w:val="00554533"/>
    <w:rsid w:val="00554776"/>
    <w:rsid w:val="00555D14"/>
    <w:rsid w:val="005560DA"/>
    <w:rsid w:val="00556725"/>
    <w:rsid w:val="00556FBE"/>
    <w:rsid w:val="0056018B"/>
    <w:rsid w:val="00560359"/>
    <w:rsid w:val="0056055A"/>
    <w:rsid w:val="005606E7"/>
    <w:rsid w:val="00561AB6"/>
    <w:rsid w:val="00562C59"/>
    <w:rsid w:val="00563B7A"/>
    <w:rsid w:val="00564378"/>
    <w:rsid w:val="00564821"/>
    <w:rsid w:val="005649D1"/>
    <w:rsid w:val="00564B91"/>
    <w:rsid w:val="00564CDE"/>
    <w:rsid w:val="00564DD1"/>
    <w:rsid w:val="00564EAF"/>
    <w:rsid w:val="00565257"/>
    <w:rsid w:val="005655C8"/>
    <w:rsid w:val="0056684C"/>
    <w:rsid w:val="00566FCB"/>
    <w:rsid w:val="005670DB"/>
    <w:rsid w:val="00570566"/>
    <w:rsid w:val="0057056D"/>
    <w:rsid w:val="00571564"/>
    <w:rsid w:val="00571737"/>
    <w:rsid w:val="005720C6"/>
    <w:rsid w:val="00572B9B"/>
    <w:rsid w:val="00573936"/>
    <w:rsid w:val="00574136"/>
    <w:rsid w:val="0057473B"/>
    <w:rsid w:val="00575B66"/>
    <w:rsid w:val="00575D13"/>
    <w:rsid w:val="00575FCD"/>
    <w:rsid w:val="00576AE6"/>
    <w:rsid w:val="005808DB"/>
    <w:rsid w:val="00580B0E"/>
    <w:rsid w:val="00581447"/>
    <w:rsid w:val="00582178"/>
    <w:rsid w:val="00583498"/>
    <w:rsid w:val="005834D0"/>
    <w:rsid w:val="0058392B"/>
    <w:rsid w:val="00583952"/>
    <w:rsid w:val="00583ACA"/>
    <w:rsid w:val="005840B9"/>
    <w:rsid w:val="0058439B"/>
    <w:rsid w:val="00584507"/>
    <w:rsid w:val="005846A6"/>
    <w:rsid w:val="00585255"/>
    <w:rsid w:val="00585850"/>
    <w:rsid w:val="0058665C"/>
    <w:rsid w:val="00590222"/>
    <w:rsid w:val="005903D0"/>
    <w:rsid w:val="00591284"/>
    <w:rsid w:val="00591B60"/>
    <w:rsid w:val="005924C6"/>
    <w:rsid w:val="00592A42"/>
    <w:rsid w:val="00592B7F"/>
    <w:rsid w:val="005932F0"/>
    <w:rsid w:val="0059337D"/>
    <w:rsid w:val="00594C2B"/>
    <w:rsid w:val="00594F0B"/>
    <w:rsid w:val="00596190"/>
    <w:rsid w:val="005972EA"/>
    <w:rsid w:val="005A01AA"/>
    <w:rsid w:val="005A06FB"/>
    <w:rsid w:val="005A0AD6"/>
    <w:rsid w:val="005A1E1D"/>
    <w:rsid w:val="005A20EE"/>
    <w:rsid w:val="005A23AD"/>
    <w:rsid w:val="005A2585"/>
    <w:rsid w:val="005A2B20"/>
    <w:rsid w:val="005A3D55"/>
    <w:rsid w:val="005A3DF0"/>
    <w:rsid w:val="005A506D"/>
    <w:rsid w:val="005A51D8"/>
    <w:rsid w:val="005A5452"/>
    <w:rsid w:val="005A5475"/>
    <w:rsid w:val="005A574A"/>
    <w:rsid w:val="005A5D09"/>
    <w:rsid w:val="005A5EE9"/>
    <w:rsid w:val="005A691D"/>
    <w:rsid w:val="005A6BD9"/>
    <w:rsid w:val="005A6F30"/>
    <w:rsid w:val="005B0546"/>
    <w:rsid w:val="005B0B44"/>
    <w:rsid w:val="005B0F18"/>
    <w:rsid w:val="005B1675"/>
    <w:rsid w:val="005B1A7E"/>
    <w:rsid w:val="005B1B81"/>
    <w:rsid w:val="005B1C4C"/>
    <w:rsid w:val="005B21B0"/>
    <w:rsid w:val="005B2C2B"/>
    <w:rsid w:val="005B337E"/>
    <w:rsid w:val="005B362A"/>
    <w:rsid w:val="005B4286"/>
    <w:rsid w:val="005B4E4E"/>
    <w:rsid w:val="005B4F88"/>
    <w:rsid w:val="005B67C1"/>
    <w:rsid w:val="005B6827"/>
    <w:rsid w:val="005B7049"/>
    <w:rsid w:val="005B70CC"/>
    <w:rsid w:val="005B7345"/>
    <w:rsid w:val="005B754B"/>
    <w:rsid w:val="005B766E"/>
    <w:rsid w:val="005C04FF"/>
    <w:rsid w:val="005C0535"/>
    <w:rsid w:val="005C083E"/>
    <w:rsid w:val="005C0E9B"/>
    <w:rsid w:val="005C16F4"/>
    <w:rsid w:val="005C21CE"/>
    <w:rsid w:val="005C28D4"/>
    <w:rsid w:val="005C2C28"/>
    <w:rsid w:val="005C2CD2"/>
    <w:rsid w:val="005C3CB9"/>
    <w:rsid w:val="005C3D5E"/>
    <w:rsid w:val="005C407B"/>
    <w:rsid w:val="005C440C"/>
    <w:rsid w:val="005C480C"/>
    <w:rsid w:val="005C4FB0"/>
    <w:rsid w:val="005C50F1"/>
    <w:rsid w:val="005C5F14"/>
    <w:rsid w:val="005C648B"/>
    <w:rsid w:val="005C6B6B"/>
    <w:rsid w:val="005C747D"/>
    <w:rsid w:val="005C7AB1"/>
    <w:rsid w:val="005D0147"/>
    <w:rsid w:val="005D01AC"/>
    <w:rsid w:val="005D03F3"/>
    <w:rsid w:val="005D0646"/>
    <w:rsid w:val="005D12D1"/>
    <w:rsid w:val="005D1752"/>
    <w:rsid w:val="005D3076"/>
    <w:rsid w:val="005D328B"/>
    <w:rsid w:val="005D3E4E"/>
    <w:rsid w:val="005D5012"/>
    <w:rsid w:val="005D507D"/>
    <w:rsid w:val="005D50F6"/>
    <w:rsid w:val="005D544A"/>
    <w:rsid w:val="005D6754"/>
    <w:rsid w:val="005D7655"/>
    <w:rsid w:val="005D7A31"/>
    <w:rsid w:val="005D7AF0"/>
    <w:rsid w:val="005E02DA"/>
    <w:rsid w:val="005E082F"/>
    <w:rsid w:val="005E0A54"/>
    <w:rsid w:val="005E0FAE"/>
    <w:rsid w:val="005E1792"/>
    <w:rsid w:val="005E1A1A"/>
    <w:rsid w:val="005E22B5"/>
    <w:rsid w:val="005E2DAE"/>
    <w:rsid w:val="005E3371"/>
    <w:rsid w:val="005E357B"/>
    <w:rsid w:val="005E3638"/>
    <w:rsid w:val="005E367C"/>
    <w:rsid w:val="005E3F4C"/>
    <w:rsid w:val="005E41F2"/>
    <w:rsid w:val="005E731A"/>
    <w:rsid w:val="005E7459"/>
    <w:rsid w:val="005E75CF"/>
    <w:rsid w:val="005F01E9"/>
    <w:rsid w:val="005F0278"/>
    <w:rsid w:val="005F08FC"/>
    <w:rsid w:val="005F118E"/>
    <w:rsid w:val="005F126C"/>
    <w:rsid w:val="005F18A2"/>
    <w:rsid w:val="005F1A55"/>
    <w:rsid w:val="005F2380"/>
    <w:rsid w:val="005F2423"/>
    <w:rsid w:val="005F27C6"/>
    <w:rsid w:val="005F29CE"/>
    <w:rsid w:val="005F4043"/>
    <w:rsid w:val="005F458B"/>
    <w:rsid w:val="005F46FD"/>
    <w:rsid w:val="005F481A"/>
    <w:rsid w:val="005F4AF2"/>
    <w:rsid w:val="005F508A"/>
    <w:rsid w:val="005F57D7"/>
    <w:rsid w:val="005F5EBC"/>
    <w:rsid w:val="005F630B"/>
    <w:rsid w:val="005F6441"/>
    <w:rsid w:val="005F7120"/>
    <w:rsid w:val="005F7F71"/>
    <w:rsid w:val="005F7FC6"/>
    <w:rsid w:val="006008AC"/>
    <w:rsid w:val="00600AC7"/>
    <w:rsid w:val="00600F57"/>
    <w:rsid w:val="00601024"/>
    <w:rsid w:val="00601333"/>
    <w:rsid w:val="00601B87"/>
    <w:rsid w:val="00602256"/>
    <w:rsid w:val="006024E7"/>
    <w:rsid w:val="00602819"/>
    <w:rsid w:val="00602E8B"/>
    <w:rsid w:val="006031EE"/>
    <w:rsid w:val="006031F2"/>
    <w:rsid w:val="0060377D"/>
    <w:rsid w:val="00604519"/>
    <w:rsid w:val="006046E7"/>
    <w:rsid w:val="00605206"/>
    <w:rsid w:val="006058EB"/>
    <w:rsid w:val="00605D31"/>
    <w:rsid w:val="00606ABC"/>
    <w:rsid w:val="006076E4"/>
    <w:rsid w:val="00607CF4"/>
    <w:rsid w:val="00607EC6"/>
    <w:rsid w:val="0061030F"/>
    <w:rsid w:val="0061035C"/>
    <w:rsid w:val="00610590"/>
    <w:rsid w:val="006116DB"/>
    <w:rsid w:val="00611753"/>
    <w:rsid w:val="00611909"/>
    <w:rsid w:val="00612324"/>
    <w:rsid w:val="00612697"/>
    <w:rsid w:val="006127F1"/>
    <w:rsid w:val="006139AA"/>
    <w:rsid w:val="006139F6"/>
    <w:rsid w:val="00613FBC"/>
    <w:rsid w:val="006152A5"/>
    <w:rsid w:val="00615502"/>
    <w:rsid w:val="0061555F"/>
    <w:rsid w:val="00615DA0"/>
    <w:rsid w:val="0061631C"/>
    <w:rsid w:val="00616C82"/>
    <w:rsid w:val="006215A9"/>
    <w:rsid w:val="00622694"/>
    <w:rsid w:val="006230DC"/>
    <w:rsid w:val="00623AD3"/>
    <w:rsid w:val="006242BF"/>
    <w:rsid w:val="00624E31"/>
    <w:rsid w:val="006251B6"/>
    <w:rsid w:val="0062545E"/>
    <w:rsid w:val="006254C7"/>
    <w:rsid w:val="0062580B"/>
    <w:rsid w:val="00625CB0"/>
    <w:rsid w:val="0062601F"/>
    <w:rsid w:val="00632254"/>
    <w:rsid w:val="00632673"/>
    <w:rsid w:val="00632829"/>
    <w:rsid w:val="006329DB"/>
    <w:rsid w:val="006337E6"/>
    <w:rsid w:val="006337F0"/>
    <w:rsid w:val="00633EE4"/>
    <w:rsid w:val="00634324"/>
    <w:rsid w:val="00634639"/>
    <w:rsid w:val="00634CF6"/>
    <w:rsid w:val="00634D23"/>
    <w:rsid w:val="006356BA"/>
    <w:rsid w:val="00635AFC"/>
    <w:rsid w:val="00635B79"/>
    <w:rsid w:val="006371B5"/>
    <w:rsid w:val="006372CD"/>
    <w:rsid w:val="0063767C"/>
    <w:rsid w:val="00640561"/>
    <w:rsid w:val="00640632"/>
    <w:rsid w:val="00641163"/>
    <w:rsid w:val="006412FC"/>
    <w:rsid w:val="00641591"/>
    <w:rsid w:val="00641CBA"/>
    <w:rsid w:val="00641FE8"/>
    <w:rsid w:val="00642092"/>
    <w:rsid w:val="0064258B"/>
    <w:rsid w:val="00642B9A"/>
    <w:rsid w:val="00642F87"/>
    <w:rsid w:val="006437D1"/>
    <w:rsid w:val="00643D58"/>
    <w:rsid w:val="00644E6C"/>
    <w:rsid w:val="00646064"/>
    <w:rsid w:val="006466B4"/>
    <w:rsid w:val="006468D6"/>
    <w:rsid w:val="00646FA6"/>
    <w:rsid w:val="00647369"/>
    <w:rsid w:val="006478F2"/>
    <w:rsid w:val="00647B6D"/>
    <w:rsid w:val="0065038A"/>
    <w:rsid w:val="006511F1"/>
    <w:rsid w:val="006517BD"/>
    <w:rsid w:val="00651B90"/>
    <w:rsid w:val="00652248"/>
    <w:rsid w:val="00652A21"/>
    <w:rsid w:val="00652B74"/>
    <w:rsid w:val="00652C47"/>
    <w:rsid w:val="00653478"/>
    <w:rsid w:val="00653DE6"/>
    <w:rsid w:val="00653E97"/>
    <w:rsid w:val="006542D2"/>
    <w:rsid w:val="00654601"/>
    <w:rsid w:val="00654789"/>
    <w:rsid w:val="006551D3"/>
    <w:rsid w:val="00655CCB"/>
    <w:rsid w:val="006564E9"/>
    <w:rsid w:val="006567D2"/>
    <w:rsid w:val="006577EC"/>
    <w:rsid w:val="00657F69"/>
    <w:rsid w:val="0066092C"/>
    <w:rsid w:val="0066097E"/>
    <w:rsid w:val="00660A76"/>
    <w:rsid w:val="006613E6"/>
    <w:rsid w:val="00661B58"/>
    <w:rsid w:val="00661ECA"/>
    <w:rsid w:val="00663F0D"/>
    <w:rsid w:val="00663FE1"/>
    <w:rsid w:val="00663FE7"/>
    <w:rsid w:val="006647EB"/>
    <w:rsid w:val="00664AC5"/>
    <w:rsid w:val="00664CD7"/>
    <w:rsid w:val="0066589B"/>
    <w:rsid w:val="00666127"/>
    <w:rsid w:val="0066648F"/>
    <w:rsid w:val="00666715"/>
    <w:rsid w:val="00667A03"/>
    <w:rsid w:val="00670287"/>
    <w:rsid w:val="006709D9"/>
    <w:rsid w:val="00670AF8"/>
    <w:rsid w:val="00670C5A"/>
    <w:rsid w:val="006710D9"/>
    <w:rsid w:val="0067110F"/>
    <w:rsid w:val="00671495"/>
    <w:rsid w:val="00671537"/>
    <w:rsid w:val="00672523"/>
    <w:rsid w:val="006728DC"/>
    <w:rsid w:val="00672B42"/>
    <w:rsid w:val="00672F7C"/>
    <w:rsid w:val="00673464"/>
    <w:rsid w:val="00675936"/>
    <w:rsid w:val="00675A71"/>
    <w:rsid w:val="00675D2D"/>
    <w:rsid w:val="00675F74"/>
    <w:rsid w:val="00676CE2"/>
    <w:rsid w:val="00677454"/>
    <w:rsid w:val="0067755F"/>
    <w:rsid w:val="00677DBA"/>
    <w:rsid w:val="00677F21"/>
    <w:rsid w:val="006802A4"/>
    <w:rsid w:val="00680990"/>
    <w:rsid w:val="00681570"/>
    <w:rsid w:val="00681770"/>
    <w:rsid w:val="00681BA7"/>
    <w:rsid w:val="00681F75"/>
    <w:rsid w:val="00682084"/>
    <w:rsid w:val="006822D0"/>
    <w:rsid w:val="00682767"/>
    <w:rsid w:val="00682F1A"/>
    <w:rsid w:val="00683824"/>
    <w:rsid w:val="00683E61"/>
    <w:rsid w:val="006841AA"/>
    <w:rsid w:val="006842A4"/>
    <w:rsid w:val="006847EC"/>
    <w:rsid w:val="00684EE0"/>
    <w:rsid w:val="00685D33"/>
    <w:rsid w:val="00685ED8"/>
    <w:rsid w:val="00686078"/>
    <w:rsid w:val="00686756"/>
    <w:rsid w:val="00686824"/>
    <w:rsid w:val="00686FCF"/>
    <w:rsid w:val="006875D7"/>
    <w:rsid w:val="0068766A"/>
    <w:rsid w:val="00687C6B"/>
    <w:rsid w:val="006900F4"/>
    <w:rsid w:val="00690126"/>
    <w:rsid w:val="006918DD"/>
    <w:rsid w:val="00692008"/>
    <w:rsid w:val="0069218D"/>
    <w:rsid w:val="00692205"/>
    <w:rsid w:val="00692440"/>
    <w:rsid w:val="00692DF5"/>
    <w:rsid w:val="006940EE"/>
    <w:rsid w:val="006943F1"/>
    <w:rsid w:val="00694545"/>
    <w:rsid w:val="00694DEE"/>
    <w:rsid w:val="00695526"/>
    <w:rsid w:val="00695760"/>
    <w:rsid w:val="00695B16"/>
    <w:rsid w:val="00695B22"/>
    <w:rsid w:val="00695E48"/>
    <w:rsid w:val="00695FE9"/>
    <w:rsid w:val="00697C78"/>
    <w:rsid w:val="006A02DC"/>
    <w:rsid w:val="006A0588"/>
    <w:rsid w:val="006A098C"/>
    <w:rsid w:val="006A0C8C"/>
    <w:rsid w:val="006A1D39"/>
    <w:rsid w:val="006A2124"/>
    <w:rsid w:val="006A2310"/>
    <w:rsid w:val="006A3931"/>
    <w:rsid w:val="006A3A06"/>
    <w:rsid w:val="006A3C17"/>
    <w:rsid w:val="006A406D"/>
    <w:rsid w:val="006A4537"/>
    <w:rsid w:val="006A4B0C"/>
    <w:rsid w:val="006A6AAB"/>
    <w:rsid w:val="006A701D"/>
    <w:rsid w:val="006A723D"/>
    <w:rsid w:val="006A7456"/>
    <w:rsid w:val="006A7FF0"/>
    <w:rsid w:val="006B02DC"/>
    <w:rsid w:val="006B057E"/>
    <w:rsid w:val="006B07D0"/>
    <w:rsid w:val="006B0A88"/>
    <w:rsid w:val="006B0DB4"/>
    <w:rsid w:val="006B2682"/>
    <w:rsid w:val="006B2865"/>
    <w:rsid w:val="006B3A28"/>
    <w:rsid w:val="006B4FC9"/>
    <w:rsid w:val="006B5720"/>
    <w:rsid w:val="006B5C0E"/>
    <w:rsid w:val="006B631E"/>
    <w:rsid w:val="006B6E86"/>
    <w:rsid w:val="006B6EC9"/>
    <w:rsid w:val="006B7305"/>
    <w:rsid w:val="006B73AB"/>
    <w:rsid w:val="006B7CF1"/>
    <w:rsid w:val="006B7D30"/>
    <w:rsid w:val="006C01F5"/>
    <w:rsid w:val="006C0FD3"/>
    <w:rsid w:val="006C19B5"/>
    <w:rsid w:val="006C24FC"/>
    <w:rsid w:val="006C3C67"/>
    <w:rsid w:val="006C3E42"/>
    <w:rsid w:val="006C4BBA"/>
    <w:rsid w:val="006C4C1B"/>
    <w:rsid w:val="006C4ED8"/>
    <w:rsid w:val="006C50FD"/>
    <w:rsid w:val="006C636C"/>
    <w:rsid w:val="006C79D1"/>
    <w:rsid w:val="006C7C0E"/>
    <w:rsid w:val="006D196B"/>
    <w:rsid w:val="006D23CF"/>
    <w:rsid w:val="006D257B"/>
    <w:rsid w:val="006D30D3"/>
    <w:rsid w:val="006D3461"/>
    <w:rsid w:val="006D5B92"/>
    <w:rsid w:val="006D6942"/>
    <w:rsid w:val="006D6F51"/>
    <w:rsid w:val="006D75DE"/>
    <w:rsid w:val="006D7C37"/>
    <w:rsid w:val="006D7C44"/>
    <w:rsid w:val="006E094F"/>
    <w:rsid w:val="006E1CD1"/>
    <w:rsid w:val="006E29B3"/>
    <w:rsid w:val="006E2FEF"/>
    <w:rsid w:val="006E3534"/>
    <w:rsid w:val="006E4C91"/>
    <w:rsid w:val="006E61F1"/>
    <w:rsid w:val="006E66F6"/>
    <w:rsid w:val="006E685C"/>
    <w:rsid w:val="006E6C4D"/>
    <w:rsid w:val="006E6C74"/>
    <w:rsid w:val="006E72A8"/>
    <w:rsid w:val="006E7CD7"/>
    <w:rsid w:val="006F1492"/>
    <w:rsid w:val="006F403D"/>
    <w:rsid w:val="006F40E7"/>
    <w:rsid w:val="006F62B2"/>
    <w:rsid w:val="006F731E"/>
    <w:rsid w:val="006F75BE"/>
    <w:rsid w:val="006F7AB6"/>
    <w:rsid w:val="006F7D1F"/>
    <w:rsid w:val="006F7D59"/>
    <w:rsid w:val="006F7FE3"/>
    <w:rsid w:val="00700E53"/>
    <w:rsid w:val="00702070"/>
    <w:rsid w:val="007020F4"/>
    <w:rsid w:val="00702430"/>
    <w:rsid w:val="00702D07"/>
    <w:rsid w:val="00702D6F"/>
    <w:rsid w:val="00703121"/>
    <w:rsid w:val="00703C68"/>
    <w:rsid w:val="007042F1"/>
    <w:rsid w:val="00704A24"/>
    <w:rsid w:val="007056D9"/>
    <w:rsid w:val="00705B7D"/>
    <w:rsid w:val="00707719"/>
    <w:rsid w:val="00707B00"/>
    <w:rsid w:val="00710429"/>
    <w:rsid w:val="00710772"/>
    <w:rsid w:val="00711838"/>
    <w:rsid w:val="00711B4F"/>
    <w:rsid w:val="00712398"/>
    <w:rsid w:val="007124FC"/>
    <w:rsid w:val="00712D4B"/>
    <w:rsid w:val="0071320F"/>
    <w:rsid w:val="00713726"/>
    <w:rsid w:val="00713FEE"/>
    <w:rsid w:val="007154C0"/>
    <w:rsid w:val="00716574"/>
    <w:rsid w:val="00716CCF"/>
    <w:rsid w:val="0071700D"/>
    <w:rsid w:val="007175A9"/>
    <w:rsid w:val="00717C6C"/>
    <w:rsid w:val="00717D3F"/>
    <w:rsid w:val="00717DF2"/>
    <w:rsid w:val="00720482"/>
    <w:rsid w:val="00720E99"/>
    <w:rsid w:val="007222A2"/>
    <w:rsid w:val="007226C2"/>
    <w:rsid w:val="007229EB"/>
    <w:rsid w:val="00722CD1"/>
    <w:rsid w:val="0072318D"/>
    <w:rsid w:val="0072348A"/>
    <w:rsid w:val="00723AD0"/>
    <w:rsid w:val="00723F78"/>
    <w:rsid w:val="00724399"/>
    <w:rsid w:val="00724A07"/>
    <w:rsid w:val="00725ADE"/>
    <w:rsid w:val="00725DB9"/>
    <w:rsid w:val="00725DDB"/>
    <w:rsid w:val="00725EEC"/>
    <w:rsid w:val="00725F30"/>
    <w:rsid w:val="00726232"/>
    <w:rsid w:val="00726303"/>
    <w:rsid w:val="00726519"/>
    <w:rsid w:val="0072669C"/>
    <w:rsid w:val="007266E5"/>
    <w:rsid w:val="00726773"/>
    <w:rsid w:val="00726B5A"/>
    <w:rsid w:val="007274E0"/>
    <w:rsid w:val="00730151"/>
    <w:rsid w:val="00730153"/>
    <w:rsid w:val="00730184"/>
    <w:rsid w:val="00730853"/>
    <w:rsid w:val="00730B88"/>
    <w:rsid w:val="00730D4D"/>
    <w:rsid w:val="00731D75"/>
    <w:rsid w:val="00731F75"/>
    <w:rsid w:val="00732B6B"/>
    <w:rsid w:val="0073447D"/>
    <w:rsid w:val="0073451E"/>
    <w:rsid w:val="00734C9C"/>
    <w:rsid w:val="00734DA6"/>
    <w:rsid w:val="0073503C"/>
    <w:rsid w:val="007350DF"/>
    <w:rsid w:val="00735572"/>
    <w:rsid w:val="00735721"/>
    <w:rsid w:val="0073697B"/>
    <w:rsid w:val="00736B90"/>
    <w:rsid w:val="00736D2C"/>
    <w:rsid w:val="00737DDD"/>
    <w:rsid w:val="00737E66"/>
    <w:rsid w:val="00737E7C"/>
    <w:rsid w:val="00740B5C"/>
    <w:rsid w:val="007412AA"/>
    <w:rsid w:val="0074282C"/>
    <w:rsid w:val="00742F98"/>
    <w:rsid w:val="007431D1"/>
    <w:rsid w:val="00743D7A"/>
    <w:rsid w:val="007441C4"/>
    <w:rsid w:val="007455C4"/>
    <w:rsid w:val="00746422"/>
    <w:rsid w:val="00746835"/>
    <w:rsid w:val="00746E81"/>
    <w:rsid w:val="0074744A"/>
    <w:rsid w:val="00750041"/>
    <w:rsid w:val="00750700"/>
    <w:rsid w:val="007509C6"/>
    <w:rsid w:val="00751994"/>
    <w:rsid w:val="007532C0"/>
    <w:rsid w:val="007539A2"/>
    <w:rsid w:val="0075499A"/>
    <w:rsid w:val="00754ADB"/>
    <w:rsid w:val="00754C0E"/>
    <w:rsid w:val="00754CC6"/>
    <w:rsid w:val="00754E0C"/>
    <w:rsid w:val="00754EA7"/>
    <w:rsid w:val="0075559B"/>
    <w:rsid w:val="007560A6"/>
    <w:rsid w:val="00756346"/>
    <w:rsid w:val="007565D6"/>
    <w:rsid w:val="00756FD4"/>
    <w:rsid w:val="00757168"/>
    <w:rsid w:val="00757815"/>
    <w:rsid w:val="007609F6"/>
    <w:rsid w:val="007610AB"/>
    <w:rsid w:val="0076113C"/>
    <w:rsid w:val="007612A8"/>
    <w:rsid w:val="0076249D"/>
    <w:rsid w:val="007625F1"/>
    <w:rsid w:val="00762AB8"/>
    <w:rsid w:val="00764A02"/>
    <w:rsid w:val="00764B05"/>
    <w:rsid w:val="007652AB"/>
    <w:rsid w:val="00765357"/>
    <w:rsid w:val="007655F2"/>
    <w:rsid w:val="00765B9D"/>
    <w:rsid w:val="00765C75"/>
    <w:rsid w:val="007663A8"/>
    <w:rsid w:val="007663AE"/>
    <w:rsid w:val="0077222D"/>
    <w:rsid w:val="00772830"/>
    <w:rsid w:val="00772B8D"/>
    <w:rsid w:val="0077378D"/>
    <w:rsid w:val="00774626"/>
    <w:rsid w:val="00774CC6"/>
    <w:rsid w:val="00774D0E"/>
    <w:rsid w:val="00775000"/>
    <w:rsid w:val="0077507D"/>
    <w:rsid w:val="00775F88"/>
    <w:rsid w:val="00776760"/>
    <w:rsid w:val="007774EC"/>
    <w:rsid w:val="0078020C"/>
    <w:rsid w:val="007805D8"/>
    <w:rsid w:val="00780A30"/>
    <w:rsid w:val="00780F45"/>
    <w:rsid w:val="00781BD5"/>
    <w:rsid w:val="00781E18"/>
    <w:rsid w:val="0078239D"/>
    <w:rsid w:val="007829BD"/>
    <w:rsid w:val="00784703"/>
    <w:rsid w:val="0078497F"/>
    <w:rsid w:val="0078587E"/>
    <w:rsid w:val="0078666A"/>
    <w:rsid w:val="00786908"/>
    <w:rsid w:val="00786EFF"/>
    <w:rsid w:val="00790011"/>
    <w:rsid w:val="00790123"/>
    <w:rsid w:val="00790DCC"/>
    <w:rsid w:val="007913D7"/>
    <w:rsid w:val="00791C81"/>
    <w:rsid w:val="0079275D"/>
    <w:rsid w:val="0079336B"/>
    <w:rsid w:val="007937CF"/>
    <w:rsid w:val="007938F1"/>
    <w:rsid w:val="00794E8D"/>
    <w:rsid w:val="00794F53"/>
    <w:rsid w:val="00795045"/>
    <w:rsid w:val="0079519B"/>
    <w:rsid w:val="0079574E"/>
    <w:rsid w:val="00796484"/>
    <w:rsid w:val="00796E0E"/>
    <w:rsid w:val="0079739F"/>
    <w:rsid w:val="00797A4D"/>
    <w:rsid w:val="00797BE2"/>
    <w:rsid w:val="00797E79"/>
    <w:rsid w:val="00797F80"/>
    <w:rsid w:val="007A0E69"/>
    <w:rsid w:val="007A0E8E"/>
    <w:rsid w:val="007A1291"/>
    <w:rsid w:val="007A1367"/>
    <w:rsid w:val="007A21C2"/>
    <w:rsid w:val="007A242F"/>
    <w:rsid w:val="007A26FE"/>
    <w:rsid w:val="007A289B"/>
    <w:rsid w:val="007A3CA8"/>
    <w:rsid w:val="007A4756"/>
    <w:rsid w:val="007A5480"/>
    <w:rsid w:val="007A58CF"/>
    <w:rsid w:val="007A6AFD"/>
    <w:rsid w:val="007A6CA9"/>
    <w:rsid w:val="007B0D94"/>
    <w:rsid w:val="007B15D5"/>
    <w:rsid w:val="007B2167"/>
    <w:rsid w:val="007B22D8"/>
    <w:rsid w:val="007B2859"/>
    <w:rsid w:val="007B29BD"/>
    <w:rsid w:val="007B2AE6"/>
    <w:rsid w:val="007B2E5A"/>
    <w:rsid w:val="007B38B5"/>
    <w:rsid w:val="007B3A87"/>
    <w:rsid w:val="007B43AD"/>
    <w:rsid w:val="007B51A5"/>
    <w:rsid w:val="007B53EE"/>
    <w:rsid w:val="007B5440"/>
    <w:rsid w:val="007B6453"/>
    <w:rsid w:val="007B6CE3"/>
    <w:rsid w:val="007B72BE"/>
    <w:rsid w:val="007B735F"/>
    <w:rsid w:val="007B76E8"/>
    <w:rsid w:val="007B7829"/>
    <w:rsid w:val="007C01CE"/>
    <w:rsid w:val="007C0609"/>
    <w:rsid w:val="007C0FBE"/>
    <w:rsid w:val="007C1F8C"/>
    <w:rsid w:val="007C231A"/>
    <w:rsid w:val="007C2430"/>
    <w:rsid w:val="007C29A2"/>
    <w:rsid w:val="007C4953"/>
    <w:rsid w:val="007C4CB7"/>
    <w:rsid w:val="007C4F5D"/>
    <w:rsid w:val="007C5391"/>
    <w:rsid w:val="007C59F9"/>
    <w:rsid w:val="007C63CF"/>
    <w:rsid w:val="007C7113"/>
    <w:rsid w:val="007C7296"/>
    <w:rsid w:val="007C77D0"/>
    <w:rsid w:val="007C7967"/>
    <w:rsid w:val="007C7F7C"/>
    <w:rsid w:val="007D1F5D"/>
    <w:rsid w:val="007D344F"/>
    <w:rsid w:val="007D35C9"/>
    <w:rsid w:val="007D46F4"/>
    <w:rsid w:val="007D495E"/>
    <w:rsid w:val="007D52CD"/>
    <w:rsid w:val="007D53B5"/>
    <w:rsid w:val="007D67B0"/>
    <w:rsid w:val="007D68AE"/>
    <w:rsid w:val="007D6BE8"/>
    <w:rsid w:val="007D7E99"/>
    <w:rsid w:val="007E0A3E"/>
    <w:rsid w:val="007E10F6"/>
    <w:rsid w:val="007E1E0B"/>
    <w:rsid w:val="007E2163"/>
    <w:rsid w:val="007E2F18"/>
    <w:rsid w:val="007E4028"/>
    <w:rsid w:val="007E59D9"/>
    <w:rsid w:val="007E5DA7"/>
    <w:rsid w:val="007E5DF2"/>
    <w:rsid w:val="007E7142"/>
    <w:rsid w:val="007E7DFE"/>
    <w:rsid w:val="007E7ECD"/>
    <w:rsid w:val="007F01BB"/>
    <w:rsid w:val="007F0474"/>
    <w:rsid w:val="007F24C6"/>
    <w:rsid w:val="007F3BB5"/>
    <w:rsid w:val="007F4372"/>
    <w:rsid w:val="007F61DF"/>
    <w:rsid w:val="007F62A1"/>
    <w:rsid w:val="007F656F"/>
    <w:rsid w:val="007F6BA1"/>
    <w:rsid w:val="007F6F81"/>
    <w:rsid w:val="007F758C"/>
    <w:rsid w:val="007F7BF1"/>
    <w:rsid w:val="007F7C58"/>
    <w:rsid w:val="00800D0C"/>
    <w:rsid w:val="00801580"/>
    <w:rsid w:val="00802D6B"/>
    <w:rsid w:val="008053C3"/>
    <w:rsid w:val="008056D9"/>
    <w:rsid w:val="00806146"/>
    <w:rsid w:val="00806D84"/>
    <w:rsid w:val="00807217"/>
    <w:rsid w:val="00807329"/>
    <w:rsid w:val="008074A0"/>
    <w:rsid w:val="00807C66"/>
    <w:rsid w:val="0081051E"/>
    <w:rsid w:val="00810C9A"/>
    <w:rsid w:val="00810F0F"/>
    <w:rsid w:val="008112C0"/>
    <w:rsid w:val="00811FB4"/>
    <w:rsid w:val="008128C6"/>
    <w:rsid w:val="008134CE"/>
    <w:rsid w:val="00813608"/>
    <w:rsid w:val="00814FEF"/>
    <w:rsid w:val="0081550F"/>
    <w:rsid w:val="00815E1A"/>
    <w:rsid w:val="00816EF4"/>
    <w:rsid w:val="008170D0"/>
    <w:rsid w:val="00817B07"/>
    <w:rsid w:val="00817B6E"/>
    <w:rsid w:val="008200E7"/>
    <w:rsid w:val="00820586"/>
    <w:rsid w:val="00820A03"/>
    <w:rsid w:val="00820FBC"/>
    <w:rsid w:val="00823009"/>
    <w:rsid w:val="0082339C"/>
    <w:rsid w:val="00823528"/>
    <w:rsid w:val="00823880"/>
    <w:rsid w:val="00824E4C"/>
    <w:rsid w:val="00825A2B"/>
    <w:rsid w:val="00825C59"/>
    <w:rsid w:val="008264EB"/>
    <w:rsid w:val="00826686"/>
    <w:rsid w:val="00826D8D"/>
    <w:rsid w:val="00827375"/>
    <w:rsid w:val="0082774C"/>
    <w:rsid w:val="008308F8"/>
    <w:rsid w:val="00830C80"/>
    <w:rsid w:val="00831434"/>
    <w:rsid w:val="00831826"/>
    <w:rsid w:val="00831CD2"/>
    <w:rsid w:val="008328F7"/>
    <w:rsid w:val="008333D9"/>
    <w:rsid w:val="00833E70"/>
    <w:rsid w:val="00833EAD"/>
    <w:rsid w:val="00833EDB"/>
    <w:rsid w:val="00835029"/>
    <w:rsid w:val="00836DAB"/>
    <w:rsid w:val="00836EC7"/>
    <w:rsid w:val="00837225"/>
    <w:rsid w:val="00837C1A"/>
    <w:rsid w:val="00837EA3"/>
    <w:rsid w:val="00837FA7"/>
    <w:rsid w:val="0084019A"/>
    <w:rsid w:val="00840260"/>
    <w:rsid w:val="008403DC"/>
    <w:rsid w:val="0084061F"/>
    <w:rsid w:val="00841172"/>
    <w:rsid w:val="00841509"/>
    <w:rsid w:val="00841614"/>
    <w:rsid w:val="008417EA"/>
    <w:rsid w:val="00841913"/>
    <w:rsid w:val="00843496"/>
    <w:rsid w:val="0084361F"/>
    <w:rsid w:val="0084393D"/>
    <w:rsid w:val="00843D13"/>
    <w:rsid w:val="00844871"/>
    <w:rsid w:val="00845124"/>
    <w:rsid w:val="00845E41"/>
    <w:rsid w:val="00846BE6"/>
    <w:rsid w:val="008470DD"/>
    <w:rsid w:val="00847DD4"/>
    <w:rsid w:val="00847E7A"/>
    <w:rsid w:val="00850EF7"/>
    <w:rsid w:val="00851135"/>
    <w:rsid w:val="008513C5"/>
    <w:rsid w:val="008515E4"/>
    <w:rsid w:val="00851718"/>
    <w:rsid w:val="0085177D"/>
    <w:rsid w:val="00851D27"/>
    <w:rsid w:val="00852886"/>
    <w:rsid w:val="00852B4E"/>
    <w:rsid w:val="008536BA"/>
    <w:rsid w:val="0085399F"/>
    <w:rsid w:val="00853CD9"/>
    <w:rsid w:val="00854DD4"/>
    <w:rsid w:val="00854E91"/>
    <w:rsid w:val="008556C4"/>
    <w:rsid w:val="00855D27"/>
    <w:rsid w:val="00855D2B"/>
    <w:rsid w:val="00856FEF"/>
    <w:rsid w:val="00857A5E"/>
    <w:rsid w:val="00860155"/>
    <w:rsid w:val="008604C5"/>
    <w:rsid w:val="0086222C"/>
    <w:rsid w:val="0086259A"/>
    <w:rsid w:val="008628B1"/>
    <w:rsid w:val="00863018"/>
    <w:rsid w:val="00863DF9"/>
    <w:rsid w:val="008642A7"/>
    <w:rsid w:val="008645A0"/>
    <w:rsid w:val="00865E99"/>
    <w:rsid w:val="00866501"/>
    <w:rsid w:val="00866632"/>
    <w:rsid w:val="00870486"/>
    <w:rsid w:val="008711D8"/>
    <w:rsid w:val="008727EA"/>
    <w:rsid w:val="0087288B"/>
    <w:rsid w:val="00872891"/>
    <w:rsid w:val="00872C70"/>
    <w:rsid w:val="00873225"/>
    <w:rsid w:val="00873638"/>
    <w:rsid w:val="008749D3"/>
    <w:rsid w:val="00874C6C"/>
    <w:rsid w:val="00874DBE"/>
    <w:rsid w:val="00875504"/>
    <w:rsid w:val="00875D1B"/>
    <w:rsid w:val="008761B9"/>
    <w:rsid w:val="00876313"/>
    <w:rsid w:val="0087639D"/>
    <w:rsid w:val="008770AF"/>
    <w:rsid w:val="00877673"/>
    <w:rsid w:val="00877B30"/>
    <w:rsid w:val="00877F72"/>
    <w:rsid w:val="0088044F"/>
    <w:rsid w:val="008806FD"/>
    <w:rsid w:val="008813CA"/>
    <w:rsid w:val="0088246B"/>
    <w:rsid w:val="0088300F"/>
    <w:rsid w:val="00883887"/>
    <w:rsid w:val="00883BEE"/>
    <w:rsid w:val="00884025"/>
    <w:rsid w:val="00884999"/>
    <w:rsid w:val="00884EEB"/>
    <w:rsid w:val="00886853"/>
    <w:rsid w:val="00887465"/>
    <w:rsid w:val="008874FB"/>
    <w:rsid w:val="00887C56"/>
    <w:rsid w:val="00887DB2"/>
    <w:rsid w:val="008904CC"/>
    <w:rsid w:val="00890D9A"/>
    <w:rsid w:val="008914D8"/>
    <w:rsid w:val="008915C9"/>
    <w:rsid w:val="008917ED"/>
    <w:rsid w:val="00891903"/>
    <w:rsid w:val="008924E5"/>
    <w:rsid w:val="00892CBA"/>
    <w:rsid w:val="00892ED0"/>
    <w:rsid w:val="00893E9F"/>
    <w:rsid w:val="0089522D"/>
    <w:rsid w:val="00895782"/>
    <w:rsid w:val="00897257"/>
    <w:rsid w:val="008975A4"/>
    <w:rsid w:val="008979FE"/>
    <w:rsid w:val="00897DC8"/>
    <w:rsid w:val="008A0897"/>
    <w:rsid w:val="008A1995"/>
    <w:rsid w:val="008A1D9B"/>
    <w:rsid w:val="008A32BC"/>
    <w:rsid w:val="008A3BE6"/>
    <w:rsid w:val="008A468D"/>
    <w:rsid w:val="008A52E1"/>
    <w:rsid w:val="008A5EDE"/>
    <w:rsid w:val="008A695D"/>
    <w:rsid w:val="008A6ADB"/>
    <w:rsid w:val="008A6AF7"/>
    <w:rsid w:val="008A7198"/>
    <w:rsid w:val="008A7DFB"/>
    <w:rsid w:val="008B094C"/>
    <w:rsid w:val="008B0ADF"/>
    <w:rsid w:val="008B27C9"/>
    <w:rsid w:val="008B28D2"/>
    <w:rsid w:val="008B337E"/>
    <w:rsid w:val="008B4237"/>
    <w:rsid w:val="008B4463"/>
    <w:rsid w:val="008B47C4"/>
    <w:rsid w:val="008B48C8"/>
    <w:rsid w:val="008B5075"/>
    <w:rsid w:val="008B5750"/>
    <w:rsid w:val="008B7234"/>
    <w:rsid w:val="008B7269"/>
    <w:rsid w:val="008B77AA"/>
    <w:rsid w:val="008B7C4E"/>
    <w:rsid w:val="008C0312"/>
    <w:rsid w:val="008C0363"/>
    <w:rsid w:val="008C08EE"/>
    <w:rsid w:val="008C092E"/>
    <w:rsid w:val="008C1195"/>
    <w:rsid w:val="008C24B5"/>
    <w:rsid w:val="008C335F"/>
    <w:rsid w:val="008C377D"/>
    <w:rsid w:val="008C40B0"/>
    <w:rsid w:val="008C44C3"/>
    <w:rsid w:val="008C47BC"/>
    <w:rsid w:val="008C4AFF"/>
    <w:rsid w:val="008C5321"/>
    <w:rsid w:val="008C5ACA"/>
    <w:rsid w:val="008C5CFB"/>
    <w:rsid w:val="008C5F41"/>
    <w:rsid w:val="008C6758"/>
    <w:rsid w:val="008C6B8E"/>
    <w:rsid w:val="008C6C2E"/>
    <w:rsid w:val="008C700E"/>
    <w:rsid w:val="008C7720"/>
    <w:rsid w:val="008D00B6"/>
    <w:rsid w:val="008D088B"/>
    <w:rsid w:val="008D16A3"/>
    <w:rsid w:val="008D1D99"/>
    <w:rsid w:val="008D1DAB"/>
    <w:rsid w:val="008D20F5"/>
    <w:rsid w:val="008D22CB"/>
    <w:rsid w:val="008D2A39"/>
    <w:rsid w:val="008D2B0F"/>
    <w:rsid w:val="008D4537"/>
    <w:rsid w:val="008D47FD"/>
    <w:rsid w:val="008D49B8"/>
    <w:rsid w:val="008D50F2"/>
    <w:rsid w:val="008D5AFE"/>
    <w:rsid w:val="008D5CBF"/>
    <w:rsid w:val="008D6623"/>
    <w:rsid w:val="008D6776"/>
    <w:rsid w:val="008D6B35"/>
    <w:rsid w:val="008D6EEC"/>
    <w:rsid w:val="008D7094"/>
    <w:rsid w:val="008D726A"/>
    <w:rsid w:val="008D7B3B"/>
    <w:rsid w:val="008E0158"/>
    <w:rsid w:val="008E0749"/>
    <w:rsid w:val="008E0963"/>
    <w:rsid w:val="008E0B0B"/>
    <w:rsid w:val="008E0BA0"/>
    <w:rsid w:val="008E165B"/>
    <w:rsid w:val="008E18AC"/>
    <w:rsid w:val="008E1AB0"/>
    <w:rsid w:val="008E1F5D"/>
    <w:rsid w:val="008E33C6"/>
    <w:rsid w:val="008E359E"/>
    <w:rsid w:val="008E367A"/>
    <w:rsid w:val="008E3898"/>
    <w:rsid w:val="008E40AD"/>
    <w:rsid w:val="008E4149"/>
    <w:rsid w:val="008E4C5E"/>
    <w:rsid w:val="008E527B"/>
    <w:rsid w:val="008E5860"/>
    <w:rsid w:val="008E66F2"/>
    <w:rsid w:val="008E6A75"/>
    <w:rsid w:val="008E6B62"/>
    <w:rsid w:val="008E6D74"/>
    <w:rsid w:val="008E7062"/>
    <w:rsid w:val="008E7606"/>
    <w:rsid w:val="008E7BF6"/>
    <w:rsid w:val="008F114F"/>
    <w:rsid w:val="008F2AF3"/>
    <w:rsid w:val="008F2FA3"/>
    <w:rsid w:val="008F4A0E"/>
    <w:rsid w:val="008F5347"/>
    <w:rsid w:val="008F58DF"/>
    <w:rsid w:val="008F5C08"/>
    <w:rsid w:val="008F5F4B"/>
    <w:rsid w:val="008F69E4"/>
    <w:rsid w:val="008F6E3D"/>
    <w:rsid w:val="008F7178"/>
    <w:rsid w:val="009014A3"/>
    <w:rsid w:val="00901686"/>
    <w:rsid w:val="00901C4E"/>
    <w:rsid w:val="00902BB0"/>
    <w:rsid w:val="00902FE5"/>
    <w:rsid w:val="00903AB8"/>
    <w:rsid w:val="009055A7"/>
    <w:rsid w:val="00905D14"/>
    <w:rsid w:val="00905DEF"/>
    <w:rsid w:val="00906C27"/>
    <w:rsid w:val="009070EA"/>
    <w:rsid w:val="00907D8E"/>
    <w:rsid w:val="00910374"/>
    <w:rsid w:val="00911FD0"/>
    <w:rsid w:val="0091317B"/>
    <w:rsid w:val="0091356F"/>
    <w:rsid w:val="00913613"/>
    <w:rsid w:val="009141BC"/>
    <w:rsid w:val="00914738"/>
    <w:rsid w:val="00914F25"/>
    <w:rsid w:val="009150FB"/>
    <w:rsid w:val="009157A2"/>
    <w:rsid w:val="0091583D"/>
    <w:rsid w:val="00915897"/>
    <w:rsid w:val="00915DC7"/>
    <w:rsid w:val="00916B81"/>
    <w:rsid w:val="00916DC3"/>
    <w:rsid w:val="00923117"/>
    <w:rsid w:val="00923CEE"/>
    <w:rsid w:val="00924C82"/>
    <w:rsid w:val="00924E35"/>
    <w:rsid w:val="009254CC"/>
    <w:rsid w:val="00925A0F"/>
    <w:rsid w:val="00925A1F"/>
    <w:rsid w:val="00925C91"/>
    <w:rsid w:val="00926168"/>
    <w:rsid w:val="00927D2E"/>
    <w:rsid w:val="00931128"/>
    <w:rsid w:val="00931524"/>
    <w:rsid w:val="0093155B"/>
    <w:rsid w:val="009315E5"/>
    <w:rsid w:val="00931A4C"/>
    <w:rsid w:val="009325B6"/>
    <w:rsid w:val="00932BB7"/>
    <w:rsid w:val="00933603"/>
    <w:rsid w:val="0093366C"/>
    <w:rsid w:val="0093371E"/>
    <w:rsid w:val="00934152"/>
    <w:rsid w:val="00934655"/>
    <w:rsid w:val="009349E0"/>
    <w:rsid w:val="00934DB2"/>
    <w:rsid w:val="00934EB3"/>
    <w:rsid w:val="00935149"/>
    <w:rsid w:val="00935D5D"/>
    <w:rsid w:val="00936576"/>
    <w:rsid w:val="00937410"/>
    <w:rsid w:val="00937432"/>
    <w:rsid w:val="0094006C"/>
    <w:rsid w:val="0094047E"/>
    <w:rsid w:val="00940794"/>
    <w:rsid w:val="00940F0A"/>
    <w:rsid w:val="0094159C"/>
    <w:rsid w:val="0094272B"/>
    <w:rsid w:val="009431D9"/>
    <w:rsid w:val="00943420"/>
    <w:rsid w:val="0094371C"/>
    <w:rsid w:val="00943800"/>
    <w:rsid w:val="00943AE3"/>
    <w:rsid w:val="00943B20"/>
    <w:rsid w:val="0094434A"/>
    <w:rsid w:val="00944783"/>
    <w:rsid w:val="00944C8E"/>
    <w:rsid w:val="00944E7B"/>
    <w:rsid w:val="00945325"/>
    <w:rsid w:val="00945CF4"/>
    <w:rsid w:val="00946BD6"/>
    <w:rsid w:val="0094777E"/>
    <w:rsid w:val="009479BB"/>
    <w:rsid w:val="009506C5"/>
    <w:rsid w:val="0095079A"/>
    <w:rsid w:val="009508F0"/>
    <w:rsid w:val="00950A08"/>
    <w:rsid w:val="00950A55"/>
    <w:rsid w:val="00952661"/>
    <w:rsid w:val="009536B0"/>
    <w:rsid w:val="009537E2"/>
    <w:rsid w:val="00953A27"/>
    <w:rsid w:val="00953C09"/>
    <w:rsid w:val="00954DFF"/>
    <w:rsid w:val="0095561E"/>
    <w:rsid w:val="00955E5D"/>
    <w:rsid w:val="00956823"/>
    <w:rsid w:val="009569F9"/>
    <w:rsid w:val="00956CC6"/>
    <w:rsid w:val="00957CA3"/>
    <w:rsid w:val="009600A5"/>
    <w:rsid w:val="0096106F"/>
    <w:rsid w:val="0096130F"/>
    <w:rsid w:val="009613F4"/>
    <w:rsid w:val="00961F4C"/>
    <w:rsid w:val="00961FAE"/>
    <w:rsid w:val="009622E0"/>
    <w:rsid w:val="00962319"/>
    <w:rsid w:val="00962FDE"/>
    <w:rsid w:val="00963ADA"/>
    <w:rsid w:val="00964FEC"/>
    <w:rsid w:val="0096582B"/>
    <w:rsid w:val="0096686F"/>
    <w:rsid w:val="0096724E"/>
    <w:rsid w:val="00967DBF"/>
    <w:rsid w:val="00970062"/>
    <w:rsid w:val="00970302"/>
    <w:rsid w:val="00970BAA"/>
    <w:rsid w:val="00971245"/>
    <w:rsid w:val="0097163C"/>
    <w:rsid w:val="009725C6"/>
    <w:rsid w:val="00972ABE"/>
    <w:rsid w:val="0097350D"/>
    <w:rsid w:val="00973AA0"/>
    <w:rsid w:val="00973C60"/>
    <w:rsid w:val="009755A1"/>
    <w:rsid w:val="00975EA3"/>
    <w:rsid w:val="009765CA"/>
    <w:rsid w:val="0097687B"/>
    <w:rsid w:val="00976CAB"/>
    <w:rsid w:val="00976EEE"/>
    <w:rsid w:val="00977E4E"/>
    <w:rsid w:val="0098094F"/>
    <w:rsid w:val="009813BB"/>
    <w:rsid w:val="00981C03"/>
    <w:rsid w:val="009826B0"/>
    <w:rsid w:val="00982BCA"/>
    <w:rsid w:val="00983080"/>
    <w:rsid w:val="0098333F"/>
    <w:rsid w:val="00985607"/>
    <w:rsid w:val="00985687"/>
    <w:rsid w:val="0098658B"/>
    <w:rsid w:val="0098679A"/>
    <w:rsid w:val="00986D93"/>
    <w:rsid w:val="009874DA"/>
    <w:rsid w:val="0098758B"/>
    <w:rsid w:val="00992E7A"/>
    <w:rsid w:val="00992E9F"/>
    <w:rsid w:val="00993317"/>
    <w:rsid w:val="00993FC1"/>
    <w:rsid w:val="00994716"/>
    <w:rsid w:val="00994DDA"/>
    <w:rsid w:val="00996254"/>
    <w:rsid w:val="00996807"/>
    <w:rsid w:val="00997A1C"/>
    <w:rsid w:val="009A0FAA"/>
    <w:rsid w:val="009A11CC"/>
    <w:rsid w:val="009A194A"/>
    <w:rsid w:val="009A1BF5"/>
    <w:rsid w:val="009A2AD5"/>
    <w:rsid w:val="009A2D83"/>
    <w:rsid w:val="009A3771"/>
    <w:rsid w:val="009A3A01"/>
    <w:rsid w:val="009A4222"/>
    <w:rsid w:val="009A425B"/>
    <w:rsid w:val="009A4909"/>
    <w:rsid w:val="009A52BE"/>
    <w:rsid w:val="009A54E5"/>
    <w:rsid w:val="009A6780"/>
    <w:rsid w:val="009A7741"/>
    <w:rsid w:val="009B0D78"/>
    <w:rsid w:val="009B210F"/>
    <w:rsid w:val="009B2893"/>
    <w:rsid w:val="009B2B0B"/>
    <w:rsid w:val="009B2B7E"/>
    <w:rsid w:val="009B2D87"/>
    <w:rsid w:val="009B30B9"/>
    <w:rsid w:val="009B33A1"/>
    <w:rsid w:val="009B54D7"/>
    <w:rsid w:val="009B56FB"/>
    <w:rsid w:val="009B5716"/>
    <w:rsid w:val="009B59A7"/>
    <w:rsid w:val="009B5C33"/>
    <w:rsid w:val="009B5F28"/>
    <w:rsid w:val="009B677B"/>
    <w:rsid w:val="009B6F46"/>
    <w:rsid w:val="009B7178"/>
    <w:rsid w:val="009B7960"/>
    <w:rsid w:val="009C012B"/>
    <w:rsid w:val="009C1F4F"/>
    <w:rsid w:val="009C208D"/>
    <w:rsid w:val="009C21D1"/>
    <w:rsid w:val="009C2C43"/>
    <w:rsid w:val="009C32CE"/>
    <w:rsid w:val="009C3622"/>
    <w:rsid w:val="009C3A73"/>
    <w:rsid w:val="009C41EE"/>
    <w:rsid w:val="009C476B"/>
    <w:rsid w:val="009C4FFB"/>
    <w:rsid w:val="009C5804"/>
    <w:rsid w:val="009C660B"/>
    <w:rsid w:val="009C66BB"/>
    <w:rsid w:val="009C68A3"/>
    <w:rsid w:val="009C6F7C"/>
    <w:rsid w:val="009D090F"/>
    <w:rsid w:val="009D0A33"/>
    <w:rsid w:val="009D0B8D"/>
    <w:rsid w:val="009D2499"/>
    <w:rsid w:val="009D24B5"/>
    <w:rsid w:val="009D2D6B"/>
    <w:rsid w:val="009D4174"/>
    <w:rsid w:val="009D4CC6"/>
    <w:rsid w:val="009D5960"/>
    <w:rsid w:val="009D5BB8"/>
    <w:rsid w:val="009D666A"/>
    <w:rsid w:val="009E019A"/>
    <w:rsid w:val="009E0BE2"/>
    <w:rsid w:val="009E2798"/>
    <w:rsid w:val="009E27BC"/>
    <w:rsid w:val="009E393E"/>
    <w:rsid w:val="009E3A2C"/>
    <w:rsid w:val="009E434A"/>
    <w:rsid w:val="009E47A3"/>
    <w:rsid w:val="009E4FDE"/>
    <w:rsid w:val="009E514A"/>
    <w:rsid w:val="009E6124"/>
    <w:rsid w:val="009E61E2"/>
    <w:rsid w:val="009E648E"/>
    <w:rsid w:val="009E6E7E"/>
    <w:rsid w:val="009F02CF"/>
    <w:rsid w:val="009F0B0F"/>
    <w:rsid w:val="009F0B99"/>
    <w:rsid w:val="009F23AB"/>
    <w:rsid w:val="009F24C9"/>
    <w:rsid w:val="009F2B65"/>
    <w:rsid w:val="009F2B82"/>
    <w:rsid w:val="009F34D6"/>
    <w:rsid w:val="009F3823"/>
    <w:rsid w:val="009F382F"/>
    <w:rsid w:val="009F46CD"/>
    <w:rsid w:val="009F47B3"/>
    <w:rsid w:val="009F4B7E"/>
    <w:rsid w:val="009F4C66"/>
    <w:rsid w:val="009F4E7E"/>
    <w:rsid w:val="009F4F77"/>
    <w:rsid w:val="009F50B0"/>
    <w:rsid w:val="009F5505"/>
    <w:rsid w:val="009F5D1F"/>
    <w:rsid w:val="009F6215"/>
    <w:rsid w:val="009F6A61"/>
    <w:rsid w:val="009F76B5"/>
    <w:rsid w:val="009F7E79"/>
    <w:rsid w:val="009F7F3E"/>
    <w:rsid w:val="00A01D73"/>
    <w:rsid w:val="00A02103"/>
    <w:rsid w:val="00A02589"/>
    <w:rsid w:val="00A02946"/>
    <w:rsid w:val="00A05FEB"/>
    <w:rsid w:val="00A060E8"/>
    <w:rsid w:val="00A06232"/>
    <w:rsid w:val="00A070C4"/>
    <w:rsid w:val="00A07305"/>
    <w:rsid w:val="00A10080"/>
    <w:rsid w:val="00A10329"/>
    <w:rsid w:val="00A104D9"/>
    <w:rsid w:val="00A1073C"/>
    <w:rsid w:val="00A10AFA"/>
    <w:rsid w:val="00A10F99"/>
    <w:rsid w:val="00A1233B"/>
    <w:rsid w:val="00A1355C"/>
    <w:rsid w:val="00A13A0D"/>
    <w:rsid w:val="00A14A3E"/>
    <w:rsid w:val="00A14EB0"/>
    <w:rsid w:val="00A15053"/>
    <w:rsid w:val="00A15602"/>
    <w:rsid w:val="00A16DC1"/>
    <w:rsid w:val="00A176D5"/>
    <w:rsid w:val="00A177EA"/>
    <w:rsid w:val="00A17F2D"/>
    <w:rsid w:val="00A20070"/>
    <w:rsid w:val="00A20116"/>
    <w:rsid w:val="00A2093B"/>
    <w:rsid w:val="00A22251"/>
    <w:rsid w:val="00A23611"/>
    <w:rsid w:val="00A23F03"/>
    <w:rsid w:val="00A244B9"/>
    <w:rsid w:val="00A24D55"/>
    <w:rsid w:val="00A25054"/>
    <w:rsid w:val="00A26917"/>
    <w:rsid w:val="00A27B15"/>
    <w:rsid w:val="00A27E36"/>
    <w:rsid w:val="00A317D7"/>
    <w:rsid w:val="00A320FC"/>
    <w:rsid w:val="00A338EC"/>
    <w:rsid w:val="00A344A6"/>
    <w:rsid w:val="00A34B0C"/>
    <w:rsid w:val="00A35575"/>
    <w:rsid w:val="00A35A9F"/>
    <w:rsid w:val="00A35DF5"/>
    <w:rsid w:val="00A35F16"/>
    <w:rsid w:val="00A3610E"/>
    <w:rsid w:val="00A363BC"/>
    <w:rsid w:val="00A36623"/>
    <w:rsid w:val="00A36B1E"/>
    <w:rsid w:val="00A371B8"/>
    <w:rsid w:val="00A40BD7"/>
    <w:rsid w:val="00A40C27"/>
    <w:rsid w:val="00A41148"/>
    <w:rsid w:val="00A41188"/>
    <w:rsid w:val="00A41A88"/>
    <w:rsid w:val="00A41C2A"/>
    <w:rsid w:val="00A432EC"/>
    <w:rsid w:val="00A43C00"/>
    <w:rsid w:val="00A45C12"/>
    <w:rsid w:val="00A4651F"/>
    <w:rsid w:val="00A46664"/>
    <w:rsid w:val="00A46992"/>
    <w:rsid w:val="00A46B10"/>
    <w:rsid w:val="00A4788F"/>
    <w:rsid w:val="00A47899"/>
    <w:rsid w:val="00A50038"/>
    <w:rsid w:val="00A50A78"/>
    <w:rsid w:val="00A50D4E"/>
    <w:rsid w:val="00A518E4"/>
    <w:rsid w:val="00A52087"/>
    <w:rsid w:val="00A531DA"/>
    <w:rsid w:val="00A5400E"/>
    <w:rsid w:val="00A54C77"/>
    <w:rsid w:val="00A552E8"/>
    <w:rsid w:val="00A55BE8"/>
    <w:rsid w:val="00A55F07"/>
    <w:rsid w:val="00A57870"/>
    <w:rsid w:val="00A60C36"/>
    <w:rsid w:val="00A60C9A"/>
    <w:rsid w:val="00A63735"/>
    <w:rsid w:val="00A63851"/>
    <w:rsid w:val="00A63A86"/>
    <w:rsid w:val="00A63FD3"/>
    <w:rsid w:val="00A655C4"/>
    <w:rsid w:val="00A659DC"/>
    <w:rsid w:val="00A66DE5"/>
    <w:rsid w:val="00A676DC"/>
    <w:rsid w:val="00A70021"/>
    <w:rsid w:val="00A701D5"/>
    <w:rsid w:val="00A705CA"/>
    <w:rsid w:val="00A706DD"/>
    <w:rsid w:val="00A729DF"/>
    <w:rsid w:val="00A7343F"/>
    <w:rsid w:val="00A73444"/>
    <w:rsid w:val="00A73A5B"/>
    <w:rsid w:val="00A73DF6"/>
    <w:rsid w:val="00A740C6"/>
    <w:rsid w:val="00A7418D"/>
    <w:rsid w:val="00A74290"/>
    <w:rsid w:val="00A746C1"/>
    <w:rsid w:val="00A74F98"/>
    <w:rsid w:val="00A754D0"/>
    <w:rsid w:val="00A77184"/>
    <w:rsid w:val="00A803D4"/>
    <w:rsid w:val="00A809E5"/>
    <w:rsid w:val="00A80E06"/>
    <w:rsid w:val="00A81375"/>
    <w:rsid w:val="00A81E0B"/>
    <w:rsid w:val="00A81E7F"/>
    <w:rsid w:val="00A82EB9"/>
    <w:rsid w:val="00A83299"/>
    <w:rsid w:val="00A833FA"/>
    <w:rsid w:val="00A8352A"/>
    <w:rsid w:val="00A83E25"/>
    <w:rsid w:val="00A84F00"/>
    <w:rsid w:val="00A857E0"/>
    <w:rsid w:val="00A86479"/>
    <w:rsid w:val="00A872A9"/>
    <w:rsid w:val="00A873F7"/>
    <w:rsid w:val="00A90656"/>
    <w:rsid w:val="00A906AE"/>
    <w:rsid w:val="00A90781"/>
    <w:rsid w:val="00A90904"/>
    <w:rsid w:val="00A9189D"/>
    <w:rsid w:val="00A92B29"/>
    <w:rsid w:val="00A930B0"/>
    <w:rsid w:val="00A93130"/>
    <w:rsid w:val="00A939AF"/>
    <w:rsid w:val="00A940E8"/>
    <w:rsid w:val="00A94400"/>
    <w:rsid w:val="00A9445B"/>
    <w:rsid w:val="00A94866"/>
    <w:rsid w:val="00A96C23"/>
    <w:rsid w:val="00A96EA5"/>
    <w:rsid w:val="00A97358"/>
    <w:rsid w:val="00AA0C40"/>
    <w:rsid w:val="00AA17E5"/>
    <w:rsid w:val="00AA17F6"/>
    <w:rsid w:val="00AA1EC5"/>
    <w:rsid w:val="00AA26B3"/>
    <w:rsid w:val="00AA2D75"/>
    <w:rsid w:val="00AA2D97"/>
    <w:rsid w:val="00AA51BB"/>
    <w:rsid w:val="00AA53D2"/>
    <w:rsid w:val="00AA577D"/>
    <w:rsid w:val="00AA585A"/>
    <w:rsid w:val="00AA5B67"/>
    <w:rsid w:val="00AA6074"/>
    <w:rsid w:val="00AA6DC2"/>
    <w:rsid w:val="00AA70F2"/>
    <w:rsid w:val="00AA7A82"/>
    <w:rsid w:val="00AA7F18"/>
    <w:rsid w:val="00AB0C19"/>
    <w:rsid w:val="00AB2092"/>
    <w:rsid w:val="00AB23EA"/>
    <w:rsid w:val="00AB26C2"/>
    <w:rsid w:val="00AB3AAF"/>
    <w:rsid w:val="00AB4BC7"/>
    <w:rsid w:val="00AB4EA1"/>
    <w:rsid w:val="00AB56C9"/>
    <w:rsid w:val="00AB5C7A"/>
    <w:rsid w:val="00AB6396"/>
    <w:rsid w:val="00AB65FD"/>
    <w:rsid w:val="00AC07A7"/>
    <w:rsid w:val="00AC11AC"/>
    <w:rsid w:val="00AC1BDA"/>
    <w:rsid w:val="00AC2E27"/>
    <w:rsid w:val="00AC3A8D"/>
    <w:rsid w:val="00AC415C"/>
    <w:rsid w:val="00AC437D"/>
    <w:rsid w:val="00AC4908"/>
    <w:rsid w:val="00AC53E2"/>
    <w:rsid w:val="00AC68B0"/>
    <w:rsid w:val="00AC7512"/>
    <w:rsid w:val="00AC7F02"/>
    <w:rsid w:val="00AD0798"/>
    <w:rsid w:val="00AD114B"/>
    <w:rsid w:val="00AD1496"/>
    <w:rsid w:val="00AD1DB5"/>
    <w:rsid w:val="00AD2044"/>
    <w:rsid w:val="00AD208D"/>
    <w:rsid w:val="00AD20AF"/>
    <w:rsid w:val="00AD2207"/>
    <w:rsid w:val="00AD2544"/>
    <w:rsid w:val="00AD269D"/>
    <w:rsid w:val="00AD2CA3"/>
    <w:rsid w:val="00AD3F2C"/>
    <w:rsid w:val="00AD506D"/>
    <w:rsid w:val="00AD65D3"/>
    <w:rsid w:val="00AD72B5"/>
    <w:rsid w:val="00AD741F"/>
    <w:rsid w:val="00AD7D71"/>
    <w:rsid w:val="00AE0AB3"/>
    <w:rsid w:val="00AE0FEA"/>
    <w:rsid w:val="00AE1153"/>
    <w:rsid w:val="00AE13AC"/>
    <w:rsid w:val="00AE1655"/>
    <w:rsid w:val="00AE16B6"/>
    <w:rsid w:val="00AE172C"/>
    <w:rsid w:val="00AE18BB"/>
    <w:rsid w:val="00AE1B52"/>
    <w:rsid w:val="00AE2586"/>
    <w:rsid w:val="00AE2C43"/>
    <w:rsid w:val="00AE370B"/>
    <w:rsid w:val="00AE3D61"/>
    <w:rsid w:val="00AE407A"/>
    <w:rsid w:val="00AE4CAD"/>
    <w:rsid w:val="00AE4F1D"/>
    <w:rsid w:val="00AE515E"/>
    <w:rsid w:val="00AE5347"/>
    <w:rsid w:val="00AE5C63"/>
    <w:rsid w:val="00AE6BEC"/>
    <w:rsid w:val="00AE6C40"/>
    <w:rsid w:val="00AE7D7E"/>
    <w:rsid w:val="00AF07F8"/>
    <w:rsid w:val="00AF1433"/>
    <w:rsid w:val="00AF1837"/>
    <w:rsid w:val="00AF1F24"/>
    <w:rsid w:val="00AF208D"/>
    <w:rsid w:val="00AF2B23"/>
    <w:rsid w:val="00AF3742"/>
    <w:rsid w:val="00AF40D4"/>
    <w:rsid w:val="00AF5941"/>
    <w:rsid w:val="00AF5A6C"/>
    <w:rsid w:val="00AF65CF"/>
    <w:rsid w:val="00AF6839"/>
    <w:rsid w:val="00AF73A8"/>
    <w:rsid w:val="00AF77E6"/>
    <w:rsid w:val="00AF77F6"/>
    <w:rsid w:val="00AF7D8F"/>
    <w:rsid w:val="00AF7F20"/>
    <w:rsid w:val="00B00074"/>
    <w:rsid w:val="00B002DC"/>
    <w:rsid w:val="00B00A51"/>
    <w:rsid w:val="00B00AC7"/>
    <w:rsid w:val="00B011F4"/>
    <w:rsid w:val="00B019C9"/>
    <w:rsid w:val="00B01B78"/>
    <w:rsid w:val="00B01BC5"/>
    <w:rsid w:val="00B02321"/>
    <w:rsid w:val="00B03508"/>
    <w:rsid w:val="00B03BAF"/>
    <w:rsid w:val="00B03FBD"/>
    <w:rsid w:val="00B045E3"/>
    <w:rsid w:val="00B051B6"/>
    <w:rsid w:val="00B05950"/>
    <w:rsid w:val="00B05BCF"/>
    <w:rsid w:val="00B05EFE"/>
    <w:rsid w:val="00B06668"/>
    <w:rsid w:val="00B06BC8"/>
    <w:rsid w:val="00B07741"/>
    <w:rsid w:val="00B077F0"/>
    <w:rsid w:val="00B078F4"/>
    <w:rsid w:val="00B07A94"/>
    <w:rsid w:val="00B07D2E"/>
    <w:rsid w:val="00B1003F"/>
    <w:rsid w:val="00B10791"/>
    <w:rsid w:val="00B108D3"/>
    <w:rsid w:val="00B11646"/>
    <w:rsid w:val="00B117C3"/>
    <w:rsid w:val="00B11C1B"/>
    <w:rsid w:val="00B11EB6"/>
    <w:rsid w:val="00B12D3A"/>
    <w:rsid w:val="00B132B0"/>
    <w:rsid w:val="00B13580"/>
    <w:rsid w:val="00B13DE2"/>
    <w:rsid w:val="00B14493"/>
    <w:rsid w:val="00B14976"/>
    <w:rsid w:val="00B14C54"/>
    <w:rsid w:val="00B160E2"/>
    <w:rsid w:val="00B16506"/>
    <w:rsid w:val="00B170EC"/>
    <w:rsid w:val="00B17601"/>
    <w:rsid w:val="00B177CE"/>
    <w:rsid w:val="00B17867"/>
    <w:rsid w:val="00B20336"/>
    <w:rsid w:val="00B203C9"/>
    <w:rsid w:val="00B2049C"/>
    <w:rsid w:val="00B20564"/>
    <w:rsid w:val="00B206F8"/>
    <w:rsid w:val="00B21A22"/>
    <w:rsid w:val="00B222BF"/>
    <w:rsid w:val="00B226DE"/>
    <w:rsid w:val="00B22B05"/>
    <w:rsid w:val="00B239F4"/>
    <w:rsid w:val="00B2472F"/>
    <w:rsid w:val="00B2475E"/>
    <w:rsid w:val="00B252A7"/>
    <w:rsid w:val="00B263D3"/>
    <w:rsid w:val="00B26BE0"/>
    <w:rsid w:val="00B270BB"/>
    <w:rsid w:val="00B27469"/>
    <w:rsid w:val="00B27768"/>
    <w:rsid w:val="00B30894"/>
    <w:rsid w:val="00B30C19"/>
    <w:rsid w:val="00B30C90"/>
    <w:rsid w:val="00B327E0"/>
    <w:rsid w:val="00B329C0"/>
    <w:rsid w:val="00B33B6D"/>
    <w:rsid w:val="00B34A32"/>
    <w:rsid w:val="00B34CDE"/>
    <w:rsid w:val="00B34CE0"/>
    <w:rsid w:val="00B35607"/>
    <w:rsid w:val="00B35734"/>
    <w:rsid w:val="00B35C47"/>
    <w:rsid w:val="00B3651C"/>
    <w:rsid w:val="00B3691D"/>
    <w:rsid w:val="00B36BD0"/>
    <w:rsid w:val="00B3757A"/>
    <w:rsid w:val="00B37C45"/>
    <w:rsid w:val="00B403FD"/>
    <w:rsid w:val="00B40ACC"/>
    <w:rsid w:val="00B41B50"/>
    <w:rsid w:val="00B41EC0"/>
    <w:rsid w:val="00B42851"/>
    <w:rsid w:val="00B43021"/>
    <w:rsid w:val="00B431B9"/>
    <w:rsid w:val="00B431D2"/>
    <w:rsid w:val="00B43597"/>
    <w:rsid w:val="00B443DD"/>
    <w:rsid w:val="00B44A5E"/>
    <w:rsid w:val="00B459C1"/>
    <w:rsid w:val="00B46A4E"/>
    <w:rsid w:val="00B4751F"/>
    <w:rsid w:val="00B50217"/>
    <w:rsid w:val="00B51571"/>
    <w:rsid w:val="00B516A4"/>
    <w:rsid w:val="00B51AD1"/>
    <w:rsid w:val="00B51CAD"/>
    <w:rsid w:val="00B51CB0"/>
    <w:rsid w:val="00B5328F"/>
    <w:rsid w:val="00B54463"/>
    <w:rsid w:val="00B54552"/>
    <w:rsid w:val="00B54C89"/>
    <w:rsid w:val="00B54F5B"/>
    <w:rsid w:val="00B5680B"/>
    <w:rsid w:val="00B56845"/>
    <w:rsid w:val="00B56B08"/>
    <w:rsid w:val="00B574AE"/>
    <w:rsid w:val="00B57B61"/>
    <w:rsid w:val="00B57C0C"/>
    <w:rsid w:val="00B60077"/>
    <w:rsid w:val="00B6134C"/>
    <w:rsid w:val="00B62181"/>
    <w:rsid w:val="00B62267"/>
    <w:rsid w:val="00B6296B"/>
    <w:rsid w:val="00B62D34"/>
    <w:rsid w:val="00B62EEE"/>
    <w:rsid w:val="00B63594"/>
    <w:rsid w:val="00B63FBC"/>
    <w:rsid w:val="00B64233"/>
    <w:rsid w:val="00B64A34"/>
    <w:rsid w:val="00B650C0"/>
    <w:rsid w:val="00B659AA"/>
    <w:rsid w:val="00B65D9E"/>
    <w:rsid w:val="00B666E0"/>
    <w:rsid w:val="00B66FA4"/>
    <w:rsid w:val="00B70339"/>
    <w:rsid w:val="00B70468"/>
    <w:rsid w:val="00B70E5A"/>
    <w:rsid w:val="00B712A1"/>
    <w:rsid w:val="00B7141B"/>
    <w:rsid w:val="00B71E9F"/>
    <w:rsid w:val="00B71F4C"/>
    <w:rsid w:val="00B732A0"/>
    <w:rsid w:val="00B73CC7"/>
    <w:rsid w:val="00B742AC"/>
    <w:rsid w:val="00B7487D"/>
    <w:rsid w:val="00B74B59"/>
    <w:rsid w:val="00B7553C"/>
    <w:rsid w:val="00B75AD6"/>
    <w:rsid w:val="00B76013"/>
    <w:rsid w:val="00B760E0"/>
    <w:rsid w:val="00B76F3A"/>
    <w:rsid w:val="00B76FE5"/>
    <w:rsid w:val="00B772AC"/>
    <w:rsid w:val="00B775A2"/>
    <w:rsid w:val="00B77AE8"/>
    <w:rsid w:val="00B8026A"/>
    <w:rsid w:val="00B80315"/>
    <w:rsid w:val="00B807CE"/>
    <w:rsid w:val="00B80899"/>
    <w:rsid w:val="00B80B3F"/>
    <w:rsid w:val="00B82740"/>
    <w:rsid w:val="00B83055"/>
    <w:rsid w:val="00B838FC"/>
    <w:rsid w:val="00B86A3A"/>
    <w:rsid w:val="00B86D19"/>
    <w:rsid w:val="00B87B6A"/>
    <w:rsid w:val="00B90116"/>
    <w:rsid w:val="00B908CC"/>
    <w:rsid w:val="00B91232"/>
    <w:rsid w:val="00B924F9"/>
    <w:rsid w:val="00B92B9E"/>
    <w:rsid w:val="00B93938"/>
    <w:rsid w:val="00B93CDE"/>
    <w:rsid w:val="00B94B58"/>
    <w:rsid w:val="00B94D1E"/>
    <w:rsid w:val="00B94DA3"/>
    <w:rsid w:val="00B94F96"/>
    <w:rsid w:val="00B9529D"/>
    <w:rsid w:val="00B95927"/>
    <w:rsid w:val="00B95BFD"/>
    <w:rsid w:val="00B95D07"/>
    <w:rsid w:val="00B96930"/>
    <w:rsid w:val="00B972A7"/>
    <w:rsid w:val="00B9748C"/>
    <w:rsid w:val="00B977AD"/>
    <w:rsid w:val="00B979B4"/>
    <w:rsid w:val="00B97D40"/>
    <w:rsid w:val="00BA031D"/>
    <w:rsid w:val="00BA0C5C"/>
    <w:rsid w:val="00BA0D0C"/>
    <w:rsid w:val="00BA20E8"/>
    <w:rsid w:val="00BA2DA0"/>
    <w:rsid w:val="00BA34CA"/>
    <w:rsid w:val="00BA3511"/>
    <w:rsid w:val="00BA57F6"/>
    <w:rsid w:val="00BA5AB2"/>
    <w:rsid w:val="00BA5CDA"/>
    <w:rsid w:val="00BA77D6"/>
    <w:rsid w:val="00BB0523"/>
    <w:rsid w:val="00BB1C33"/>
    <w:rsid w:val="00BB2068"/>
    <w:rsid w:val="00BB2354"/>
    <w:rsid w:val="00BB2FC5"/>
    <w:rsid w:val="00BB3543"/>
    <w:rsid w:val="00BB3616"/>
    <w:rsid w:val="00BB3726"/>
    <w:rsid w:val="00BB3873"/>
    <w:rsid w:val="00BB4535"/>
    <w:rsid w:val="00BB46B6"/>
    <w:rsid w:val="00BB48D6"/>
    <w:rsid w:val="00BB5421"/>
    <w:rsid w:val="00BB60C7"/>
    <w:rsid w:val="00BB6845"/>
    <w:rsid w:val="00BB6BBF"/>
    <w:rsid w:val="00BB7DCC"/>
    <w:rsid w:val="00BC01F2"/>
    <w:rsid w:val="00BC0265"/>
    <w:rsid w:val="00BC114B"/>
    <w:rsid w:val="00BC1587"/>
    <w:rsid w:val="00BC174F"/>
    <w:rsid w:val="00BC1B4F"/>
    <w:rsid w:val="00BC1C89"/>
    <w:rsid w:val="00BC2EDB"/>
    <w:rsid w:val="00BC39C6"/>
    <w:rsid w:val="00BC49CC"/>
    <w:rsid w:val="00BC4D0A"/>
    <w:rsid w:val="00BC5B7F"/>
    <w:rsid w:val="00BC5F77"/>
    <w:rsid w:val="00BC6715"/>
    <w:rsid w:val="00BC676A"/>
    <w:rsid w:val="00BC71AB"/>
    <w:rsid w:val="00BC7FF0"/>
    <w:rsid w:val="00BD04EE"/>
    <w:rsid w:val="00BD05FA"/>
    <w:rsid w:val="00BD0D22"/>
    <w:rsid w:val="00BD130D"/>
    <w:rsid w:val="00BD1381"/>
    <w:rsid w:val="00BD1962"/>
    <w:rsid w:val="00BD1ED2"/>
    <w:rsid w:val="00BD1FD8"/>
    <w:rsid w:val="00BD21EE"/>
    <w:rsid w:val="00BD2470"/>
    <w:rsid w:val="00BD2A70"/>
    <w:rsid w:val="00BD369B"/>
    <w:rsid w:val="00BD3F73"/>
    <w:rsid w:val="00BD4E04"/>
    <w:rsid w:val="00BD4E6E"/>
    <w:rsid w:val="00BD66F5"/>
    <w:rsid w:val="00BD77E2"/>
    <w:rsid w:val="00BE00B3"/>
    <w:rsid w:val="00BE04F8"/>
    <w:rsid w:val="00BE0858"/>
    <w:rsid w:val="00BE0955"/>
    <w:rsid w:val="00BE0A06"/>
    <w:rsid w:val="00BE0CEE"/>
    <w:rsid w:val="00BE13F1"/>
    <w:rsid w:val="00BE1564"/>
    <w:rsid w:val="00BE187E"/>
    <w:rsid w:val="00BE1FB0"/>
    <w:rsid w:val="00BE260D"/>
    <w:rsid w:val="00BE2EEB"/>
    <w:rsid w:val="00BE391F"/>
    <w:rsid w:val="00BE3B23"/>
    <w:rsid w:val="00BE3C55"/>
    <w:rsid w:val="00BE4030"/>
    <w:rsid w:val="00BE4205"/>
    <w:rsid w:val="00BE48DE"/>
    <w:rsid w:val="00BE5CEF"/>
    <w:rsid w:val="00BE66FF"/>
    <w:rsid w:val="00BE6A64"/>
    <w:rsid w:val="00BE6CA0"/>
    <w:rsid w:val="00BE7081"/>
    <w:rsid w:val="00BE720F"/>
    <w:rsid w:val="00BE7297"/>
    <w:rsid w:val="00BE77A8"/>
    <w:rsid w:val="00BE7A5D"/>
    <w:rsid w:val="00BE7A85"/>
    <w:rsid w:val="00BF02C4"/>
    <w:rsid w:val="00BF1258"/>
    <w:rsid w:val="00BF1B91"/>
    <w:rsid w:val="00BF2053"/>
    <w:rsid w:val="00BF21C6"/>
    <w:rsid w:val="00BF2880"/>
    <w:rsid w:val="00BF3175"/>
    <w:rsid w:val="00BF3EF5"/>
    <w:rsid w:val="00BF3F72"/>
    <w:rsid w:val="00BF5A8A"/>
    <w:rsid w:val="00BF6054"/>
    <w:rsid w:val="00BF679F"/>
    <w:rsid w:val="00BF6B33"/>
    <w:rsid w:val="00BF77D9"/>
    <w:rsid w:val="00BF7E79"/>
    <w:rsid w:val="00C00427"/>
    <w:rsid w:val="00C0074B"/>
    <w:rsid w:val="00C00DD6"/>
    <w:rsid w:val="00C010AE"/>
    <w:rsid w:val="00C010D4"/>
    <w:rsid w:val="00C01A58"/>
    <w:rsid w:val="00C02620"/>
    <w:rsid w:val="00C0276F"/>
    <w:rsid w:val="00C0309A"/>
    <w:rsid w:val="00C03DAC"/>
    <w:rsid w:val="00C03DFF"/>
    <w:rsid w:val="00C04298"/>
    <w:rsid w:val="00C04638"/>
    <w:rsid w:val="00C059F7"/>
    <w:rsid w:val="00C05A1C"/>
    <w:rsid w:val="00C05BF5"/>
    <w:rsid w:val="00C05F75"/>
    <w:rsid w:val="00C06929"/>
    <w:rsid w:val="00C0698B"/>
    <w:rsid w:val="00C06D1E"/>
    <w:rsid w:val="00C06F31"/>
    <w:rsid w:val="00C0735A"/>
    <w:rsid w:val="00C07E37"/>
    <w:rsid w:val="00C10030"/>
    <w:rsid w:val="00C10503"/>
    <w:rsid w:val="00C1064D"/>
    <w:rsid w:val="00C10E3B"/>
    <w:rsid w:val="00C10F7F"/>
    <w:rsid w:val="00C10FD2"/>
    <w:rsid w:val="00C1119C"/>
    <w:rsid w:val="00C11357"/>
    <w:rsid w:val="00C119F4"/>
    <w:rsid w:val="00C11A6B"/>
    <w:rsid w:val="00C12393"/>
    <w:rsid w:val="00C13652"/>
    <w:rsid w:val="00C14B66"/>
    <w:rsid w:val="00C15789"/>
    <w:rsid w:val="00C15C79"/>
    <w:rsid w:val="00C162C2"/>
    <w:rsid w:val="00C163F5"/>
    <w:rsid w:val="00C1684F"/>
    <w:rsid w:val="00C16C38"/>
    <w:rsid w:val="00C217CF"/>
    <w:rsid w:val="00C2195A"/>
    <w:rsid w:val="00C2218A"/>
    <w:rsid w:val="00C225EC"/>
    <w:rsid w:val="00C2283D"/>
    <w:rsid w:val="00C22EC9"/>
    <w:rsid w:val="00C232BB"/>
    <w:rsid w:val="00C23581"/>
    <w:rsid w:val="00C24157"/>
    <w:rsid w:val="00C2442B"/>
    <w:rsid w:val="00C24538"/>
    <w:rsid w:val="00C25087"/>
    <w:rsid w:val="00C252C9"/>
    <w:rsid w:val="00C25350"/>
    <w:rsid w:val="00C25A2D"/>
    <w:rsid w:val="00C25C6A"/>
    <w:rsid w:val="00C25E94"/>
    <w:rsid w:val="00C2788E"/>
    <w:rsid w:val="00C278AD"/>
    <w:rsid w:val="00C27B3F"/>
    <w:rsid w:val="00C27D33"/>
    <w:rsid w:val="00C304E5"/>
    <w:rsid w:val="00C309BC"/>
    <w:rsid w:val="00C30BDA"/>
    <w:rsid w:val="00C31D18"/>
    <w:rsid w:val="00C31E00"/>
    <w:rsid w:val="00C322A8"/>
    <w:rsid w:val="00C32AD8"/>
    <w:rsid w:val="00C33CBE"/>
    <w:rsid w:val="00C3405E"/>
    <w:rsid w:val="00C3440B"/>
    <w:rsid w:val="00C3469E"/>
    <w:rsid w:val="00C3483B"/>
    <w:rsid w:val="00C348C4"/>
    <w:rsid w:val="00C353D3"/>
    <w:rsid w:val="00C35599"/>
    <w:rsid w:val="00C3584B"/>
    <w:rsid w:val="00C35FB6"/>
    <w:rsid w:val="00C36196"/>
    <w:rsid w:val="00C367AB"/>
    <w:rsid w:val="00C36D6D"/>
    <w:rsid w:val="00C36FBC"/>
    <w:rsid w:val="00C3737C"/>
    <w:rsid w:val="00C405BC"/>
    <w:rsid w:val="00C40A71"/>
    <w:rsid w:val="00C41953"/>
    <w:rsid w:val="00C41A46"/>
    <w:rsid w:val="00C42225"/>
    <w:rsid w:val="00C4260A"/>
    <w:rsid w:val="00C42E0F"/>
    <w:rsid w:val="00C430E9"/>
    <w:rsid w:val="00C43220"/>
    <w:rsid w:val="00C441D0"/>
    <w:rsid w:val="00C45A7F"/>
    <w:rsid w:val="00C45EC5"/>
    <w:rsid w:val="00C45FB3"/>
    <w:rsid w:val="00C46706"/>
    <w:rsid w:val="00C47388"/>
    <w:rsid w:val="00C47394"/>
    <w:rsid w:val="00C4748A"/>
    <w:rsid w:val="00C501DB"/>
    <w:rsid w:val="00C50274"/>
    <w:rsid w:val="00C502D0"/>
    <w:rsid w:val="00C51E58"/>
    <w:rsid w:val="00C51F70"/>
    <w:rsid w:val="00C523E9"/>
    <w:rsid w:val="00C52405"/>
    <w:rsid w:val="00C52906"/>
    <w:rsid w:val="00C52F03"/>
    <w:rsid w:val="00C5359A"/>
    <w:rsid w:val="00C5389A"/>
    <w:rsid w:val="00C5399A"/>
    <w:rsid w:val="00C53F5B"/>
    <w:rsid w:val="00C54628"/>
    <w:rsid w:val="00C55CF0"/>
    <w:rsid w:val="00C56555"/>
    <w:rsid w:val="00C56AE8"/>
    <w:rsid w:val="00C56BA5"/>
    <w:rsid w:val="00C572E2"/>
    <w:rsid w:val="00C57C66"/>
    <w:rsid w:val="00C61145"/>
    <w:rsid w:val="00C6214A"/>
    <w:rsid w:val="00C63261"/>
    <w:rsid w:val="00C63291"/>
    <w:rsid w:val="00C632C3"/>
    <w:rsid w:val="00C63339"/>
    <w:rsid w:val="00C63E27"/>
    <w:rsid w:val="00C63F32"/>
    <w:rsid w:val="00C63F55"/>
    <w:rsid w:val="00C64A76"/>
    <w:rsid w:val="00C64AE9"/>
    <w:rsid w:val="00C65613"/>
    <w:rsid w:val="00C65DCC"/>
    <w:rsid w:val="00C65E69"/>
    <w:rsid w:val="00C65F2C"/>
    <w:rsid w:val="00C65F69"/>
    <w:rsid w:val="00C6632F"/>
    <w:rsid w:val="00C678DC"/>
    <w:rsid w:val="00C67BBC"/>
    <w:rsid w:val="00C70019"/>
    <w:rsid w:val="00C70C9C"/>
    <w:rsid w:val="00C70F2F"/>
    <w:rsid w:val="00C7161A"/>
    <w:rsid w:val="00C71872"/>
    <w:rsid w:val="00C719C3"/>
    <w:rsid w:val="00C72096"/>
    <w:rsid w:val="00C72E6A"/>
    <w:rsid w:val="00C75356"/>
    <w:rsid w:val="00C756EA"/>
    <w:rsid w:val="00C75826"/>
    <w:rsid w:val="00C75D5A"/>
    <w:rsid w:val="00C76417"/>
    <w:rsid w:val="00C7758B"/>
    <w:rsid w:val="00C77B29"/>
    <w:rsid w:val="00C80270"/>
    <w:rsid w:val="00C80E9C"/>
    <w:rsid w:val="00C81F07"/>
    <w:rsid w:val="00C81FF6"/>
    <w:rsid w:val="00C8342D"/>
    <w:rsid w:val="00C836CE"/>
    <w:rsid w:val="00C84700"/>
    <w:rsid w:val="00C84CD1"/>
    <w:rsid w:val="00C850B8"/>
    <w:rsid w:val="00C85531"/>
    <w:rsid w:val="00C85D1F"/>
    <w:rsid w:val="00C85E1F"/>
    <w:rsid w:val="00C86015"/>
    <w:rsid w:val="00C87476"/>
    <w:rsid w:val="00C87FCC"/>
    <w:rsid w:val="00C90DA4"/>
    <w:rsid w:val="00C92499"/>
    <w:rsid w:val="00C9339F"/>
    <w:rsid w:val="00C9361B"/>
    <w:rsid w:val="00C93E09"/>
    <w:rsid w:val="00C9421B"/>
    <w:rsid w:val="00C94911"/>
    <w:rsid w:val="00C9549A"/>
    <w:rsid w:val="00C957D5"/>
    <w:rsid w:val="00C96347"/>
    <w:rsid w:val="00C9692E"/>
    <w:rsid w:val="00C96CA8"/>
    <w:rsid w:val="00C9702E"/>
    <w:rsid w:val="00C9759C"/>
    <w:rsid w:val="00CA019B"/>
    <w:rsid w:val="00CA0219"/>
    <w:rsid w:val="00CA216F"/>
    <w:rsid w:val="00CA3A12"/>
    <w:rsid w:val="00CA4A74"/>
    <w:rsid w:val="00CA6351"/>
    <w:rsid w:val="00CA65BB"/>
    <w:rsid w:val="00CA6C42"/>
    <w:rsid w:val="00CB015A"/>
    <w:rsid w:val="00CB0293"/>
    <w:rsid w:val="00CB127A"/>
    <w:rsid w:val="00CB13F2"/>
    <w:rsid w:val="00CB165B"/>
    <w:rsid w:val="00CB1EA4"/>
    <w:rsid w:val="00CB2B93"/>
    <w:rsid w:val="00CB2F7F"/>
    <w:rsid w:val="00CB3651"/>
    <w:rsid w:val="00CB3EE4"/>
    <w:rsid w:val="00CB4045"/>
    <w:rsid w:val="00CB4DE4"/>
    <w:rsid w:val="00CB5030"/>
    <w:rsid w:val="00CB54B4"/>
    <w:rsid w:val="00CB5A4D"/>
    <w:rsid w:val="00CB5B1A"/>
    <w:rsid w:val="00CB6883"/>
    <w:rsid w:val="00CC12E6"/>
    <w:rsid w:val="00CC15F6"/>
    <w:rsid w:val="00CC1B54"/>
    <w:rsid w:val="00CC1D38"/>
    <w:rsid w:val="00CC274C"/>
    <w:rsid w:val="00CC2A64"/>
    <w:rsid w:val="00CC3CBE"/>
    <w:rsid w:val="00CC3E34"/>
    <w:rsid w:val="00CC4057"/>
    <w:rsid w:val="00CC512A"/>
    <w:rsid w:val="00CC6091"/>
    <w:rsid w:val="00CC65BC"/>
    <w:rsid w:val="00CC6FA5"/>
    <w:rsid w:val="00CC7325"/>
    <w:rsid w:val="00CC79F7"/>
    <w:rsid w:val="00CD13BD"/>
    <w:rsid w:val="00CD1F2F"/>
    <w:rsid w:val="00CD29EC"/>
    <w:rsid w:val="00CD3591"/>
    <w:rsid w:val="00CD3647"/>
    <w:rsid w:val="00CD428F"/>
    <w:rsid w:val="00CD4753"/>
    <w:rsid w:val="00CD4C1F"/>
    <w:rsid w:val="00CD5517"/>
    <w:rsid w:val="00CD5B35"/>
    <w:rsid w:val="00CD6EF4"/>
    <w:rsid w:val="00CD70C2"/>
    <w:rsid w:val="00CD7EF6"/>
    <w:rsid w:val="00CE0CF8"/>
    <w:rsid w:val="00CE1616"/>
    <w:rsid w:val="00CE23F7"/>
    <w:rsid w:val="00CE2D5B"/>
    <w:rsid w:val="00CE3088"/>
    <w:rsid w:val="00CE3912"/>
    <w:rsid w:val="00CE3C33"/>
    <w:rsid w:val="00CE493D"/>
    <w:rsid w:val="00CE4E38"/>
    <w:rsid w:val="00CE5333"/>
    <w:rsid w:val="00CE5E44"/>
    <w:rsid w:val="00CE641B"/>
    <w:rsid w:val="00CE6D53"/>
    <w:rsid w:val="00CE6E43"/>
    <w:rsid w:val="00CE78D9"/>
    <w:rsid w:val="00CF04C5"/>
    <w:rsid w:val="00CF07C8"/>
    <w:rsid w:val="00CF0F7F"/>
    <w:rsid w:val="00CF11B9"/>
    <w:rsid w:val="00CF1518"/>
    <w:rsid w:val="00CF1AC8"/>
    <w:rsid w:val="00CF2A34"/>
    <w:rsid w:val="00CF2ABE"/>
    <w:rsid w:val="00CF302B"/>
    <w:rsid w:val="00CF3A43"/>
    <w:rsid w:val="00CF3F86"/>
    <w:rsid w:val="00CF44E1"/>
    <w:rsid w:val="00CF57C3"/>
    <w:rsid w:val="00CF5AFF"/>
    <w:rsid w:val="00CF61B2"/>
    <w:rsid w:val="00CF6851"/>
    <w:rsid w:val="00CF6C4B"/>
    <w:rsid w:val="00CF6CE0"/>
    <w:rsid w:val="00CF6D68"/>
    <w:rsid w:val="00CF7223"/>
    <w:rsid w:val="00CF7A5B"/>
    <w:rsid w:val="00D009FD"/>
    <w:rsid w:val="00D012A1"/>
    <w:rsid w:val="00D01B3C"/>
    <w:rsid w:val="00D027AC"/>
    <w:rsid w:val="00D031BE"/>
    <w:rsid w:val="00D03C91"/>
    <w:rsid w:val="00D03E2A"/>
    <w:rsid w:val="00D03EE4"/>
    <w:rsid w:val="00D04E47"/>
    <w:rsid w:val="00D05275"/>
    <w:rsid w:val="00D05BDC"/>
    <w:rsid w:val="00D064DA"/>
    <w:rsid w:val="00D06749"/>
    <w:rsid w:val="00D06DAC"/>
    <w:rsid w:val="00D10326"/>
    <w:rsid w:val="00D10380"/>
    <w:rsid w:val="00D11DD3"/>
    <w:rsid w:val="00D13363"/>
    <w:rsid w:val="00D13D06"/>
    <w:rsid w:val="00D13E96"/>
    <w:rsid w:val="00D143D8"/>
    <w:rsid w:val="00D1446B"/>
    <w:rsid w:val="00D14759"/>
    <w:rsid w:val="00D14C87"/>
    <w:rsid w:val="00D1592D"/>
    <w:rsid w:val="00D15BC3"/>
    <w:rsid w:val="00D16517"/>
    <w:rsid w:val="00D1651E"/>
    <w:rsid w:val="00D172D4"/>
    <w:rsid w:val="00D20052"/>
    <w:rsid w:val="00D201FB"/>
    <w:rsid w:val="00D20310"/>
    <w:rsid w:val="00D21AA4"/>
    <w:rsid w:val="00D22472"/>
    <w:rsid w:val="00D22AA9"/>
    <w:rsid w:val="00D22DCF"/>
    <w:rsid w:val="00D23204"/>
    <w:rsid w:val="00D234E5"/>
    <w:rsid w:val="00D23AE3"/>
    <w:rsid w:val="00D2438A"/>
    <w:rsid w:val="00D243D7"/>
    <w:rsid w:val="00D24491"/>
    <w:rsid w:val="00D24D9C"/>
    <w:rsid w:val="00D25264"/>
    <w:rsid w:val="00D2530A"/>
    <w:rsid w:val="00D25A2C"/>
    <w:rsid w:val="00D25DAA"/>
    <w:rsid w:val="00D261D4"/>
    <w:rsid w:val="00D2660C"/>
    <w:rsid w:val="00D26A23"/>
    <w:rsid w:val="00D270BA"/>
    <w:rsid w:val="00D27C65"/>
    <w:rsid w:val="00D27DEB"/>
    <w:rsid w:val="00D27F3B"/>
    <w:rsid w:val="00D30064"/>
    <w:rsid w:val="00D30D5A"/>
    <w:rsid w:val="00D30F07"/>
    <w:rsid w:val="00D319D6"/>
    <w:rsid w:val="00D320F0"/>
    <w:rsid w:val="00D32809"/>
    <w:rsid w:val="00D32AF4"/>
    <w:rsid w:val="00D336EB"/>
    <w:rsid w:val="00D33A3F"/>
    <w:rsid w:val="00D342C9"/>
    <w:rsid w:val="00D34413"/>
    <w:rsid w:val="00D36D4C"/>
    <w:rsid w:val="00D36DB0"/>
    <w:rsid w:val="00D37BE1"/>
    <w:rsid w:val="00D40070"/>
    <w:rsid w:val="00D40328"/>
    <w:rsid w:val="00D40D22"/>
    <w:rsid w:val="00D415FA"/>
    <w:rsid w:val="00D42D90"/>
    <w:rsid w:val="00D4372E"/>
    <w:rsid w:val="00D43941"/>
    <w:rsid w:val="00D4415F"/>
    <w:rsid w:val="00D4559A"/>
    <w:rsid w:val="00D45BC1"/>
    <w:rsid w:val="00D45C23"/>
    <w:rsid w:val="00D45FCE"/>
    <w:rsid w:val="00D46291"/>
    <w:rsid w:val="00D469E7"/>
    <w:rsid w:val="00D46FB6"/>
    <w:rsid w:val="00D470AA"/>
    <w:rsid w:val="00D471F1"/>
    <w:rsid w:val="00D473AD"/>
    <w:rsid w:val="00D475A4"/>
    <w:rsid w:val="00D51783"/>
    <w:rsid w:val="00D51B92"/>
    <w:rsid w:val="00D51C31"/>
    <w:rsid w:val="00D5213C"/>
    <w:rsid w:val="00D52C28"/>
    <w:rsid w:val="00D52F03"/>
    <w:rsid w:val="00D5348D"/>
    <w:rsid w:val="00D53DC7"/>
    <w:rsid w:val="00D543A4"/>
    <w:rsid w:val="00D54F15"/>
    <w:rsid w:val="00D5544B"/>
    <w:rsid w:val="00D558F2"/>
    <w:rsid w:val="00D55DC9"/>
    <w:rsid w:val="00D55FA4"/>
    <w:rsid w:val="00D56A5B"/>
    <w:rsid w:val="00D5744F"/>
    <w:rsid w:val="00D57F14"/>
    <w:rsid w:val="00D57F4D"/>
    <w:rsid w:val="00D6060C"/>
    <w:rsid w:val="00D62163"/>
    <w:rsid w:val="00D62478"/>
    <w:rsid w:val="00D63014"/>
    <w:rsid w:val="00D630FA"/>
    <w:rsid w:val="00D6319E"/>
    <w:rsid w:val="00D63B9D"/>
    <w:rsid w:val="00D63E2A"/>
    <w:rsid w:val="00D63FFB"/>
    <w:rsid w:val="00D641AD"/>
    <w:rsid w:val="00D652E1"/>
    <w:rsid w:val="00D65564"/>
    <w:rsid w:val="00D66C84"/>
    <w:rsid w:val="00D6712D"/>
    <w:rsid w:val="00D67A59"/>
    <w:rsid w:val="00D70C92"/>
    <w:rsid w:val="00D71E21"/>
    <w:rsid w:val="00D7218B"/>
    <w:rsid w:val="00D72250"/>
    <w:rsid w:val="00D72825"/>
    <w:rsid w:val="00D72E3F"/>
    <w:rsid w:val="00D72ED4"/>
    <w:rsid w:val="00D735A2"/>
    <w:rsid w:val="00D736C1"/>
    <w:rsid w:val="00D7442C"/>
    <w:rsid w:val="00D745E7"/>
    <w:rsid w:val="00D74726"/>
    <w:rsid w:val="00D748B1"/>
    <w:rsid w:val="00D75A54"/>
    <w:rsid w:val="00D773C6"/>
    <w:rsid w:val="00D7743C"/>
    <w:rsid w:val="00D80B5A"/>
    <w:rsid w:val="00D80B74"/>
    <w:rsid w:val="00D81058"/>
    <w:rsid w:val="00D811F2"/>
    <w:rsid w:val="00D81504"/>
    <w:rsid w:val="00D81FBB"/>
    <w:rsid w:val="00D8228B"/>
    <w:rsid w:val="00D8261E"/>
    <w:rsid w:val="00D82B82"/>
    <w:rsid w:val="00D82E8F"/>
    <w:rsid w:val="00D83531"/>
    <w:rsid w:val="00D8449D"/>
    <w:rsid w:val="00D846CD"/>
    <w:rsid w:val="00D8549C"/>
    <w:rsid w:val="00D855A1"/>
    <w:rsid w:val="00D85A17"/>
    <w:rsid w:val="00D86152"/>
    <w:rsid w:val="00D868C4"/>
    <w:rsid w:val="00D86A63"/>
    <w:rsid w:val="00D86FA1"/>
    <w:rsid w:val="00D90517"/>
    <w:rsid w:val="00D90A48"/>
    <w:rsid w:val="00D910A2"/>
    <w:rsid w:val="00D9129F"/>
    <w:rsid w:val="00D9147D"/>
    <w:rsid w:val="00D91499"/>
    <w:rsid w:val="00D923A8"/>
    <w:rsid w:val="00D93824"/>
    <w:rsid w:val="00D95105"/>
    <w:rsid w:val="00D9522C"/>
    <w:rsid w:val="00D96922"/>
    <w:rsid w:val="00D96B85"/>
    <w:rsid w:val="00D976CC"/>
    <w:rsid w:val="00DA070D"/>
    <w:rsid w:val="00DA1D0B"/>
    <w:rsid w:val="00DA2166"/>
    <w:rsid w:val="00DA253F"/>
    <w:rsid w:val="00DA2AD7"/>
    <w:rsid w:val="00DA30EF"/>
    <w:rsid w:val="00DA3D03"/>
    <w:rsid w:val="00DA43B6"/>
    <w:rsid w:val="00DA593D"/>
    <w:rsid w:val="00DA6E30"/>
    <w:rsid w:val="00DA7D2F"/>
    <w:rsid w:val="00DB0257"/>
    <w:rsid w:val="00DB0720"/>
    <w:rsid w:val="00DB0DFF"/>
    <w:rsid w:val="00DB131F"/>
    <w:rsid w:val="00DB17DF"/>
    <w:rsid w:val="00DB3F41"/>
    <w:rsid w:val="00DB469A"/>
    <w:rsid w:val="00DB4AB0"/>
    <w:rsid w:val="00DB4C7C"/>
    <w:rsid w:val="00DB4E5A"/>
    <w:rsid w:val="00DB5333"/>
    <w:rsid w:val="00DB5A68"/>
    <w:rsid w:val="00DB608E"/>
    <w:rsid w:val="00DB6533"/>
    <w:rsid w:val="00DB6D7F"/>
    <w:rsid w:val="00DB71BB"/>
    <w:rsid w:val="00DB7F61"/>
    <w:rsid w:val="00DC080D"/>
    <w:rsid w:val="00DC1187"/>
    <w:rsid w:val="00DC1F06"/>
    <w:rsid w:val="00DC1FFE"/>
    <w:rsid w:val="00DC21D3"/>
    <w:rsid w:val="00DC2214"/>
    <w:rsid w:val="00DC22A8"/>
    <w:rsid w:val="00DC34AD"/>
    <w:rsid w:val="00DC36A2"/>
    <w:rsid w:val="00DC3E91"/>
    <w:rsid w:val="00DC441E"/>
    <w:rsid w:val="00DC4429"/>
    <w:rsid w:val="00DC5288"/>
    <w:rsid w:val="00DC597B"/>
    <w:rsid w:val="00DC6D07"/>
    <w:rsid w:val="00DC7CB6"/>
    <w:rsid w:val="00DD18A7"/>
    <w:rsid w:val="00DD1D01"/>
    <w:rsid w:val="00DD3A13"/>
    <w:rsid w:val="00DD3EC1"/>
    <w:rsid w:val="00DD3FA4"/>
    <w:rsid w:val="00DD5125"/>
    <w:rsid w:val="00DD58B2"/>
    <w:rsid w:val="00DD6701"/>
    <w:rsid w:val="00DD6A9C"/>
    <w:rsid w:val="00DD6DE6"/>
    <w:rsid w:val="00DE03F9"/>
    <w:rsid w:val="00DE0477"/>
    <w:rsid w:val="00DE0517"/>
    <w:rsid w:val="00DE2D6A"/>
    <w:rsid w:val="00DE301B"/>
    <w:rsid w:val="00DE49EA"/>
    <w:rsid w:val="00DE4CA1"/>
    <w:rsid w:val="00DE5BCC"/>
    <w:rsid w:val="00DE6F10"/>
    <w:rsid w:val="00DE7036"/>
    <w:rsid w:val="00DE7BA8"/>
    <w:rsid w:val="00DF0178"/>
    <w:rsid w:val="00DF0EF7"/>
    <w:rsid w:val="00DF1D8D"/>
    <w:rsid w:val="00DF2251"/>
    <w:rsid w:val="00DF2AFD"/>
    <w:rsid w:val="00DF2EBA"/>
    <w:rsid w:val="00DF3542"/>
    <w:rsid w:val="00DF3A64"/>
    <w:rsid w:val="00DF40AB"/>
    <w:rsid w:val="00DF4226"/>
    <w:rsid w:val="00DF47AF"/>
    <w:rsid w:val="00DF49DB"/>
    <w:rsid w:val="00DF4CEE"/>
    <w:rsid w:val="00DF5646"/>
    <w:rsid w:val="00DF567F"/>
    <w:rsid w:val="00DF64AC"/>
    <w:rsid w:val="00DF7150"/>
    <w:rsid w:val="00DF73F8"/>
    <w:rsid w:val="00DF77FF"/>
    <w:rsid w:val="00E00D29"/>
    <w:rsid w:val="00E01E4F"/>
    <w:rsid w:val="00E01EB3"/>
    <w:rsid w:val="00E0211F"/>
    <w:rsid w:val="00E02803"/>
    <w:rsid w:val="00E02ECC"/>
    <w:rsid w:val="00E031C0"/>
    <w:rsid w:val="00E03D48"/>
    <w:rsid w:val="00E046A7"/>
    <w:rsid w:val="00E048A8"/>
    <w:rsid w:val="00E058C8"/>
    <w:rsid w:val="00E060A7"/>
    <w:rsid w:val="00E063C0"/>
    <w:rsid w:val="00E0641E"/>
    <w:rsid w:val="00E06454"/>
    <w:rsid w:val="00E07274"/>
    <w:rsid w:val="00E07BCA"/>
    <w:rsid w:val="00E07D7E"/>
    <w:rsid w:val="00E101B3"/>
    <w:rsid w:val="00E1028F"/>
    <w:rsid w:val="00E106EE"/>
    <w:rsid w:val="00E1090C"/>
    <w:rsid w:val="00E10935"/>
    <w:rsid w:val="00E10AE5"/>
    <w:rsid w:val="00E139DC"/>
    <w:rsid w:val="00E144C9"/>
    <w:rsid w:val="00E14507"/>
    <w:rsid w:val="00E14A89"/>
    <w:rsid w:val="00E152C2"/>
    <w:rsid w:val="00E15589"/>
    <w:rsid w:val="00E15EBC"/>
    <w:rsid w:val="00E16A76"/>
    <w:rsid w:val="00E16D0C"/>
    <w:rsid w:val="00E172FD"/>
    <w:rsid w:val="00E17F9F"/>
    <w:rsid w:val="00E20DC7"/>
    <w:rsid w:val="00E20F63"/>
    <w:rsid w:val="00E20FF4"/>
    <w:rsid w:val="00E214B7"/>
    <w:rsid w:val="00E2271B"/>
    <w:rsid w:val="00E2313D"/>
    <w:rsid w:val="00E23572"/>
    <w:rsid w:val="00E2404B"/>
    <w:rsid w:val="00E2417A"/>
    <w:rsid w:val="00E24725"/>
    <w:rsid w:val="00E2493C"/>
    <w:rsid w:val="00E25819"/>
    <w:rsid w:val="00E25F0B"/>
    <w:rsid w:val="00E26B6F"/>
    <w:rsid w:val="00E2744E"/>
    <w:rsid w:val="00E27976"/>
    <w:rsid w:val="00E27A22"/>
    <w:rsid w:val="00E30144"/>
    <w:rsid w:val="00E30179"/>
    <w:rsid w:val="00E3029C"/>
    <w:rsid w:val="00E30EC6"/>
    <w:rsid w:val="00E3185B"/>
    <w:rsid w:val="00E31A66"/>
    <w:rsid w:val="00E31EC2"/>
    <w:rsid w:val="00E31EDA"/>
    <w:rsid w:val="00E338E7"/>
    <w:rsid w:val="00E33A2A"/>
    <w:rsid w:val="00E34E7B"/>
    <w:rsid w:val="00E34FD0"/>
    <w:rsid w:val="00E35B14"/>
    <w:rsid w:val="00E36019"/>
    <w:rsid w:val="00E368D8"/>
    <w:rsid w:val="00E369FC"/>
    <w:rsid w:val="00E36FE9"/>
    <w:rsid w:val="00E37BE8"/>
    <w:rsid w:val="00E40319"/>
    <w:rsid w:val="00E40A8E"/>
    <w:rsid w:val="00E410B9"/>
    <w:rsid w:val="00E41EAF"/>
    <w:rsid w:val="00E42F87"/>
    <w:rsid w:val="00E4359F"/>
    <w:rsid w:val="00E44C7D"/>
    <w:rsid w:val="00E458C2"/>
    <w:rsid w:val="00E46754"/>
    <w:rsid w:val="00E46AAC"/>
    <w:rsid w:val="00E46B2B"/>
    <w:rsid w:val="00E50B5E"/>
    <w:rsid w:val="00E50CD5"/>
    <w:rsid w:val="00E50E9D"/>
    <w:rsid w:val="00E517DD"/>
    <w:rsid w:val="00E51E46"/>
    <w:rsid w:val="00E521BF"/>
    <w:rsid w:val="00E522AA"/>
    <w:rsid w:val="00E524E9"/>
    <w:rsid w:val="00E52EF5"/>
    <w:rsid w:val="00E53554"/>
    <w:rsid w:val="00E53D5A"/>
    <w:rsid w:val="00E53FBB"/>
    <w:rsid w:val="00E54437"/>
    <w:rsid w:val="00E55E0F"/>
    <w:rsid w:val="00E560FA"/>
    <w:rsid w:val="00E579F8"/>
    <w:rsid w:val="00E6022D"/>
    <w:rsid w:val="00E61364"/>
    <w:rsid w:val="00E61AD5"/>
    <w:rsid w:val="00E61C50"/>
    <w:rsid w:val="00E6219F"/>
    <w:rsid w:val="00E62CBC"/>
    <w:rsid w:val="00E62EB6"/>
    <w:rsid w:val="00E63B6B"/>
    <w:rsid w:val="00E6413E"/>
    <w:rsid w:val="00E64D06"/>
    <w:rsid w:val="00E65090"/>
    <w:rsid w:val="00E655C3"/>
    <w:rsid w:val="00E65A4A"/>
    <w:rsid w:val="00E669E2"/>
    <w:rsid w:val="00E66E58"/>
    <w:rsid w:val="00E66F7A"/>
    <w:rsid w:val="00E67BCC"/>
    <w:rsid w:val="00E70E6F"/>
    <w:rsid w:val="00E70FBD"/>
    <w:rsid w:val="00E718D7"/>
    <w:rsid w:val="00E7248A"/>
    <w:rsid w:val="00E726E6"/>
    <w:rsid w:val="00E72FBD"/>
    <w:rsid w:val="00E73531"/>
    <w:rsid w:val="00E739E9"/>
    <w:rsid w:val="00E74124"/>
    <w:rsid w:val="00E749B5"/>
    <w:rsid w:val="00E74CFF"/>
    <w:rsid w:val="00E754B2"/>
    <w:rsid w:val="00E75770"/>
    <w:rsid w:val="00E758E3"/>
    <w:rsid w:val="00E761BE"/>
    <w:rsid w:val="00E76C06"/>
    <w:rsid w:val="00E77071"/>
    <w:rsid w:val="00E772DF"/>
    <w:rsid w:val="00E779E3"/>
    <w:rsid w:val="00E77AA8"/>
    <w:rsid w:val="00E8047C"/>
    <w:rsid w:val="00E81D37"/>
    <w:rsid w:val="00E8237A"/>
    <w:rsid w:val="00E82EBA"/>
    <w:rsid w:val="00E84039"/>
    <w:rsid w:val="00E84370"/>
    <w:rsid w:val="00E84ABF"/>
    <w:rsid w:val="00E8553C"/>
    <w:rsid w:val="00E85CAE"/>
    <w:rsid w:val="00E85EA5"/>
    <w:rsid w:val="00E862B7"/>
    <w:rsid w:val="00E9026D"/>
    <w:rsid w:val="00E9057A"/>
    <w:rsid w:val="00E90616"/>
    <w:rsid w:val="00E90885"/>
    <w:rsid w:val="00E91704"/>
    <w:rsid w:val="00E9183C"/>
    <w:rsid w:val="00E92A41"/>
    <w:rsid w:val="00E92EC4"/>
    <w:rsid w:val="00E9311E"/>
    <w:rsid w:val="00E936F4"/>
    <w:rsid w:val="00E9566F"/>
    <w:rsid w:val="00E9570D"/>
    <w:rsid w:val="00E95B17"/>
    <w:rsid w:val="00E95C7F"/>
    <w:rsid w:val="00E96B92"/>
    <w:rsid w:val="00E96C25"/>
    <w:rsid w:val="00E97CA9"/>
    <w:rsid w:val="00EA0136"/>
    <w:rsid w:val="00EA069B"/>
    <w:rsid w:val="00EA1415"/>
    <w:rsid w:val="00EA21F6"/>
    <w:rsid w:val="00EA2226"/>
    <w:rsid w:val="00EA2789"/>
    <w:rsid w:val="00EA2E8D"/>
    <w:rsid w:val="00EA38BB"/>
    <w:rsid w:val="00EA526A"/>
    <w:rsid w:val="00EA53AA"/>
    <w:rsid w:val="00EA5BDF"/>
    <w:rsid w:val="00EA7168"/>
    <w:rsid w:val="00EA789A"/>
    <w:rsid w:val="00EA7EEF"/>
    <w:rsid w:val="00EB01A9"/>
    <w:rsid w:val="00EB0EE2"/>
    <w:rsid w:val="00EB1129"/>
    <w:rsid w:val="00EB17B2"/>
    <w:rsid w:val="00EB1EB3"/>
    <w:rsid w:val="00EB22B7"/>
    <w:rsid w:val="00EB2704"/>
    <w:rsid w:val="00EB32FA"/>
    <w:rsid w:val="00EB38EB"/>
    <w:rsid w:val="00EB3A41"/>
    <w:rsid w:val="00EB424B"/>
    <w:rsid w:val="00EB4E69"/>
    <w:rsid w:val="00EB540C"/>
    <w:rsid w:val="00EB563D"/>
    <w:rsid w:val="00EB5F8F"/>
    <w:rsid w:val="00EB6175"/>
    <w:rsid w:val="00EB6C91"/>
    <w:rsid w:val="00EB74B7"/>
    <w:rsid w:val="00EB76D3"/>
    <w:rsid w:val="00EC15E1"/>
    <w:rsid w:val="00EC16CD"/>
    <w:rsid w:val="00EC2FA7"/>
    <w:rsid w:val="00EC3053"/>
    <w:rsid w:val="00EC308B"/>
    <w:rsid w:val="00EC378D"/>
    <w:rsid w:val="00EC3C1A"/>
    <w:rsid w:val="00EC4361"/>
    <w:rsid w:val="00EC4E43"/>
    <w:rsid w:val="00EC4F42"/>
    <w:rsid w:val="00EC51B1"/>
    <w:rsid w:val="00EC55CF"/>
    <w:rsid w:val="00EC6314"/>
    <w:rsid w:val="00EC6669"/>
    <w:rsid w:val="00EC765E"/>
    <w:rsid w:val="00ED0182"/>
    <w:rsid w:val="00ED04DC"/>
    <w:rsid w:val="00ED09E2"/>
    <w:rsid w:val="00ED1383"/>
    <w:rsid w:val="00ED1A7A"/>
    <w:rsid w:val="00ED24A5"/>
    <w:rsid w:val="00ED2AD2"/>
    <w:rsid w:val="00ED300A"/>
    <w:rsid w:val="00ED3D34"/>
    <w:rsid w:val="00ED4208"/>
    <w:rsid w:val="00ED441A"/>
    <w:rsid w:val="00ED44A2"/>
    <w:rsid w:val="00ED44BC"/>
    <w:rsid w:val="00ED45B5"/>
    <w:rsid w:val="00ED4AF9"/>
    <w:rsid w:val="00ED5680"/>
    <w:rsid w:val="00ED591D"/>
    <w:rsid w:val="00ED5E60"/>
    <w:rsid w:val="00ED66E2"/>
    <w:rsid w:val="00ED687E"/>
    <w:rsid w:val="00ED6BE0"/>
    <w:rsid w:val="00ED6EB2"/>
    <w:rsid w:val="00ED719C"/>
    <w:rsid w:val="00ED7D30"/>
    <w:rsid w:val="00EE2779"/>
    <w:rsid w:val="00EE283C"/>
    <w:rsid w:val="00EE2966"/>
    <w:rsid w:val="00EE2DF2"/>
    <w:rsid w:val="00EE30A7"/>
    <w:rsid w:val="00EE3C32"/>
    <w:rsid w:val="00EE443F"/>
    <w:rsid w:val="00EE47EC"/>
    <w:rsid w:val="00EE4BAB"/>
    <w:rsid w:val="00EE5C11"/>
    <w:rsid w:val="00EE608F"/>
    <w:rsid w:val="00EE6CA9"/>
    <w:rsid w:val="00EE737D"/>
    <w:rsid w:val="00EF0147"/>
    <w:rsid w:val="00EF0814"/>
    <w:rsid w:val="00EF0A5C"/>
    <w:rsid w:val="00EF1E15"/>
    <w:rsid w:val="00EF242A"/>
    <w:rsid w:val="00EF2CEC"/>
    <w:rsid w:val="00EF2E82"/>
    <w:rsid w:val="00EF3F9B"/>
    <w:rsid w:val="00EF412B"/>
    <w:rsid w:val="00EF42E9"/>
    <w:rsid w:val="00EF509A"/>
    <w:rsid w:val="00EF5EBE"/>
    <w:rsid w:val="00EF6044"/>
    <w:rsid w:val="00EF6358"/>
    <w:rsid w:val="00EF63F9"/>
    <w:rsid w:val="00EF6D65"/>
    <w:rsid w:val="00EF6E6B"/>
    <w:rsid w:val="00EF7BFE"/>
    <w:rsid w:val="00F00094"/>
    <w:rsid w:val="00F002BD"/>
    <w:rsid w:val="00F01466"/>
    <w:rsid w:val="00F01833"/>
    <w:rsid w:val="00F0194E"/>
    <w:rsid w:val="00F01D83"/>
    <w:rsid w:val="00F026EB"/>
    <w:rsid w:val="00F02C2E"/>
    <w:rsid w:val="00F02E71"/>
    <w:rsid w:val="00F02EE0"/>
    <w:rsid w:val="00F0333D"/>
    <w:rsid w:val="00F0432D"/>
    <w:rsid w:val="00F04B04"/>
    <w:rsid w:val="00F052CB"/>
    <w:rsid w:val="00F053D8"/>
    <w:rsid w:val="00F05E00"/>
    <w:rsid w:val="00F05EDC"/>
    <w:rsid w:val="00F06070"/>
    <w:rsid w:val="00F06362"/>
    <w:rsid w:val="00F063D3"/>
    <w:rsid w:val="00F0696F"/>
    <w:rsid w:val="00F06B5B"/>
    <w:rsid w:val="00F06BEF"/>
    <w:rsid w:val="00F06CC8"/>
    <w:rsid w:val="00F10831"/>
    <w:rsid w:val="00F1084D"/>
    <w:rsid w:val="00F10A98"/>
    <w:rsid w:val="00F11238"/>
    <w:rsid w:val="00F1133D"/>
    <w:rsid w:val="00F1249D"/>
    <w:rsid w:val="00F12714"/>
    <w:rsid w:val="00F12CDB"/>
    <w:rsid w:val="00F14A86"/>
    <w:rsid w:val="00F14D8D"/>
    <w:rsid w:val="00F15039"/>
    <w:rsid w:val="00F150D5"/>
    <w:rsid w:val="00F157B3"/>
    <w:rsid w:val="00F15ACC"/>
    <w:rsid w:val="00F16ABC"/>
    <w:rsid w:val="00F17A9A"/>
    <w:rsid w:val="00F20916"/>
    <w:rsid w:val="00F20B75"/>
    <w:rsid w:val="00F20EB3"/>
    <w:rsid w:val="00F225BE"/>
    <w:rsid w:val="00F230CB"/>
    <w:rsid w:val="00F23479"/>
    <w:rsid w:val="00F23FF8"/>
    <w:rsid w:val="00F24178"/>
    <w:rsid w:val="00F249B2"/>
    <w:rsid w:val="00F24B80"/>
    <w:rsid w:val="00F24C93"/>
    <w:rsid w:val="00F24EAE"/>
    <w:rsid w:val="00F25EB8"/>
    <w:rsid w:val="00F26031"/>
    <w:rsid w:val="00F26568"/>
    <w:rsid w:val="00F26A8A"/>
    <w:rsid w:val="00F27D96"/>
    <w:rsid w:val="00F27E4F"/>
    <w:rsid w:val="00F27F52"/>
    <w:rsid w:val="00F27FD8"/>
    <w:rsid w:val="00F3024F"/>
    <w:rsid w:val="00F303AE"/>
    <w:rsid w:val="00F30CFF"/>
    <w:rsid w:val="00F31D7D"/>
    <w:rsid w:val="00F3236F"/>
    <w:rsid w:val="00F332FB"/>
    <w:rsid w:val="00F33788"/>
    <w:rsid w:val="00F344F3"/>
    <w:rsid w:val="00F34A16"/>
    <w:rsid w:val="00F34FA9"/>
    <w:rsid w:val="00F355C0"/>
    <w:rsid w:val="00F36400"/>
    <w:rsid w:val="00F36471"/>
    <w:rsid w:val="00F36E5E"/>
    <w:rsid w:val="00F37238"/>
    <w:rsid w:val="00F37552"/>
    <w:rsid w:val="00F3774F"/>
    <w:rsid w:val="00F402B5"/>
    <w:rsid w:val="00F40EF5"/>
    <w:rsid w:val="00F411FA"/>
    <w:rsid w:val="00F4166C"/>
    <w:rsid w:val="00F425D5"/>
    <w:rsid w:val="00F4288E"/>
    <w:rsid w:val="00F42BC6"/>
    <w:rsid w:val="00F43433"/>
    <w:rsid w:val="00F43667"/>
    <w:rsid w:val="00F43693"/>
    <w:rsid w:val="00F43A98"/>
    <w:rsid w:val="00F43E43"/>
    <w:rsid w:val="00F441FD"/>
    <w:rsid w:val="00F44A59"/>
    <w:rsid w:val="00F44B50"/>
    <w:rsid w:val="00F44D3B"/>
    <w:rsid w:val="00F46C47"/>
    <w:rsid w:val="00F46E29"/>
    <w:rsid w:val="00F46EAA"/>
    <w:rsid w:val="00F471C8"/>
    <w:rsid w:val="00F47DD5"/>
    <w:rsid w:val="00F50D5A"/>
    <w:rsid w:val="00F53A81"/>
    <w:rsid w:val="00F53B63"/>
    <w:rsid w:val="00F53FBD"/>
    <w:rsid w:val="00F54515"/>
    <w:rsid w:val="00F546FC"/>
    <w:rsid w:val="00F54BAE"/>
    <w:rsid w:val="00F55B95"/>
    <w:rsid w:val="00F55CB2"/>
    <w:rsid w:val="00F56430"/>
    <w:rsid w:val="00F56566"/>
    <w:rsid w:val="00F56C3C"/>
    <w:rsid w:val="00F56E57"/>
    <w:rsid w:val="00F56E99"/>
    <w:rsid w:val="00F609B8"/>
    <w:rsid w:val="00F62377"/>
    <w:rsid w:val="00F62DCD"/>
    <w:rsid w:val="00F65270"/>
    <w:rsid w:val="00F653EB"/>
    <w:rsid w:val="00F6577C"/>
    <w:rsid w:val="00F6644B"/>
    <w:rsid w:val="00F66A13"/>
    <w:rsid w:val="00F66EF1"/>
    <w:rsid w:val="00F67547"/>
    <w:rsid w:val="00F67D46"/>
    <w:rsid w:val="00F67F6B"/>
    <w:rsid w:val="00F700D6"/>
    <w:rsid w:val="00F70AB6"/>
    <w:rsid w:val="00F71757"/>
    <w:rsid w:val="00F732CC"/>
    <w:rsid w:val="00F7367B"/>
    <w:rsid w:val="00F7415B"/>
    <w:rsid w:val="00F749FC"/>
    <w:rsid w:val="00F74E1F"/>
    <w:rsid w:val="00F75408"/>
    <w:rsid w:val="00F7579E"/>
    <w:rsid w:val="00F75F01"/>
    <w:rsid w:val="00F76228"/>
    <w:rsid w:val="00F7687B"/>
    <w:rsid w:val="00F76ABF"/>
    <w:rsid w:val="00F7722C"/>
    <w:rsid w:val="00F775CF"/>
    <w:rsid w:val="00F776E3"/>
    <w:rsid w:val="00F80432"/>
    <w:rsid w:val="00F81555"/>
    <w:rsid w:val="00F8201F"/>
    <w:rsid w:val="00F82661"/>
    <w:rsid w:val="00F830D5"/>
    <w:rsid w:val="00F832AE"/>
    <w:rsid w:val="00F83441"/>
    <w:rsid w:val="00F836FF"/>
    <w:rsid w:val="00F837E2"/>
    <w:rsid w:val="00F849E8"/>
    <w:rsid w:val="00F84AF3"/>
    <w:rsid w:val="00F86E15"/>
    <w:rsid w:val="00F871A5"/>
    <w:rsid w:val="00F8789C"/>
    <w:rsid w:val="00F87F94"/>
    <w:rsid w:val="00F90367"/>
    <w:rsid w:val="00F906E6"/>
    <w:rsid w:val="00F91ACD"/>
    <w:rsid w:val="00F91C3B"/>
    <w:rsid w:val="00F91DD1"/>
    <w:rsid w:val="00F91DF6"/>
    <w:rsid w:val="00F95AE4"/>
    <w:rsid w:val="00F9613F"/>
    <w:rsid w:val="00F96160"/>
    <w:rsid w:val="00F962AF"/>
    <w:rsid w:val="00F96529"/>
    <w:rsid w:val="00F96671"/>
    <w:rsid w:val="00F970AF"/>
    <w:rsid w:val="00F97951"/>
    <w:rsid w:val="00FA0221"/>
    <w:rsid w:val="00FA028A"/>
    <w:rsid w:val="00FA11EA"/>
    <w:rsid w:val="00FA1395"/>
    <w:rsid w:val="00FA15C9"/>
    <w:rsid w:val="00FA197A"/>
    <w:rsid w:val="00FA1DA6"/>
    <w:rsid w:val="00FA5D2F"/>
    <w:rsid w:val="00FA640B"/>
    <w:rsid w:val="00FA641F"/>
    <w:rsid w:val="00FA656E"/>
    <w:rsid w:val="00FA667F"/>
    <w:rsid w:val="00FA7584"/>
    <w:rsid w:val="00FB1735"/>
    <w:rsid w:val="00FB1A94"/>
    <w:rsid w:val="00FB20F4"/>
    <w:rsid w:val="00FB2258"/>
    <w:rsid w:val="00FB27DC"/>
    <w:rsid w:val="00FB27F1"/>
    <w:rsid w:val="00FB338C"/>
    <w:rsid w:val="00FB376D"/>
    <w:rsid w:val="00FB3783"/>
    <w:rsid w:val="00FB3B2A"/>
    <w:rsid w:val="00FB4013"/>
    <w:rsid w:val="00FB439A"/>
    <w:rsid w:val="00FB45A5"/>
    <w:rsid w:val="00FB4C10"/>
    <w:rsid w:val="00FB506B"/>
    <w:rsid w:val="00FB6719"/>
    <w:rsid w:val="00FB75E2"/>
    <w:rsid w:val="00FB7777"/>
    <w:rsid w:val="00FB7EAA"/>
    <w:rsid w:val="00FC0914"/>
    <w:rsid w:val="00FC1107"/>
    <w:rsid w:val="00FC12FC"/>
    <w:rsid w:val="00FC1703"/>
    <w:rsid w:val="00FC1840"/>
    <w:rsid w:val="00FC19B8"/>
    <w:rsid w:val="00FC23F2"/>
    <w:rsid w:val="00FC33B7"/>
    <w:rsid w:val="00FC5AD9"/>
    <w:rsid w:val="00FC5E95"/>
    <w:rsid w:val="00FC7F0F"/>
    <w:rsid w:val="00FD077D"/>
    <w:rsid w:val="00FD07D9"/>
    <w:rsid w:val="00FD1570"/>
    <w:rsid w:val="00FD1C29"/>
    <w:rsid w:val="00FD303F"/>
    <w:rsid w:val="00FD3517"/>
    <w:rsid w:val="00FD3BC0"/>
    <w:rsid w:val="00FD51EF"/>
    <w:rsid w:val="00FD5249"/>
    <w:rsid w:val="00FD558F"/>
    <w:rsid w:val="00FD582C"/>
    <w:rsid w:val="00FD5837"/>
    <w:rsid w:val="00FD628F"/>
    <w:rsid w:val="00FD79D5"/>
    <w:rsid w:val="00FD79DF"/>
    <w:rsid w:val="00FE00CD"/>
    <w:rsid w:val="00FE0B2D"/>
    <w:rsid w:val="00FE11D2"/>
    <w:rsid w:val="00FE13A2"/>
    <w:rsid w:val="00FE143E"/>
    <w:rsid w:val="00FE1B94"/>
    <w:rsid w:val="00FE328F"/>
    <w:rsid w:val="00FE35E8"/>
    <w:rsid w:val="00FE3941"/>
    <w:rsid w:val="00FE3C1F"/>
    <w:rsid w:val="00FE4EA2"/>
    <w:rsid w:val="00FE7138"/>
    <w:rsid w:val="00FE77DE"/>
    <w:rsid w:val="00FE78CD"/>
    <w:rsid w:val="00FF0541"/>
    <w:rsid w:val="00FF06B5"/>
    <w:rsid w:val="00FF0B95"/>
    <w:rsid w:val="00FF1BC6"/>
    <w:rsid w:val="00FF241D"/>
    <w:rsid w:val="00FF3317"/>
    <w:rsid w:val="00FF41DA"/>
    <w:rsid w:val="00FF4280"/>
    <w:rsid w:val="00FF4B30"/>
    <w:rsid w:val="00FF50A5"/>
    <w:rsid w:val="00FF5825"/>
    <w:rsid w:val="00FF5F80"/>
    <w:rsid w:val="00FF6530"/>
    <w:rsid w:val="00FF6842"/>
    <w:rsid w:val="00FF6D82"/>
    <w:rsid w:val="00FF71B5"/>
    <w:rsid w:val="00FF7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F2B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header" w:qFormat="1"/>
    <w:lsdException w:name="footer" w:uiPriority="99" w:qFormat="1"/>
    <w:lsdException w:name="caption" w:qFormat="1"/>
    <w:lsdException w:name="table of figures" w:uiPriority="99"/>
    <w:lsdException w:name="footnote reference" w:uiPriority="99"/>
    <w:lsdException w:name="List Bullet" w:qFormat="1"/>
    <w:lsdException w:name="List Number" w:semiHidden="0" w:unhideWhenUsed="0"/>
    <w:lsdException w:name="List 4" w:semiHidden="0" w:unhideWhenUsed="0"/>
    <w:lsdException w:name="List 5" w:semiHidden="0" w:unhideWhenUsed="0"/>
    <w:lsdException w:name="List Number 2" w:qFormat="1"/>
    <w:lsdException w:name="List Number 3"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645F"/>
    <w:rPr>
      <w:rFonts w:ascii="Arial" w:hAnsi="Arial"/>
      <w:sz w:val="22"/>
      <w:szCs w:val="24"/>
      <w:lang w:eastAsia="en-US"/>
    </w:rPr>
  </w:style>
  <w:style w:type="paragraph" w:styleId="Heading1">
    <w:name w:val="heading 1"/>
    <w:basedOn w:val="Normal"/>
    <w:next w:val="Normal"/>
    <w:link w:val="Heading1Char"/>
    <w:qFormat/>
    <w:rsid w:val="00201ACB"/>
    <w:pPr>
      <w:keepNext/>
      <w:numPr>
        <w:numId w:val="11"/>
      </w:numPr>
      <w:spacing w:before="240" w:after="60"/>
      <w:outlineLvl w:val="0"/>
    </w:pPr>
    <w:rPr>
      <w:rFonts w:cs="Arial"/>
      <w:b/>
      <w:bCs/>
      <w:color w:val="153A6E"/>
      <w:kern w:val="28"/>
      <w:sz w:val="36"/>
      <w:szCs w:val="32"/>
    </w:rPr>
  </w:style>
  <w:style w:type="paragraph" w:styleId="Heading2">
    <w:name w:val="heading 2"/>
    <w:next w:val="Normal"/>
    <w:qFormat/>
    <w:rsid w:val="00201ACB"/>
    <w:pPr>
      <w:keepNext/>
      <w:numPr>
        <w:ilvl w:val="1"/>
        <w:numId w:val="11"/>
      </w:numPr>
      <w:spacing w:before="240" w:after="60"/>
      <w:outlineLvl w:val="1"/>
    </w:pPr>
    <w:rPr>
      <w:rFonts w:ascii="Arial" w:hAnsi="Arial" w:cs="Arial"/>
      <w:b/>
      <w:bCs/>
      <w:iCs/>
      <w:color w:val="153A6E"/>
      <w:sz w:val="32"/>
      <w:szCs w:val="32"/>
      <w:lang w:eastAsia="en-US"/>
    </w:rPr>
  </w:style>
  <w:style w:type="paragraph" w:styleId="Heading3">
    <w:name w:val="heading 3"/>
    <w:basedOn w:val="Heading2"/>
    <w:next w:val="Normal"/>
    <w:link w:val="Heading3Char"/>
    <w:qFormat/>
    <w:rsid w:val="00201ACB"/>
    <w:pPr>
      <w:numPr>
        <w:ilvl w:val="2"/>
      </w:numPr>
      <w:spacing w:before="180"/>
      <w:outlineLvl w:val="2"/>
    </w:pPr>
    <w:rPr>
      <w:bCs w:val="0"/>
      <w:sz w:val="28"/>
      <w:szCs w:val="28"/>
    </w:rPr>
  </w:style>
  <w:style w:type="paragraph" w:styleId="Heading4">
    <w:name w:val="heading 4"/>
    <w:basedOn w:val="Normal"/>
    <w:next w:val="Normal"/>
    <w:link w:val="Heading4Char"/>
    <w:qFormat/>
    <w:rsid w:val="00493EFE"/>
    <w:pPr>
      <w:keepNext/>
      <w:spacing w:before="240" w:after="60"/>
      <w:outlineLvl w:val="3"/>
    </w:pPr>
    <w:rPr>
      <w:b/>
      <w:bCs/>
      <w:color w:val="153A6E"/>
      <w:sz w:val="24"/>
      <w:szCs w:val="28"/>
    </w:rPr>
  </w:style>
  <w:style w:type="paragraph" w:styleId="Heading5">
    <w:name w:val="heading 5"/>
    <w:basedOn w:val="Normal"/>
    <w:next w:val="Normal"/>
    <w:rsid w:val="00201ACB"/>
    <w:pPr>
      <w:keepNext/>
      <w:numPr>
        <w:ilvl w:val="4"/>
        <w:numId w:val="11"/>
      </w:numPr>
      <w:spacing w:before="240" w:after="60"/>
      <w:outlineLvl w:val="4"/>
    </w:pPr>
    <w:rPr>
      <w:b/>
      <w:bCs/>
      <w:iCs/>
      <w:szCs w:val="26"/>
    </w:rPr>
  </w:style>
  <w:style w:type="paragraph" w:styleId="Heading6">
    <w:name w:val="heading 6"/>
    <w:basedOn w:val="Normal"/>
    <w:next w:val="Normal"/>
    <w:rsid w:val="00201ACB"/>
    <w:pPr>
      <w:keepNext/>
      <w:numPr>
        <w:ilvl w:val="5"/>
        <w:numId w:val="11"/>
      </w:numPr>
      <w:spacing w:before="240" w:after="60"/>
      <w:outlineLvl w:val="5"/>
    </w:pPr>
    <w:rPr>
      <w:b/>
      <w:bCs/>
      <w:i/>
      <w:szCs w:val="22"/>
    </w:rPr>
  </w:style>
  <w:style w:type="paragraph" w:styleId="Heading7">
    <w:name w:val="heading 7"/>
    <w:basedOn w:val="Normal"/>
    <w:next w:val="Normal"/>
    <w:link w:val="Heading7Char"/>
    <w:semiHidden/>
    <w:unhideWhenUsed/>
    <w:qFormat/>
    <w:rsid w:val="00201AC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01AC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01AC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
    <w:basedOn w:val="Normal"/>
    <w:link w:val="ListParagraphChar"/>
    <w:uiPriority w:val="34"/>
    <w:rsid w:val="00201ACB"/>
    <w:pPr>
      <w:ind w:left="720"/>
      <w:contextualSpacing/>
    </w:pPr>
  </w:style>
  <w:style w:type="paragraph" w:styleId="TOC1">
    <w:name w:val="toc 1"/>
    <w:basedOn w:val="Normal"/>
    <w:next w:val="Normal"/>
    <w:autoRedefine/>
    <w:uiPriority w:val="39"/>
    <w:rsid w:val="00201ACB"/>
    <w:pPr>
      <w:tabs>
        <w:tab w:val="right" w:leader="dot" w:pos="9736"/>
      </w:tabs>
      <w:spacing w:after="100"/>
    </w:pPr>
  </w:style>
  <w:style w:type="character" w:styleId="Hyperlink">
    <w:name w:val="Hyperlink"/>
    <w:basedOn w:val="DefaultParagraphFont"/>
    <w:uiPriority w:val="99"/>
    <w:unhideWhenUsed/>
    <w:qFormat/>
    <w:rsid w:val="00201ACB"/>
    <w:rPr>
      <w:rFonts w:ascii="Arial" w:hAnsi="Arial"/>
      <w:color w:val="0000FF" w:themeColor="hyperlink"/>
      <w:sz w:val="22"/>
      <w:u w:val="single"/>
    </w:rPr>
  </w:style>
  <w:style w:type="paragraph" w:styleId="TOC2">
    <w:name w:val="toc 2"/>
    <w:basedOn w:val="Normal"/>
    <w:next w:val="Normal"/>
    <w:autoRedefine/>
    <w:uiPriority w:val="39"/>
    <w:rsid w:val="00201ACB"/>
    <w:pPr>
      <w:spacing w:after="100"/>
      <w:ind w:left="220"/>
    </w:pPr>
  </w:style>
  <w:style w:type="paragraph" w:styleId="ListBullet2">
    <w:name w:val="List Bullet 2"/>
    <w:basedOn w:val="Normal"/>
    <w:rsid w:val="00C27D33"/>
    <w:pPr>
      <w:numPr>
        <w:ilvl w:val="1"/>
        <w:numId w:val="13"/>
      </w:numPr>
      <w:spacing w:before="120" w:after="120"/>
    </w:pPr>
  </w:style>
  <w:style w:type="paragraph" w:styleId="ListBullet4">
    <w:name w:val="List Bullet 4"/>
    <w:basedOn w:val="ListBullet3"/>
    <w:unhideWhenUsed/>
    <w:rsid w:val="00A70021"/>
    <w:pPr>
      <w:numPr>
        <w:ilvl w:val="3"/>
      </w:numPr>
    </w:pPr>
  </w:style>
  <w:style w:type="paragraph" w:styleId="ListBullet3">
    <w:name w:val="List Bullet 3"/>
    <w:basedOn w:val="ListBullet2"/>
    <w:rsid w:val="00A70021"/>
    <w:pPr>
      <w:numPr>
        <w:ilvl w:val="2"/>
      </w:numPr>
    </w:pPr>
  </w:style>
  <w:style w:type="paragraph" w:styleId="ListBullet">
    <w:name w:val="List Bullet"/>
    <w:aliases w:val="List First Level,Bullet List"/>
    <w:basedOn w:val="Normal"/>
    <w:qFormat/>
    <w:rsid w:val="00201ACB"/>
    <w:pPr>
      <w:numPr>
        <w:numId w:val="13"/>
      </w:numPr>
      <w:spacing w:before="120" w:line="240" w:lineRule="exact"/>
    </w:pPr>
    <w:rPr>
      <w:color w:val="000000" w:themeColor="text1"/>
    </w:rPr>
  </w:style>
  <w:style w:type="paragraph" w:styleId="ListBullet5">
    <w:name w:val="List Bullet 5"/>
    <w:basedOn w:val="ListBullet4"/>
    <w:unhideWhenUsed/>
    <w:rsid w:val="00A70021"/>
    <w:pPr>
      <w:numPr>
        <w:ilvl w:val="0"/>
        <w:numId w:val="0"/>
      </w:numPr>
    </w:pPr>
  </w:style>
  <w:style w:type="character" w:styleId="Strong">
    <w:name w:val="Strong"/>
    <w:basedOn w:val="DefaultParagraphFont"/>
    <w:rsid w:val="00201ACB"/>
    <w:rPr>
      <w:b/>
      <w:bCs/>
    </w:rPr>
  </w:style>
  <w:style w:type="paragraph" w:styleId="FootnoteText">
    <w:name w:val="footnote text"/>
    <w:basedOn w:val="Normal"/>
    <w:link w:val="FootnoteTextChar"/>
    <w:uiPriority w:val="99"/>
    <w:qFormat/>
    <w:rsid w:val="003D5106"/>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3D5106"/>
    <w:rPr>
      <w:rFonts w:ascii="Arial" w:hAnsi="Arial"/>
      <w:color w:val="000000" w:themeColor="text1"/>
      <w:sz w:val="18"/>
      <w:lang w:eastAsia="en-US"/>
    </w:rPr>
  </w:style>
  <w:style w:type="character" w:styleId="FootnoteReference">
    <w:name w:val="footnote reference"/>
    <w:basedOn w:val="DefaultParagraphFont"/>
    <w:uiPriority w:val="99"/>
    <w:rsid w:val="000A3256"/>
    <w:rPr>
      <w:vertAlign w:val="superscript"/>
    </w:rPr>
  </w:style>
  <w:style w:type="paragraph" w:styleId="BalloonText">
    <w:name w:val="Balloon Text"/>
    <w:basedOn w:val="Normal"/>
    <w:link w:val="BalloonTextChar"/>
    <w:rsid w:val="00201ACB"/>
    <w:rPr>
      <w:rFonts w:ascii="Tahoma" w:hAnsi="Tahoma" w:cs="Tahoma"/>
      <w:sz w:val="16"/>
      <w:szCs w:val="16"/>
    </w:rPr>
  </w:style>
  <w:style w:type="character" w:customStyle="1" w:styleId="BalloonTextChar">
    <w:name w:val="Balloon Text Char"/>
    <w:basedOn w:val="DefaultParagraphFont"/>
    <w:link w:val="BalloonText"/>
    <w:rsid w:val="00201ACB"/>
    <w:rPr>
      <w:rFonts w:ascii="Tahoma" w:hAnsi="Tahoma" w:cs="Tahoma"/>
      <w:sz w:val="16"/>
      <w:szCs w:val="16"/>
      <w:lang w:eastAsia="en-US"/>
    </w:rPr>
  </w:style>
  <w:style w:type="table" w:styleId="TableGrid">
    <w:name w:val="Table Grid"/>
    <w:aliases w:val="Table - Top"/>
    <w:basedOn w:val="TableNormal"/>
    <w:rsid w:val="00E7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3788"/>
    <w:pPr>
      <w:autoSpaceDE w:val="0"/>
      <w:autoSpaceDN w:val="0"/>
      <w:adjustRightInd w:val="0"/>
    </w:pPr>
    <w:rPr>
      <w:rFonts w:ascii="Garamond" w:hAnsi="Garamond" w:cs="Garamond"/>
      <w:color w:val="000000"/>
      <w:sz w:val="24"/>
      <w:szCs w:val="24"/>
    </w:rPr>
  </w:style>
  <w:style w:type="paragraph" w:styleId="Header">
    <w:name w:val="header"/>
    <w:basedOn w:val="Normal"/>
    <w:link w:val="HeaderChar"/>
    <w:qFormat/>
    <w:rsid w:val="00201ACB"/>
    <w:pPr>
      <w:tabs>
        <w:tab w:val="center" w:pos="4513"/>
        <w:tab w:val="right" w:pos="9026"/>
      </w:tabs>
    </w:pPr>
  </w:style>
  <w:style w:type="character" w:customStyle="1" w:styleId="HeaderChar">
    <w:name w:val="Header Char"/>
    <w:basedOn w:val="DefaultParagraphFont"/>
    <w:link w:val="Header"/>
    <w:rsid w:val="00201ACB"/>
    <w:rPr>
      <w:rFonts w:ascii="Arial" w:hAnsi="Arial"/>
      <w:sz w:val="22"/>
      <w:szCs w:val="24"/>
      <w:lang w:eastAsia="en-US"/>
    </w:rPr>
  </w:style>
  <w:style w:type="paragraph" w:styleId="Footer">
    <w:name w:val="footer"/>
    <w:basedOn w:val="Normal"/>
    <w:link w:val="FooterChar"/>
    <w:uiPriority w:val="99"/>
    <w:qFormat/>
    <w:rsid w:val="00201ACB"/>
    <w:pPr>
      <w:tabs>
        <w:tab w:val="center" w:pos="4513"/>
        <w:tab w:val="right" w:pos="9026"/>
      </w:tabs>
    </w:pPr>
    <w:rPr>
      <w:sz w:val="20"/>
    </w:rPr>
  </w:style>
  <w:style w:type="character" w:customStyle="1" w:styleId="FooterChar">
    <w:name w:val="Footer Char"/>
    <w:basedOn w:val="DefaultParagraphFont"/>
    <w:link w:val="Footer"/>
    <w:uiPriority w:val="99"/>
    <w:rsid w:val="00201ACB"/>
    <w:rPr>
      <w:rFonts w:ascii="Arial" w:hAnsi="Arial"/>
      <w:szCs w:val="24"/>
      <w:lang w:eastAsia="en-US"/>
    </w:rPr>
  </w:style>
  <w:style w:type="paragraph" w:styleId="TOC3">
    <w:name w:val="toc 3"/>
    <w:basedOn w:val="Normal"/>
    <w:next w:val="Normal"/>
    <w:autoRedefine/>
    <w:uiPriority w:val="39"/>
    <w:rsid w:val="00201ACB"/>
    <w:pPr>
      <w:spacing w:after="100"/>
      <w:ind w:left="440"/>
    </w:pPr>
  </w:style>
  <w:style w:type="character" w:customStyle="1" w:styleId="Heading3Char">
    <w:name w:val="Heading 3 Char"/>
    <w:link w:val="Heading3"/>
    <w:rsid w:val="003A026A"/>
    <w:rPr>
      <w:rFonts w:ascii="Arial" w:hAnsi="Arial" w:cs="Arial"/>
      <w:b/>
      <w:iCs/>
      <w:color w:val="153A6E"/>
      <w:sz w:val="28"/>
      <w:szCs w:val="28"/>
      <w:lang w:eastAsia="en-US"/>
    </w:rPr>
  </w:style>
  <w:style w:type="paragraph" w:styleId="TOC4">
    <w:name w:val="toc 4"/>
    <w:basedOn w:val="Normal"/>
    <w:next w:val="Normal"/>
    <w:autoRedefine/>
    <w:uiPriority w:val="39"/>
    <w:rsid w:val="002D1873"/>
    <w:pPr>
      <w:spacing w:after="100"/>
      <w:ind w:left="660"/>
    </w:pPr>
    <w:rPr>
      <w:i/>
      <w:sz w:val="20"/>
    </w:rPr>
  </w:style>
  <w:style w:type="character" w:styleId="Emphasis">
    <w:name w:val="Emphasis"/>
    <w:basedOn w:val="DefaultParagraphFont"/>
    <w:uiPriority w:val="20"/>
    <w:rsid w:val="00201ACB"/>
    <w:rPr>
      <w:i/>
      <w:iCs/>
    </w:rPr>
  </w:style>
  <w:style w:type="paragraph" w:styleId="EndnoteText">
    <w:name w:val="endnote text"/>
    <w:basedOn w:val="Normal"/>
    <w:link w:val="EndnoteTextChar"/>
    <w:rsid w:val="00270608"/>
    <w:rPr>
      <w:sz w:val="20"/>
      <w:szCs w:val="20"/>
    </w:rPr>
  </w:style>
  <w:style w:type="character" w:customStyle="1" w:styleId="EndnoteTextChar">
    <w:name w:val="Endnote Text Char"/>
    <w:basedOn w:val="DefaultParagraphFont"/>
    <w:link w:val="EndnoteText"/>
    <w:rsid w:val="00270608"/>
    <w:rPr>
      <w:rFonts w:ascii="Calibri" w:hAnsi="Calibri"/>
      <w:lang w:val="en-US" w:eastAsia="en-US"/>
    </w:rPr>
  </w:style>
  <w:style w:type="character" w:styleId="EndnoteReference">
    <w:name w:val="endnote reference"/>
    <w:basedOn w:val="DefaultParagraphFont"/>
    <w:rsid w:val="00270608"/>
    <w:rPr>
      <w:vertAlign w:val="superscript"/>
    </w:rPr>
  </w:style>
  <w:style w:type="character" w:customStyle="1" w:styleId="ListParagraphChar">
    <w:name w:val="List Paragraph Char"/>
    <w:aliases w:val="List Paragraph1 Char,Recommendation Char,Body text Char"/>
    <w:link w:val="ListParagraph"/>
    <w:uiPriority w:val="34"/>
    <w:locked/>
    <w:rsid w:val="00201ACB"/>
    <w:rPr>
      <w:rFonts w:ascii="Arial" w:hAnsi="Arial"/>
      <w:sz w:val="22"/>
      <w:szCs w:val="24"/>
      <w:lang w:eastAsia="en-US"/>
    </w:rPr>
  </w:style>
  <w:style w:type="table" w:customStyle="1" w:styleId="PwCTableText">
    <w:name w:val="PwC Table Text"/>
    <w:basedOn w:val="TableNormal"/>
    <w:uiPriority w:val="99"/>
    <w:qFormat/>
    <w:rsid w:val="0023645F"/>
    <w:pPr>
      <w:spacing w:before="60" w:after="60"/>
    </w:pPr>
    <w:rPr>
      <w:rFonts w:ascii="Georgia" w:eastAsiaTheme="minorHAnsi" w:hAnsi="Georgia" w:cstheme="minorBidi"/>
      <w:lang w:val="en-GB"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customStyle="1" w:styleId="Indent1">
    <w:name w:val="Indent 1"/>
    <w:basedOn w:val="Paragraphtext"/>
    <w:rsid w:val="00CC2A64"/>
    <w:pPr>
      <w:ind w:left="284"/>
    </w:pPr>
  </w:style>
  <w:style w:type="paragraph" w:customStyle="1" w:styleId="Indent2">
    <w:name w:val="Indent 2"/>
    <w:basedOn w:val="Indent1"/>
    <w:rsid w:val="00C72096"/>
    <w:pPr>
      <w:numPr>
        <w:ilvl w:val="2"/>
      </w:numPr>
      <w:ind w:left="284"/>
    </w:pPr>
  </w:style>
  <w:style w:type="paragraph" w:customStyle="1" w:styleId="Indent3">
    <w:name w:val="Indent 3"/>
    <w:basedOn w:val="Indent2"/>
    <w:rsid w:val="00C72096"/>
    <w:pPr>
      <w:numPr>
        <w:ilvl w:val="3"/>
      </w:numPr>
      <w:ind w:left="284"/>
    </w:pPr>
  </w:style>
  <w:style w:type="paragraph" w:customStyle="1" w:styleId="Indent5">
    <w:name w:val="Indent 5"/>
    <w:basedOn w:val="Indent4"/>
    <w:rsid w:val="00C72096"/>
    <w:pPr>
      <w:numPr>
        <w:ilvl w:val="5"/>
      </w:numPr>
      <w:ind w:left="284"/>
    </w:pPr>
  </w:style>
  <w:style w:type="paragraph" w:customStyle="1" w:styleId="Indent6">
    <w:name w:val="Indent 6"/>
    <w:basedOn w:val="Indent5"/>
    <w:rsid w:val="00C72096"/>
    <w:pPr>
      <w:numPr>
        <w:ilvl w:val="6"/>
      </w:numPr>
      <w:ind w:left="284"/>
    </w:pPr>
  </w:style>
  <w:style w:type="paragraph" w:customStyle="1" w:styleId="Indent7">
    <w:name w:val="Indent 7"/>
    <w:basedOn w:val="Indent6"/>
    <w:rsid w:val="00C72096"/>
    <w:pPr>
      <w:numPr>
        <w:ilvl w:val="7"/>
      </w:numPr>
      <w:ind w:left="284"/>
    </w:pPr>
  </w:style>
  <w:style w:type="paragraph" w:customStyle="1" w:styleId="Indent4">
    <w:name w:val="Indent 4"/>
    <w:basedOn w:val="Indent3"/>
    <w:rsid w:val="00C72096"/>
    <w:pPr>
      <w:numPr>
        <w:ilvl w:val="4"/>
      </w:numPr>
      <w:ind w:left="284"/>
    </w:pPr>
  </w:style>
  <w:style w:type="paragraph" w:customStyle="1" w:styleId="MLNormal">
    <w:name w:val="ML Normal"/>
    <w:basedOn w:val="Normal"/>
    <w:link w:val="MLNormalChar"/>
    <w:rsid w:val="00C72096"/>
    <w:pPr>
      <w:numPr>
        <w:numId w:val="2"/>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C72096"/>
    <w:rPr>
      <w:rFonts w:asciiTheme="minorHAnsi" w:hAnsiTheme="minorHAnsi" w:cs="Arial"/>
      <w:snapToGrid w:val="0"/>
      <w:lang w:eastAsia="en-US"/>
    </w:rPr>
  </w:style>
  <w:style w:type="paragraph" w:customStyle="1" w:styleId="TableBullet1Small">
    <w:name w:val="Table Bullet 1 Small"/>
    <w:basedOn w:val="Normal"/>
    <w:rsid w:val="00C72096"/>
    <w:pPr>
      <w:numPr>
        <w:numId w:val="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3Small">
    <w:name w:val="Table Bullet 3 Small"/>
    <w:basedOn w:val="TableBullet2Small"/>
    <w:rsid w:val="00C72096"/>
    <w:pPr>
      <w:numPr>
        <w:ilvl w:val="2"/>
      </w:numPr>
    </w:pPr>
    <w:rPr>
      <w:szCs w:val="16"/>
    </w:rPr>
  </w:style>
  <w:style w:type="paragraph" w:customStyle="1" w:styleId="TableBullet2Small">
    <w:name w:val="Table Bullet 2 Small"/>
    <w:basedOn w:val="TableBullet1Small"/>
    <w:rsid w:val="00C72096"/>
    <w:pPr>
      <w:numPr>
        <w:ilvl w:val="1"/>
      </w:numPr>
    </w:pPr>
  </w:style>
  <w:style w:type="paragraph" w:customStyle="1" w:styleId="TableColumnHeadingNormal">
    <w:name w:val="Table Column Heading Normal"/>
    <w:basedOn w:val="Normal"/>
    <w:link w:val="TableColumnHeadingNormalChar"/>
    <w:rsid w:val="00DB6D7F"/>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paragraph" w:customStyle="1" w:styleId="Indent8">
    <w:name w:val="Indent 8"/>
    <w:basedOn w:val="Indent7"/>
    <w:rsid w:val="00C72096"/>
    <w:pPr>
      <w:numPr>
        <w:ilvl w:val="8"/>
      </w:numPr>
      <w:ind w:left="284"/>
    </w:pPr>
  </w:style>
  <w:style w:type="table" w:customStyle="1" w:styleId="TableGrid1">
    <w:name w:val="Table Grid1"/>
    <w:basedOn w:val="TableNormal"/>
    <w:next w:val="TableGrid"/>
    <w:uiPriority w:val="59"/>
    <w:rsid w:val="00C72096"/>
    <w:rPr>
      <w:rFonts w:ascii="Georgia" w:eastAsiaTheme="minorHAnsi" w:hAnsi="Georgia" w:cstheme="minorBidi"/>
      <w:sz w:val="22"/>
      <w:szCs w:val="22"/>
      <w:lang w:eastAsia="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blStylePr w:type="firstRow">
      <w:tblPr/>
      <w:trPr>
        <w:tblHeader/>
      </w:trPr>
      <w:tcPr>
        <w:shd w:val="clear" w:color="auto" w:fill="1F497D" w:themeFill="text2"/>
      </w:tcPr>
    </w:tblStylePr>
  </w:style>
  <w:style w:type="character" w:customStyle="1" w:styleId="TableColumnHeadingNormalChar">
    <w:name w:val="Table Column Heading Normal Char"/>
    <w:basedOn w:val="DefaultParagraphFont"/>
    <w:link w:val="TableColumnHeadingNormal"/>
    <w:locked/>
    <w:rsid w:val="00DB6D7F"/>
    <w:rPr>
      <w:rFonts w:asciiTheme="minorHAnsi" w:hAnsiTheme="minorHAnsi" w:cs="Arial"/>
      <w:b/>
      <w:snapToGrid w:val="0"/>
      <w:color w:val="FFFFFF" w:themeColor="background1"/>
      <w:lang w:eastAsia="en-US"/>
    </w:rPr>
  </w:style>
  <w:style w:type="table" w:customStyle="1" w:styleId="PHNBlueTable">
    <w:name w:val="PHN Blue Table"/>
    <w:basedOn w:val="PHNPurpleTable"/>
    <w:uiPriority w:val="99"/>
    <w:rsid w:val="0023645F"/>
    <w:tblPr/>
    <w:tblStylePr w:type="firstRow">
      <w:rPr>
        <w:rFonts w:ascii="Arial" w:hAnsi="Arial"/>
        <w:b/>
        <w:color w:val="FFFFFF" w:themeColor="background1"/>
        <w:sz w:val="22"/>
      </w:rPr>
      <w:tblPr/>
      <w:trPr>
        <w:tblHeader/>
      </w:trPr>
      <w:tcPr>
        <w:shd w:val="clear" w:color="auto" w:fill="153A6E"/>
      </w:tcPr>
    </w:tblStylePr>
  </w:style>
  <w:style w:type="paragraph" w:customStyle="1" w:styleId="MLNormalAftertable">
    <w:name w:val="ML Normal_After table"/>
    <w:basedOn w:val="MLNormal"/>
    <w:rsid w:val="003831DE"/>
    <w:pPr>
      <w:numPr>
        <w:numId w:val="0"/>
      </w:numPr>
      <w:spacing w:before="120" w:after="120"/>
      <w:ind w:left="720" w:hanging="360"/>
    </w:pPr>
    <w:rPr>
      <w:lang w:val="en-GB"/>
    </w:rPr>
  </w:style>
  <w:style w:type="character" w:styleId="FollowedHyperlink">
    <w:name w:val="FollowedHyperlink"/>
    <w:basedOn w:val="DefaultParagraphFont"/>
    <w:rsid w:val="00201ACB"/>
    <w:rPr>
      <w:color w:val="800080" w:themeColor="followedHyperlink"/>
      <w:u w:val="single"/>
    </w:rPr>
  </w:style>
  <w:style w:type="character" w:customStyle="1" w:styleId="Heading7Char">
    <w:name w:val="Heading 7 Char"/>
    <w:basedOn w:val="DefaultParagraphFont"/>
    <w:link w:val="Heading7"/>
    <w:semiHidden/>
    <w:rsid w:val="00201AC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201AC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201ACB"/>
    <w:rPr>
      <w:rFonts w:asciiTheme="majorHAnsi" w:eastAsiaTheme="majorEastAsia" w:hAnsiTheme="majorHAnsi" w:cstheme="majorBidi"/>
      <w:i/>
      <w:iCs/>
      <w:color w:val="404040" w:themeColor="text1" w:themeTint="BF"/>
      <w:lang w:eastAsia="en-US"/>
    </w:rPr>
  </w:style>
  <w:style w:type="paragraph" w:styleId="Title">
    <w:name w:val="Title"/>
    <w:next w:val="Normal"/>
    <w:link w:val="TitleChar"/>
    <w:qFormat/>
    <w:rsid w:val="00201ACB"/>
    <w:pPr>
      <w:tabs>
        <w:tab w:val="left" w:pos="6792"/>
      </w:tabs>
      <w:spacing w:before="2040" w:after="480"/>
      <w:contextualSpacing/>
    </w:pPr>
    <w:rPr>
      <w:rFonts w:ascii="Arial" w:eastAsiaTheme="majorEastAsia" w:hAnsi="Arial" w:cstheme="majorBidi"/>
      <w:b/>
      <w:color w:val="153A6E"/>
      <w:kern w:val="28"/>
      <w:sz w:val="80"/>
      <w:szCs w:val="80"/>
      <w:lang w:eastAsia="en-US"/>
    </w:rPr>
  </w:style>
  <w:style w:type="character" w:customStyle="1" w:styleId="TitleChar">
    <w:name w:val="Title Char"/>
    <w:basedOn w:val="DefaultParagraphFont"/>
    <w:link w:val="Title"/>
    <w:rsid w:val="00201ACB"/>
    <w:rPr>
      <w:rFonts w:ascii="Arial" w:eastAsiaTheme="majorEastAsia" w:hAnsi="Arial" w:cstheme="majorBidi"/>
      <w:b/>
      <w:color w:val="153A6E"/>
      <w:kern w:val="28"/>
      <w:sz w:val="80"/>
      <w:szCs w:val="80"/>
      <w:lang w:eastAsia="en-US"/>
    </w:rPr>
  </w:style>
  <w:style w:type="paragraph" w:styleId="TOC5">
    <w:name w:val="toc 5"/>
    <w:basedOn w:val="Normal"/>
    <w:next w:val="Normal"/>
    <w:autoRedefine/>
    <w:uiPriority w:val="39"/>
    <w:rsid w:val="006C0FD3"/>
    <w:pPr>
      <w:spacing w:after="100"/>
      <w:ind w:left="880"/>
    </w:pPr>
  </w:style>
  <w:style w:type="numbering" w:customStyle="1" w:styleId="List9">
    <w:name w:val="List 9"/>
    <w:basedOn w:val="NoList"/>
    <w:rsid w:val="005A06FB"/>
    <w:pPr>
      <w:numPr>
        <w:numId w:val="3"/>
      </w:numPr>
    </w:pPr>
  </w:style>
  <w:style w:type="numbering" w:customStyle="1" w:styleId="Bullet">
    <w:name w:val="Bullet"/>
    <w:rsid w:val="005A06FB"/>
    <w:pPr>
      <w:numPr>
        <w:numId w:val="4"/>
      </w:numPr>
    </w:pPr>
  </w:style>
  <w:style w:type="numbering" w:customStyle="1" w:styleId="List18">
    <w:name w:val="List 18"/>
    <w:basedOn w:val="NoList"/>
    <w:rsid w:val="005A06FB"/>
    <w:pPr>
      <w:numPr>
        <w:numId w:val="5"/>
      </w:numPr>
    </w:pPr>
  </w:style>
  <w:style w:type="character" w:styleId="CommentReference">
    <w:name w:val="annotation reference"/>
    <w:basedOn w:val="DefaultParagraphFont"/>
    <w:rsid w:val="00826D8D"/>
    <w:rPr>
      <w:sz w:val="16"/>
      <w:szCs w:val="16"/>
    </w:rPr>
  </w:style>
  <w:style w:type="paragraph" w:styleId="CommentText">
    <w:name w:val="annotation text"/>
    <w:basedOn w:val="Normal"/>
    <w:link w:val="CommentTextChar"/>
    <w:rsid w:val="00826D8D"/>
    <w:rPr>
      <w:sz w:val="20"/>
      <w:szCs w:val="20"/>
    </w:rPr>
  </w:style>
  <w:style w:type="character" w:customStyle="1" w:styleId="CommentTextChar">
    <w:name w:val="Comment Text Char"/>
    <w:basedOn w:val="DefaultParagraphFont"/>
    <w:link w:val="CommentText"/>
    <w:rsid w:val="00826D8D"/>
    <w:rPr>
      <w:rFonts w:ascii="Calibri" w:hAnsi="Calibri"/>
      <w:lang w:val="en-US" w:eastAsia="en-US"/>
    </w:rPr>
  </w:style>
  <w:style w:type="paragraph" w:styleId="CommentSubject">
    <w:name w:val="annotation subject"/>
    <w:basedOn w:val="CommentText"/>
    <w:next w:val="CommentText"/>
    <w:link w:val="CommentSubjectChar"/>
    <w:rsid w:val="00826D8D"/>
    <w:rPr>
      <w:b/>
      <w:bCs/>
    </w:rPr>
  </w:style>
  <w:style w:type="character" w:customStyle="1" w:styleId="CommentSubjectChar">
    <w:name w:val="Comment Subject Char"/>
    <w:basedOn w:val="CommentTextChar"/>
    <w:link w:val="CommentSubject"/>
    <w:rsid w:val="00826D8D"/>
    <w:rPr>
      <w:rFonts w:ascii="Calibri" w:hAnsi="Calibri"/>
      <w:b/>
      <w:bCs/>
      <w:lang w:val="en-US" w:eastAsia="en-US"/>
    </w:rPr>
  </w:style>
  <w:style w:type="table" w:customStyle="1" w:styleId="TableGrid2">
    <w:name w:val="Table Grid2"/>
    <w:basedOn w:val="TableNormal"/>
    <w:next w:val="TableGrid"/>
    <w:uiPriority w:val="59"/>
    <w:rsid w:val="00DF3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201A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1ACB"/>
    <w:rPr>
      <w:rFonts w:ascii="Arial" w:hAnsi="Arial"/>
      <w:b/>
      <w:bCs/>
      <w:i/>
      <w:iCs/>
      <w:color w:val="4F81BD" w:themeColor="accent1"/>
      <w:sz w:val="22"/>
      <w:szCs w:val="24"/>
      <w:lang w:eastAsia="en-US"/>
    </w:rPr>
  </w:style>
  <w:style w:type="character" w:customStyle="1" w:styleId="Heading4Char">
    <w:name w:val="Heading 4 Char"/>
    <w:basedOn w:val="DefaultParagraphFont"/>
    <w:link w:val="Heading4"/>
    <w:rsid w:val="00C94911"/>
    <w:rPr>
      <w:rFonts w:ascii="Arial" w:hAnsi="Arial"/>
      <w:b/>
      <w:bCs/>
      <w:color w:val="153A6E"/>
      <w:sz w:val="24"/>
      <w:szCs w:val="28"/>
      <w:lang w:eastAsia="en-US"/>
    </w:rPr>
  </w:style>
  <w:style w:type="paragraph" w:styleId="Caption">
    <w:name w:val="caption"/>
    <w:basedOn w:val="Normal"/>
    <w:next w:val="Normal"/>
    <w:unhideWhenUsed/>
    <w:rsid w:val="00E368D8"/>
    <w:pPr>
      <w:keepNext/>
      <w:keepLines/>
      <w:spacing w:after="200"/>
    </w:pPr>
    <w:rPr>
      <w:b/>
      <w:bCs/>
      <w:color w:val="000000" w:themeColor="text1"/>
      <w:szCs w:val="18"/>
    </w:rPr>
  </w:style>
  <w:style w:type="paragraph" w:styleId="TableofFigures">
    <w:name w:val="table of figures"/>
    <w:basedOn w:val="Normal"/>
    <w:next w:val="Normal"/>
    <w:uiPriority w:val="99"/>
    <w:rsid w:val="00201ACB"/>
  </w:style>
  <w:style w:type="paragraph" w:styleId="Revision">
    <w:name w:val="Revision"/>
    <w:hidden/>
    <w:uiPriority w:val="99"/>
    <w:semiHidden/>
    <w:rsid w:val="009E019A"/>
    <w:rPr>
      <w:rFonts w:ascii="Calibri" w:hAnsi="Calibri"/>
      <w:sz w:val="22"/>
      <w:szCs w:val="24"/>
      <w:lang w:eastAsia="en-US"/>
    </w:rPr>
  </w:style>
  <w:style w:type="paragraph" w:customStyle="1" w:styleId="Sub-heading">
    <w:name w:val="Sub-heading"/>
    <w:basedOn w:val="Normal"/>
    <w:link w:val="Sub-headingChar"/>
    <w:autoRedefine/>
    <w:rsid w:val="00094CA2"/>
    <w:pPr>
      <w:keepNext/>
      <w:spacing w:after="60"/>
    </w:pPr>
    <w:rPr>
      <w:rFonts w:cs="Calibri"/>
      <w:b/>
      <w:i/>
      <w:color w:val="003D69"/>
      <w:szCs w:val="22"/>
      <w:lang w:eastAsia="en-AU"/>
    </w:rPr>
  </w:style>
  <w:style w:type="paragraph" w:customStyle="1" w:styleId="Appendicessubheadings">
    <w:name w:val="Appendices sub headings"/>
    <w:basedOn w:val="Heading3"/>
    <w:link w:val="AppendicessubheadingsChar"/>
    <w:rsid w:val="00A81E0B"/>
    <w:rPr>
      <w:color w:val="003D69"/>
    </w:rPr>
  </w:style>
  <w:style w:type="character" w:customStyle="1" w:styleId="Sub-headingChar">
    <w:name w:val="Sub-heading Char"/>
    <w:basedOn w:val="DefaultParagraphFont"/>
    <w:link w:val="Sub-heading"/>
    <w:rsid w:val="00094CA2"/>
    <w:rPr>
      <w:rFonts w:ascii="Calibri" w:hAnsi="Calibri" w:cs="Calibri"/>
      <w:b/>
      <w:i/>
      <w:color w:val="003D69"/>
      <w:sz w:val="22"/>
      <w:szCs w:val="22"/>
    </w:rPr>
  </w:style>
  <w:style w:type="paragraph" w:styleId="TOCHeading">
    <w:name w:val="TOC Heading"/>
    <w:basedOn w:val="Heading1"/>
    <w:next w:val="Normal"/>
    <w:uiPriority w:val="39"/>
    <w:unhideWhenUsed/>
    <w:qFormat/>
    <w:rsid w:val="00201ACB"/>
    <w:pPr>
      <w:keepLines/>
      <w:spacing w:before="480" w:after="0" w:line="276" w:lineRule="auto"/>
      <w:ind w:left="431" w:hanging="431"/>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AppendicessubheadingsChar">
    <w:name w:val="Appendices sub headings Char"/>
    <w:basedOn w:val="Heading3Char"/>
    <w:link w:val="Appendicessubheadings"/>
    <w:rsid w:val="00A81E0B"/>
    <w:rPr>
      <w:rFonts w:ascii="Arial" w:hAnsi="Arial" w:cs="Arial"/>
      <w:b/>
      <w:iCs/>
      <w:color w:val="003D69"/>
      <w:sz w:val="28"/>
      <w:szCs w:val="28"/>
      <w:lang w:eastAsia="en-US"/>
    </w:rPr>
  </w:style>
  <w:style w:type="paragraph" w:styleId="BodyText">
    <w:name w:val="Body Text"/>
    <w:basedOn w:val="Normal"/>
    <w:link w:val="BodyTextChar"/>
    <w:rsid w:val="00201ACB"/>
    <w:pPr>
      <w:spacing w:after="120"/>
    </w:pPr>
  </w:style>
  <w:style w:type="character" w:customStyle="1" w:styleId="BodyTextChar">
    <w:name w:val="Body Text Char"/>
    <w:basedOn w:val="DefaultParagraphFont"/>
    <w:link w:val="BodyText"/>
    <w:rsid w:val="00201ACB"/>
    <w:rPr>
      <w:rFonts w:ascii="Arial" w:hAnsi="Arial"/>
      <w:sz w:val="22"/>
      <w:szCs w:val="24"/>
      <w:lang w:eastAsia="en-US"/>
    </w:rPr>
  </w:style>
  <w:style w:type="table" w:customStyle="1" w:styleId="DefenceTable">
    <w:name w:val="Defence Table"/>
    <w:basedOn w:val="TableNormal"/>
    <w:rsid w:val="000F489D"/>
    <w:rPr>
      <w:rFonts w:ascii="Georgia" w:hAnsi="Georgia"/>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customStyle="1" w:styleId="Subheading">
    <w:name w:val="Sub heading"/>
    <w:basedOn w:val="Normal"/>
    <w:next w:val="Body"/>
    <w:autoRedefine/>
    <w:qFormat/>
    <w:rsid w:val="00343ADC"/>
    <w:pPr>
      <w:keepNext/>
      <w:spacing w:after="80"/>
    </w:pPr>
    <w:rPr>
      <w:b/>
      <w:color w:val="003D69"/>
      <w:sz w:val="24"/>
    </w:rPr>
  </w:style>
  <w:style w:type="paragraph" w:customStyle="1" w:styleId="Body">
    <w:name w:val="Body"/>
    <w:basedOn w:val="Normal"/>
    <w:qFormat/>
    <w:rsid w:val="005A2B20"/>
    <w:pPr>
      <w:spacing w:after="180"/>
    </w:pPr>
    <w:rPr>
      <w:color w:val="003D69"/>
    </w:rPr>
  </w:style>
  <w:style w:type="paragraph" w:customStyle="1" w:styleId="Subsubheading">
    <w:name w:val="Sub sub heading"/>
    <w:basedOn w:val="Body"/>
    <w:next w:val="Body"/>
    <w:qFormat/>
    <w:rsid w:val="00125972"/>
    <w:pPr>
      <w:keepNext/>
      <w:spacing w:after="80"/>
    </w:pPr>
    <w:rPr>
      <w:i/>
    </w:rPr>
  </w:style>
  <w:style w:type="paragraph" w:styleId="DocumentMap">
    <w:name w:val="Document Map"/>
    <w:basedOn w:val="Normal"/>
    <w:link w:val="DocumentMapChar"/>
    <w:semiHidden/>
    <w:unhideWhenUsed/>
    <w:rsid w:val="00B43597"/>
    <w:rPr>
      <w:rFonts w:ascii="Times New Roman" w:hAnsi="Times New Roman"/>
      <w:sz w:val="24"/>
    </w:rPr>
  </w:style>
  <w:style w:type="character" w:customStyle="1" w:styleId="DocumentMapChar">
    <w:name w:val="Document Map Char"/>
    <w:basedOn w:val="DefaultParagraphFont"/>
    <w:link w:val="DocumentMap"/>
    <w:semiHidden/>
    <w:rsid w:val="00B43597"/>
    <w:rPr>
      <w:sz w:val="24"/>
      <w:szCs w:val="24"/>
      <w:lang w:eastAsia="en-US"/>
    </w:rPr>
  </w:style>
  <w:style w:type="paragraph" w:customStyle="1" w:styleId="Tabletextnormal">
    <w:name w:val="Table text normal"/>
    <w:basedOn w:val="Normal"/>
    <w:rsid w:val="0023645F"/>
    <w:pPr>
      <w:spacing w:before="80" w:after="80"/>
    </w:pPr>
    <w:rPr>
      <w:rFonts w:asciiTheme="minorHAnsi" w:hAnsiTheme="minorHAnsi"/>
      <w:color w:val="000000" w:themeColor="text1"/>
      <w:szCs w:val="22"/>
      <w:lang w:val="en-GB"/>
    </w:rPr>
  </w:style>
  <w:style w:type="character" w:styleId="BookTitle">
    <w:name w:val="Book Title"/>
    <w:basedOn w:val="DefaultParagraphFont"/>
    <w:uiPriority w:val="33"/>
    <w:rsid w:val="00201ACB"/>
    <w:rPr>
      <w:b/>
      <w:bCs/>
      <w:smallCaps/>
      <w:spacing w:val="5"/>
    </w:rPr>
  </w:style>
  <w:style w:type="paragraph" w:customStyle="1" w:styleId="FigureTitle">
    <w:name w:val="Figure Title"/>
    <w:next w:val="Normal"/>
    <w:qFormat/>
    <w:rsid w:val="00201ACB"/>
    <w:pPr>
      <w:tabs>
        <w:tab w:val="num" w:pos="1080"/>
      </w:tabs>
      <w:spacing w:before="360" w:after="120" w:line="240" w:lineRule="exact"/>
    </w:pPr>
    <w:rPr>
      <w:rFonts w:ascii="Arial" w:hAnsi="Arial"/>
      <w:b/>
      <w:color w:val="000000" w:themeColor="text1"/>
      <w:sz w:val="22"/>
      <w:szCs w:val="24"/>
      <w:lang w:eastAsia="en-US"/>
    </w:rPr>
  </w:style>
  <w:style w:type="paragraph" w:customStyle="1" w:styleId="Footertext">
    <w:name w:val="Footer text"/>
    <w:rsid w:val="00201ACB"/>
    <w:rPr>
      <w:rFonts w:ascii="Arial" w:hAnsi="Arial" w:cs="Arial"/>
      <w:szCs w:val="22"/>
      <w:lang w:eastAsia="en-US"/>
    </w:rPr>
  </w:style>
  <w:style w:type="paragraph" w:customStyle="1" w:styleId="headertext">
    <w:name w:val="header text"/>
    <w:rsid w:val="00201ACB"/>
    <w:rPr>
      <w:rFonts w:ascii="Arial" w:hAnsi="Arial"/>
      <w:szCs w:val="24"/>
      <w:lang w:eastAsia="en-US"/>
    </w:rPr>
  </w:style>
  <w:style w:type="character" w:customStyle="1" w:styleId="Heading1Char">
    <w:name w:val="Heading 1 Char"/>
    <w:basedOn w:val="DefaultParagraphFont"/>
    <w:link w:val="Heading1"/>
    <w:rsid w:val="00201ACB"/>
    <w:rPr>
      <w:rFonts w:ascii="Arial" w:hAnsi="Arial" w:cs="Arial"/>
      <w:b/>
      <w:bCs/>
      <w:color w:val="153A6E"/>
      <w:kern w:val="28"/>
      <w:sz w:val="36"/>
      <w:szCs w:val="32"/>
      <w:lang w:eastAsia="en-US"/>
    </w:rPr>
  </w:style>
  <w:style w:type="paragraph" w:customStyle="1" w:styleId="Heading1Orange">
    <w:name w:val="Heading 1 Orange"/>
    <w:basedOn w:val="Heading1"/>
    <w:rsid w:val="00201ACB"/>
    <w:pPr>
      <w:ind w:left="431" w:hanging="431"/>
    </w:pPr>
    <w:rPr>
      <w:color w:val="D72F0D"/>
    </w:rPr>
  </w:style>
  <w:style w:type="paragraph" w:customStyle="1" w:styleId="Heading1Purple">
    <w:name w:val="Heading 1 Purple"/>
    <w:basedOn w:val="Heading1"/>
    <w:next w:val="Normal"/>
    <w:rsid w:val="00201ACB"/>
    <w:pPr>
      <w:ind w:left="431" w:hanging="431"/>
    </w:pPr>
    <w:rPr>
      <w:color w:val="8D188D"/>
    </w:rPr>
  </w:style>
  <w:style w:type="paragraph" w:customStyle="1" w:styleId="Heading2Orange">
    <w:name w:val="Heading 2 Orange"/>
    <w:basedOn w:val="Heading2"/>
    <w:next w:val="Normal"/>
    <w:rsid w:val="00201ACB"/>
    <w:pPr>
      <w:ind w:left="578" w:hanging="578"/>
    </w:pPr>
  </w:style>
  <w:style w:type="paragraph" w:customStyle="1" w:styleId="Heading2Purple">
    <w:name w:val="Heading 2 Purple"/>
    <w:basedOn w:val="Heading2"/>
    <w:next w:val="Normal"/>
    <w:qFormat/>
    <w:rsid w:val="00201ACB"/>
    <w:pPr>
      <w:spacing w:before="180"/>
      <w:ind w:left="578" w:hanging="578"/>
    </w:pPr>
    <w:rPr>
      <w:color w:val="8D188D"/>
    </w:rPr>
  </w:style>
  <w:style w:type="character" w:styleId="IntenseEmphasis">
    <w:name w:val="Intense Emphasis"/>
    <w:basedOn w:val="DefaultParagraphFont"/>
    <w:uiPriority w:val="21"/>
    <w:rsid w:val="00201ACB"/>
    <w:rPr>
      <w:b/>
      <w:bCs/>
      <w:i/>
      <w:iCs/>
      <w:color w:val="4F81BD" w:themeColor="accent1"/>
    </w:rPr>
  </w:style>
  <w:style w:type="character" w:styleId="IntenseReference">
    <w:name w:val="Intense Reference"/>
    <w:basedOn w:val="DefaultParagraphFont"/>
    <w:uiPriority w:val="32"/>
    <w:rsid w:val="00201ACB"/>
    <w:rPr>
      <w:b/>
      <w:bCs/>
      <w:i/>
      <w:smallCaps/>
      <w:color w:val="C0504D" w:themeColor="accent2"/>
      <w:spacing w:val="5"/>
      <w:u w:val="none"/>
    </w:rPr>
  </w:style>
  <w:style w:type="paragraph" w:styleId="ListNumber2">
    <w:name w:val="List Number 2"/>
    <w:aliases w:val="List Second Level"/>
    <w:basedOn w:val="ListBullet"/>
    <w:qFormat/>
    <w:rsid w:val="00201ACB"/>
    <w:pPr>
      <w:ind w:left="568" w:hanging="284"/>
    </w:pPr>
  </w:style>
  <w:style w:type="paragraph" w:styleId="ListNumber3">
    <w:name w:val="List Number 3"/>
    <w:aliases w:val="List Third Level"/>
    <w:basedOn w:val="ListNumber2"/>
    <w:qFormat/>
    <w:rsid w:val="00201ACB"/>
    <w:pPr>
      <w:numPr>
        <w:numId w:val="8"/>
      </w:numPr>
      <w:tabs>
        <w:tab w:val="num" w:pos="1440"/>
      </w:tabs>
      <w:spacing w:line="276" w:lineRule="auto"/>
    </w:pPr>
    <w:rPr>
      <w:rFonts w:eastAsia="Cambria"/>
      <w:color w:val="auto"/>
      <w:szCs w:val="22"/>
      <w:lang w:val="en-US"/>
    </w:rPr>
  </w:style>
  <w:style w:type="paragraph" w:styleId="NoSpacing">
    <w:name w:val="No Spacing"/>
    <w:uiPriority w:val="1"/>
    <w:rsid w:val="00201ACB"/>
    <w:rPr>
      <w:sz w:val="24"/>
      <w:szCs w:val="24"/>
      <w:lang w:eastAsia="en-US"/>
    </w:rPr>
  </w:style>
  <w:style w:type="paragraph" w:styleId="NormalWeb">
    <w:name w:val="Normal (Web)"/>
    <w:basedOn w:val="Normal"/>
    <w:uiPriority w:val="99"/>
    <w:unhideWhenUsed/>
    <w:rsid w:val="00201ACB"/>
    <w:pPr>
      <w:spacing w:before="100" w:beforeAutospacing="1" w:after="100" w:afterAutospacing="1"/>
    </w:pPr>
    <w:rPr>
      <w:rFonts w:ascii="Times New Roman" w:hAnsi="Times New Roman"/>
      <w:sz w:val="24"/>
      <w:lang w:eastAsia="en-AU"/>
    </w:rPr>
  </w:style>
  <w:style w:type="paragraph" w:customStyle="1" w:styleId="Paragraphtext">
    <w:name w:val="Paragraph text"/>
    <w:basedOn w:val="Normal"/>
    <w:qFormat/>
    <w:rsid w:val="00CC2A64"/>
    <w:pPr>
      <w:spacing w:before="240" w:after="240" w:line="240" w:lineRule="atLeast"/>
    </w:pPr>
    <w:rPr>
      <w:color w:val="000000" w:themeColor="text1"/>
    </w:rPr>
  </w:style>
  <w:style w:type="table" w:customStyle="1" w:styleId="PGNGreyTable">
    <w:name w:val="PGN Grey Table"/>
    <w:basedOn w:val="TableNormal"/>
    <w:uiPriority w:val="99"/>
    <w:rsid w:val="00201ACB"/>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GreyTableAlt2">
    <w:name w:val="PHN Grey Table Alt 2"/>
    <w:basedOn w:val="TableNormal"/>
    <w:uiPriority w:val="99"/>
    <w:rsid w:val="00201ACB"/>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
    <w:name w:val="PHN Purple Table"/>
    <w:basedOn w:val="TableNormal"/>
    <w:uiPriority w:val="99"/>
    <w:rsid w:val="00201ACB"/>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PurpleTableAlt2">
    <w:name w:val="PHN Purple Table Alt 2"/>
    <w:basedOn w:val="TableNormal"/>
    <w:uiPriority w:val="99"/>
    <w:rsid w:val="00201ACB"/>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201ACB"/>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201ACB"/>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styleId="Quote">
    <w:name w:val="Quote"/>
    <w:next w:val="Normal"/>
    <w:link w:val="QuoteChar"/>
    <w:uiPriority w:val="29"/>
    <w:qFormat/>
    <w:rsid w:val="00201ACB"/>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201ACB"/>
    <w:rPr>
      <w:rFonts w:ascii="Arial" w:hAnsi="Arial"/>
      <w:i/>
      <w:iCs/>
      <w:color w:val="000000" w:themeColor="text1"/>
      <w:sz w:val="22"/>
      <w:szCs w:val="24"/>
      <w:lang w:eastAsia="en-US"/>
    </w:rPr>
  </w:style>
  <w:style w:type="paragraph" w:customStyle="1" w:styleId="SectionHeading">
    <w:name w:val="Section Heading"/>
    <w:basedOn w:val="Heading1"/>
    <w:next w:val="Paragraphtext"/>
    <w:qFormat/>
    <w:rsid w:val="00201ACB"/>
    <w:pPr>
      <w:numPr>
        <w:numId w:val="0"/>
      </w:numPr>
      <w:spacing w:before="360"/>
    </w:pPr>
  </w:style>
  <w:style w:type="paragraph" w:styleId="Subtitle">
    <w:name w:val="Subtitle"/>
    <w:next w:val="Normal"/>
    <w:link w:val="SubtitleChar"/>
    <w:qFormat/>
    <w:rsid w:val="00201ACB"/>
    <w:pPr>
      <w:numPr>
        <w:ilvl w:val="1"/>
      </w:numPr>
      <w:spacing w:before="360" w:after="60"/>
      <w:contextualSpacing/>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201ACB"/>
    <w:rPr>
      <w:rFonts w:ascii="Arial" w:eastAsiaTheme="majorEastAsia" w:hAnsi="Arial" w:cstheme="majorBidi"/>
      <w:iCs/>
      <w:color w:val="32373A"/>
      <w:spacing w:val="15"/>
      <w:sz w:val="36"/>
      <w:szCs w:val="24"/>
      <w:lang w:eastAsia="en-US"/>
    </w:rPr>
  </w:style>
  <w:style w:type="character" w:styleId="SubtleEmphasis">
    <w:name w:val="Subtle Emphasis"/>
    <w:basedOn w:val="DefaultParagraphFont"/>
    <w:uiPriority w:val="19"/>
    <w:rsid w:val="00201ACB"/>
    <w:rPr>
      <w:i/>
      <w:iCs/>
      <w:color w:val="808080" w:themeColor="text1" w:themeTint="7F"/>
    </w:rPr>
  </w:style>
  <w:style w:type="character" w:styleId="SubtleReference">
    <w:name w:val="Subtle Reference"/>
    <w:basedOn w:val="DefaultParagraphFont"/>
    <w:uiPriority w:val="31"/>
    <w:rsid w:val="00201ACB"/>
    <w:rPr>
      <w:smallCaps/>
      <w:color w:val="C0504D" w:themeColor="accent2"/>
      <w:u w:val="single"/>
    </w:rPr>
  </w:style>
  <w:style w:type="paragraph" w:customStyle="1" w:styleId="TableHeader">
    <w:name w:val="Table Header"/>
    <w:basedOn w:val="Normal"/>
    <w:next w:val="Normal"/>
    <w:qFormat/>
    <w:rsid w:val="00201ACB"/>
    <w:pPr>
      <w:spacing w:before="80" w:after="80"/>
    </w:pPr>
    <w:rPr>
      <w:rFonts w:eastAsia="Cambria"/>
      <w:b/>
      <w:color w:val="000000" w:themeColor="text1"/>
      <w:szCs w:val="22"/>
      <w:lang w:val="en-US"/>
    </w:rPr>
  </w:style>
  <w:style w:type="paragraph" w:customStyle="1" w:styleId="TableHeaderteal">
    <w:name w:val="Table Header teal"/>
    <w:qFormat/>
    <w:rsid w:val="00201ACB"/>
    <w:rPr>
      <w:rFonts w:ascii="Arial" w:eastAsia="Cambria" w:hAnsi="Arial"/>
      <w:b/>
      <w:color w:val="000000" w:themeColor="text1"/>
      <w:sz w:val="22"/>
      <w:szCs w:val="22"/>
      <w:lang w:val="en-US" w:eastAsia="en-US"/>
    </w:rPr>
  </w:style>
  <w:style w:type="paragraph" w:customStyle="1" w:styleId="TableHeaderWhite">
    <w:name w:val="Table Header White"/>
    <w:qFormat/>
    <w:rsid w:val="0023645F"/>
    <w:pPr>
      <w:spacing w:before="80" w:after="80"/>
    </w:pPr>
    <w:rPr>
      <w:rFonts w:ascii="Arial" w:eastAsia="Cambria" w:hAnsi="Arial"/>
      <w:color w:val="FFFFFF" w:themeColor="background1"/>
      <w:sz w:val="22"/>
      <w:szCs w:val="22"/>
      <w:lang w:val="en-US" w:eastAsia="en-US"/>
    </w:rPr>
  </w:style>
  <w:style w:type="paragraph" w:customStyle="1" w:styleId="Tablelistbullet">
    <w:name w:val="Table list bullet"/>
    <w:basedOn w:val="Normal"/>
    <w:qFormat/>
    <w:rsid w:val="00CC2A64"/>
    <w:pPr>
      <w:numPr>
        <w:numId w:val="9"/>
      </w:numPr>
      <w:spacing w:before="80" w:after="80"/>
      <w:ind w:left="357" w:hanging="357"/>
    </w:pPr>
    <w:rPr>
      <w:color w:val="000000" w:themeColor="text1"/>
      <w:szCs w:val="20"/>
    </w:rPr>
  </w:style>
  <w:style w:type="paragraph" w:customStyle="1" w:styleId="Tablelistnumber">
    <w:name w:val="Table list number"/>
    <w:basedOn w:val="Normal"/>
    <w:qFormat/>
    <w:rsid w:val="00201ACB"/>
    <w:pPr>
      <w:numPr>
        <w:numId w:val="10"/>
      </w:numPr>
      <w:spacing w:before="80" w:after="80"/>
    </w:pPr>
    <w:rPr>
      <w:bCs/>
      <w:color w:val="000000" w:themeColor="text1"/>
      <w14:numSpacing w14:val="proportional"/>
    </w:rPr>
  </w:style>
  <w:style w:type="paragraph" w:customStyle="1" w:styleId="MajorHeading">
    <w:name w:val="Major Heading"/>
    <w:basedOn w:val="Normal"/>
    <w:rsid w:val="0023645F"/>
    <w:pPr>
      <w:keepNext/>
      <w:keepLines/>
      <w:spacing w:before="240" w:after="60"/>
    </w:pPr>
    <w:rPr>
      <w:b/>
      <w:color w:val="003D69"/>
    </w:rPr>
  </w:style>
  <w:style w:type="paragraph" w:customStyle="1" w:styleId="Hangingindent1">
    <w:name w:val="Hanging indent 1"/>
    <w:basedOn w:val="Paragraphtext"/>
    <w:rsid w:val="003D5106"/>
    <w:pPr>
      <w:tabs>
        <w:tab w:val="left" w:pos="357"/>
      </w:tabs>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header" w:qFormat="1"/>
    <w:lsdException w:name="footer" w:uiPriority="99" w:qFormat="1"/>
    <w:lsdException w:name="caption" w:qFormat="1"/>
    <w:lsdException w:name="table of figures" w:uiPriority="99"/>
    <w:lsdException w:name="footnote reference" w:uiPriority="99"/>
    <w:lsdException w:name="List Bullet" w:qFormat="1"/>
    <w:lsdException w:name="List Number" w:semiHidden="0" w:unhideWhenUsed="0"/>
    <w:lsdException w:name="List 4" w:semiHidden="0" w:unhideWhenUsed="0"/>
    <w:lsdException w:name="List 5" w:semiHidden="0" w:unhideWhenUsed="0"/>
    <w:lsdException w:name="List Number 2" w:qFormat="1"/>
    <w:lsdException w:name="List Number 3" w:qFormat="1"/>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iPriority="2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645F"/>
    <w:rPr>
      <w:rFonts w:ascii="Arial" w:hAnsi="Arial"/>
      <w:sz w:val="22"/>
      <w:szCs w:val="24"/>
      <w:lang w:eastAsia="en-US"/>
    </w:rPr>
  </w:style>
  <w:style w:type="paragraph" w:styleId="Heading1">
    <w:name w:val="heading 1"/>
    <w:basedOn w:val="Normal"/>
    <w:next w:val="Normal"/>
    <w:link w:val="Heading1Char"/>
    <w:qFormat/>
    <w:rsid w:val="00201ACB"/>
    <w:pPr>
      <w:keepNext/>
      <w:numPr>
        <w:numId w:val="11"/>
      </w:numPr>
      <w:spacing w:before="240" w:after="60"/>
      <w:outlineLvl w:val="0"/>
    </w:pPr>
    <w:rPr>
      <w:rFonts w:cs="Arial"/>
      <w:b/>
      <w:bCs/>
      <w:color w:val="153A6E"/>
      <w:kern w:val="28"/>
      <w:sz w:val="36"/>
      <w:szCs w:val="32"/>
    </w:rPr>
  </w:style>
  <w:style w:type="paragraph" w:styleId="Heading2">
    <w:name w:val="heading 2"/>
    <w:next w:val="Normal"/>
    <w:qFormat/>
    <w:rsid w:val="00201ACB"/>
    <w:pPr>
      <w:keepNext/>
      <w:numPr>
        <w:ilvl w:val="1"/>
        <w:numId w:val="11"/>
      </w:numPr>
      <w:spacing w:before="240" w:after="60"/>
      <w:outlineLvl w:val="1"/>
    </w:pPr>
    <w:rPr>
      <w:rFonts w:ascii="Arial" w:hAnsi="Arial" w:cs="Arial"/>
      <w:b/>
      <w:bCs/>
      <w:iCs/>
      <w:color w:val="153A6E"/>
      <w:sz w:val="32"/>
      <w:szCs w:val="32"/>
      <w:lang w:eastAsia="en-US"/>
    </w:rPr>
  </w:style>
  <w:style w:type="paragraph" w:styleId="Heading3">
    <w:name w:val="heading 3"/>
    <w:basedOn w:val="Heading2"/>
    <w:next w:val="Normal"/>
    <w:link w:val="Heading3Char"/>
    <w:qFormat/>
    <w:rsid w:val="00201ACB"/>
    <w:pPr>
      <w:numPr>
        <w:ilvl w:val="2"/>
      </w:numPr>
      <w:spacing w:before="180"/>
      <w:outlineLvl w:val="2"/>
    </w:pPr>
    <w:rPr>
      <w:bCs w:val="0"/>
      <w:sz w:val="28"/>
      <w:szCs w:val="28"/>
    </w:rPr>
  </w:style>
  <w:style w:type="paragraph" w:styleId="Heading4">
    <w:name w:val="heading 4"/>
    <w:basedOn w:val="Normal"/>
    <w:next w:val="Normal"/>
    <w:link w:val="Heading4Char"/>
    <w:qFormat/>
    <w:rsid w:val="00493EFE"/>
    <w:pPr>
      <w:keepNext/>
      <w:spacing w:before="240" w:after="60"/>
      <w:outlineLvl w:val="3"/>
    </w:pPr>
    <w:rPr>
      <w:b/>
      <w:bCs/>
      <w:color w:val="153A6E"/>
      <w:sz w:val="24"/>
      <w:szCs w:val="28"/>
    </w:rPr>
  </w:style>
  <w:style w:type="paragraph" w:styleId="Heading5">
    <w:name w:val="heading 5"/>
    <w:basedOn w:val="Normal"/>
    <w:next w:val="Normal"/>
    <w:rsid w:val="00201ACB"/>
    <w:pPr>
      <w:keepNext/>
      <w:numPr>
        <w:ilvl w:val="4"/>
        <w:numId w:val="11"/>
      </w:numPr>
      <w:spacing w:before="240" w:after="60"/>
      <w:outlineLvl w:val="4"/>
    </w:pPr>
    <w:rPr>
      <w:b/>
      <w:bCs/>
      <w:iCs/>
      <w:szCs w:val="26"/>
    </w:rPr>
  </w:style>
  <w:style w:type="paragraph" w:styleId="Heading6">
    <w:name w:val="heading 6"/>
    <w:basedOn w:val="Normal"/>
    <w:next w:val="Normal"/>
    <w:rsid w:val="00201ACB"/>
    <w:pPr>
      <w:keepNext/>
      <w:numPr>
        <w:ilvl w:val="5"/>
        <w:numId w:val="11"/>
      </w:numPr>
      <w:spacing w:before="240" w:after="60"/>
      <w:outlineLvl w:val="5"/>
    </w:pPr>
    <w:rPr>
      <w:b/>
      <w:bCs/>
      <w:i/>
      <w:szCs w:val="22"/>
    </w:rPr>
  </w:style>
  <w:style w:type="paragraph" w:styleId="Heading7">
    <w:name w:val="heading 7"/>
    <w:basedOn w:val="Normal"/>
    <w:next w:val="Normal"/>
    <w:link w:val="Heading7Char"/>
    <w:semiHidden/>
    <w:unhideWhenUsed/>
    <w:qFormat/>
    <w:rsid w:val="00201AC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01AC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01AC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
    <w:basedOn w:val="Normal"/>
    <w:link w:val="ListParagraphChar"/>
    <w:uiPriority w:val="34"/>
    <w:rsid w:val="00201ACB"/>
    <w:pPr>
      <w:ind w:left="720"/>
      <w:contextualSpacing/>
    </w:pPr>
  </w:style>
  <w:style w:type="paragraph" w:styleId="TOC1">
    <w:name w:val="toc 1"/>
    <w:basedOn w:val="Normal"/>
    <w:next w:val="Normal"/>
    <w:autoRedefine/>
    <w:uiPriority w:val="39"/>
    <w:rsid w:val="00201ACB"/>
    <w:pPr>
      <w:tabs>
        <w:tab w:val="right" w:leader="dot" w:pos="9736"/>
      </w:tabs>
      <w:spacing w:after="100"/>
    </w:pPr>
  </w:style>
  <w:style w:type="character" w:styleId="Hyperlink">
    <w:name w:val="Hyperlink"/>
    <w:basedOn w:val="DefaultParagraphFont"/>
    <w:uiPriority w:val="99"/>
    <w:unhideWhenUsed/>
    <w:qFormat/>
    <w:rsid w:val="00201ACB"/>
    <w:rPr>
      <w:rFonts w:ascii="Arial" w:hAnsi="Arial"/>
      <w:color w:val="0000FF" w:themeColor="hyperlink"/>
      <w:sz w:val="22"/>
      <w:u w:val="single"/>
    </w:rPr>
  </w:style>
  <w:style w:type="paragraph" w:styleId="TOC2">
    <w:name w:val="toc 2"/>
    <w:basedOn w:val="Normal"/>
    <w:next w:val="Normal"/>
    <w:autoRedefine/>
    <w:uiPriority w:val="39"/>
    <w:rsid w:val="00201ACB"/>
    <w:pPr>
      <w:spacing w:after="100"/>
      <w:ind w:left="220"/>
    </w:pPr>
  </w:style>
  <w:style w:type="paragraph" w:styleId="ListBullet2">
    <w:name w:val="List Bullet 2"/>
    <w:basedOn w:val="Normal"/>
    <w:rsid w:val="00C27D33"/>
    <w:pPr>
      <w:numPr>
        <w:ilvl w:val="1"/>
        <w:numId w:val="13"/>
      </w:numPr>
      <w:spacing w:before="120" w:after="120"/>
    </w:pPr>
  </w:style>
  <w:style w:type="paragraph" w:styleId="ListBullet4">
    <w:name w:val="List Bullet 4"/>
    <w:basedOn w:val="ListBullet3"/>
    <w:unhideWhenUsed/>
    <w:rsid w:val="00A70021"/>
    <w:pPr>
      <w:numPr>
        <w:ilvl w:val="3"/>
      </w:numPr>
    </w:pPr>
  </w:style>
  <w:style w:type="paragraph" w:styleId="ListBullet3">
    <w:name w:val="List Bullet 3"/>
    <w:basedOn w:val="ListBullet2"/>
    <w:rsid w:val="00A70021"/>
    <w:pPr>
      <w:numPr>
        <w:ilvl w:val="2"/>
      </w:numPr>
    </w:pPr>
  </w:style>
  <w:style w:type="paragraph" w:styleId="ListBullet">
    <w:name w:val="List Bullet"/>
    <w:aliases w:val="List First Level,Bullet List"/>
    <w:basedOn w:val="Normal"/>
    <w:qFormat/>
    <w:rsid w:val="00201ACB"/>
    <w:pPr>
      <w:numPr>
        <w:numId w:val="13"/>
      </w:numPr>
      <w:spacing w:before="120" w:line="240" w:lineRule="exact"/>
    </w:pPr>
    <w:rPr>
      <w:color w:val="000000" w:themeColor="text1"/>
    </w:rPr>
  </w:style>
  <w:style w:type="paragraph" w:styleId="ListBullet5">
    <w:name w:val="List Bullet 5"/>
    <w:basedOn w:val="ListBullet4"/>
    <w:unhideWhenUsed/>
    <w:rsid w:val="00A70021"/>
    <w:pPr>
      <w:numPr>
        <w:ilvl w:val="0"/>
        <w:numId w:val="0"/>
      </w:numPr>
    </w:pPr>
  </w:style>
  <w:style w:type="character" w:styleId="Strong">
    <w:name w:val="Strong"/>
    <w:basedOn w:val="DefaultParagraphFont"/>
    <w:rsid w:val="00201ACB"/>
    <w:rPr>
      <w:b/>
      <w:bCs/>
    </w:rPr>
  </w:style>
  <w:style w:type="paragraph" w:styleId="FootnoteText">
    <w:name w:val="footnote text"/>
    <w:basedOn w:val="Normal"/>
    <w:link w:val="FootnoteTextChar"/>
    <w:uiPriority w:val="99"/>
    <w:qFormat/>
    <w:rsid w:val="003D5106"/>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3D5106"/>
    <w:rPr>
      <w:rFonts w:ascii="Arial" w:hAnsi="Arial"/>
      <w:color w:val="000000" w:themeColor="text1"/>
      <w:sz w:val="18"/>
      <w:lang w:eastAsia="en-US"/>
    </w:rPr>
  </w:style>
  <w:style w:type="character" w:styleId="FootnoteReference">
    <w:name w:val="footnote reference"/>
    <w:basedOn w:val="DefaultParagraphFont"/>
    <w:uiPriority w:val="99"/>
    <w:rsid w:val="000A3256"/>
    <w:rPr>
      <w:vertAlign w:val="superscript"/>
    </w:rPr>
  </w:style>
  <w:style w:type="paragraph" w:styleId="BalloonText">
    <w:name w:val="Balloon Text"/>
    <w:basedOn w:val="Normal"/>
    <w:link w:val="BalloonTextChar"/>
    <w:rsid w:val="00201ACB"/>
    <w:rPr>
      <w:rFonts w:ascii="Tahoma" w:hAnsi="Tahoma" w:cs="Tahoma"/>
      <w:sz w:val="16"/>
      <w:szCs w:val="16"/>
    </w:rPr>
  </w:style>
  <w:style w:type="character" w:customStyle="1" w:styleId="BalloonTextChar">
    <w:name w:val="Balloon Text Char"/>
    <w:basedOn w:val="DefaultParagraphFont"/>
    <w:link w:val="BalloonText"/>
    <w:rsid w:val="00201ACB"/>
    <w:rPr>
      <w:rFonts w:ascii="Tahoma" w:hAnsi="Tahoma" w:cs="Tahoma"/>
      <w:sz w:val="16"/>
      <w:szCs w:val="16"/>
      <w:lang w:eastAsia="en-US"/>
    </w:rPr>
  </w:style>
  <w:style w:type="table" w:styleId="TableGrid">
    <w:name w:val="Table Grid"/>
    <w:aliases w:val="Table - Top"/>
    <w:basedOn w:val="TableNormal"/>
    <w:rsid w:val="00E71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3788"/>
    <w:pPr>
      <w:autoSpaceDE w:val="0"/>
      <w:autoSpaceDN w:val="0"/>
      <w:adjustRightInd w:val="0"/>
    </w:pPr>
    <w:rPr>
      <w:rFonts w:ascii="Garamond" w:hAnsi="Garamond" w:cs="Garamond"/>
      <w:color w:val="000000"/>
      <w:sz w:val="24"/>
      <w:szCs w:val="24"/>
    </w:rPr>
  </w:style>
  <w:style w:type="paragraph" w:styleId="Header">
    <w:name w:val="header"/>
    <w:basedOn w:val="Normal"/>
    <w:link w:val="HeaderChar"/>
    <w:qFormat/>
    <w:rsid w:val="00201ACB"/>
    <w:pPr>
      <w:tabs>
        <w:tab w:val="center" w:pos="4513"/>
        <w:tab w:val="right" w:pos="9026"/>
      </w:tabs>
    </w:pPr>
  </w:style>
  <w:style w:type="character" w:customStyle="1" w:styleId="HeaderChar">
    <w:name w:val="Header Char"/>
    <w:basedOn w:val="DefaultParagraphFont"/>
    <w:link w:val="Header"/>
    <w:rsid w:val="00201ACB"/>
    <w:rPr>
      <w:rFonts w:ascii="Arial" w:hAnsi="Arial"/>
      <w:sz w:val="22"/>
      <w:szCs w:val="24"/>
      <w:lang w:eastAsia="en-US"/>
    </w:rPr>
  </w:style>
  <w:style w:type="paragraph" w:styleId="Footer">
    <w:name w:val="footer"/>
    <w:basedOn w:val="Normal"/>
    <w:link w:val="FooterChar"/>
    <w:uiPriority w:val="99"/>
    <w:qFormat/>
    <w:rsid w:val="00201ACB"/>
    <w:pPr>
      <w:tabs>
        <w:tab w:val="center" w:pos="4513"/>
        <w:tab w:val="right" w:pos="9026"/>
      </w:tabs>
    </w:pPr>
    <w:rPr>
      <w:sz w:val="20"/>
    </w:rPr>
  </w:style>
  <w:style w:type="character" w:customStyle="1" w:styleId="FooterChar">
    <w:name w:val="Footer Char"/>
    <w:basedOn w:val="DefaultParagraphFont"/>
    <w:link w:val="Footer"/>
    <w:uiPriority w:val="99"/>
    <w:rsid w:val="00201ACB"/>
    <w:rPr>
      <w:rFonts w:ascii="Arial" w:hAnsi="Arial"/>
      <w:szCs w:val="24"/>
      <w:lang w:eastAsia="en-US"/>
    </w:rPr>
  </w:style>
  <w:style w:type="paragraph" w:styleId="TOC3">
    <w:name w:val="toc 3"/>
    <w:basedOn w:val="Normal"/>
    <w:next w:val="Normal"/>
    <w:autoRedefine/>
    <w:uiPriority w:val="39"/>
    <w:rsid w:val="00201ACB"/>
    <w:pPr>
      <w:spacing w:after="100"/>
      <w:ind w:left="440"/>
    </w:pPr>
  </w:style>
  <w:style w:type="character" w:customStyle="1" w:styleId="Heading3Char">
    <w:name w:val="Heading 3 Char"/>
    <w:link w:val="Heading3"/>
    <w:rsid w:val="003A026A"/>
    <w:rPr>
      <w:rFonts w:ascii="Arial" w:hAnsi="Arial" w:cs="Arial"/>
      <w:b/>
      <w:iCs/>
      <w:color w:val="153A6E"/>
      <w:sz w:val="28"/>
      <w:szCs w:val="28"/>
      <w:lang w:eastAsia="en-US"/>
    </w:rPr>
  </w:style>
  <w:style w:type="paragraph" w:styleId="TOC4">
    <w:name w:val="toc 4"/>
    <w:basedOn w:val="Normal"/>
    <w:next w:val="Normal"/>
    <w:autoRedefine/>
    <w:uiPriority w:val="39"/>
    <w:rsid w:val="002D1873"/>
    <w:pPr>
      <w:spacing w:after="100"/>
      <w:ind w:left="660"/>
    </w:pPr>
    <w:rPr>
      <w:i/>
      <w:sz w:val="20"/>
    </w:rPr>
  </w:style>
  <w:style w:type="character" w:styleId="Emphasis">
    <w:name w:val="Emphasis"/>
    <w:basedOn w:val="DefaultParagraphFont"/>
    <w:uiPriority w:val="20"/>
    <w:rsid w:val="00201ACB"/>
    <w:rPr>
      <w:i/>
      <w:iCs/>
    </w:rPr>
  </w:style>
  <w:style w:type="paragraph" w:styleId="EndnoteText">
    <w:name w:val="endnote text"/>
    <w:basedOn w:val="Normal"/>
    <w:link w:val="EndnoteTextChar"/>
    <w:rsid w:val="00270608"/>
    <w:rPr>
      <w:sz w:val="20"/>
      <w:szCs w:val="20"/>
    </w:rPr>
  </w:style>
  <w:style w:type="character" w:customStyle="1" w:styleId="EndnoteTextChar">
    <w:name w:val="Endnote Text Char"/>
    <w:basedOn w:val="DefaultParagraphFont"/>
    <w:link w:val="EndnoteText"/>
    <w:rsid w:val="00270608"/>
    <w:rPr>
      <w:rFonts w:ascii="Calibri" w:hAnsi="Calibri"/>
      <w:lang w:val="en-US" w:eastAsia="en-US"/>
    </w:rPr>
  </w:style>
  <w:style w:type="character" w:styleId="EndnoteReference">
    <w:name w:val="endnote reference"/>
    <w:basedOn w:val="DefaultParagraphFont"/>
    <w:rsid w:val="00270608"/>
    <w:rPr>
      <w:vertAlign w:val="superscript"/>
    </w:rPr>
  </w:style>
  <w:style w:type="character" w:customStyle="1" w:styleId="ListParagraphChar">
    <w:name w:val="List Paragraph Char"/>
    <w:aliases w:val="List Paragraph1 Char,Recommendation Char,Body text Char"/>
    <w:link w:val="ListParagraph"/>
    <w:uiPriority w:val="34"/>
    <w:locked/>
    <w:rsid w:val="00201ACB"/>
    <w:rPr>
      <w:rFonts w:ascii="Arial" w:hAnsi="Arial"/>
      <w:sz w:val="22"/>
      <w:szCs w:val="24"/>
      <w:lang w:eastAsia="en-US"/>
    </w:rPr>
  </w:style>
  <w:style w:type="table" w:customStyle="1" w:styleId="PwCTableText">
    <w:name w:val="PwC Table Text"/>
    <w:basedOn w:val="TableNormal"/>
    <w:uiPriority w:val="99"/>
    <w:qFormat/>
    <w:rsid w:val="0023645F"/>
    <w:pPr>
      <w:spacing w:before="60" w:after="60"/>
    </w:pPr>
    <w:rPr>
      <w:rFonts w:ascii="Georgia" w:eastAsiaTheme="minorHAnsi" w:hAnsi="Georgia" w:cstheme="minorBidi"/>
      <w:lang w:val="en-GB" w:eastAsia="en-US"/>
    </w:rPr>
    <w:tblPr>
      <w:tblStyleRowBandSize w:val="1"/>
      <w:tblBorders>
        <w:insideH w:val="dotted" w:sz="4" w:space="0" w:color="1F497D" w:themeColor="text2"/>
      </w:tblBorders>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paragraph" w:customStyle="1" w:styleId="Indent1">
    <w:name w:val="Indent 1"/>
    <w:basedOn w:val="Paragraphtext"/>
    <w:rsid w:val="00CC2A64"/>
    <w:pPr>
      <w:ind w:left="284"/>
    </w:pPr>
  </w:style>
  <w:style w:type="paragraph" w:customStyle="1" w:styleId="Indent2">
    <w:name w:val="Indent 2"/>
    <w:basedOn w:val="Indent1"/>
    <w:rsid w:val="00C72096"/>
    <w:pPr>
      <w:numPr>
        <w:ilvl w:val="2"/>
      </w:numPr>
      <w:ind w:left="284"/>
    </w:pPr>
  </w:style>
  <w:style w:type="paragraph" w:customStyle="1" w:styleId="Indent3">
    <w:name w:val="Indent 3"/>
    <w:basedOn w:val="Indent2"/>
    <w:rsid w:val="00C72096"/>
    <w:pPr>
      <w:numPr>
        <w:ilvl w:val="3"/>
      </w:numPr>
      <w:ind w:left="284"/>
    </w:pPr>
  </w:style>
  <w:style w:type="paragraph" w:customStyle="1" w:styleId="Indent5">
    <w:name w:val="Indent 5"/>
    <w:basedOn w:val="Indent4"/>
    <w:rsid w:val="00C72096"/>
    <w:pPr>
      <w:numPr>
        <w:ilvl w:val="5"/>
      </w:numPr>
      <w:ind w:left="284"/>
    </w:pPr>
  </w:style>
  <w:style w:type="paragraph" w:customStyle="1" w:styleId="Indent6">
    <w:name w:val="Indent 6"/>
    <w:basedOn w:val="Indent5"/>
    <w:rsid w:val="00C72096"/>
    <w:pPr>
      <w:numPr>
        <w:ilvl w:val="6"/>
      </w:numPr>
      <w:ind w:left="284"/>
    </w:pPr>
  </w:style>
  <w:style w:type="paragraph" w:customStyle="1" w:styleId="Indent7">
    <w:name w:val="Indent 7"/>
    <w:basedOn w:val="Indent6"/>
    <w:rsid w:val="00C72096"/>
    <w:pPr>
      <w:numPr>
        <w:ilvl w:val="7"/>
      </w:numPr>
      <w:ind w:left="284"/>
    </w:pPr>
  </w:style>
  <w:style w:type="paragraph" w:customStyle="1" w:styleId="Indent4">
    <w:name w:val="Indent 4"/>
    <w:basedOn w:val="Indent3"/>
    <w:rsid w:val="00C72096"/>
    <w:pPr>
      <w:numPr>
        <w:ilvl w:val="4"/>
      </w:numPr>
      <w:ind w:left="284"/>
    </w:pPr>
  </w:style>
  <w:style w:type="paragraph" w:customStyle="1" w:styleId="MLNormal">
    <w:name w:val="ML Normal"/>
    <w:basedOn w:val="Normal"/>
    <w:link w:val="MLNormalChar"/>
    <w:rsid w:val="00C72096"/>
    <w:pPr>
      <w:numPr>
        <w:numId w:val="2"/>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C72096"/>
    <w:rPr>
      <w:rFonts w:asciiTheme="minorHAnsi" w:hAnsiTheme="minorHAnsi" w:cs="Arial"/>
      <w:snapToGrid w:val="0"/>
      <w:lang w:eastAsia="en-US"/>
    </w:rPr>
  </w:style>
  <w:style w:type="paragraph" w:customStyle="1" w:styleId="TableBullet1Small">
    <w:name w:val="Table Bullet 1 Small"/>
    <w:basedOn w:val="Normal"/>
    <w:rsid w:val="00C72096"/>
    <w:pPr>
      <w:numPr>
        <w:numId w:val="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3Small">
    <w:name w:val="Table Bullet 3 Small"/>
    <w:basedOn w:val="TableBullet2Small"/>
    <w:rsid w:val="00C72096"/>
    <w:pPr>
      <w:numPr>
        <w:ilvl w:val="2"/>
      </w:numPr>
    </w:pPr>
    <w:rPr>
      <w:szCs w:val="16"/>
    </w:rPr>
  </w:style>
  <w:style w:type="paragraph" w:customStyle="1" w:styleId="TableBullet2Small">
    <w:name w:val="Table Bullet 2 Small"/>
    <w:basedOn w:val="TableBullet1Small"/>
    <w:rsid w:val="00C72096"/>
    <w:pPr>
      <w:numPr>
        <w:ilvl w:val="1"/>
      </w:numPr>
    </w:pPr>
  </w:style>
  <w:style w:type="paragraph" w:customStyle="1" w:styleId="TableColumnHeadingNormal">
    <w:name w:val="Table Column Heading Normal"/>
    <w:basedOn w:val="Normal"/>
    <w:link w:val="TableColumnHeadingNormalChar"/>
    <w:rsid w:val="00DB6D7F"/>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paragraph" w:customStyle="1" w:styleId="Indent8">
    <w:name w:val="Indent 8"/>
    <w:basedOn w:val="Indent7"/>
    <w:rsid w:val="00C72096"/>
    <w:pPr>
      <w:numPr>
        <w:ilvl w:val="8"/>
      </w:numPr>
      <w:ind w:left="284"/>
    </w:pPr>
  </w:style>
  <w:style w:type="table" w:customStyle="1" w:styleId="TableGrid1">
    <w:name w:val="Table Grid1"/>
    <w:basedOn w:val="TableNormal"/>
    <w:next w:val="TableGrid"/>
    <w:uiPriority w:val="59"/>
    <w:rsid w:val="00C72096"/>
    <w:rPr>
      <w:rFonts w:ascii="Georgia" w:eastAsiaTheme="minorHAnsi" w:hAnsi="Georgia" w:cstheme="minorBidi"/>
      <w:sz w:val="22"/>
      <w:szCs w:val="22"/>
      <w:lang w:eastAsia="en-US"/>
    </w:rPr>
    <w:tblPr>
      <w:tblBorders>
        <w:top w:val="single" w:sz="6" w:space="0" w:color="1F497D" w:themeColor="text2"/>
        <w:left w:val="single" w:sz="6" w:space="0" w:color="1F497D" w:themeColor="text2"/>
        <w:bottom w:val="single" w:sz="6" w:space="0" w:color="1F497D" w:themeColor="text2"/>
        <w:right w:val="single" w:sz="6" w:space="0" w:color="1F497D" w:themeColor="text2"/>
        <w:insideH w:val="single" w:sz="6" w:space="0" w:color="1F497D" w:themeColor="text2"/>
        <w:insideV w:val="single" w:sz="6" w:space="0" w:color="1F497D" w:themeColor="text2"/>
      </w:tblBorders>
    </w:tblPr>
    <w:tblStylePr w:type="firstRow">
      <w:tblPr/>
      <w:trPr>
        <w:tblHeader/>
      </w:trPr>
      <w:tcPr>
        <w:shd w:val="clear" w:color="auto" w:fill="1F497D" w:themeFill="text2"/>
      </w:tcPr>
    </w:tblStylePr>
  </w:style>
  <w:style w:type="character" w:customStyle="1" w:styleId="TableColumnHeadingNormalChar">
    <w:name w:val="Table Column Heading Normal Char"/>
    <w:basedOn w:val="DefaultParagraphFont"/>
    <w:link w:val="TableColumnHeadingNormal"/>
    <w:locked/>
    <w:rsid w:val="00DB6D7F"/>
    <w:rPr>
      <w:rFonts w:asciiTheme="minorHAnsi" w:hAnsiTheme="minorHAnsi" w:cs="Arial"/>
      <w:b/>
      <w:snapToGrid w:val="0"/>
      <w:color w:val="FFFFFF" w:themeColor="background1"/>
      <w:lang w:eastAsia="en-US"/>
    </w:rPr>
  </w:style>
  <w:style w:type="table" w:customStyle="1" w:styleId="PHNBlueTable">
    <w:name w:val="PHN Blue Table"/>
    <w:basedOn w:val="PHNPurpleTable"/>
    <w:uiPriority w:val="99"/>
    <w:rsid w:val="0023645F"/>
    <w:tblPr/>
    <w:tblStylePr w:type="firstRow">
      <w:rPr>
        <w:rFonts w:ascii="Arial" w:hAnsi="Arial"/>
        <w:b/>
        <w:color w:val="FFFFFF" w:themeColor="background1"/>
        <w:sz w:val="22"/>
      </w:rPr>
      <w:tblPr/>
      <w:trPr>
        <w:tblHeader/>
      </w:trPr>
      <w:tcPr>
        <w:shd w:val="clear" w:color="auto" w:fill="153A6E"/>
      </w:tcPr>
    </w:tblStylePr>
  </w:style>
  <w:style w:type="paragraph" w:customStyle="1" w:styleId="MLNormalAftertable">
    <w:name w:val="ML Normal_After table"/>
    <w:basedOn w:val="MLNormal"/>
    <w:rsid w:val="003831DE"/>
    <w:pPr>
      <w:numPr>
        <w:numId w:val="0"/>
      </w:numPr>
      <w:spacing w:before="120" w:after="120"/>
      <w:ind w:left="720" w:hanging="360"/>
    </w:pPr>
    <w:rPr>
      <w:lang w:val="en-GB"/>
    </w:rPr>
  </w:style>
  <w:style w:type="character" w:styleId="FollowedHyperlink">
    <w:name w:val="FollowedHyperlink"/>
    <w:basedOn w:val="DefaultParagraphFont"/>
    <w:rsid w:val="00201ACB"/>
    <w:rPr>
      <w:color w:val="800080" w:themeColor="followedHyperlink"/>
      <w:u w:val="single"/>
    </w:rPr>
  </w:style>
  <w:style w:type="character" w:customStyle="1" w:styleId="Heading7Char">
    <w:name w:val="Heading 7 Char"/>
    <w:basedOn w:val="DefaultParagraphFont"/>
    <w:link w:val="Heading7"/>
    <w:semiHidden/>
    <w:rsid w:val="00201ACB"/>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201AC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201ACB"/>
    <w:rPr>
      <w:rFonts w:asciiTheme="majorHAnsi" w:eastAsiaTheme="majorEastAsia" w:hAnsiTheme="majorHAnsi" w:cstheme="majorBidi"/>
      <w:i/>
      <w:iCs/>
      <w:color w:val="404040" w:themeColor="text1" w:themeTint="BF"/>
      <w:lang w:eastAsia="en-US"/>
    </w:rPr>
  </w:style>
  <w:style w:type="paragraph" w:styleId="Title">
    <w:name w:val="Title"/>
    <w:next w:val="Normal"/>
    <w:link w:val="TitleChar"/>
    <w:qFormat/>
    <w:rsid w:val="00201ACB"/>
    <w:pPr>
      <w:tabs>
        <w:tab w:val="left" w:pos="6792"/>
      </w:tabs>
      <w:spacing w:before="2040" w:after="480"/>
      <w:contextualSpacing/>
    </w:pPr>
    <w:rPr>
      <w:rFonts w:ascii="Arial" w:eastAsiaTheme="majorEastAsia" w:hAnsi="Arial" w:cstheme="majorBidi"/>
      <w:b/>
      <w:color w:val="153A6E"/>
      <w:kern w:val="28"/>
      <w:sz w:val="80"/>
      <w:szCs w:val="80"/>
      <w:lang w:eastAsia="en-US"/>
    </w:rPr>
  </w:style>
  <w:style w:type="character" w:customStyle="1" w:styleId="TitleChar">
    <w:name w:val="Title Char"/>
    <w:basedOn w:val="DefaultParagraphFont"/>
    <w:link w:val="Title"/>
    <w:rsid w:val="00201ACB"/>
    <w:rPr>
      <w:rFonts w:ascii="Arial" w:eastAsiaTheme="majorEastAsia" w:hAnsi="Arial" w:cstheme="majorBidi"/>
      <w:b/>
      <w:color w:val="153A6E"/>
      <w:kern w:val="28"/>
      <w:sz w:val="80"/>
      <w:szCs w:val="80"/>
      <w:lang w:eastAsia="en-US"/>
    </w:rPr>
  </w:style>
  <w:style w:type="paragraph" w:styleId="TOC5">
    <w:name w:val="toc 5"/>
    <w:basedOn w:val="Normal"/>
    <w:next w:val="Normal"/>
    <w:autoRedefine/>
    <w:uiPriority w:val="39"/>
    <w:rsid w:val="006C0FD3"/>
    <w:pPr>
      <w:spacing w:after="100"/>
      <w:ind w:left="880"/>
    </w:pPr>
  </w:style>
  <w:style w:type="numbering" w:customStyle="1" w:styleId="List9">
    <w:name w:val="List 9"/>
    <w:basedOn w:val="NoList"/>
    <w:rsid w:val="005A06FB"/>
    <w:pPr>
      <w:numPr>
        <w:numId w:val="3"/>
      </w:numPr>
    </w:pPr>
  </w:style>
  <w:style w:type="numbering" w:customStyle="1" w:styleId="Bullet">
    <w:name w:val="Bullet"/>
    <w:rsid w:val="005A06FB"/>
    <w:pPr>
      <w:numPr>
        <w:numId w:val="4"/>
      </w:numPr>
    </w:pPr>
  </w:style>
  <w:style w:type="numbering" w:customStyle="1" w:styleId="List18">
    <w:name w:val="List 18"/>
    <w:basedOn w:val="NoList"/>
    <w:rsid w:val="005A06FB"/>
    <w:pPr>
      <w:numPr>
        <w:numId w:val="5"/>
      </w:numPr>
    </w:pPr>
  </w:style>
  <w:style w:type="character" w:styleId="CommentReference">
    <w:name w:val="annotation reference"/>
    <w:basedOn w:val="DefaultParagraphFont"/>
    <w:rsid w:val="00826D8D"/>
    <w:rPr>
      <w:sz w:val="16"/>
      <w:szCs w:val="16"/>
    </w:rPr>
  </w:style>
  <w:style w:type="paragraph" w:styleId="CommentText">
    <w:name w:val="annotation text"/>
    <w:basedOn w:val="Normal"/>
    <w:link w:val="CommentTextChar"/>
    <w:rsid w:val="00826D8D"/>
    <w:rPr>
      <w:sz w:val="20"/>
      <w:szCs w:val="20"/>
    </w:rPr>
  </w:style>
  <w:style w:type="character" w:customStyle="1" w:styleId="CommentTextChar">
    <w:name w:val="Comment Text Char"/>
    <w:basedOn w:val="DefaultParagraphFont"/>
    <w:link w:val="CommentText"/>
    <w:rsid w:val="00826D8D"/>
    <w:rPr>
      <w:rFonts w:ascii="Calibri" w:hAnsi="Calibri"/>
      <w:lang w:val="en-US" w:eastAsia="en-US"/>
    </w:rPr>
  </w:style>
  <w:style w:type="paragraph" w:styleId="CommentSubject">
    <w:name w:val="annotation subject"/>
    <w:basedOn w:val="CommentText"/>
    <w:next w:val="CommentText"/>
    <w:link w:val="CommentSubjectChar"/>
    <w:rsid w:val="00826D8D"/>
    <w:rPr>
      <w:b/>
      <w:bCs/>
    </w:rPr>
  </w:style>
  <w:style w:type="character" w:customStyle="1" w:styleId="CommentSubjectChar">
    <w:name w:val="Comment Subject Char"/>
    <w:basedOn w:val="CommentTextChar"/>
    <w:link w:val="CommentSubject"/>
    <w:rsid w:val="00826D8D"/>
    <w:rPr>
      <w:rFonts w:ascii="Calibri" w:hAnsi="Calibri"/>
      <w:b/>
      <w:bCs/>
      <w:lang w:val="en-US" w:eastAsia="en-US"/>
    </w:rPr>
  </w:style>
  <w:style w:type="table" w:customStyle="1" w:styleId="TableGrid2">
    <w:name w:val="Table Grid2"/>
    <w:basedOn w:val="TableNormal"/>
    <w:next w:val="TableGrid"/>
    <w:uiPriority w:val="59"/>
    <w:rsid w:val="00DF35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201A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01ACB"/>
    <w:rPr>
      <w:rFonts w:ascii="Arial" w:hAnsi="Arial"/>
      <w:b/>
      <w:bCs/>
      <w:i/>
      <w:iCs/>
      <w:color w:val="4F81BD" w:themeColor="accent1"/>
      <w:sz w:val="22"/>
      <w:szCs w:val="24"/>
      <w:lang w:eastAsia="en-US"/>
    </w:rPr>
  </w:style>
  <w:style w:type="character" w:customStyle="1" w:styleId="Heading4Char">
    <w:name w:val="Heading 4 Char"/>
    <w:basedOn w:val="DefaultParagraphFont"/>
    <w:link w:val="Heading4"/>
    <w:rsid w:val="00C94911"/>
    <w:rPr>
      <w:rFonts w:ascii="Arial" w:hAnsi="Arial"/>
      <w:b/>
      <w:bCs/>
      <w:color w:val="153A6E"/>
      <w:sz w:val="24"/>
      <w:szCs w:val="28"/>
      <w:lang w:eastAsia="en-US"/>
    </w:rPr>
  </w:style>
  <w:style w:type="paragraph" w:styleId="Caption">
    <w:name w:val="caption"/>
    <w:basedOn w:val="Normal"/>
    <w:next w:val="Normal"/>
    <w:unhideWhenUsed/>
    <w:rsid w:val="00E368D8"/>
    <w:pPr>
      <w:keepNext/>
      <w:keepLines/>
      <w:spacing w:after="200"/>
    </w:pPr>
    <w:rPr>
      <w:b/>
      <w:bCs/>
      <w:color w:val="000000" w:themeColor="text1"/>
      <w:szCs w:val="18"/>
    </w:rPr>
  </w:style>
  <w:style w:type="paragraph" w:styleId="TableofFigures">
    <w:name w:val="table of figures"/>
    <w:basedOn w:val="Normal"/>
    <w:next w:val="Normal"/>
    <w:uiPriority w:val="99"/>
    <w:rsid w:val="00201ACB"/>
  </w:style>
  <w:style w:type="paragraph" w:styleId="Revision">
    <w:name w:val="Revision"/>
    <w:hidden/>
    <w:uiPriority w:val="99"/>
    <w:semiHidden/>
    <w:rsid w:val="009E019A"/>
    <w:rPr>
      <w:rFonts w:ascii="Calibri" w:hAnsi="Calibri"/>
      <w:sz w:val="22"/>
      <w:szCs w:val="24"/>
      <w:lang w:eastAsia="en-US"/>
    </w:rPr>
  </w:style>
  <w:style w:type="paragraph" w:customStyle="1" w:styleId="Sub-heading">
    <w:name w:val="Sub-heading"/>
    <w:basedOn w:val="Normal"/>
    <w:link w:val="Sub-headingChar"/>
    <w:autoRedefine/>
    <w:rsid w:val="00094CA2"/>
    <w:pPr>
      <w:keepNext/>
      <w:spacing w:after="60"/>
    </w:pPr>
    <w:rPr>
      <w:rFonts w:cs="Calibri"/>
      <w:b/>
      <w:i/>
      <w:color w:val="003D69"/>
      <w:szCs w:val="22"/>
      <w:lang w:eastAsia="en-AU"/>
    </w:rPr>
  </w:style>
  <w:style w:type="paragraph" w:customStyle="1" w:styleId="Appendicessubheadings">
    <w:name w:val="Appendices sub headings"/>
    <w:basedOn w:val="Heading3"/>
    <w:link w:val="AppendicessubheadingsChar"/>
    <w:rsid w:val="00A81E0B"/>
    <w:rPr>
      <w:color w:val="003D69"/>
    </w:rPr>
  </w:style>
  <w:style w:type="character" w:customStyle="1" w:styleId="Sub-headingChar">
    <w:name w:val="Sub-heading Char"/>
    <w:basedOn w:val="DefaultParagraphFont"/>
    <w:link w:val="Sub-heading"/>
    <w:rsid w:val="00094CA2"/>
    <w:rPr>
      <w:rFonts w:ascii="Calibri" w:hAnsi="Calibri" w:cs="Calibri"/>
      <w:b/>
      <w:i/>
      <w:color w:val="003D69"/>
      <w:sz w:val="22"/>
      <w:szCs w:val="22"/>
    </w:rPr>
  </w:style>
  <w:style w:type="paragraph" w:styleId="TOCHeading">
    <w:name w:val="TOC Heading"/>
    <w:basedOn w:val="Heading1"/>
    <w:next w:val="Normal"/>
    <w:uiPriority w:val="39"/>
    <w:unhideWhenUsed/>
    <w:qFormat/>
    <w:rsid w:val="00201ACB"/>
    <w:pPr>
      <w:keepLines/>
      <w:spacing w:before="480" w:after="0" w:line="276" w:lineRule="auto"/>
      <w:ind w:left="431" w:hanging="431"/>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AppendicessubheadingsChar">
    <w:name w:val="Appendices sub headings Char"/>
    <w:basedOn w:val="Heading3Char"/>
    <w:link w:val="Appendicessubheadings"/>
    <w:rsid w:val="00A81E0B"/>
    <w:rPr>
      <w:rFonts w:ascii="Arial" w:hAnsi="Arial" w:cs="Arial"/>
      <w:b/>
      <w:iCs/>
      <w:color w:val="003D69"/>
      <w:sz w:val="28"/>
      <w:szCs w:val="28"/>
      <w:lang w:eastAsia="en-US"/>
    </w:rPr>
  </w:style>
  <w:style w:type="paragraph" w:styleId="BodyText">
    <w:name w:val="Body Text"/>
    <w:basedOn w:val="Normal"/>
    <w:link w:val="BodyTextChar"/>
    <w:rsid w:val="00201ACB"/>
    <w:pPr>
      <w:spacing w:after="120"/>
    </w:pPr>
  </w:style>
  <w:style w:type="character" w:customStyle="1" w:styleId="BodyTextChar">
    <w:name w:val="Body Text Char"/>
    <w:basedOn w:val="DefaultParagraphFont"/>
    <w:link w:val="BodyText"/>
    <w:rsid w:val="00201ACB"/>
    <w:rPr>
      <w:rFonts w:ascii="Arial" w:hAnsi="Arial"/>
      <w:sz w:val="22"/>
      <w:szCs w:val="24"/>
      <w:lang w:eastAsia="en-US"/>
    </w:rPr>
  </w:style>
  <w:style w:type="table" w:customStyle="1" w:styleId="DefenceTable">
    <w:name w:val="Defence Table"/>
    <w:basedOn w:val="TableNormal"/>
    <w:rsid w:val="000F489D"/>
    <w:rPr>
      <w:rFonts w:ascii="Georgia" w:hAnsi="Georgia"/>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customStyle="1" w:styleId="Subheading">
    <w:name w:val="Sub heading"/>
    <w:basedOn w:val="Normal"/>
    <w:next w:val="Body"/>
    <w:autoRedefine/>
    <w:qFormat/>
    <w:rsid w:val="00343ADC"/>
    <w:pPr>
      <w:keepNext/>
      <w:spacing w:after="80"/>
    </w:pPr>
    <w:rPr>
      <w:b/>
      <w:color w:val="003D69"/>
      <w:sz w:val="24"/>
    </w:rPr>
  </w:style>
  <w:style w:type="paragraph" w:customStyle="1" w:styleId="Body">
    <w:name w:val="Body"/>
    <w:basedOn w:val="Normal"/>
    <w:qFormat/>
    <w:rsid w:val="005A2B20"/>
    <w:pPr>
      <w:spacing w:after="180"/>
    </w:pPr>
    <w:rPr>
      <w:color w:val="003D69"/>
    </w:rPr>
  </w:style>
  <w:style w:type="paragraph" w:customStyle="1" w:styleId="Subsubheading">
    <w:name w:val="Sub sub heading"/>
    <w:basedOn w:val="Body"/>
    <w:next w:val="Body"/>
    <w:qFormat/>
    <w:rsid w:val="00125972"/>
    <w:pPr>
      <w:keepNext/>
      <w:spacing w:after="80"/>
    </w:pPr>
    <w:rPr>
      <w:i/>
    </w:rPr>
  </w:style>
  <w:style w:type="paragraph" w:styleId="DocumentMap">
    <w:name w:val="Document Map"/>
    <w:basedOn w:val="Normal"/>
    <w:link w:val="DocumentMapChar"/>
    <w:semiHidden/>
    <w:unhideWhenUsed/>
    <w:rsid w:val="00B43597"/>
    <w:rPr>
      <w:rFonts w:ascii="Times New Roman" w:hAnsi="Times New Roman"/>
      <w:sz w:val="24"/>
    </w:rPr>
  </w:style>
  <w:style w:type="character" w:customStyle="1" w:styleId="DocumentMapChar">
    <w:name w:val="Document Map Char"/>
    <w:basedOn w:val="DefaultParagraphFont"/>
    <w:link w:val="DocumentMap"/>
    <w:semiHidden/>
    <w:rsid w:val="00B43597"/>
    <w:rPr>
      <w:sz w:val="24"/>
      <w:szCs w:val="24"/>
      <w:lang w:eastAsia="en-US"/>
    </w:rPr>
  </w:style>
  <w:style w:type="paragraph" w:customStyle="1" w:styleId="Tabletextnormal">
    <w:name w:val="Table text normal"/>
    <w:basedOn w:val="Normal"/>
    <w:rsid w:val="0023645F"/>
    <w:pPr>
      <w:spacing w:before="80" w:after="80"/>
    </w:pPr>
    <w:rPr>
      <w:rFonts w:asciiTheme="minorHAnsi" w:hAnsiTheme="minorHAnsi"/>
      <w:color w:val="000000" w:themeColor="text1"/>
      <w:szCs w:val="22"/>
      <w:lang w:val="en-GB"/>
    </w:rPr>
  </w:style>
  <w:style w:type="character" w:styleId="BookTitle">
    <w:name w:val="Book Title"/>
    <w:basedOn w:val="DefaultParagraphFont"/>
    <w:uiPriority w:val="33"/>
    <w:rsid w:val="00201ACB"/>
    <w:rPr>
      <w:b/>
      <w:bCs/>
      <w:smallCaps/>
      <w:spacing w:val="5"/>
    </w:rPr>
  </w:style>
  <w:style w:type="paragraph" w:customStyle="1" w:styleId="FigureTitle">
    <w:name w:val="Figure Title"/>
    <w:next w:val="Normal"/>
    <w:qFormat/>
    <w:rsid w:val="00201ACB"/>
    <w:pPr>
      <w:tabs>
        <w:tab w:val="num" w:pos="1080"/>
      </w:tabs>
      <w:spacing w:before="360" w:after="120" w:line="240" w:lineRule="exact"/>
    </w:pPr>
    <w:rPr>
      <w:rFonts w:ascii="Arial" w:hAnsi="Arial"/>
      <w:b/>
      <w:color w:val="000000" w:themeColor="text1"/>
      <w:sz w:val="22"/>
      <w:szCs w:val="24"/>
      <w:lang w:eastAsia="en-US"/>
    </w:rPr>
  </w:style>
  <w:style w:type="paragraph" w:customStyle="1" w:styleId="Footertext">
    <w:name w:val="Footer text"/>
    <w:rsid w:val="00201ACB"/>
    <w:rPr>
      <w:rFonts w:ascii="Arial" w:hAnsi="Arial" w:cs="Arial"/>
      <w:szCs w:val="22"/>
      <w:lang w:eastAsia="en-US"/>
    </w:rPr>
  </w:style>
  <w:style w:type="paragraph" w:customStyle="1" w:styleId="headertext">
    <w:name w:val="header text"/>
    <w:rsid w:val="00201ACB"/>
    <w:rPr>
      <w:rFonts w:ascii="Arial" w:hAnsi="Arial"/>
      <w:szCs w:val="24"/>
      <w:lang w:eastAsia="en-US"/>
    </w:rPr>
  </w:style>
  <w:style w:type="character" w:customStyle="1" w:styleId="Heading1Char">
    <w:name w:val="Heading 1 Char"/>
    <w:basedOn w:val="DefaultParagraphFont"/>
    <w:link w:val="Heading1"/>
    <w:rsid w:val="00201ACB"/>
    <w:rPr>
      <w:rFonts w:ascii="Arial" w:hAnsi="Arial" w:cs="Arial"/>
      <w:b/>
      <w:bCs/>
      <w:color w:val="153A6E"/>
      <w:kern w:val="28"/>
      <w:sz w:val="36"/>
      <w:szCs w:val="32"/>
      <w:lang w:eastAsia="en-US"/>
    </w:rPr>
  </w:style>
  <w:style w:type="paragraph" w:customStyle="1" w:styleId="Heading1Orange">
    <w:name w:val="Heading 1 Orange"/>
    <w:basedOn w:val="Heading1"/>
    <w:rsid w:val="00201ACB"/>
    <w:pPr>
      <w:ind w:left="431" w:hanging="431"/>
    </w:pPr>
    <w:rPr>
      <w:color w:val="D72F0D"/>
    </w:rPr>
  </w:style>
  <w:style w:type="paragraph" w:customStyle="1" w:styleId="Heading1Purple">
    <w:name w:val="Heading 1 Purple"/>
    <w:basedOn w:val="Heading1"/>
    <w:next w:val="Normal"/>
    <w:rsid w:val="00201ACB"/>
    <w:pPr>
      <w:ind w:left="431" w:hanging="431"/>
    </w:pPr>
    <w:rPr>
      <w:color w:val="8D188D"/>
    </w:rPr>
  </w:style>
  <w:style w:type="paragraph" w:customStyle="1" w:styleId="Heading2Orange">
    <w:name w:val="Heading 2 Orange"/>
    <w:basedOn w:val="Heading2"/>
    <w:next w:val="Normal"/>
    <w:rsid w:val="00201ACB"/>
    <w:pPr>
      <w:ind w:left="578" w:hanging="578"/>
    </w:pPr>
  </w:style>
  <w:style w:type="paragraph" w:customStyle="1" w:styleId="Heading2Purple">
    <w:name w:val="Heading 2 Purple"/>
    <w:basedOn w:val="Heading2"/>
    <w:next w:val="Normal"/>
    <w:qFormat/>
    <w:rsid w:val="00201ACB"/>
    <w:pPr>
      <w:spacing w:before="180"/>
      <w:ind w:left="578" w:hanging="578"/>
    </w:pPr>
    <w:rPr>
      <w:color w:val="8D188D"/>
    </w:rPr>
  </w:style>
  <w:style w:type="character" w:styleId="IntenseEmphasis">
    <w:name w:val="Intense Emphasis"/>
    <w:basedOn w:val="DefaultParagraphFont"/>
    <w:uiPriority w:val="21"/>
    <w:rsid w:val="00201ACB"/>
    <w:rPr>
      <w:b/>
      <w:bCs/>
      <w:i/>
      <w:iCs/>
      <w:color w:val="4F81BD" w:themeColor="accent1"/>
    </w:rPr>
  </w:style>
  <w:style w:type="character" w:styleId="IntenseReference">
    <w:name w:val="Intense Reference"/>
    <w:basedOn w:val="DefaultParagraphFont"/>
    <w:uiPriority w:val="32"/>
    <w:rsid w:val="00201ACB"/>
    <w:rPr>
      <w:b/>
      <w:bCs/>
      <w:i/>
      <w:smallCaps/>
      <w:color w:val="C0504D" w:themeColor="accent2"/>
      <w:spacing w:val="5"/>
      <w:u w:val="none"/>
    </w:rPr>
  </w:style>
  <w:style w:type="paragraph" w:styleId="ListNumber2">
    <w:name w:val="List Number 2"/>
    <w:aliases w:val="List Second Level"/>
    <w:basedOn w:val="ListBullet"/>
    <w:qFormat/>
    <w:rsid w:val="00201ACB"/>
    <w:pPr>
      <w:ind w:left="568" w:hanging="284"/>
    </w:pPr>
  </w:style>
  <w:style w:type="paragraph" w:styleId="ListNumber3">
    <w:name w:val="List Number 3"/>
    <w:aliases w:val="List Third Level"/>
    <w:basedOn w:val="ListNumber2"/>
    <w:qFormat/>
    <w:rsid w:val="00201ACB"/>
    <w:pPr>
      <w:numPr>
        <w:numId w:val="8"/>
      </w:numPr>
      <w:tabs>
        <w:tab w:val="num" w:pos="1440"/>
      </w:tabs>
      <w:spacing w:line="276" w:lineRule="auto"/>
    </w:pPr>
    <w:rPr>
      <w:rFonts w:eastAsia="Cambria"/>
      <w:color w:val="auto"/>
      <w:szCs w:val="22"/>
      <w:lang w:val="en-US"/>
    </w:rPr>
  </w:style>
  <w:style w:type="paragraph" w:styleId="NoSpacing">
    <w:name w:val="No Spacing"/>
    <w:uiPriority w:val="1"/>
    <w:rsid w:val="00201ACB"/>
    <w:rPr>
      <w:sz w:val="24"/>
      <w:szCs w:val="24"/>
      <w:lang w:eastAsia="en-US"/>
    </w:rPr>
  </w:style>
  <w:style w:type="paragraph" w:styleId="NormalWeb">
    <w:name w:val="Normal (Web)"/>
    <w:basedOn w:val="Normal"/>
    <w:uiPriority w:val="99"/>
    <w:unhideWhenUsed/>
    <w:rsid w:val="00201ACB"/>
    <w:pPr>
      <w:spacing w:before="100" w:beforeAutospacing="1" w:after="100" w:afterAutospacing="1"/>
    </w:pPr>
    <w:rPr>
      <w:rFonts w:ascii="Times New Roman" w:hAnsi="Times New Roman"/>
      <w:sz w:val="24"/>
      <w:lang w:eastAsia="en-AU"/>
    </w:rPr>
  </w:style>
  <w:style w:type="paragraph" w:customStyle="1" w:styleId="Paragraphtext">
    <w:name w:val="Paragraph text"/>
    <w:basedOn w:val="Normal"/>
    <w:qFormat/>
    <w:rsid w:val="00CC2A64"/>
    <w:pPr>
      <w:spacing w:before="240" w:after="240" w:line="240" w:lineRule="atLeast"/>
    </w:pPr>
    <w:rPr>
      <w:color w:val="000000" w:themeColor="text1"/>
    </w:rPr>
  </w:style>
  <w:style w:type="table" w:customStyle="1" w:styleId="PGNGreyTable">
    <w:name w:val="PGN Grey Table"/>
    <w:basedOn w:val="TableNormal"/>
    <w:uiPriority w:val="99"/>
    <w:rsid w:val="00201ACB"/>
    <w:pPr>
      <w:spacing w:before="120" w:after="120"/>
    </w:pPr>
    <w:rPr>
      <w:rFonts w:ascii="Arial" w:hAnsi="Arial"/>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GreyTableAlt2">
    <w:name w:val="PHN Grey Table Alt 2"/>
    <w:basedOn w:val="TableNormal"/>
    <w:uiPriority w:val="99"/>
    <w:rsid w:val="00201ACB"/>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
    <w:name w:val="PHN Purple Table"/>
    <w:basedOn w:val="TableNormal"/>
    <w:uiPriority w:val="99"/>
    <w:rsid w:val="00201ACB"/>
    <w:pPr>
      <w:spacing w:before="120" w:after="120"/>
    </w:pPr>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PurpleTableAlt2">
    <w:name w:val="PHN Purple Table Alt 2"/>
    <w:basedOn w:val="TableNormal"/>
    <w:uiPriority w:val="99"/>
    <w:rsid w:val="00201ACB"/>
    <w:pPr>
      <w:spacing w:before="120" w:after="120"/>
    </w:pPr>
    <w:rPr>
      <w:rFonts w:ascii="Arial" w:hAnsi="Arial"/>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201ACB"/>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201ACB"/>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styleId="Quote">
    <w:name w:val="Quote"/>
    <w:next w:val="Normal"/>
    <w:link w:val="QuoteChar"/>
    <w:uiPriority w:val="29"/>
    <w:qFormat/>
    <w:rsid w:val="00201ACB"/>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201ACB"/>
    <w:rPr>
      <w:rFonts w:ascii="Arial" w:hAnsi="Arial"/>
      <w:i/>
      <w:iCs/>
      <w:color w:val="000000" w:themeColor="text1"/>
      <w:sz w:val="22"/>
      <w:szCs w:val="24"/>
      <w:lang w:eastAsia="en-US"/>
    </w:rPr>
  </w:style>
  <w:style w:type="paragraph" w:customStyle="1" w:styleId="SectionHeading">
    <w:name w:val="Section Heading"/>
    <w:basedOn w:val="Heading1"/>
    <w:next w:val="Paragraphtext"/>
    <w:qFormat/>
    <w:rsid w:val="00201ACB"/>
    <w:pPr>
      <w:numPr>
        <w:numId w:val="0"/>
      </w:numPr>
      <w:spacing w:before="360"/>
    </w:pPr>
  </w:style>
  <w:style w:type="paragraph" w:styleId="Subtitle">
    <w:name w:val="Subtitle"/>
    <w:next w:val="Normal"/>
    <w:link w:val="SubtitleChar"/>
    <w:qFormat/>
    <w:rsid w:val="00201ACB"/>
    <w:pPr>
      <w:numPr>
        <w:ilvl w:val="1"/>
      </w:numPr>
      <w:spacing w:before="360" w:after="60"/>
      <w:contextualSpacing/>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201ACB"/>
    <w:rPr>
      <w:rFonts w:ascii="Arial" w:eastAsiaTheme="majorEastAsia" w:hAnsi="Arial" w:cstheme="majorBidi"/>
      <w:iCs/>
      <w:color w:val="32373A"/>
      <w:spacing w:val="15"/>
      <w:sz w:val="36"/>
      <w:szCs w:val="24"/>
      <w:lang w:eastAsia="en-US"/>
    </w:rPr>
  </w:style>
  <w:style w:type="character" w:styleId="SubtleEmphasis">
    <w:name w:val="Subtle Emphasis"/>
    <w:basedOn w:val="DefaultParagraphFont"/>
    <w:uiPriority w:val="19"/>
    <w:rsid w:val="00201ACB"/>
    <w:rPr>
      <w:i/>
      <w:iCs/>
      <w:color w:val="808080" w:themeColor="text1" w:themeTint="7F"/>
    </w:rPr>
  </w:style>
  <w:style w:type="character" w:styleId="SubtleReference">
    <w:name w:val="Subtle Reference"/>
    <w:basedOn w:val="DefaultParagraphFont"/>
    <w:uiPriority w:val="31"/>
    <w:rsid w:val="00201ACB"/>
    <w:rPr>
      <w:smallCaps/>
      <w:color w:val="C0504D" w:themeColor="accent2"/>
      <w:u w:val="single"/>
    </w:rPr>
  </w:style>
  <w:style w:type="paragraph" w:customStyle="1" w:styleId="TableHeader">
    <w:name w:val="Table Header"/>
    <w:basedOn w:val="Normal"/>
    <w:next w:val="Normal"/>
    <w:qFormat/>
    <w:rsid w:val="00201ACB"/>
    <w:pPr>
      <w:spacing w:before="80" w:after="80"/>
    </w:pPr>
    <w:rPr>
      <w:rFonts w:eastAsia="Cambria"/>
      <w:b/>
      <w:color w:val="000000" w:themeColor="text1"/>
      <w:szCs w:val="22"/>
      <w:lang w:val="en-US"/>
    </w:rPr>
  </w:style>
  <w:style w:type="paragraph" w:customStyle="1" w:styleId="TableHeaderteal">
    <w:name w:val="Table Header teal"/>
    <w:qFormat/>
    <w:rsid w:val="00201ACB"/>
    <w:rPr>
      <w:rFonts w:ascii="Arial" w:eastAsia="Cambria" w:hAnsi="Arial"/>
      <w:b/>
      <w:color w:val="000000" w:themeColor="text1"/>
      <w:sz w:val="22"/>
      <w:szCs w:val="22"/>
      <w:lang w:val="en-US" w:eastAsia="en-US"/>
    </w:rPr>
  </w:style>
  <w:style w:type="paragraph" w:customStyle="1" w:styleId="TableHeaderWhite">
    <w:name w:val="Table Header White"/>
    <w:qFormat/>
    <w:rsid w:val="0023645F"/>
    <w:pPr>
      <w:spacing w:before="80" w:after="80"/>
    </w:pPr>
    <w:rPr>
      <w:rFonts w:ascii="Arial" w:eastAsia="Cambria" w:hAnsi="Arial"/>
      <w:color w:val="FFFFFF" w:themeColor="background1"/>
      <w:sz w:val="22"/>
      <w:szCs w:val="22"/>
      <w:lang w:val="en-US" w:eastAsia="en-US"/>
    </w:rPr>
  </w:style>
  <w:style w:type="paragraph" w:customStyle="1" w:styleId="Tablelistbullet">
    <w:name w:val="Table list bullet"/>
    <w:basedOn w:val="Normal"/>
    <w:qFormat/>
    <w:rsid w:val="00CC2A64"/>
    <w:pPr>
      <w:numPr>
        <w:numId w:val="9"/>
      </w:numPr>
      <w:spacing w:before="80" w:after="80"/>
      <w:ind w:left="357" w:hanging="357"/>
    </w:pPr>
    <w:rPr>
      <w:color w:val="000000" w:themeColor="text1"/>
      <w:szCs w:val="20"/>
    </w:rPr>
  </w:style>
  <w:style w:type="paragraph" w:customStyle="1" w:styleId="Tablelistnumber">
    <w:name w:val="Table list number"/>
    <w:basedOn w:val="Normal"/>
    <w:qFormat/>
    <w:rsid w:val="00201ACB"/>
    <w:pPr>
      <w:numPr>
        <w:numId w:val="10"/>
      </w:numPr>
      <w:spacing w:before="80" w:after="80"/>
    </w:pPr>
    <w:rPr>
      <w:bCs/>
      <w:color w:val="000000" w:themeColor="text1"/>
      <w14:numSpacing w14:val="proportional"/>
    </w:rPr>
  </w:style>
  <w:style w:type="paragraph" w:customStyle="1" w:styleId="MajorHeading">
    <w:name w:val="Major Heading"/>
    <w:basedOn w:val="Normal"/>
    <w:rsid w:val="0023645F"/>
    <w:pPr>
      <w:keepNext/>
      <w:keepLines/>
      <w:spacing w:before="240" w:after="60"/>
    </w:pPr>
    <w:rPr>
      <w:b/>
      <w:color w:val="003D69"/>
    </w:rPr>
  </w:style>
  <w:style w:type="paragraph" w:customStyle="1" w:styleId="Hangingindent1">
    <w:name w:val="Hanging indent 1"/>
    <w:basedOn w:val="Paragraphtext"/>
    <w:rsid w:val="003D5106"/>
    <w:pPr>
      <w:tabs>
        <w:tab w:val="left" w:pos="357"/>
      </w:tabs>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69">
      <w:bodyDiv w:val="1"/>
      <w:marLeft w:val="0"/>
      <w:marRight w:val="0"/>
      <w:marTop w:val="0"/>
      <w:marBottom w:val="0"/>
      <w:divBdr>
        <w:top w:val="none" w:sz="0" w:space="0" w:color="auto"/>
        <w:left w:val="none" w:sz="0" w:space="0" w:color="auto"/>
        <w:bottom w:val="none" w:sz="0" w:space="0" w:color="auto"/>
        <w:right w:val="none" w:sz="0" w:space="0" w:color="auto"/>
      </w:divBdr>
      <w:divsChild>
        <w:div w:id="225148170">
          <w:marLeft w:val="605"/>
          <w:marRight w:val="0"/>
          <w:marTop w:val="230"/>
          <w:marBottom w:val="0"/>
          <w:divBdr>
            <w:top w:val="none" w:sz="0" w:space="0" w:color="auto"/>
            <w:left w:val="none" w:sz="0" w:space="0" w:color="auto"/>
            <w:bottom w:val="none" w:sz="0" w:space="0" w:color="auto"/>
            <w:right w:val="none" w:sz="0" w:space="0" w:color="auto"/>
          </w:divBdr>
        </w:div>
        <w:div w:id="653682776">
          <w:marLeft w:val="605"/>
          <w:marRight w:val="0"/>
          <w:marTop w:val="230"/>
          <w:marBottom w:val="0"/>
          <w:divBdr>
            <w:top w:val="none" w:sz="0" w:space="0" w:color="auto"/>
            <w:left w:val="none" w:sz="0" w:space="0" w:color="auto"/>
            <w:bottom w:val="none" w:sz="0" w:space="0" w:color="auto"/>
            <w:right w:val="none" w:sz="0" w:space="0" w:color="auto"/>
          </w:divBdr>
        </w:div>
        <w:div w:id="1618754018">
          <w:marLeft w:val="605"/>
          <w:marRight w:val="0"/>
          <w:marTop w:val="230"/>
          <w:marBottom w:val="0"/>
          <w:divBdr>
            <w:top w:val="none" w:sz="0" w:space="0" w:color="auto"/>
            <w:left w:val="none" w:sz="0" w:space="0" w:color="auto"/>
            <w:bottom w:val="none" w:sz="0" w:space="0" w:color="auto"/>
            <w:right w:val="none" w:sz="0" w:space="0" w:color="auto"/>
          </w:divBdr>
        </w:div>
      </w:divsChild>
    </w:div>
    <w:div w:id="65688323">
      <w:bodyDiv w:val="1"/>
      <w:marLeft w:val="0"/>
      <w:marRight w:val="0"/>
      <w:marTop w:val="0"/>
      <w:marBottom w:val="0"/>
      <w:divBdr>
        <w:top w:val="none" w:sz="0" w:space="0" w:color="auto"/>
        <w:left w:val="none" w:sz="0" w:space="0" w:color="auto"/>
        <w:bottom w:val="none" w:sz="0" w:space="0" w:color="auto"/>
        <w:right w:val="none" w:sz="0" w:space="0" w:color="auto"/>
      </w:divBdr>
    </w:div>
    <w:div w:id="70204435">
      <w:bodyDiv w:val="1"/>
      <w:marLeft w:val="0"/>
      <w:marRight w:val="0"/>
      <w:marTop w:val="0"/>
      <w:marBottom w:val="0"/>
      <w:divBdr>
        <w:top w:val="none" w:sz="0" w:space="0" w:color="auto"/>
        <w:left w:val="none" w:sz="0" w:space="0" w:color="auto"/>
        <w:bottom w:val="none" w:sz="0" w:space="0" w:color="auto"/>
        <w:right w:val="none" w:sz="0" w:space="0" w:color="auto"/>
      </w:divBdr>
      <w:divsChild>
        <w:div w:id="1217931147">
          <w:marLeft w:val="300"/>
          <w:marRight w:val="0"/>
          <w:marTop w:val="0"/>
          <w:marBottom w:val="0"/>
          <w:divBdr>
            <w:top w:val="none" w:sz="0" w:space="0" w:color="auto"/>
            <w:left w:val="none" w:sz="0" w:space="0" w:color="auto"/>
            <w:bottom w:val="none" w:sz="0" w:space="0" w:color="auto"/>
            <w:right w:val="none" w:sz="0" w:space="0" w:color="auto"/>
          </w:divBdr>
          <w:divsChild>
            <w:div w:id="6867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744">
      <w:bodyDiv w:val="1"/>
      <w:marLeft w:val="0"/>
      <w:marRight w:val="0"/>
      <w:marTop w:val="0"/>
      <w:marBottom w:val="0"/>
      <w:divBdr>
        <w:top w:val="none" w:sz="0" w:space="0" w:color="auto"/>
        <w:left w:val="none" w:sz="0" w:space="0" w:color="auto"/>
        <w:bottom w:val="none" w:sz="0" w:space="0" w:color="auto"/>
        <w:right w:val="none" w:sz="0" w:space="0" w:color="auto"/>
      </w:divBdr>
      <w:divsChild>
        <w:div w:id="638615334">
          <w:marLeft w:val="605"/>
          <w:marRight w:val="0"/>
          <w:marTop w:val="230"/>
          <w:marBottom w:val="0"/>
          <w:divBdr>
            <w:top w:val="none" w:sz="0" w:space="0" w:color="auto"/>
            <w:left w:val="none" w:sz="0" w:space="0" w:color="auto"/>
            <w:bottom w:val="none" w:sz="0" w:space="0" w:color="auto"/>
            <w:right w:val="none" w:sz="0" w:space="0" w:color="auto"/>
          </w:divBdr>
        </w:div>
      </w:divsChild>
    </w:div>
    <w:div w:id="231357793">
      <w:bodyDiv w:val="1"/>
      <w:marLeft w:val="0"/>
      <w:marRight w:val="0"/>
      <w:marTop w:val="0"/>
      <w:marBottom w:val="0"/>
      <w:divBdr>
        <w:top w:val="none" w:sz="0" w:space="0" w:color="auto"/>
        <w:left w:val="none" w:sz="0" w:space="0" w:color="auto"/>
        <w:bottom w:val="none" w:sz="0" w:space="0" w:color="auto"/>
        <w:right w:val="none" w:sz="0" w:space="0" w:color="auto"/>
      </w:divBdr>
    </w:div>
    <w:div w:id="250093091">
      <w:bodyDiv w:val="1"/>
      <w:marLeft w:val="0"/>
      <w:marRight w:val="0"/>
      <w:marTop w:val="0"/>
      <w:marBottom w:val="0"/>
      <w:divBdr>
        <w:top w:val="none" w:sz="0" w:space="0" w:color="auto"/>
        <w:left w:val="none" w:sz="0" w:space="0" w:color="auto"/>
        <w:bottom w:val="none" w:sz="0" w:space="0" w:color="auto"/>
        <w:right w:val="none" w:sz="0" w:space="0" w:color="auto"/>
      </w:divBdr>
      <w:divsChild>
        <w:div w:id="174537839">
          <w:marLeft w:val="605"/>
          <w:marRight w:val="0"/>
          <w:marTop w:val="221"/>
          <w:marBottom w:val="0"/>
          <w:divBdr>
            <w:top w:val="none" w:sz="0" w:space="0" w:color="auto"/>
            <w:left w:val="none" w:sz="0" w:space="0" w:color="auto"/>
            <w:bottom w:val="none" w:sz="0" w:space="0" w:color="auto"/>
            <w:right w:val="none" w:sz="0" w:space="0" w:color="auto"/>
          </w:divBdr>
        </w:div>
        <w:div w:id="235744780">
          <w:marLeft w:val="605"/>
          <w:marRight w:val="0"/>
          <w:marTop w:val="221"/>
          <w:marBottom w:val="0"/>
          <w:divBdr>
            <w:top w:val="none" w:sz="0" w:space="0" w:color="auto"/>
            <w:left w:val="none" w:sz="0" w:space="0" w:color="auto"/>
            <w:bottom w:val="none" w:sz="0" w:space="0" w:color="auto"/>
            <w:right w:val="none" w:sz="0" w:space="0" w:color="auto"/>
          </w:divBdr>
        </w:div>
        <w:div w:id="316155631">
          <w:marLeft w:val="1051"/>
          <w:marRight w:val="0"/>
          <w:marTop w:val="110"/>
          <w:marBottom w:val="0"/>
          <w:divBdr>
            <w:top w:val="none" w:sz="0" w:space="0" w:color="auto"/>
            <w:left w:val="none" w:sz="0" w:space="0" w:color="auto"/>
            <w:bottom w:val="none" w:sz="0" w:space="0" w:color="auto"/>
            <w:right w:val="none" w:sz="0" w:space="0" w:color="auto"/>
          </w:divBdr>
        </w:div>
        <w:div w:id="496188107">
          <w:marLeft w:val="1051"/>
          <w:marRight w:val="0"/>
          <w:marTop w:val="110"/>
          <w:marBottom w:val="0"/>
          <w:divBdr>
            <w:top w:val="none" w:sz="0" w:space="0" w:color="auto"/>
            <w:left w:val="none" w:sz="0" w:space="0" w:color="auto"/>
            <w:bottom w:val="none" w:sz="0" w:space="0" w:color="auto"/>
            <w:right w:val="none" w:sz="0" w:space="0" w:color="auto"/>
          </w:divBdr>
        </w:div>
        <w:div w:id="742340753">
          <w:marLeft w:val="605"/>
          <w:marRight w:val="0"/>
          <w:marTop w:val="221"/>
          <w:marBottom w:val="0"/>
          <w:divBdr>
            <w:top w:val="none" w:sz="0" w:space="0" w:color="auto"/>
            <w:left w:val="none" w:sz="0" w:space="0" w:color="auto"/>
            <w:bottom w:val="none" w:sz="0" w:space="0" w:color="auto"/>
            <w:right w:val="none" w:sz="0" w:space="0" w:color="auto"/>
          </w:divBdr>
        </w:div>
        <w:div w:id="783773607">
          <w:marLeft w:val="1051"/>
          <w:marRight w:val="0"/>
          <w:marTop w:val="110"/>
          <w:marBottom w:val="0"/>
          <w:divBdr>
            <w:top w:val="none" w:sz="0" w:space="0" w:color="auto"/>
            <w:left w:val="none" w:sz="0" w:space="0" w:color="auto"/>
            <w:bottom w:val="none" w:sz="0" w:space="0" w:color="auto"/>
            <w:right w:val="none" w:sz="0" w:space="0" w:color="auto"/>
          </w:divBdr>
        </w:div>
        <w:div w:id="908880007">
          <w:marLeft w:val="1051"/>
          <w:marRight w:val="0"/>
          <w:marTop w:val="110"/>
          <w:marBottom w:val="0"/>
          <w:divBdr>
            <w:top w:val="none" w:sz="0" w:space="0" w:color="auto"/>
            <w:left w:val="none" w:sz="0" w:space="0" w:color="auto"/>
            <w:bottom w:val="none" w:sz="0" w:space="0" w:color="auto"/>
            <w:right w:val="none" w:sz="0" w:space="0" w:color="auto"/>
          </w:divBdr>
        </w:div>
        <w:div w:id="976029167">
          <w:marLeft w:val="1051"/>
          <w:marRight w:val="0"/>
          <w:marTop w:val="110"/>
          <w:marBottom w:val="0"/>
          <w:divBdr>
            <w:top w:val="none" w:sz="0" w:space="0" w:color="auto"/>
            <w:left w:val="none" w:sz="0" w:space="0" w:color="auto"/>
            <w:bottom w:val="none" w:sz="0" w:space="0" w:color="auto"/>
            <w:right w:val="none" w:sz="0" w:space="0" w:color="auto"/>
          </w:divBdr>
        </w:div>
        <w:div w:id="1088696407">
          <w:marLeft w:val="1051"/>
          <w:marRight w:val="0"/>
          <w:marTop w:val="110"/>
          <w:marBottom w:val="0"/>
          <w:divBdr>
            <w:top w:val="none" w:sz="0" w:space="0" w:color="auto"/>
            <w:left w:val="none" w:sz="0" w:space="0" w:color="auto"/>
            <w:bottom w:val="none" w:sz="0" w:space="0" w:color="auto"/>
            <w:right w:val="none" w:sz="0" w:space="0" w:color="auto"/>
          </w:divBdr>
        </w:div>
        <w:div w:id="1226991770">
          <w:marLeft w:val="1051"/>
          <w:marRight w:val="0"/>
          <w:marTop w:val="110"/>
          <w:marBottom w:val="0"/>
          <w:divBdr>
            <w:top w:val="none" w:sz="0" w:space="0" w:color="auto"/>
            <w:left w:val="none" w:sz="0" w:space="0" w:color="auto"/>
            <w:bottom w:val="none" w:sz="0" w:space="0" w:color="auto"/>
            <w:right w:val="none" w:sz="0" w:space="0" w:color="auto"/>
          </w:divBdr>
        </w:div>
        <w:div w:id="1299190563">
          <w:marLeft w:val="605"/>
          <w:marRight w:val="0"/>
          <w:marTop w:val="221"/>
          <w:marBottom w:val="0"/>
          <w:divBdr>
            <w:top w:val="none" w:sz="0" w:space="0" w:color="auto"/>
            <w:left w:val="none" w:sz="0" w:space="0" w:color="auto"/>
            <w:bottom w:val="none" w:sz="0" w:space="0" w:color="auto"/>
            <w:right w:val="none" w:sz="0" w:space="0" w:color="auto"/>
          </w:divBdr>
        </w:div>
        <w:div w:id="1892182796">
          <w:marLeft w:val="1051"/>
          <w:marRight w:val="0"/>
          <w:marTop w:val="110"/>
          <w:marBottom w:val="0"/>
          <w:divBdr>
            <w:top w:val="none" w:sz="0" w:space="0" w:color="auto"/>
            <w:left w:val="none" w:sz="0" w:space="0" w:color="auto"/>
            <w:bottom w:val="none" w:sz="0" w:space="0" w:color="auto"/>
            <w:right w:val="none" w:sz="0" w:space="0" w:color="auto"/>
          </w:divBdr>
        </w:div>
        <w:div w:id="1991131015">
          <w:marLeft w:val="1051"/>
          <w:marRight w:val="0"/>
          <w:marTop w:val="110"/>
          <w:marBottom w:val="0"/>
          <w:divBdr>
            <w:top w:val="none" w:sz="0" w:space="0" w:color="auto"/>
            <w:left w:val="none" w:sz="0" w:space="0" w:color="auto"/>
            <w:bottom w:val="none" w:sz="0" w:space="0" w:color="auto"/>
            <w:right w:val="none" w:sz="0" w:space="0" w:color="auto"/>
          </w:divBdr>
        </w:div>
      </w:divsChild>
    </w:div>
    <w:div w:id="286007130">
      <w:bodyDiv w:val="1"/>
      <w:marLeft w:val="0"/>
      <w:marRight w:val="0"/>
      <w:marTop w:val="0"/>
      <w:marBottom w:val="0"/>
      <w:divBdr>
        <w:top w:val="none" w:sz="0" w:space="0" w:color="auto"/>
        <w:left w:val="none" w:sz="0" w:space="0" w:color="auto"/>
        <w:bottom w:val="none" w:sz="0" w:space="0" w:color="auto"/>
        <w:right w:val="none" w:sz="0" w:space="0" w:color="auto"/>
      </w:divBdr>
      <w:divsChild>
        <w:div w:id="332071594">
          <w:marLeft w:val="0"/>
          <w:marRight w:val="0"/>
          <w:marTop w:val="0"/>
          <w:marBottom w:val="0"/>
          <w:divBdr>
            <w:top w:val="none" w:sz="0" w:space="0" w:color="auto"/>
            <w:left w:val="none" w:sz="0" w:space="0" w:color="auto"/>
            <w:bottom w:val="none" w:sz="0" w:space="0" w:color="auto"/>
            <w:right w:val="none" w:sz="0" w:space="0" w:color="auto"/>
          </w:divBdr>
        </w:div>
        <w:div w:id="730496272">
          <w:marLeft w:val="0"/>
          <w:marRight w:val="0"/>
          <w:marTop w:val="0"/>
          <w:marBottom w:val="0"/>
          <w:divBdr>
            <w:top w:val="none" w:sz="0" w:space="0" w:color="auto"/>
            <w:left w:val="none" w:sz="0" w:space="0" w:color="auto"/>
            <w:bottom w:val="none" w:sz="0" w:space="0" w:color="auto"/>
            <w:right w:val="none" w:sz="0" w:space="0" w:color="auto"/>
          </w:divBdr>
          <w:divsChild>
            <w:div w:id="1916889223">
              <w:marLeft w:val="0"/>
              <w:marRight w:val="0"/>
              <w:marTop w:val="0"/>
              <w:marBottom w:val="0"/>
              <w:divBdr>
                <w:top w:val="none" w:sz="0" w:space="0" w:color="auto"/>
                <w:left w:val="none" w:sz="0" w:space="0" w:color="auto"/>
                <w:bottom w:val="none" w:sz="0" w:space="0" w:color="auto"/>
                <w:right w:val="none" w:sz="0" w:space="0" w:color="auto"/>
              </w:divBdr>
            </w:div>
          </w:divsChild>
        </w:div>
        <w:div w:id="1428379104">
          <w:marLeft w:val="0"/>
          <w:marRight w:val="0"/>
          <w:marTop w:val="0"/>
          <w:marBottom w:val="0"/>
          <w:divBdr>
            <w:top w:val="none" w:sz="0" w:space="0" w:color="auto"/>
            <w:left w:val="none" w:sz="0" w:space="0" w:color="auto"/>
            <w:bottom w:val="none" w:sz="0" w:space="0" w:color="auto"/>
            <w:right w:val="none" w:sz="0" w:space="0" w:color="auto"/>
          </w:divBdr>
        </w:div>
      </w:divsChild>
    </w:div>
    <w:div w:id="294484642">
      <w:bodyDiv w:val="1"/>
      <w:marLeft w:val="0"/>
      <w:marRight w:val="0"/>
      <w:marTop w:val="0"/>
      <w:marBottom w:val="0"/>
      <w:divBdr>
        <w:top w:val="none" w:sz="0" w:space="0" w:color="auto"/>
        <w:left w:val="none" w:sz="0" w:space="0" w:color="auto"/>
        <w:bottom w:val="none" w:sz="0" w:space="0" w:color="auto"/>
        <w:right w:val="none" w:sz="0" w:space="0" w:color="auto"/>
      </w:divBdr>
      <w:divsChild>
        <w:div w:id="191500181">
          <w:marLeft w:val="605"/>
          <w:marRight w:val="0"/>
          <w:marTop w:val="230"/>
          <w:marBottom w:val="0"/>
          <w:divBdr>
            <w:top w:val="none" w:sz="0" w:space="0" w:color="auto"/>
            <w:left w:val="none" w:sz="0" w:space="0" w:color="auto"/>
            <w:bottom w:val="none" w:sz="0" w:space="0" w:color="auto"/>
            <w:right w:val="none" w:sz="0" w:space="0" w:color="auto"/>
          </w:divBdr>
        </w:div>
        <w:div w:id="1113742802">
          <w:marLeft w:val="605"/>
          <w:marRight w:val="0"/>
          <w:marTop w:val="230"/>
          <w:marBottom w:val="0"/>
          <w:divBdr>
            <w:top w:val="none" w:sz="0" w:space="0" w:color="auto"/>
            <w:left w:val="none" w:sz="0" w:space="0" w:color="auto"/>
            <w:bottom w:val="none" w:sz="0" w:space="0" w:color="auto"/>
            <w:right w:val="none" w:sz="0" w:space="0" w:color="auto"/>
          </w:divBdr>
        </w:div>
        <w:div w:id="1337075942">
          <w:marLeft w:val="605"/>
          <w:marRight w:val="0"/>
          <w:marTop w:val="230"/>
          <w:marBottom w:val="0"/>
          <w:divBdr>
            <w:top w:val="none" w:sz="0" w:space="0" w:color="auto"/>
            <w:left w:val="none" w:sz="0" w:space="0" w:color="auto"/>
            <w:bottom w:val="none" w:sz="0" w:space="0" w:color="auto"/>
            <w:right w:val="none" w:sz="0" w:space="0" w:color="auto"/>
          </w:divBdr>
        </w:div>
        <w:div w:id="1816872411">
          <w:marLeft w:val="605"/>
          <w:marRight w:val="0"/>
          <w:marTop w:val="230"/>
          <w:marBottom w:val="0"/>
          <w:divBdr>
            <w:top w:val="none" w:sz="0" w:space="0" w:color="auto"/>
            <w:left w:val="none" w:sz="0" w:space="0" w:color="auto"/>
            <w:bottom w:val="none" w:sz="0" w:space="0" w:color="auto"/>
            <w:right w:val="none" w:sz="0" w:space="0" w:color="auto"/>
          </w:divBdr>
        </w:div>
        <w:div w:id="1893691978">
          <w:marLeft w:val="605"/>
          <w:marRight w:val="0"/>
          <w:marTop w:val="230"/>
          <w:marBottom w:val="0"/>
          <w:divBdr>
            <w:top w:val="none" w:sz="0" w:space="0" w:color="auto"/>
            <w:left w:val="none" w:sz="0" w:space="0" w:color="auto"/>
            <w:bottom w:val="none" w:sz="0" w:space="0" w:color="auto"/>
            <w:right w:val="none" w:sz="0" w:space="0" w:color="auto"/>
          </w:divBdr>
        </w:div>
      </w:divsChild>
    </w:div>
    <w:div w:id="314534340">
      <w:bodyDiv w:val="1"/>
      <w:marLeft w:val="0"/>
      <w:marRight w:val="0"/>
      <w:marTop w:val="0"/>
      <w:marBottom w:val="0"/>
      <w:divBdr>
        <w:top w:val="none" w:sz="0" w:space="0" w:color="auto"/>
        <w:left w:val="none" w:sz="0" w:space="0" w:color="auto"/>
        <w:bottom w:val="none" w:sz="0" w:space="0" w:color="auto"/>
        <w:right w:val="none" w:sz="0" w:space="0" w:color="auto"/>
      </w:divBdr>
      <w:divsChild>
        <w:div w:id="100221425">
          <w:marLeft w:val="605"/>
          <w:marRight w:val="0"/>
          <w:marTop w:val="211"/>
          <w:marBottom w:val="0"/>
          <w:divBdr>
            <w:top w:val="none" w:sz="0" w:space="0" w:color="auto"/>
            <w:left w:val="none" w:sz="0" w:space="0" w:color="auto"/>
            <w:bottom w:val="none" w:sz="0" w:space="0" w:color="auto"/>
            <w:right w:val="none" w:sz="0" w:space="0" w:color="auto"/>
          </w:divBdr>
        </w:div>
        <w:div w:id="168908575">
          <w:marLeft w:val="605"/>
          <w:marRight w:val="0"/>
          <w:marTop w:val="211"/>
          <w:marBottom w:val="0"/>
          <w:divBdr>
            <w:top w:val="none" w:sz="0" w:space="0" w:color="auto"/>
            <w:left w:val="none" w:sz="0" w:space="0" w:color="auto"/>
            <w:bottom w:val="none" w:sz="0" w:space="0" w:color="auto"/>
            <w:right w:val="none" w:sz="0" w:space="0" w:color="auto"/>
          </w:divBdr>
        </w:div>
        <w:div w:id="441844262">
          <w:marLeft w:val="605"/>
          <w:marRight w:val="0"/>
          <w:marTop w:val="211"/>
          <w:marBottom w:val="0"/>
          <w:divBdr>
            <w:top w:val="none" w:sz="0" w:space="0" w:color="auto"/>
            <w:left w:val="none" w:sz="0" w:space="0" w:color="auto"/>
            <w:bottom w:val="none" w:sz="0" w:space="0" w:color="auto"/>
            <w:right w:val="none" w:sz="0" w:space="0" w:color="auto"/>
          </w:divBdr>
        </w:div>
        <w:div w:id="802381419">
          <w:marLeft w:val="605"/>
          <w:marRight w:val="0"/>
          <w:marTop w:val="211"/>
          <w:marBottom w:val="0"/>
          <w:divBdr>
            <w:top w:val="none" w:sz="0" w:space="0" w:color="auto"/>
            <w:left w:val="none" w:sz="0" w:space="0" w:color="auto"/>
            <w:bottom w:val="none" w:sz="0" w:space="0" w:color="auto"/>
            <w:right w:val="none" w:sz="0" w:space="0" w:color="auto"/>
          </w:divBdr>
        </w:div>
        <w:div w:id="934552260">
          <w:marLeft w:val="605"/>
          <w:marRight w:val="0"/>
          <w:marTop w:val="211"/>
          <w:marBottom w:val="0"/>
          <w:divBdr>
            <w:top w:val="none" w:sz="0" w:space="0" w:color="auto"/>
            <w:left w:val="none" w:sz="0" w:space="0" w:color="auto"/>
            <w:bottom w:val="none" w:sz="0" w:space="0" w:color="auto"/>
            <w:right w:val="none" w:sz="0" w:space="0" w:color="auto"/>
          </w:divBdr>
        </w:div>
        <w:div w:id="1110396897">
          <w:marLeft w:val="605"/>
          <w:marRight w:val="0"/>
          <w:marTop w:val="211"/>
          <w:marBottom w:val="0"/>
          <w:divBdr>
            <w:top w:val="none" w:sz="0" w:space="0" w:color="auto"/>
            <w:left w:val="none" w:sz="0" w:space="0" w:color="auto"/>
            <w:bottom w:val="none" w:sz="0" w:space="0" w:color="auto"/>
            <w:right w:val="none" w:sz="0" w:space="0" w:color="auto"/>
          </w:divBdr>
        </w:div>
        <w:div w:id="1312491042">
          <w:marLeft w:val="605"/>
          <w:marRight w:val="0"/>
          <w:marTop w:val="211"/>
          <w:marBottom w:val="0"/>
          <w:divBdr>
            <w:top w:val="none" w:sz="0" w:space="0" w:color="auto"/>
            <w:left w:val="none" w:sz="0" w:space="0" w:color="auto"/>
            <w:bottom w:val="none" w:sz="0" w:space="0" w:color="auto"/>
            <w:right w:val="none" w:sz="0" w:space="0" w:color="auto"/>
          </w:divBdr>
        </w:div>
        <w:div w:id="1370837825">
          <w:marLeft w:val="605"/>
          <w:marRight w:val="0"/>
          <w:marTop w:val="211"/>
          <w:marBottom w:val="0"/>
          <w:divBdr>
            <w:top w:val="none" w:sz="0" w:space="0" w:color="auto"/>
            <w:left w:val="none" w:sz="0" w:space="0" w:color="auto"/>
            <w:bottom w:val="none" w:sz="0" w:space="0" w:color="auto"/>
            <w:right w:val="none" w:sz="0" w:space="0" w:color="auto"/>
          </w:divBdr>
        </w:div>
        <w:div w:id="1436438099">
          <w:marLeft w:val="605"/>
          <w:marRight w:val="0"/>
          <w:marTop w:val="211"/>
          <w:marBottom w:val="0"/>
          <w:divBdr>
            <w:top w:val="none" w:sz="0" w:space="0" w:color="auto"/>
            <w:left w:val="none" w:sz="0" w:space="0" w:color="auto"/>
            <w:bottom w:val="none" w:sz="0" w:space="0" w:color="auto"/>
            <w:right w:val="none" w:sz="0" w:space="0" w:color="auto"/>
          </w:divBdr>
        </w:div>
        <w:div w:id="1589391270">
          <w:marLeft w:val="605"/>
          <w:marRight w:val="0"/>
          <w:marTop w:val="211"/>
          <w:marBottom w:val="0"/>
          <w:divBdr>
            <w:top w:val="none" w:sz="0" w:space="0" w:color="auto"/>
            <w:left w:val="none" w:sz="0" w:space="0" w:color="auto"/>
            <w:bottom w:val="none" w:sz="0" w:space="0" w:color="auto"/>
            <w:right w:val="none" w:sz="0" w:space="0" w:color="auto"/>
          </w:divBdr>
        </w:div>
        <w:div w:id="1755470838">
          <w:marLeft w:val="605"/>
          <w:marRight w:val="0"/>
          <w:marTop w:val="211"/>
          <w:marBottom w:val="0"/>
          <w:divBdr>
            <w:top w:val="none" w:sz="0" w:space="0" w:color="auto"/>
            <w:left w:val="none" w:sz="0" w:space="0" w:color="auto"/>
            <w:bottom w:val="none" w:sz="0" w:space="0" w:color="auto"/>
            <w:right w:val="none" w:sz="0" w:space="0" w:color="auto"/>
          </w:divBdr>
        </w:div>
        <w:div w:id="1947616398">
          <w:marLeft w:val="605"/>
          <w:marRight w:val="0"/>
          <w:marTop w:val="211"/>
          <w:marBottom w:val="0"/>
          <w:divBdr>
            <w:top w:val="none" w:sz="0" w:space="0" w:color="auto"/>
            <w:left w:val="none" w:sz="0" w:space="0" w:color="auto"/>
            <w:bottom w:val="none" w:sz="0" w:space="0" w:color="auto"/>
            <w:right w:val="none" w:sz="0" w:space="0" w:color="auto"/>
          </w:divBdr>
        </w:div>
        <w:div w:id="1978601987">
          <w:marLeft w:val="605"/>
          <w:marRight w:val="0"/>
          <w:marTop w:val="211"/>
          <w:marBottom w:val="0"/>
          <w:divBdr>
            <w:top w:val="none" w:sz="0" w:space="0" w:color="auto"/>
            <w:left w:val="none" w:sz="0" w:space="0" w:color="auto"/>
            <w:bottom w:val="none" w:sz="0" w:space="0" w:color="auto"/>
            <w:right w:val="none" w:sz="0" w:space="0" w:color="auto"/>
          </w:divBdr>
        </w:div>
      </w:divsChild>
    </w:div>
    <w:div w:id="320232440">
      <w:bodyDiv w:val="1"/>
      <w:marLeft w:val="0"/>
      <w:marRight w:val="0"/>
      <w:marTop w:val="0"/>
      <w:marBottom w:val="0"/>
      <w:divBdr>
        <w:top w:val="none" w:sz="0" w:space="0" w:color="auto"/>
        <w:left w:val="none" w:sz="0" w:space="0" w:color="auto"/>
        <w:bottom w:val="none" w:sz="0" w:space="0" w:color="auto"/>
        <w:right w:val="none" w:sz="0" w:space="0" w:color="auto"/>
      </w:divBdr>
    </w:div>
    <w:div w:id="344212523">
      <w:bodyDiv w:val="1"/>
      <w:marLeft w:val="0"/>
      <w:marRight w:val="0"/>
      <w:marTop w:val="0"/>
      <w:marBottom w:val="0"/>
      <w:divBdr>
        <w:top w:val="none" w:sz="0" w:space="0" w:color="auto"/>
        <w:left w:val="none" w:sz="0" w:space="0" w:color="auto"/>
        <w:bottom w:val="none" w:sz="0" w:space="0" w:color="auto"/>
        <w:right w:val="none" w:sz="0" w:space="0" w:color="auto"/>
      </w:divBdr>
    </w:div>
    <w:div w:id="350038389">
      <w:bodyDiv w:val="1"/>
      <w:marLeft w:val="0"/>
      <w:marRight w:val="0"/>
      <w:marTop w:val="0"/>
      <w:marBottom w:val="0"/>
      <w:divBdr>
        <w:top w:val="none" w:sz="0" w:space="0" w:color="auto"/>
        <w:left w:val="none" w:sz="0" w:space="0" w:color="auto"/>
        <w:bottom w:val="none" w:sz="0" w:space="0" w:color="auto"/>
        <w:right w:val="none" w:sz="0" w:space="0" w:color="auto"/>
      </w:divBdr>
    </w:div>
    <w:div w:id="355690558">
      <w:bodyDiv w:val="1"/>
      <w:marLeft w:val="0"/>
      <w:marRight w:val="0"/>
      <w:marTop w:val="0"/>
      <w:marBottom w:val="0"/>
      <w:divBdr>
        <w:top w:val="none" w:sz="0" w:space="0" w:color="auto"/>
        <w:left w:val="none" w:sz="0" w:space="0" w:color="auto"/>
        <w:bottom w:val="none" w:sz="0" w:space="0" w:color="auto"/>
        <w:right w:val="none" w:sz="0" w:space="0" w:color="auto"/>
      </w:divBdr>
    </w:div>
    <w:div w:id="404300061">
      <w:bodyDiv w:val="1"/>
      <w:marLeft w:val="0"/>
      <w:marRight w:val="0"/>
      <w:marTop w:val="0"/>
      <w:marBottom w:val="0"/>
      <w:divBdr>
        <w:top w:val="none" w:sz="0" w:space="0" w:color="auto"/>
        <w:left w:val="none" w:sz="0" w:space="0" w:color="auto"/>
        <w:bottom w:val="none" w:sz="0" w:space="0" w:color="auto"/>
        <w:right w:val="none" w:sz="0" w:space="0" w:color="auto"/>
      </w:divBdr>
    </w:div>
    <w:div w:id="414743826">
      <w:bodyDiv w:val="1"/>
      <w:marLeft w:val="0"/>
      <w:marRight w:val="0"/>
      <w:marTop w:val="0"/>
      <w:marBottom w:val="0"/>
      <w:divBdr>
        <w:top w:val="none" w:sz="0" w:space="0" w:color="auto"/>
        <w:left w:val="none" w:sz="0" w:space="0" w:color="auto"/>
        <w:bottom w:val="none" w:sz="0" w:space="0" w:color="auto"/>
        <w:right w:val="none" w:sz="0" w:space="0" w:color="auto"/>
      </w:divBdr>
    </w:div>
    <w:div w:id="444468747">
      <w:bodyDiv w:val="1"/>
      <w:marLeft w:val="0"/>
      <w:marRight w:val="0"/>
      <w:marTop w:val="0"/>
      <w:marBottom w:val="0"/>
      <w:divBdr>
        <w:top w:val="none" w:sz="0" w:space="0" w:color="auto"/>
        <w:left w:val="none" w:sz="0" w:space="0" w:color="auto"/>
        <w:bottom w:val="none" w:sz="0" w:space="0" w:color="auto"/>
        <w:right w:val="none" w:sz="0" w:space="0" w:color="auto"/>
      </w:divBdr>
    </w:div>
    <w:div w:id="447816459">
      <w:bodyDiv w:val="1"/>
      <w:marLeft w:val="0"/>
      <w:marRight w:val="0"/>
      <w:marTop w:val="0"/>
      <w:marBottom w:val="0"/>
      <w:divBdr>
        <w:top w:val="none" w:sz="0" w:space="0" w:color="auto"/>
        <w:left w:val="none" w:sz="0" w:space="0" w:color="auto"/>
        <w:bottom w:val="none" w:sz="0" w:space="0" w:color="auto"/>
        <w:right w:val="none" w:sz="0" w:space="0" w:color="auto"/>
      </w:divBdr>
    </w:div>
    <w:div w:id="450782347">
      <w:bodyDiv w:val="1"/>
      <w:marLeft w:val="0"/>
      <w:marRight w:val="0"/>
      <w:marTop w:val="0"/>
      <w:marBottom w:val="0"/>
      <w:divBdr>
        <w:top w:val="none" w:sz="0" w:space="0" w:color="auto"/>
        <w:left w:val="none" w:sz="0" w:space="0" w:color="auto"/>
        <w:bottom w:val="none" w:sz="0" w:space="0" w:color="auto"/>
        <w:right w:val="none" w:sz="0" w:space="0" w:color="auto"/>
      </w:divBdr>
    </w:div>
    <w:div w:id="465588379">
      <w:bodyDiv w:val="1"/>
      <w:marLeft w:val="0"/>
      <w:marRight w:val="0"/>
      <w:marTop w:val="0"/>
      <w:marBottom w:val="0"/>
      <w:divBdr>
        <w:top w:val="none" w:sz="0" w:space="0" w:color="auto"/>
        <w:left w:val="none" w:sz="0" w:space="0" w:color="auto"/>
        <w:bottom w:val="none" w:sz="0" w:space="0" w:color="auto"/>
        <w:right w:val="none" w:sz="0" w:space="0" w:color="auto"/>
      </w:divBdr>
    </w:div>
    <w:div w:id="485516905">
      <w:bodyDiv w:val="1"/>
      <w:marLeft w:val="0"/>
      <w:marRight w:val="0"/>
      <w:marTop w:val="0"/>
      <w:marBottom w:val="0"/>
      <w:divBdr>
        <w:top w:val="none" w:sz="0" w:space="0" w:color="auto"/>
        <w:left w:val="none" w:sz="0" w:space="0" w:color="auto"/>
        <w:bottom w:val="none" w:sz="0" w:space="0" w:color="auto"/>
        <w:right w:val="none" w:sz="0" w:space="0" w:color="auto"/>
      </w:divBdr>
      <w:divsChild>
        <w:div w:id="144710724">
          <w:marLeft w:val="605"/>
          <w:marRight w:val="0"/>
          <w:marTop w:val="230"/>
          <w:marBottom w:val="0"/>
          <w:divBdr>
            <w:top w:val="none" w:sz="0" w:space="0" w:color="auto"/>
            <w:left w:val="none" w:sz="0" w:space="0" w:color="auto"/>
            <w:bottom w:val="none" w:sz="0" w:space="0" w:color="auto"/>
            <w:right w:val="none" w:sz="0" w:space="0" w:color="auto"/>
          </w:divBdr>
        </w:div>
        <w:div w:id="534467787">
          <w:marLeft w:val="605"/>
          <w:marRight w:val="0"/>
          <w:marTop w:val="230"/>
          <w:marBottom w:val="0"/>
          <w:divBdr>
            <w:top w:val="none" w:sz="0" w:space="0" w:color="auto"/>
            <w:left w:val="none" w:sz="0" w:space="0" w:color="auto"/>
            <w:bottom w:val="none" w:sz="0" w:space="0" w:color="auto"/>
            <w:right w:val="none" w:sz="0" w:space="0" w:color="auto"/>
          </w:divBdr>
        </w:div>
        <w:div w:id="1576469548">
          <w:marLeft w:val="605"/>
          <w:marRight w:val="0"/>
          <w:marTop w:val="230"/>
          <w:marBottom w:val="0"/>
          <w:divBdr>
            <w:top w:val="none" w:sz="0" w:space="0" w:color="auto"/>
            <w:left w:val="none" w:sz="0" w:space="0" w:color="auto"/>
            <w:bottom w:val="none" w:sz="0" w:space="0" w:color="auto"/>
            <w:right w:val="none" w:sz="0" w:space="0" w:color="auto"/>
          </w:divBdr>
        </w:div>
        <w:div w:id="1945187110">
          <w:marLeft w:val="605"/>
          <w:marRight w:val="0"/>
          <w:marTop w:val="230"/>
          <w:marBottom w:val="0"/>
          <w:divBdr>
            <w:top w:val="none" w:sz="0" w:space="0" w:color="auto"/>
            <w:left w:val="none" w:sz="0" w:space="0" w:color="auto"/>
            <w:bottom w:val="none" w:sz="0" w:space="0" w:color="auto"/>
            <w:right w:val="none" w:sz="0" w:space="0" w:color="auto"/>
          </w:divBdr>
        </w:div>
        <w:div w:id="1994286288">
          <w:marLeft w:val="605"/>
          <w:marRight w:val="0"/>
          <w:marTop w:val="230"/>
          <w:marBottom w:val="0"/>
          <w:divBdr>
            <w:top w:val="none" w:sz="0" w:space="0" w:color="auto"/>
            <w:left w:val="none" w:sz="0" w:space="0" w:color="auto"/>
            <w:bottom w:val="none" w:sz="0" w:space="0" w:color="auto"/>
            <w:right w:val="none" w:sz="0" w:space="0" w:color="auto"/>
          </w:divBdr>
        </w:div>
      </w:divsChild>
    </w:div>
    <w:div w:id="488248308">
      <w:bodyDiv w:val="1"/>
      <w:marLeft w:val="0"/>
      <w:marRight w:val="0"/>
      <w:marTop w:val="0"/>
      <w:marBottom w:val="0"/>
      <w:divBdr>
        <w:top w:val="none" w:sz="0" w:space="0" w:color="auto"/>
        <w:left w:val="none" w:sz="0" w:space="0" w:color="auto"/>
        <w:bottom w:val="none" w:sz="0" w:space="0" w:color="auto"/>
        <w:right w:val="none" w:sz="0" w:space="0" w:color="auto"/>
      </w:divBdr>
      <w:divsChild>
        <w:div w:id="301662909">
          <w:marLeft w:val="605"/>
          <w:marRight w:val="0"/>
          <w:marTop w:val="230"/>
          <w:marBottom w:val="0"/>
          <w:divBdr>
            <w:top w:val="none" w:sz="0" w:space="0" w:color="auto"/>
            <w:left w:val="none" w:sz="0" w:space="0" w:color="auto"/>
            <w:bottom w:val="none" w:sz="0" w:space="0" w:color="auto"/>
            <w:right w:val="none" w:sz="0" w:space="0" w:color="auto"/>
          </w:divBdr>
        </w:div>
        <w:div w:id="1511797173">
          <w:marLeft w:val="605"/>
          <w:marRight w:val="0"/>
          <w:marTop w:val="230"/>
          <w:marBottom w:val="0"/>
          <w:divBdr>
            <w:top w:val="none" w:sz="0" w:space="0" w:color="auto"/>
            <w:left w:val="none" w:sz="0" w:space="0" w:color="auto"/>
            <w:bottom w:val="none" w:sz="0" w:space="0" w:color="auto"/>
            <w:right w:val="none" w:sz="0" w:space="0" w:color="auto"/>
          </w:divBdr>
        </w:div>
      </w:divsChild>
    </w:div>
    <w:div w:id="505023845">
      <w:bodyDiv w:val="1"/>
      <w:marLeft w:val="0"/>
      <w:marRight w:val="0"/>
      <w:marTop w:val="0"/>
      <w:marBottom w:val="0"/>
      <w:divBdr>
        <w:top w:val="none" w:sz="0" w:space="0" w:color="auto"/>
        <w:left w:val="none" w:sz="0" w:space="0" w:color="auto"/>
        <w:bottom w:val="none" w:sz="0" w:space="0" w:color="auto"/>
        <w:right w:val="none" w:sz="0" w:space="0" w:color="auto"/>
      </w:divBdr>
    </w:div>
    <w:div w:id="507329022">
      <w:bodyDiv w:val="1"/>
      <w:marLeft w:val="0"/>
      <w:marRight w:val="0"/>
      <w:marTop w:val="0"/>
      <w:marBottom w:val="0"/>
      <w:divBdr>
        <w:top w:val="none" w:sz="0" w:space="0" w:color="auto"/>
        <w:left w:val="none" w:sz="0" w:space="0" w:color="auto"/>
        <w:bottom w:val="none" w:sz="0" w:space="0" w:color="auto"/>
        <w:right w:val="none" w:sz="0" w:space="0" w:color="auto"/>
      </w:divBdr>
    </w:div>
    <w:div w:id="618607767">
      <w:bodyDiv w:val="1"/>
      <w:marLeft w:val="0"/>
      <w:marRight w:val="0"/>
      <w:marTop w:val="0"/>
      <w:marBottom w:val="0"/>
      <w:divBdr>
        <w:top w:val="none" w:sz="0" w:space="0" w:color="auto"/>
        <w:left w:val="none" w:sz="0" w:space="0" w:color="auto"/>
        <w:bottom w:val="none" w:sz="0" w:space="0" w:color="auto"/>
        <w:right w:val="none" w:sz="0" w:space="0" w:color="auto"/>
      </w:divBdr>
    </w:div>
    <w:div w:id="637224532">
      <w:bodyDiv w:val="1"/>
      <w:marLeft w:val="0"/>
      <w:marRight w:val="0"/>
      <w:marTop w:val="0"/>
      <w:marBottom w:val="0"/>
      <w:divBdr>
        <w:top w:val="none" w:sz="0" w:space="0" w:color="auto"/>
        <w:left w:val="none" w:sz="0" w:space="0" w:color="auto"/>
        <w:bottom w:val="none" w:sz="0" w:space="0" w:color="auto"/>
        <w:right w:val="none" w:sz="0" w:space="0" w:color="auto"/>
      </w:divBdr>
    </w:div>
    <w:div w:id="650256929">
      <w:bodyDiv w:val="1"/>
      <w:marLeft w:val="0"/>
      <w:marRight w:val="0"/>
      <w:marTop w:val="0"/>
      <w:marBottom w:val="0"/>
      <w:divBdr>
        <w:top w:val="none" w:sz="0" w:space="0" w:color="auto"/>
        <w:left w:val="none" w:sz="0" w:space="0" w:color="auto"/>
        <w:bottom w:val="none" w:sz="0" w:space="0" w:color="auto"/>
        <w:right w:val="none" w:sz="0" w:space="0" w:color="auto"/>
      </w:divBdr>
    </w:div>
    <w:div w:id="677318280">
      <w:bodyDiv w:val="1"/>
      <w:marLeft w:val="0"/>
      <w:marRight w:val="0"/>
      <w:marTop w:val="0"/>
      <w:marBottom w:val="0"/>
      <w:divBdr>
        <w:top w:val="none" w:sz="0" w:space="0" w:color="auto"/>
        <w:left w:val="none" w:sz="0" w:space="0" w:color="auto"/>
        <w:bottom w:val="none" w:sz="0" w:space="0" w:color="auto"/>
        <w:right w:val="none" w:sz="0" w:space="0" w:color="auto"/>
      </w:divBdr>
      <w:divsChild>
        <w:div w:id="101924184">
          <w:marLeft w:val="605"/>
          <w:marRight w:val="0"/>
          <w:marTop w:val="230"/>
          <w:marBottom w:val="0"/>
          <w:divBdr>
            <w:top w:val="none" w:sz="0" w:space="0" w:color="auto"/>
            <w:left w:val="none" w:sz="0" w:space="0" w:color="auto"/>
            <w:bottom w:val="none" w:sz="0" w:space="0" w:color="auto"/>
            <w:right w:val="none" w:sz="0" w:space="0" w:color="auto"/>
          </w:divBdr>
        </w:div>
        <w:div w:id="127210002">
          <w:marLeft w:val="605"/>
          <w:marRight w:val="0"/>
          <w:marTop w:val="230"/>
          <w:marBottom w:val="0"/>
          <w:divBdr>
            <w:top w:val="none" w:sz="0" w:space="0" w:color="auto"/>
            <w:left w:val="none" w:sz="0" w:space="0" w:color="auto"/>
            <w:bottom w:val="none" w:sz="0" w:space="0" w:color="auto"/>
            <w:right w:val="none" w:sz="0" w:space="0" w:color="auto"/>
          </w:divBdr>
        </w:div>
        <w:div w:id="303966865">
          <w:marLeft w:val="605"/>
          <w:marRight w:val="0"/>
          <w:marTop w:val="230"/>
          <w:marBottom w:val="0"/>
          <w:divBdr>
            <w:top w:val="none" w:sz="0" w:space="0" w:color="auto"/>
            <w:left w:val="none" w:sz="0" w:space="0" w:color="auto"/>
            <w:bottom w:val="none" w:sz="0" w:space="0" w:color="auto"/>
            <w:right w:val="none" w:sz="0" w:space="0" w:color="auto"/>
          </w:divBdr>
        </w:div>
        <w:div w:id="329912697">
          <w:marLeft w:val="605"/>
          <w:marRight w:val="0"/>
          <w:marTop w:val="230"/>
          <w:marBottom w:val="0"/>
          <w:divBdr>
            <w:top w:val="none" w:sz="0" w:space="0" w:color="auto"/>
            <w:left w:val="none" w:sz="0" w:space="0" w:color="auto"/>
            <w:bottom w:val="none" w:sz="0" w:space="0" w:color="auto"/>
            <w:right w:val="none" w:sz="0" w:space="0" w:color="auto"/>
          </w:divBdr>
        </w:div>
        <w:div w:id="442502029">
          <w:marLeft w:val="605"/>
          <w:marRight w:val="0"/>
          <w:marTop w:val="230"/>
          <w:marBottom w:val="0"/>
          <w:divBdr>
            <w:top w:val="none" w:sz="0" w:space="0" w:color="auto"/>
            <w:left w:val="none" w:sz="0" w:space="0" w:color="auto"/>
            <w:bottom w:val="none" w:sz="0" w:space="0" w:color="auto"/>
            <w:right w:val="none" w:sz="0" w:space="0" w:color="auto"/>
          </w:divBdr>
        </w:div>
        <w:div w:id="802651347">
          <w:marLeft w:val="605"/>
          <w:marRight w:val="0"/>
          <w:marTop w:val="230"/>
          <w:marBottom w:val="0"/>
          <w:divBdr>
            <w:top w:val="none" w:sz="0" w:space="0" w:color="auto"/>
            <w:left w:val="none" w:sz="0" w:space="0" w:color="auto"/>
            <w:bottom w:val="none" w:sz="0" w:space="0" w:color="auto"/>
            <w:right w:val="none" w:sz="0" w:space="0" w:color="auto"/>
          </w:divBdr>
        </w:div>
        <w:div w:id="865293675">
          <w:marLeft w:val="605"/>
          <w:marRight w:val="0"/>
          <w:marTop w:val="230"/>
          <w:marBottom w:val="0"/>
          <w:divBdr>
            <w:top w:val="none" w:sz="0" w:space="0" w:color="auto"/>
            <w:left w:val="none" w:sz="0" w:space="0" w:color="auto"/>
            <w:bottom w:val="none" w:sz="0" w:space="0" w:color="auto"/>
            <w:right w:val="none" w:sz="0" w:space="0" w:color="auto"/>
          </w:divBdr>
        </w:div>
        <w:div w:id="1305770192">
          <w:marLeft w:val="605"/>
          <w:marRight w:val="0"/>
          <w:marTop w:val="230"/>
          <w:marBottom w:val="0"/>
          <w:divBdr>
            <w:top w:val="none" w:sz="0" w:space="0" w:color="auto"/>
            <w:left w:val="none" w:sz="0" w:space="0" w:color="auto"/>
            <w:bottom w:val="none" w:sz="0" w:space="0" w:color="auto"/>
            <w:right w:val="none" w:sz="0" w:space="0" w:color="auto"/>
          </w:divBdr>
        </w:div>
      </w:divsChild>
    </w:div>
    <w:div w:id="684595802">
      <w:bodyDiv w:val="1"/>
      <w:marLeft w:val="0"/>
      <w:marRight w:val="0"/>
      <w:marTop w:val="0"/>
      <w:marBottom w:val="0"/>
      <w:divBdr>
        <w:top w:val="none" w:sz="0" w:space="0" w:color="auto"/>
        <w:left w:val="none" w:sz="0" w:space="0" w:color="auto"/>
        <w:bottom w:val="none" w:sz="0" w:space="0" w:color="auto"/>
        <w:right w:val="none" w:sz="0" w:space="0" w:color="auto"/>
      </w:divBdr>
    </w:div>
    <w:div w:id="710302440">
      <w:bodyDiv w:val="1"/>
      <w:marLeft w:val="0"/>
      <w:marRight w:val="0"/>
      <w:marTop w:val="0"/>
      <w:marBottom w:val="0"/>
      <w:divBdr>
        <w:top w:val="none" w:sz="0" w:space="0" w:color="auto"/>
        <w:left w:val="none" w:sz="0" w:space="0" w:color="auto"/>
        <w:bottom w:val="none" w:sz="0" w:space="0" w:color="auto"/>
        <w:right w:val="none" w:sz="0" w:space="0" w:color="auto"/>
      </w:divBdr>
    </w:div>
    <w:div w:id="718630368">
      <w:bodyDiv w:val="1"/>
      <w:marLeft w:val="0"/>
      <w:marRight w:val="0"/>
      <w:marTop w:val="0"/>
      <w:marBottom w:val="0"/>
      <w:divBdr>
        <w:top w:val="none" w:sz="0" w:space="0" w:color="auto"/>
        <w:left w:val="none" w:sz="0" w:space="0" w:color="auto"/>
        <w:bottom w:val="none" w:sz="0" w:space="0" w:color="auto"/>
        <w:right w:val="none" w:sz="0" w:space="0" w:color="auto"/>
      </w:divBdr>
      <w:divsChild>
        <w:div w:id="208539520">
          <w:marLeft w:val="605"/>
          <w:marRight w:val="0"/>
          <w:marTop w:val="230"/>
          <w:marBottom w:val="0"/>
          <w:divBdr>
            <w:top w:val="none" w:sz="0" w:space="0" w:color="auto"/>
            <w:left w:val="none" w:sz="0" w:space="0" w:color="auto"/>
            <w:bottom w:val="none" w:sz="0" w:space="0" w:color="auto"/>
            <w:right w:val="none" w:sz="0" w:space="0" w:color="auto"/>
          </w:divBdr>
        </w:div>
        <w:div w:id="240989067">
          <w:marLeft w:val="605"/>
          <w:marRight w:val="0"/>
          <w:marTop w:val="230"/>
          <w:marBottom w:val="0"/>
          <w:divBdr>
            <w:top w:val="none" w:sz="0" w:space="0" w:color="auto"/>
            <w:left w:val="none" w:sz="0" w:space="0" w:color="auto"/>
            <w:bottom w:val="none" w:sz="0" w:space="0" w:color="auto"/>
            <w:right w:val="none" w:sz="0" w:space="0" w:color="auto"/>
          </w:divBdr>
        </w:div>
        <w:div w:id="294484772">
          <w:marLeft w:val="605"/>
          <w:marRight w:val="0"/>
          <w:marTop w:val="230"/>
          <w:marBottom w:val="0"/>
          <w:divBdr>
            <w:top w:val="none" w:sz="0" w:space="0" w:color="auto"/>
            <w:left w:val="none" w:sz="0" w:space="0" w:color="auto"/>
            <w:bottom w:val="none" w:sz="0" w:space="0" w:color="auto"/>
            <w:right w:val="none" w:sz="0" w:space="0" w:color="auto"/>
          </w:divBdr>
        </w:div>
        <w:div w:id="903292368">
          <w:marLeft w:val="605"/>
          <w:marRight w:val="0"/>
          <w:marTop w:val="230"/>
          <w:marBottom w:val="0"/>
          <w:divBdr>
            <w:top w:val="none" w:sz="0" w:space="0" w:color="auto"/>
            <w:left w:val="none" w:sz="0" w:space="0" w:color="auto"/>
            <w:bottom w:val="none" w:sz="0" w:space="0" w:color="auto"/>
            <w:right w:val="none" w:sz="0" w:space="0" w:color="auto"/>
          </w:divBdr>
        </w:div>
        <w:div w:id="988825794">
          <w:marLeft w:val="605"/>
          <w:marRight w:val="0"/>
          <w:marTop w:val="230"/>
          <w:marBottom w:val="0"/>
          <w:divBdr>
            <w:top w:val="none" w:sz="0" w:space="0" w:color="auto"/>
            <w:left w:val="none" w:sz="0" w:space="0" w:color="auto"/>
            <w:bottom w:val="none" w:sz="0" w:space="0" w:color="auto"/>
            <w:right w:val="none" w:sz="0" w:space="0" w:color="auto"/>
          </w:divBdr>
        </w:div>
        <w:div w:id="1118063017">
          <w:marLeft w:val="605"/>
          <w:marRight w:val="0"/>
          <w:marTop w:val="230"/>
          <w:marBottom w:val="0"/>
          <w:divBdr>
            <w:top w:val="none" w:sz="0" w:space="0" w:color="auto"/>
            <w:left w:val="none" w:sz="0" w:space="0" w:color="auto"/>
            <w:bottom w:val="none" w:sz="0" w:space="0" w:color="auto"/>
            <w:right w:val="none" w:sz="0" w:space="0" w:color="auto"/>
          </w:divBdr>
        </w:div>
        <w:div w:id="1445421461">
          <w:marLeft w:val="605"/>
          <w:marRight w:val="0"/>
          <w:marTop w:val="230"/>
          <w:marBottom w:val="0"/>
          <w:divBdr>
            <w:top w:val="none" w:sz="0" w:space="0" w:color="auto"/>
            <w:left w:val="none" w:sz="0" w:space="0" w:color="auto"/>
            <w:bottom w:val="none" w:sz="0" w:space="0" w:color="auto"/>
            <w:right w:val="none" w:sz="0" w:space="0" w:color="auto"/>
          </w:divBdr>
        </w:div>
        <w:div w:id="1731804054">
          <w:marLeft w:val="605"/>
          <w:marRight w:val="0"/>
          <w:marTop w:val="230"/>
          <w:marBottom w:val="0"/>
          <w:divBdr>
            <w:top w:val="none" w:sz="0" w:space="0" w:color="auto"/>
            <w:left w:val="none" w:sz="0" w:space="0" w:color="auto"/>
            <w:bottom w:val="none" w:sz="0" w:space="0" w:color="auto"/>
            <w:right w:val="none" w:sz="0" w:space="0" w:color="auto"/>
          </w:divBdr>
        </w:div>
        <w:div w:id="1989703329">
          <w:marLeft w:val="605"/>
          <w:marRight w:val="0"/>
          <w:marTop w:val="230"/>
          <w:marBottom w:val="0"/>
          <w:divBdr>
            <w:top w:val="none" w:sz="0" w:space="0" w:color="auto"/>
            <w:left w:val="none" w:sz="0" w:space="0" w:color="auto"/>
            <w:bottom w:val="none" w:sz="0" w:space="0" w:color="auto"/>
            <w:right w:val="none" w:sz="0" w:space="0" w:color="auto"/>
          </w:divBdr>
        </w:div>
      </w:divsChild>
    </w:div>
    <w:div w:id="727067292">
      <w:bodyDiv w:val="1"/>
      <w:marLeft w:val="0"/>
      <w:marRight w:val="0"/>
      <w:marTop w:val="0"/>
      <w:marBottom w:val="0"/>
      <w:divBdr>
        <w:top w:val="none" w:sz="0" w:space="0" w:color="auto"/>
        <w:left w:val="none" w:sz="0" w:space="0" w:color="auto"/>
        <w:bottom w:val="none" w:sz="0" w:space="0" w:color="auto"/>
        <w:right w:val="none" w:sz="0" w:space="0" w:color="auto"/>
      </w:divBdr>
      <w:divsChild>
        <w:div w:id="277377553">
          <w:marLeft w:val="605"/>
          <w:marRight w:val="0"/>
          <w:marTop w:val="230"/>
          <w:marBottom w:val="0"/>
          <w:divBdr>
            <w:top w:val="none" w:sz="0" w:space="0" w:color="auto"/>
            <w:left w:val="none" w:sz="0" w:space="0" w:color="auto"/>
            <w:bottom w:val="none" w:sz="0" w:space="0" w:color="auto"/>
            <w:right w:val="none" w:sz="0" w:space="0" w:color="auto"/>
          </w:divBdr>
        </w:div>
        <w:div w:id="478573149">
          <w:marLeft w:val="605"/>
          <w:marRight w:val="0"/>
          <w:marTop w:val="230"/>
          <w:marBottom w:val="0"/>
          <w:divBdr>
            <w:top w:val="none" w:sz="0" w:space="0" w:color="auto"/>
            <w:left w:val="none" w:sz="0" w:space="0" w:color="auto"/>
            <w:bottom w:val="none" w:sz="0" w:space="0" w:color="auto"/>
            <w:right w:val="none" w:sz="0" w:space="0" w:color="auto"/>
          </w:divBdr>
        </w:div>
        <w:div w:id="710809234">
          <w:marLeft w:val="605"/>
          <w:marRight w:val="0"/>
          <w:marTop w:val="230"/>
          <w:marBottom w:val="0"/>
          <w:divBdr>
            <w:top w:val="none" w:sz="0" w:space="0" w:color="auto"/>
            <w:left w:val="none" w:sz="0" w:space="0" w:color="auto"/>
            <w:bottom w:val="none" w:sz="0" w:space="0" w:color="auto"/>
            <w:right w:val="none" w:sz="0" w:space="0" w:color="auto"/>
          </w:divBdr>
        </w:div>
        <w:div w:id="733896228">
          <w:marLeft w:val="605"/>
          <w:marRight w:val="0"/>
          <w:marTop w:val="230"/>
          <w:marBottom w:val="0"/>
          <w:divBdr>
            <w:top w:val="none" w:sz="0" w:space="0" w:color="auto"/>
            <w:left w:val="none" w:sz="0" w:space="0" w:color="auto"/>
            <w:bottom w:val="none" w:sz="0" w:space="0" w:color="auto"/>
            <w:right w:val="none" w:sz="0" w:space="0" w:color="auto"/>
          </w:divBdr>
        </w:div>
        <w:div w:id="1352487056">
          <w:marLeft w:val="605"/>
          <w:marRight w:val="0"/>
          <w:marTop w:val="230"/>
          <w:marBottom w:val="0"/>
          <w:divBdr>
            <w:top w:val="none" w:sz="0" w:space="0" w:color="auto"/>
            <w:left w:val="none" w:sz="0" w:space="0" w:color="auto"/>
            <w:bottom w:val="none" w:sz="0" w:space="0" w:color="auto"/>
            <w:right w:val="none" w:sz="0" w:space="0" w:color="auto"/>
          </w:divBdr>
        </w:div>
        <w:div w:id="1357346287">
          <w:marLeft w:val="605"/>
          <w:marRight w:val="0"/>
          <w:marTop w:val="230"/>
          <w:marBottom w:val="0"/>
          <w:divBdr>
            <w:top w:val="none" w:sz="0" w:space="0" w:color="auto"/>
            <w:left w:val="none" w:sz="0" w:space="0" w:color="auto"/>
            <w:bottom w:val="none" w:sz="0" w:space="0" w:color="auto"/>
            <w:right w:val="none" w:sz="0" w:space="0" w:color="auto"/>
          </w:divBdr>
        </w:div>
        <w:div w:id="1499006541">
          <w:marLeft w:val="605"/>
          <w:marRight w:val="0"/>
          <w:marTop w:val="230"/>
          <w:marBottom w:val="0"/>
          <w:divBdr>
            <w:top w:val="none" w:sz="0" w:space="0" w:color="auto"/>
            <w:left w:val="none" w:sz="0" w:space="0" w:color="auto"/>
            <w:bottom w:val="none" w:sz="0" w:space="0" w:color="auto"/>
            <w:right w:val="none" w:sz="0" w:space="0" w:color="auto"/>
          </w:divBdr>
        </w:div>
        <w:div w:id="1628320357">
          <w:marLeft w:val="605"/>
          <w:marRight w:val="0"/>
          <w:marTop w:val="230"/>
          <w:marBottom w:val="0"/>
          <w:divBdr>
            <w:top w:val="none" w:sz="0" w:space="0" w:color="auto"/>
            <w:left w:val="none" w:sz="0" w:space="0" w:color="auto"/>
            <w:bottom w:val="none" w:sz="0" w:space="0" w:color="auto"/>
            <w:right w:val="none" w:sz="0" w:space="0" w:color="auto"/>
          </w:divBdr>
        </w:div>
        <w:div w:id="1748573256">
          <w:marLeft w:val="605"/>
          <w:marRight w:val="0"/>
          <w:marTop w:val="230"/>
          <w:marBottom w:val="0"/>
          <w:divBdr>
            <w:top w:val="none" w:sz="0" w:space="0" w:color="auto"/>
            <w:left w:val="none" w:sz="0" w:space="0" w:color="auto"/>
            <w:bottom w:val="none" w:sz="0" w:space="0" w:color="auto"/>
            <w:right w:val="none" w:sz="0" w:space="0" w:color="auto"/>
          </w:divBdr>
        </w:div>
        <w:div w:id="2044361774">
          <w:marLeft w:val="605"/>
          <w:marRight w:val="0"/>
          <w:marTop w:val="230"/>
          <w:marBottom w:val="0"/>
          <w:divBdr>
            <w:top w:val="none" w:sz="0" w:space="0" w:color="auto"/>
            <w:left w:val="none" w:sz="0" w:space="0" w:color="auto"/>
            <w:bottom w:val="none" w:sz="0" w:space="0" w:color="auto"/>
            <w:right w:val="none" w:sz="0" w:space="0" w:color="auto"/>
          </w:divBdr>
        </w:div>
      </w:divsChild>
    </w:div>
    <w:div w:id="729108934">
      <w:bodyDiv w:val="1"/>
      <w:marLeft w:val="0"/>
      <w:marRight w:val="0"/>
      <w:marTop w:val="0"/>
      <w:marBottom w:val="0"/>
      <w:divBdr>
        <w:top w:val="none" w:sz="0" w:space="0" w:color="auto"/>
        <w:left w:val="none" w:sz="0" w:space="0" w:color="auto"/>
        <w:bottom w:val="none" w:sz="0" w:space="0" w:color="auto"/>
        <w:right w:val="none" w:sz="0" w:space="0" w:color="auto"/>
      </w:divBdr>
      <w:divsChild>
        <w:div w:id="1528059688">
          <w:marLeft w:val="0"/>
          <w:marRight w:val="0"/>
          <w:marTop w:val="0"/>
          <w:marBottom w:val="0"/>
          <w:divBdr>
            <w:top w:val="none" w:sz="0" w:space="0" w:color="auto"/>
            <w:left w:val="none" w:sz="0" w:space="0" w:color="auto"/>
            <w:bottom w:val="none" w:sz="0" w:space="0" w:color="auto"/>
            <w:right w:val="none" w:sz="0" w:space="0" w:color="auto"/>
          </w:divBdr>
        </w:div>
        <w:div w:id="848909579">
          <w:marLeft w:val="0"/>
          <w:marRight w:val="0"/>
          <w:marTop w:val="0"/>
          <w:marBottom w:val="0"/>
          <w:divBdr>
            <w:top w:val="none" w:sz="0" w:space="0" w:color="auto"/>
            <w:left w:val="none" w:sz="0" w:space="0" w:color="auto"/>
            <w:bottom w:val="none" w:sz="0" w:space="0" w:color="auto"/>
            <w:right w:val="none" w:sz="0" w:space="0" w:color="auto"/>
          </w:divBdr>
        </w:div>
      </w:divsChild>
    </w:div>
    <w:div w:id="732194539">
      <w:bodyDiv w:val="1"/>
      <w:marLeft w:val="0"/>
      <w:marRight w:val="0"/>
      <w:marTop w:val="0"/>
      <w:marBottom w:val="0"/>
      <w:divBdr>
        <w:top w:val="none" w:sz="0" w:space="0" w:color="auto"/>
        <w:left w:val="none" w:sz="0" w:space="0" w:color="auto"/>
        <w:bottom w:val="none" w:sz="0" w:space="0" w:color="auto"/>
        <w:right w:val="none" w:sz="0" w:space="0" w:color="auto"/>
      </w:divBdr>
    </w:div>
    <w:div w:id="764618105">
      <w:bodyDiv w:val="1"/>
      <w:marLeft w:val="0"/>
      <w:marRight w:val="0"/>
      <w:marTop w:val="0"/>
      <w:marBottom w:val="0"/>
      <w:divBdr>
        <w:top w:val="none" w:sz="0" w:space="0" w:color="auto"/>
        <w:left w:val="none" w:sz="0" w:space="0" w:color="auto"/>
        <w:bottom w:val="none" w:sz="0" w:space="0" w:color="auto"/>
        <w:right w:val="none" w:sz="0" w:space="0" w:color="auto"/>
      </w:divBdr>
    </w:div>
    <w:div w:id="779955063">
      <w:bodyDiv w:val="1"/>
      <w:marLeft w:val="0"/>
      <w:marRight w:val="0"/>
      <w:marTop w:val="0"/>
      <w:marBottom w:val="0"/>
      <w:divBdr>
        <w:top w:val="none" w:sz="0" w:space="0" w:color="auto"/>
        <w:left w:val="none" w:sz="0" w:space="0" w:color="auto"/>
        <w:bottom w:val="none" w:sz="0" w:space="0" w:color="auto"/>
        <w:right w:val="none" w:sz="0" w:space="0" w:color="auto"/>
      </w:divBdr>
    </w:div>
    <w:div w:id="800269628">
      <w:bodyDiv w:val="1"/>
      <w:marLeft w:val="0"/>
      <w:marRight w:val="0"/>
      <w:marTop w:val="0"/>
      <w:marBottom w:val="0"/>
      <w:divBdr>
        <w:top w:val="none" w:sz="0" w:space="0" w:color="auto"/>
        <w:left w:val="none" w:sz="0" w:space="0" w:color="auto"/>
        <w:bottom w:val="none" w:sz="0" w:space="0" w:color="auto"/>
        <w:right w:val="none" w:sz="0" w:space="0" w:color="auto"/>
      </w:divBdr>
    </w:div>
    <w:div w:id="842935021">
      <w:bodyDiv w:val="1"/>
      <w:marLeft w:val="0"/>
      <w:marRight w:val="0"/>
      <w:marTop w:val="0"/>
      <w:marBottom w:val="0"/>
      <w:divBdr>
        <w:top w:val="none" w:sz="0" w:space="0" w:color="auto"/>
        <w:left w:val="none" w:sz="0" w:space="0" w:color="auto"/>
        <w:bottom w:val="none" w:sz="0" w:space="0" w:color="auto"/>
        <w:right w:val="none" w:sz="0" w:space="0" w:color="auto"/>
      </w:divBdr>
    </w:div>
    <w:div w:id="846676562">
      <w:bodyDiv w:val="1"/>
      <w:marLeft w:val="0"/>
      <w:marRight w:val="0"/>
      <w:marTop w:val="0"/>
      <w:marBottom w:val="0"/>
      <w:divBdr>
        <w:top w:val="none" w:sz="0" w:space="0" w:color="auto"/>
        <w:left w:val="none" w:sz="0" w:space="0" w:color="auto"/>
        <w:bottom w:val="none" w:sz="0" w:space="0" w:color="auto"/>
        <w:right w:val="none" w:sz="0" w:space="0" w:color="auto"/>
      </w:divBdr>
      <w:divsChild>
        <w:div w:id="1220164825">
          <w:marLeft w:val="605"/>
          <w:marRight w:val="0"/>
          <w:marTop w:val="230"/>
          <w:marBottom w:val="0"/>
          <w:divBdr>
            <w:top w:val="none" w:sz="0" w:space="0" w:color="auto"/>
            <w:left w:val="none" w:sz="0" w:space="0" w:color="auto"/>
            <w:bottom w:val="none" w:sz="0" w:space="0" w:color="auto"/>
            <w:right w:val="none" w:sz="0" w:space="0" w:color="auto"/>
          </w:divBdr>
        </w:div>
        <w:div w:id="1660452597">
          <w:marLeft w:val="605"/>
          <w:marRight w:val="0"/>
          <w:marTop w:val="230"/>
          <w:marBottom w:val="0"/>
          <w:divBdr>
            <w:top w:val="none" w:sz="0" w:space="0" w:color="auto"/>
            <w:left w:val="none" w:sz="0" w:space="0" w:color="auto"/>
            <w:bottom w:val="none" w:sz="0" w:space="0" w:color="auto"/>
            <w:right w:val="none" w:sz="0" w:space="0" w:color="auto"/>
          </w:divBdr>
        </w:div>
      </w:divsChild>
    </w:div>
    <w:div w:id="861476750">
      <w:bodyDiv w:val="1"/>
      <w:marLeft w:val="0"/>
      <w:marRight w:val="0"/>
      <w:marTop w:val="0"/>
      <w:marBottom w:val="0"/>
      <w:divBdr>
        <w:top w:val="none" w:sz="0" w:space="0" w:color="auto"/>
        <w:left w:val="none" w:sz="0" w:space="0" w:color="auto"/>
        <w:bottom w:val="none" w:sz="0" w:space="0" w:color="auto"/>
        <w:right w:val="none" w:sz="0" w:space="0" w:color="auto"/>
      </w:divBdr>
    </w:div>
    <w:div w:id="866336687">
      <w:bodyDiv w:val="1"/>
      <w:marLeft w:val="0"/>
      <w:marRight w:val="0"/>
      <w:marTop w:val="0"/>
      <w:marBottom w:val="0"/>
      <w:divBdr>
        <w:top w:val="none" w:sz="0" w:space="0" w:color="auto"/>
        <w:left w:val="none" w:sz="0" w:space="0" w:color="auto"/>
        <w:bottom w:val="none" w:sz="0" w:space="0" w:color="auto"/>
        <w:right w:val="none" w:sz="0" w:space="0" w:color="auto"/>
      </w:divBdr>
    </w:div>
    <w:div w:id="866531372">
      <w:bodyDiv w:val="1"/>
      <w:marLeft w:val="0"/>
      <w:marRight w:val="0"/>
      <w:marTop w:val="0"/>
      <w:marBottom w:val="0"/>
      <w:divBdr>
        <w:top w:val="none" w:sz="0" w:space="0" w:color="auto"/>
        <w:left w:val="none" w:sz="0" w:space="0" w:color="auto"/>
        <w:bottom w:val="none" w:sz="0" w:space="0" w:color="auto"/>
        <w:right w:val="none" w:sz="0" w:space="0" w:color="auto"/>
      </w:divBdr>
    </w:div>
    <w:div w:id="868226319">
      <w:bodyDiv w:val="1"/>
      <w:marLeft w:val="0"/>
      <w:marRight w:val="0"/>
      <w:marTop w:val="0"/>
      <w:marBottom w:val="0"/>
      <w:divBdr>
        <w:top w:val="none" w:sz="0" w:space="0" w:color="auto"/>
        <w:left w:val="none" w:sz="0" w:space="0" w:color="auto"/>
        <w:bottom w:val="none" w:sz="0" w:space="0" w:color="auto"/>
        <w:right w:val="none" w:sz="0" w:space="0" w:color="auto"/>
      </w:divBdr>
      <w:divsChild>
        <w:div w:id="331033869">
          <w:marLeft w:val="605"/>
          <w:marRight w:val="0"/>
          <w:marTop w:val="221"/>
          <w:marBottom w:val="0"/>
          <w:divBdr>
            <w:top w:val="none" w:sz="0" w:space="0" w:color="auto"/>
            <w:left w:val="none" w:sz="0" w:space="0" w:color="auto"/>
            <w:bottom w:val="none" w:sz="0" w:space="0" w:color="auto"/>
            <w:right w:val="none" w:sz="0" w:space="0" w:color="auto"/>
          </w:divBdr>
        </w:div>
        <w:div w:id="1092357035">
          <w:marLeft w:val="605"/>
          <w:marRight w:val="0"/>
          <w:marTop w:val="221"/>
          <w:marBottom w:val="0"/>
          <w:divBdr>
            <w:top w:val="none" w:sz="0" w:space="0" w:color="auto"/>
            <w:left w:val="none" w:sz="0" w:space="0" w:color="auto"/>
            <w:bottom w:val="none" w:sz="0" w:space="0" w:color="auto"/>
            <w:right w:val="none" w:sz="0" w:space="0" w:color="auto"/>
          </w:divBdr>
        </w:div>
        <w:div w:id="2013486318">
          <w:marLeft w:val="605"/>
          <w:marRight w:val="0"/>
          <w:marTop w:val="221"/>
          <w:marBottom w:val="0"/>
          <w:divBdr>
            <w:top w:val="none" w:sz="0" w:space="0" w:color="auto"/>
            <w:left w:val="none" w:sz="0" w:space="0" w:color="auto"/>
            <w:bottom w:val="none" w:sz="0" w:space="0" w:color="auto"/>
            <w:right w:val="none" w:sz="0" w:space="0" w:color="auto"/>
          </w:divBdr>
        </w:div>
      </w:divsChild>
    </w:div>
    <w:div w:id="875461694">
      <w:bodyDiv w:val="1"/>
      <w:marLeft w:val="0"/>
      <w:marRight w:val="0"/>
      <w:marTop w:val="0"/>
      <w:marBottom w:val="0"/>
      <w:divBdr>
        <w:top w:val="none" w:sz="0" w:space="0" w:color="auto"/>
        <w:left w:val="none" w:sz="0" w:space="0" w:color="auto"/>
        <w:bottom w:val="none" w:sz="0" w:space="0" w:color="auto"/>
        <w:right w:val="none" w:sz="0" w:space="0" w:color="auto"/>
      </w:divBdr>
      <w:divsChild>
        <w:div w:id="1122770139">
          <w:marLeft w:val="605"/>
          <w:marRight w:val="0"/>
          <w:marTop w:val="230"/>
          <w:marBottom w:val="0"/>
          <w:divBdr>
            <w:top w:val="none" w:sz="0" w:space="0" w:color="auto"/>
            <w:left w:val="none" w:sz="0" w:space="0" w:color="auto"/>
            <w:bottom w:val="none" w:sz="0" w:space="0" w:color="auto"/>
            <w:right w:val="none" w:sz="0" w:space="0" w:color="auto"/>
          </w:divBdr>
        </w:div>
        <w:div w:id="2118327216">
          <w:marLeft w:val="605"/>
          <w:marRight w:val="0"/>
          <w:marTop w:val="230"/>
          <w:marBottom w:val="0"/>
          <w:divBdr>
            <w:top w:val="none" w:sz="0" w:space="0" w:color="auto"/>
            <w:left w:val="none" w:sz="0" w:space="0" w:color="auto"/>
            <w:bottom w:val="none" w:sz="0" w:space="0" w:color="auto"/>
            <w:right w:val="none" w:sz="0" w:space="0" w:color="auto"/>
          </w:divBdr>
        </w:div>
      </w:divsChild>
    </w:div>
    <w:div w:id="919800894">
      <w:bodyDiv w:val="1"/>
      <w:marLeft w:val="0"/>
      <w:marRight w:val="0"/>
      <w:marTop w:val="0"/>
      <w:marBottom w:val="0"/>
      <w:divBdr>
        <w:top w:val="none" w:sz="0" w:space="0" w:color="auto"/>
        <w:left w:val="none" w:sz="0" w:space="0" w:color="auto"/>
        <w:bottom w:val="none" w:sz="0" w:space="0" w:color="auto"/>
        <w:right w:val="none" w:sz="0" w:space="0" w:color="auto"/>
      </w:divBdr>
    </w:div>
    <w:div w:id="948046044">
      <w:bodyDiv w:val="1"/>
      <w:marLeft w:val="0"/>
      <w:marRight w:val="0"/>
      <w:marTop w:val="0"/>
      <w:marBottom w:val="0"/>
      <w:divBdr>
        <w:top w:val="none" w:sz="0" w:space="0" w:color="auto"/>
        <w:left w:val="none" w:sz="0" w:space="0" w:color="auto"/>
        <w:bottom w:val="none" w:sz="0" w:space="0" w:color="auto"/>
        <w:right w:val="none" w:sz="0" w:space="0" w:color="auto"/>
      </w:divBdr>
      <w:divsChild>
        <w:div w:id="1105689412">
          <w:marLeft w:val="605"/>
          <w:marRight w:val="0"/>
          <w:marTop w:val="269"/>
          <w:marBottom w:val="0"/>
          <w:divBdr>
            <w:top w:val="none" w:sz="0" w:space="0" w:color="auto"/>
            <w:left w:val="none" w:sz="0" w:space="0" w:color="auto"/>
            <w:bottom w:val="none" w:sz="0" w:space="0" w:color="auto"/>
            <w:right w:val="none" w:sz="0" w:space="0" w:color="auto"/>
          </w:divBdr>
        </w:div>
        <w:div w:id="1248227357">
          <w:marLeft w:val="605"/>
          <w:marRight w:val="0"/>
          <w:marTop w:val="269"/>
          <w:marBottom w:val="0"/>
          <w:divBdr>
            <w:top w:val="none" w:sz="0" w:space="0" w:color="auto"/>
            <w:left w:val="none" w:sz="0" w:space="0" w:color="auto"/>
            <w:bottom w:val="none" w:sz="0" w:space="0" w:color="auto"/>
            <w:right w:val="none" w:sz="0" w:space="0" w:color="auto"/>
          </w:divBdr>
        </w:div>
        <w:div w:id="2106725931">
          <w:marLeft w:val="605"/>
          <w:marRight w:val="0"/>
          <w:marTop w:val="269"/>
          <w:marBottom w:val="0"/>
          <w:divBdr>
            <w:top w:val="none" w:sz="0" w:space="0" w:color="auto"/>
            <w:left w:val="none" w:sz="0" w:space="0" w:color="auto"/>
            <w:bottom w:val="none" w:sz="0" w:space="0" w:color="auto"/>
            <w:right w:val="none" w:sz="0" w:space="0" w:color="auto"/>
          </w:divBdr>
        </w:div>
      </w:divsChild>
    </w:div>
    <w:div w:id="948706772">
      <w:bodyDiv w:val="1"/>
      <w:marLeft w:val="0"/>
      <w:marRight w:val="0"/>
      <w:marTop w:val="0"/>
      <w:marBottom w:val="0"/>
      <w:divBdr>
        <w:top w:val="none" w:sz="0" w:space="0" w:color="auto"/>
        <w:left w:val="none" w:sz="0" w:space="0" w:color="auto"/>
        <w:bottom w:val="none" w:sz="0" w:space="0" w:color="auto"/>
        <w:right w:val="none" w:sz="0" w:space="0" w:color="auto"/>
      </w:divBdr>
      <w:divsChild>
        <w:div w:id="365954513">
          <w:marLeft w:val="605"/>
          <w:marRight w:val="0"/>
          <w:marTop w:val="230"/>
          <w:marBottom w:val="0"/>
          <w:divBdr>
            <w:top w:val="none" w:sz="0" w:space="0" w:color="auto"/>
            <w:left w:val="none" w:sz="0" w:space="0" w:color="auto"/>
            <w:bottom w:val="none" w:sz="0" w:space="0" w:color="auto"/>
            <w:right w:val="none" w:sz="0" w:space="0" w:color="auto"/>
          </w:divBdr>
        </w:div>
        <w:div w:id="665288350">
          <w:marLeft w:val="605"/>
          <w:marRight w:val="0"/>
          <w:marTop w:val="230"/>
          <w:marBottom w:val="0"/>
          <w:divBdr>
            <w:top w:val="none" w:sz="0" w:space="0" w:color="auto"/>
            <w:left w:val="none" w:sz="0" w:space="0" w:color="auto"/>
            <w:bottom w:val="none" w:sz="0" w:space="0" w:color="auto"/>
            <w:right w:val="none" w:sz="0" w:space="0" w:color="auto"/>
          </w:divBdr>
        </w:div>
        <w:div w:id="761681559">
          <w:marLeft w:val="605"/>
          <w:marRight w:val="0"/>
          <w:marTop w:val="230"/>
          <w:marBottom w:val="0"/>
          <w:divBdr>
            <w:top w:val="none" w:sz="0" w:space="0" w:color="auto"/>
            <w:left w:val="none" w:sz="0" w:space="0" w:color="auto"/>
            <w:bottom w:val="none" w:sz="0" w:space="0" w:color="auto"/>
            <w:right w:val="none" w:sz="0" w:space="0" w:color="auto"/>
          </w:divBdr>
        </w:div>
        <w:div w:id="807472207">
          <w:marLeft w:val="605"/>
          <w:marRight w:val="0"/>
          <w:marTop w:val="230"/>
          <w:marBottom w:val="0"/>
          <w:divBdr>
            <w:top w:val="none" w:sz="0" w:space="0" w:color="auto"/>
            <w:left w:val="none" w:sz="0" w:space="0" w:color="auto"/>
            <w:bottom w:val="none" w:sz="0" w:space="0" w:color="auto"/>
            <w:right w:val="none" w:sz="0" w:space="0" w:color="auto"/>
          </w:divBdr>
        </w:div>
        <w:div w:id="870265529">
          <w:marLeft w:val="605"/>
          <w:marRight w:val="0"/>
          <w:marTop w:val="230"/>
          <w:marBottom w:val="0"/>
          <w:divBdr>
            <w:top w:val="none" w:sz="0" w:space="0" w:color="auto"/>
            <w:left w:val="none" w:sz="0" w:space="0" w:color="auto"/>
            <w:bottom w:val="none" w:sz="0" w:space="0" w:color="auto"/>
            <w:right w:val="none" w:sz="0" w:space="0" w:color="auto"/>
          </w:divBdr>
        </w:div>
        <w:div w:id="1030766848">
          <w:marLeft w:val="605"/>
          <w:marRight w:val="0"/>
          <w:marTop w:val="230"/>
          <w:marBottom w:val="0"/>
          <w:divBdr>
            <w:top w:val="none" w:sz="0" w:space="0" w:color="auto"/>
            <w:left w:val="none" w:sz="0" w:space="0" w:color="auto"/>
            <w:bottom w:val="none" w:sz="0" w:space="0" w:color="auto"/>
            <w:right w:val="none" w:sz="0" w:space="0" w:color="auto"/>
          </w:divBdr>
        </w:div>
        <w:div w:id="1037658889">
          <w:marLeft w:val="605"/>
          <w:marRight w:val="0"/>
          <w:marTop w:val="230"/>
          <w:marBottom w:val="0"/>
          <w:divBdr>
            <w:top w:val="none" w:sz="0" w:space="0" w:color="auto"/>
            <w:left w:val="none" w:sz="0" w:space="0" w:color="auto"/>
            <w:bottom w:val="none" w:sz="0" w:space="0" w:color="auto"/>
            <w:right w:val="none" w:sz="0" w:space="0" w:color="auto"/>
          </w:divBdr>
        </w:div>
        <w:div w:id="1131824335">
          <w:marLeft w:val="605"/>
          <w:marRight w:val="0"/>
          <w:marTop w:val="230"/>
          <w:marBottom w:val="0"/>
          <w:divBdr>
            <w:top w:val="none" w:sz="0" w:space="0" w:color="auto"/>
            <w:left w:val="none" w:sz="0" w:space="0" w:color="auto"/>
            <w:bottom w:val="none" w:sz="0" w:space="0" w:color="auto"/>
            <w:right w:val="none" w:sz="0" w:space="0" w:color="auto"/>
          </w:divBdr>
        </w:div>
      </w:divsChild>
    </w:div>
    <w:div w:id="952632112">
      <w:bodyDiv w:val="1"/>
      <w:marLeft w:val="0"/>
      <w:marRight w:val="0"/>
      <w:marTop w:val="0"/>
      <w:marBottom w:val="0"/>
      <w:divBdr>
        <w:top w:val="none" w:sz="0" w:space="0" w:color="auto"/>
        <w:left w:val="none" w:sz="0" w:space="0" w:color="auto"/>
        <w:bottom w:val="none" w:sz="0" w:space="0" w:color="auto"/>
        <w:right w:val="none" w:sz="0" w:space="0" w:color="auto"/>
      </w:divBdr>
      <w:divsChild>
        <w:div w:id="34162839">
          <w:marLeft w:val="605"/>
          <w:marRight w:val="0"/>
          <w:marTop w:val="269"/>
          <w:marBottom w:val="0"/>
          <w:divBdr>
            <w:top w:val="none" w:sz="0" w:space="0" w:color="auto"/>
            <w:left w:val="none" w:sz="0" w:space="0" w:color="auto"/>
            <w:bottom w:val="none" w:sz="0" w:space="0" w:color="auto"/>
            <w:right w:val="none" w:sz="0" w:space="0" w:color="auto"/>
          </w:divBdr>
        </w:div>
        <w:div w:id="96756742">
          <w:marLeft w:val="605"/>
          <w:marRight w:val="0"/>
          <w:marTop w:val="269"/>
          <w:marBottom w:val="0"/>
          <w:divBdr>
            <w:top w:val="none" w:sz="0" w:space="0" w:color="auto"/>
            <w:left w:val="none" w:sz="0" w:space="0" w:color="auto"/>
            <w:bottom w:val="none" w:sz="0" w:space="0" w:color="auto"/>
            <w:right w:val="none" w:sz="0" w:space="0" w:color="auto"/>
          </w:divBdr>
        </w:div>
        <w:div w:id="262149997">
          <w:marLeft w:val="605"/>
          <w:marRight w:val="0"/>
          <w:marTop w:val="269"/>
          <w:marBottom w:val="0"/>
          <w:divBdr>
            <w:top w:val="none" w:sz="0" w:space="0" w:color="auto"/>
            <w:left w:val="none" w:sz="0" w:space="0" w:color="auto"/>
            <w:bottom w:val="none" w:sz="0" w:space="0" w:color="auto"/>
            <w:right w:val="none" w:sz="0" w:space="0" w:color="auto"/>
          </w:divBdr>
        </w:div>
        <w:div w:id="702708821">
          <w:marLeft w:val="605"/>
          <w:marRight w:val="0"/>
          <w:marTop w:val="269"/>
          <w:marBottom w:val="0"/>
          <w:divBdr>
            <w:top w:val="none" w:sz="0" w:space="0" w:color="auto"/>
            <w:left w:val="none" w:sz="0" w:space="0" w:color="auto"/>
            <w:bottom w:val="none" w:sz="0" w:space="0" w:color="auto"/>
            <w:right w:val="none" w:sz="0" w:space="0" w:color="auto"/>
          </w:divBdr>
        </w:div>
        <w:div w:id="1062293656">
          <w:marLeft w:val="605"/>
          <w:marRight w:val="0"/>
          <w:marTop w:val="269"/>
          <w:marBottom w:val="0"/>
          <w:divBdr>
            <w:top w:val="none" w:sz="0" w:space="0" w:color="auto"/>
            <w:left w:val="none" w:sz="0" w:space="0" w:color="auto"/>
            <w:bottom w:val="none" w:sz="0" w:space="0" w:color="auto"/>
            <w:right w:val="none" w:sz="0" w:space="0" w:color="auto"/>
          </w:divBdr>
        </w:div>
        <w:div w:id="1432896220">
          <w:marLeft w:val="605"/>
          <w:marRight w:val="0"/>
          <w:marTop w:val="269"/>
          <w:marBottom w:val="0"/>
          <w:divBdr>
            <w:top w:val="none" w:sz="0" w:space="0" w:color="auto"/>
            <w:left w:val="none" w:sz="0" w:space="0" w:color="auto"/>
            <w:bottom w:val="none" w:sz="0" w:space="0" w:color="auto"/>
            <w:right w:val="none" w:sz="0" w:space="0" w:color="auto"/>
          </w:divBdr>
        </w:div>
        <w:div w:id="1860387332">
          <w:marLeft w:val="605"/>
          <w:marRight w:val="0"/>
          <w:marTop w:val="269"/>
          <w:marBottom w:val="0"/>
          <w:divBdr>
            <w:top w:val="none" w:sz="0" w:space="0" w:color="auto"/>
            <w:left w:val="none" w:sz="0" w:space="0" w:color="auto"/>
            <w:bottom w:val="none" w:sz="0" w:space="0" w:color="auto"/>
            <w:right w:val="none" w:sz="0" w:space="0" w:color="auto"/>
          </w:divBdr>
        </w:div>
      </w:divsChild>
    </w:div>
    <w:div w:id="968509734">
      <w:bodyDiv w:val="1"/>
      <w:marLeft w:val="0"/>
      <w:marRight w:val="0"/>
      <w:marTop w:val="0"/>
      <w:marBottom w:val="0"/>
      <w:divBdr>
        <w:top w:val="none" w:sz="0" w:space="0" w:color="auto"/>
        <w:left w:val="none" w:sz="0" w:space="0" w:color="auto"/>
        <w:bottom w:val="none" w:sz="0" w:space="0" w:color="auto"/>
        <w:right w:val="none" w:sz="0" w:space="0" w:color="auto"/>
      </w:divBdr>
      <w:divsChild>
        <w:div w:id="62224711">
          <w:marLeft w:val="547"/>
          <w:marRight w:val="0"/>
          <w:marTop w:val="0"/>
          <w:marBottom w:val="0"/>
          <w:divBdr>
            <w:top w:val="none" w:sz="0" w:space="0" w:color="auto"/>
            <w:left w:val="none" w:sz="0" w:space="0" w:color="auto"/>
            <w:bottom w:val="none" w:sz="0" w:space="0" w:color="auto"/>
            <w:right w:val="none" w:sz="0" w:space="0" w:color="auto"/>
          </w:divBdr>
        </w:div>
      </w:divsChild>
    </w:div>
    <w:div w:id="974524805">
      <w:bodyDiv w:val="1"/>
      <w:marLeft w:val="0"/>
      <w:marRight w:val="0"/>
      <w:marTop w:val="0"/>
      <w:marBottom w:val="0"/>
      <w:divBdr>
        <w:top w:val="none" w:sz="0" w:space="0" w:color="auto"/>
        <w:left w:val="none" w:sz="0" w:space="0" w:color="auto"/>
        <w:bottom w:val="none" w:sz="0" w:space="0" w:color="auto"/>
        <w:right w:val="none" w:sz="0" w:space="0" w:color="auto"/>
      </w:divBdr>
      <w:divsChild>
        <w:div w:id="694307230">
          <w:marLeft w:val="605"/>
          <w:marRight w:val="0"/>
          <w:marTop w:val="211"/>
          <w:marBottom w:val="0"/>
          <w:divBdr>
            <w:top w:val="none" w:sz="0" w:space="0" w:color="auto"/>
            <w:left w:val="none" w:sz="0" w:space="0" w:color="auto"/>
            <w:bottom w:val="none" w:sz="0" w:space="0" w:color="auto"/>
            <w:right w:val="none" w:sz="0" w:space="0" w:color="auto"/>
          </w:divBdr>
        </w:div>
        <w:div w:id="768893871">
          <w:marLeft w:val="605"/>
          <w:marRight w:val="0"/>
          <w:marTop w:val="211"/>
          <w:marBottom w:val="0"/>
          <w:divBdr>
            <w:top w:val="none" w:sz="0" w:space="0" w:color="auto"/>
            <w:left w:val="none" w:sz="0" w:space="0" w:color="auto"/>
            <w:bottom w:val="none" w:sz="0" w:space="0" w:color="auto"/>
            <w:right w:val="none" w:sz="0" w:space="0" w:color="auto"/>
          </w:divBdr>
        </w:div>
        <w:div w:id="1210342708">
          <w:marLeft w:val="605"/>
          <w:marRight w:val="0"/>
          <w:marTop w:val="211"/>
          <w:marBottom w:val="0"/>
          <w:divBdr>
            <w:top w:val="none" w:sz="0" w:space="0" w:color="auto"/>
            <w:left w:val="none" w:sz="0" w:space="0" w:color="auto"/>
            <w:bottom w:val="none" w:sz="0" w:space="0" w:color="auto"/>
            <w:right w:val="none" w:sz="0" w:space="0" w:color="auto"/>
          </w:divBdr>
        </w:div>
        <w:div w:id="1554074446">
          <w:marLeft w:val="605"/>
          <w:marRight w:val="0"/>
          <w:marTop w:val="211"/>
          <w:marBottom w:val="0"/>
          <w:divBdr>
            <w:top w:val="none" w:sz="0" w:space="0" w:color="auto"/>
            <w:left w:val="none" w:sz="0" w:space="0" w:color="auto"/>
            <w:bottom w:val="none" w:sz="0" w:space="0" w:color="auto"/>
            <w:right w:val="none" w:sz="0" w:space="0" w:color="auto"/>
          </w:divBdr>
        </w:div>
        <w:div w:id="2012946797">
          <w:marLeft w:val="605"/>
          <w:marRight w:val="0"/>
          <w:marTop w:val="211"/>
          <w:marBottom w:val="0"/>
          <w:divBdr>
            <w:top w:val="none" w:sz="0" w:space="0" w:color="auto"/>
            <w:left w:val="none" w:sz="0" w:space="0" w:color="auto"/>
            <w:bottom w:val="none" w:sz="0" w:space="0" w:color="auto"/>
            <w:right w:val="none" w:sz="0" w:space="0" w:color="auto"/>
          </w:divBdr>
        </w:div>
      </w:divsChild>
    </w:div>
    <w:div w:id="1041368012">
      <w:bodyDiv w:val="1"/>
      <w:marLeft w:val="0"/>
      <w:marRight w:val="0"/>
      <w:marTop w:val="0"/>
      <w:marBottom w:val="0"/>
      <w:divBdr>
        <w:top w:val="none" w:sz="0" w:space="0" w:color="auto"/>
        <w:left w:val="none" w:sz="0" w:space="0" w:color="auto"/>
        <w:bottom w:val="none" w:sz="0" w:space="0" w:color="auto"/>
        <w:right w:val="none" w:sz="0" w:space="0" w:color="auto"/>
      </w:divBdr>
    </w:div>
    <w:div w:id="1052728401">
      <w:bodyDiv w:val="1"/>
      <w:marLeft w:val="0"/>
      <w:marRight w:val="0"/>
      <w:marTop w:val="0"/>
      <w:marBottom w:val="0"/>
      <w:divBdr>
        <w:top w:val="none" w:sz="0" w:space="0" w:color="auto"/>
        <w:left w:val="none" w:sz="0" w:space="0" w:color="auto"/>
        <w:bottom w:val="none" w:sz="0" w:space="0" w:color="auto"/>
        <w:right w:val="none" w:sz="0" w:space="0" w:color="auto"/>
      </w:divBdr>
      <w:divsChild>
        <w:div w:id="645665341">
          <w:marLeft w:val="274"/>
          <w:marRight w:val="0"/>
          <w:marTop w:val="0"/>
          <w:marBottom w:val="180"/>
          <w:divBdr>
            <w:top w:val="none" w:sz="0" w:space="0" w:color="auto"/>
            <w:left w:val="none" w:sz="0" w:space="0" w:color="auto"/>
            <w:bottom w:val="none" w:sz="0" w:space="0" w:color="auto"/>
            <w:right w:val="none" w:sz="0" w:space="0" w:color="auto"/>
          </w:divBdr>
        </w:div>
      </w:divsChild>
    </w:div>
    <w:div w:id="1076049062">
      <w:bodyDiv w:val="1"/>
      <w:marLeft w:val="0"/>
      <w:marRight w:val="0"/>
      <w:marTop w:val="0"/>
      <w:marBottom w:val="0"/>
      <w:divBdr>
        <w:top w:val="none" w:sz="0" w:space="0" w:color="auto"/>
        <w:left w:val="none" w:sz="0" w:space="0" w:color="auto"/>
        <w:bottom w:val="none" w:sz="0" w:space="0" w:color="auto"/>
        <w:right w:val="none" w:sz="0" w:space="0" w:color="auto"/>
      </w:divBdr>
      <w:divsChild>
        <w:div w:id="44187238">
          <w:marLeft w:val="288"/>
          <w:marRight w:val="0"/>
          <w:marTop w:val="120"/>
          <w:marBottom w:val="0"/>
          <w:divBdr>
            <w:top w:val="none" w:sz="0" w:space="0" w:color="auto"/>
            <w:left w:val="none" w:sz="0" w:space="0" w:color="auto"/>
            <w:bottom w:val="none" w:sz="0" w:space="0" w:color="auto"/>
            <w:right w:val="none" w:sz="0" w:space="0" w:color="auto"/>
          </w:divBdr>
        </w:div>
        <w:div w:id="327514513">
          <w:marLeft w:val="288"/>
          <w:marRight w:val="0"/>
          <w:marTop w:val="120"/>
          <w:marBottom w:val="0"/>
          <w:divBdr>
            <w:top w:val="none" w:sz="0" w:space="0" w:color="auto"/>
            <w:left w:val="none" w:sz="0" w:space="0" w:color="auto"/>
            <w:bottom w:val="none" w:sz="0" w:space="0" w:color="auto"/>
            <w:right w:val="none" w:sz="0" w:space="0" w:color="auto"/>
          </w:divBdr>
        </w:div>
        <w:div w:id="408041180">
          <w:marLeft w:val="288"/>
          <w:marRight w:val="0"/>
          <w:marTop w:val="120"/>
          <w:marBottom w:val="0"/>
          <w:divBdr>
            <w:top w:val="none" w:sz="0" w:space="0" w:color="auto"/>
            <w:left w:val="none" w:sz="0" w:space="0" w:color="auto"/>
            <w:bottom w:val="none" w:sz="0" w:space="0" w:color="auto"/>
            <w:right w:val="none" w:sz="0" w:space="0" w:color="auto"/>
          </w:divBdr>
        </w:div>
        <w:div w:id="827751650">
          <w:marLeft w:val="288"/>
          <w:marRight w:val="0"/>
          <w:marTop w:val="120"/>
          <w:marBottom w:val="0"/>
          <w:divBdr>
            <w:top w:val="none" w:sz="0" w:space="0" w:color="auto"/>
            <w:left w:val="none" w:sz="0" w:space="0" w:color="auto"/>
            <w:bottom w:val="none" w:sz="0" w:space="0" w:color="auto"/>
            <w:right w:val="none" w:sz="0" w:space="0" w:color="auto"/>
          </w:divBdr>
        </w:div>
        <w:div w:id="1498299753">
          <w:marLeft w:val="288"/>
          <w:marRight w:val="0"/>
          <w:marTop w:val="120"/>
          <w:marBottom w:val="0"/>
          <w:divBdr>
            <w:top w:val="none" w:sz="0" w:space="0" w:color="auto"/>
            <w:left w:val="none" w:sz="0" w:space="0" w:color="auto"/>
            <w:bottom w:val="none" w:sz="0" w:space="0" w:color="auto"/>
            <w:right w:val="none" w:sz="0" w:space="0" w:color="auto"/>
          </w:divBdr>
        </w:div>
        <w:div w:id="1828352339">
          <w:marLeft w:val="288"/>
          <w:marRight w:val="0"/>
          <w:marTop w:val="120"/>
          <w:marBottom w:val="0"/>
          <w:divBdr>
            <w:top w:val="none" w:sz="0" w:space="0" w:color="auto"/>
            <w:left w:val="none" w:sz="0" w:space="0" w:color="auto"/>
            <w:bottom w:val="none" w:sz="0" w:space="0" w:color="auto"/>
            <w:right w:val="none" w:sz="0" w:space="0" w:color="auto"/>
          </w:divBdr>
        </w:div>
        <w:div w:id="1834686005">
          <w:marLeft w:val="288"/>
          <w:marRight w:val="0"/>
          <w:marTop w:val="120"/>
          <w:marBottom w:val="0"/>
          <w:divBdr>
            <w:top w:val="none" w:sz="0" w:space="0" w:color="auto"/>
            <w:left w:val="none" w:sz="0" w:space="0" w:color="auto"/>
            <w:bottom w:val="none" w:sz="0" w:space="0" w:color="auto"/>
            <w:right w:val="none" w:sz="0" w:space="0" w:color="auto"/>
          </w:divBdr>
        </w:div>
      </w:divsChild>
    </w:div>
    <w:div w:id="1078284042">
      <w:bodyDiv w:val="1"/>
      <w:marLeft w:val="0"/>
      <w:marRight w:val="0"/>
      <w:marTop w:val="0"/>
      <w:marBottom w:val="0"/>
      <w:divBdr>
        <w:top w:val="none" w:sz="0" w:space="0" w:color="auto"/>
        <w:left w:val="none" w:sz="0" w:space="0" w:color="auto"/>
        <w:bottom w:val="none" w:sz="0" w:space="0" w:color="auto"/>
        <w:right w:val="none" w:sz="0" w:space="0" w:color="auto"/>
      </w:divBdr>
      <w:divsChild>
        <w:div w:id="1690255032">
          <w:marLeft w:val="547"/>
          <w:marRight w:val="0"/>
          <w:marTop w:val="0"/>
          <w:marBottom w:val="180"/>
          <w:divBdr>
            <w:top w:val="none" w:sz="0" w:space="0" w:color="auto"/>
            <w:left w:val="none" w:sz="0" w:space="0" w:color="auto"/>
            <w:bottom w:val="none" w:sz="0" w:space="0" w:color="auto"/>
            <w:right w:val="none" w:sz="0" w:space="0" w:color="auto"/>
          </w:divBdr>
        </w:div>
      </w:divsChild>
    </w:div>
    <w:div w:id="1096101352">
      <w:bodyDiv w:val="1"/>
      <w:marLeft w:val="0"/>
      <w:marRight w:val="0"/>
      <w:marTop w:val="0"/>
      <w:marBottom w:val="0"/>
      <w:divBdr>
        <w:top w:val="none" w:sz="0" w:space="0" w:color="auto"/>
        <w:left w:val="none" w:sz="0" w:space="0" w:color="auto"/>
        <w:bottom w:val="none" w:sz="0" w:space="0" w:color="auto"/>
        <w:right w:val="none" w:sz="0" w:space="0" w:color="auto"/>
      </w:divBdr>
    </w:div>
    <w:div w:id="1103188378">
      <w:bodyDiv w:val="1"/>
      <w:marLeft w:val="0"/>
      <w:marRight w:val="0"/>
      <w:marTop w:val="0"/>
      <w:marBottom w:val="0"/>
      <w:divBdr>
        <w:top w:val="none" w:sz="0" w:space="0" w:color="auto"/>
        <w:left w:val="none" w:sz="0" w:space="0" w:color="auto"/>
        <w:bottom w:val="none" w:sz="0" w:space="0" w:color="auto"/>
        <w:right w:val="none" w:sz="0" w:space="0" w:color="auto"/>
      </w:divBdr>
      <w:divsChild>
        <w:div w:id="346518256">
          <w:marLeft w:val="605"/>
          <w:marRight w:val="0"/>
          <w:marTop w:val="230"/>
          <w:marBottom w:val="0"/>
          <w:divBdr>
            <w:top w:val="none" w:sz="0" w:space="0" w:color="auto"/>
            <w:left w:val="none" w:sz="0" w:space="0" w:color="auto"/>
            <w:bottom w:val="none" w:sz="0" w:space="0" w:color="auto"/>
            <w:right w:val="none" w:sz="0" w:space="0" w:color="auto"/>
          </w:divBdr>
        </w:div>
        <w:div w:id="2139755303">
          <w:marLeft w:val="605"/>
          <w:marRight w:val="0"/>
          <w:marTop w:val="230"/>
          <w:marBottom w:val="0"/>
          <w:divBdr>
            <w:top w:val="none" w:sz="0" w:space="0" w:color="auto"/>
            <w:left w:val="none" w:sz="0" w:space="0" w:color="auto"/>
            <w:bottom w:val="none" w:sz="0" w:space="0" w:color="auto"/>
            <w:right w:val="none" w:sz="0" w:space="0" w:color="auto"/>
          </w:divBdr>
        </w:div>
      </w:divsChild>
    </w:div>
    <w:div w:id="1103307293">
      <w:bodyDiv w:val="1"/>
      <w:marLeft w:val="0"/>
      <w:marRight w:val="0"/>
      <w:marTop w:val="0"/>
      <w:marBottom w:val="0"/>
      <w:divBdr>
        <w:top w:val="none" w:sz="0" w:space="0" w:color="auto"/>
        <w:left w:val="none" w:sz="0" w:space="0" w:color="auto"/>
        <w:bottom w:val="none" w:sz="0" w:space="0" w:color="auto"/>
        <w:right w:val="none" w:sz="0" w:space="0" w:color="auto"/>
      </w:divBdr>
    </w:div>
    <w:div w:id="1110470896">
      <w:bodyDiv w:val="1"/>
      <w:marLeft w:val="0"/>
      <w:marRight w:val="0"/>
      <w:marTop w:val="0"/>
      <w:marBottom w:val="0"/>
      <w:divBdr>
        <w:top w:val="none" w:sz="0" w:space="0" w:color="auto"/>
        <w:left w:val="none" w:sz="0" w:space="0" w:color="auto"/>
        <w:bottom w:val="none" w:sz="0" w:space="0" w:color="auto"/>
        <w:right w:val="none" w:sz="0" w:space="0" w:color="auto"/>
      </w:divBdr>
    </w:div>
    <w:div w:id="1132989176">
      <w:bodyDiv w:val="1"/>
      <w:marLeft w:val="0"/>
      <w:marRight w:val="0"/>
      <w:marTop w:val="0"/>
      <w:marBottom w:val="0"/>
      <w:divBdr>
        <w:top w:val="none" w:sz="0" w:space="0" w:color="auto"/>
        <w:left w:val="none" w:sz="0" w:space="0" w:color="auto"/>
        <w:bottom w:val="none" w:sz="0" w:space="0" w:color="auto"/>
        <w:right w:val="none" w:sz="0" w:space="0" w:color="auto"/>
      </w:divBdr>
    </w:div>
    <w:div w:id="1148672612">
      <w:bodyDiv w:val="1"/>
      <w:marLeft w:val="0"/>
      <w:marRight w:val="0"/>
      <w:marTop w:val="0"/>
      <w:marBottom w:val="0"/>
      <w:divBdr>
        <w:top w:val="none" w:sz="0" w:space="0" w:color="auto"/>
        <w:left w:val="none" w:sz="0" w:space="0" w:color="auto"/>
        <w:bottom w:val="none" w:sz="0" w:space="0" w:color="auto"/>
        <w:right w:val="none" w:sz="0" w:space="0" w:color="auto"/>
      </w:divBdr>
      <w:divsChild>
        <w:div w:id="273177146">
          <w:marLeft w:val="605"/>
          <w:marRight w:val="0"/>
          <w:marTop w:val="211"/>
          <w:marBottom w:val="0"/>
          <w:divBdr>
            <w:top w:val="none" w:sz="0" w:space="0" w:color="auto"/>
            <w:left w:val="none" w:sz="0" w:space="0" w:color="auto"/>
            <w:bottom w:val="none" w:sz="0" w:space="0" w:color="auto"/>
            <w:right w:val="none" w:sz="0" w:space="0" w:color="auto"/>
          </w:divBdr>
        </w:div>
        <w:div w:id="303202177">
          <w:marLeft w:val="605"/>
          <w:marRight w:val="0"/>
          <w:marTop w:val="211"/>
          <w:marBottom w:val="0"/>
          <w:divBdr>
            <w:top w:val="none" w:sz="0" w:space="0" w:color="auto"/>
            <w:left w:val="none" w:sz="0" w:space="0" w:color="auto"/>
            <w:bottom w:val="none" w:sz="0" w:space="0" w:color="auto"/>
            <w:right w:val="none" w:sz="0" w:space="0" w:color="auto"/>
          </w:divBdr>
        </w:div>
        <w:div w:id="363941532">
          <w:marLeft w:val="605"/>
          <w:marRight w:val="0"/>
          <w:marTop w:val="211"/>
          <w:marBottom w:val="0"/>
          <w:divBdr>
            <w:top w:val="none" w:sz="0" w:space="0" w:color="auto"/>
            <w:left w:val="none" w:sz="0" w:space="0" w:color="auto"/>
            <w:bottom w:val="none" w:sz="0" w:space="0" w:color="auto"/>
            <w:right w:val="none" w:sz="0" w:space="0" w:color="auto"/>
          </w:divBdr>
        </w:div>
        <w:div w:id="710033911">
          <w:marLeft w:val="605"/>
          <w:marRight w:val="0"/>
          <w:marTop w:val="211"/>
          <w:marBottom w:val="0"/>
          <w:divBdr>
            <w:top w:val="none" w:sz="0" w:space="0" w:color="auto"/>
            <w:left w:val="none" w:sz="0" w:space="0" w:color="auto"/>
            <w:bottom w:val="none" w:sz="0" w:space="0" w:color="auto"/>
            <w:right w:val="none" w:sz="0" w:space="0" w:color="auto"/>
          </w:divBdr>
        </w:div>
        <w:div w:id="835925151">
          <w:marLeft w:val="605"/>
          <w:marRight w:val="0"/>
          <w:marTop w:val="211"/>
          <w:marBottom w:val="0"/>
          <w:divBdr>
            <w:top w:val="none" w:sz="0" w:space="0" w:color="auto"/>
            <w:left w:val="none" w:sz="0" w:space="0" w:color="auto"/>
            <w:bottom w:val="none" w:sz="0" w:space="0" w:color="auto"/>
            <w:right w:val="none" w:sz="0" w:space="0" w:color="auto"/>
          </w:divBdr>
        </w:div>
        <w:div w:id="858933312">
          <w:marLeft w:val="605"/>
          <w:marRight w:val="0"/>
          <w:marTop w:val="211"/>
          <w:marBottom w:val="0"/>
          <w:divBdr>
            <w:top w:val="none" w:sz="0" w:space="0" w:color="auto"/>
            <w:left w:val="none" w:sz="0" w:space="0" w:color="auto"/>
            <w:bottom w:val="none" w:sz="0" w:space="0" w:color="auto"/>
            <w:right w:val="none" w:sz="0" w:space="0" w:color="auto"/>
          </w:divBdr>
        </w:div>
        <w:div w:id="937326493">
          <w:marLeft w:val="605"/>
          <w:marRight w:val="0"/>
          <w:marTop w:val="211"/>
          <w:marBottom w:val="0"/>
          <w:divBdr>
            <w:top w:val="none" w:sz="0" w:space="0" w:color="auto"/>
            <w:left w:val="none" w:sz="0" w:space="0" w:color="auto"/>
            <w:bottom w:val="none" w:sz="0" w:space="0" w:color="auto"/>
            <w:right w:val="none" w:sz="0" w:space="0" w:color="auto"/>
          </w:divBdr>
        </w:div>
        <w:div w:id="1190022945">
          <w:marLeft w:val="605"/>
          <w:marRight w:val="0"/>
          <w:marTop w:val="211"/>
          <w:marBottom w:val="0"/>
          <w:divBdr>
            <w:top w:val="none" w:sz="0" w:space="0" w:color="auto"/>
            <w:left w:val="none" w:sz="0" w:space="0" w:color="auto"/>
            <w:bottom w:val="none" w:sz="0" w:space="0" w:color="auto"/>
            <w:right w:val="none" w:sz="0" w:space="0" w:color="auto"/>
          </w:divBdr>
        </w:div>
        <w:div w:id="2084646547">
          <w:marLeft w:val="605"/>
          <w:marRight w:val="0"/>
          <w:marTop w:val="211"/>
          <w:marBottom w:val="0"/>
          <w:divBdr>
            <w:top w:val="none" w:sz="0" w:space="0" w:color="auto"/>
            <w:left w:val="none" w:sz="0" w:space="0" w:color="auto"/>
            <w:bottom w:val="none" w:sz="0" w:space="0" w:color="auto"/>
            <w:right w:val="none" w:sz="0" w:space="0" w:color="auto"/>
          </w:divBdr>
        </w:div>
      </w:divsChild>
    </w:div>
    <w:div w:id="1168906918">
      <w:bodyDiv w:val="1"/>
      <w:marLeft w:val="0"/>
      <w:marRight w:val="0"/>
      <w:marTop w:val="0"/>
      <w:marBottom w:val="0"/>
      <w:divBdr>
        <w:top w:val="none" w:sz="0" w:space="0" w:color="auto"/>
        <w:left w:val="none" w:sz="0" w:space="0" w:color="auto"/>
        <w:bottom w:val="none" w:sz="0" w:space="0" w:color="auto"/>
        <w:right w:val="none" w:sz="0" w:space="0" w:color="auto"/>
      </w:divBdr>
    </w:div>
    <w:div w:id="1173184845">
      <w:bodyDiv w:val="1"/>
      <w:marLeft w:val="0"/>
      <w:marRight w:val="0"/>
      <w:marTop w:val="0"/>
      <w:marBottom w:val="0"/>
      <w:divBdr>
        <w:top w:val="none" w:sz="0" w:space="0" w:color="auto"/>
        <w:left w:val="none" w:sz="0" w:space="0" w:color="auto"/>
        <w:bottom w:val="none" w:sz="0" w:space="0" w:color="auto"/>
        <w:right w:val="none" w:sz="0" w:space="0" w:color="auto"/>
      </w:divBdr>
    </w:div>
    <w:div w:id="1175420700">
      <w:bodyDiv w:val="1"/>
      <w:marLeft w:val="0"/>
      <w:marRight w:val="0"/>
      <w:marTop w:val="0"/>
      <w:marBottom w:val="0"/>
      <w:divBdr>
        <w:top w:val="none" w:sz="0" w:space="0" w:color="auto"/>
        <w:left w:val="none" w:sz="0" w:space="0" w:color="auto"/>
        <w:bottom w:val="none" w:sz="0" w:space="0" w:color="auto"/>
        <w:right w:val="none" w:sz="0" w:space="0" w:color="auto"/>
      </w:divBdr>
    </w:div>
    <w:div w:id="1185752556">
      <w:bodyDiv w:val="1"/>
      <w:marLeft w:val="0"/>
      <w:marRight w:val="0"/>
      <w:marTop w:val="0"/>
      <w:marBottom w:val="0"/>
      <w:divBdr>
        <w:top w:val="none" w:sz="0" w:space="0" w:color="auto"/>
        <w:left w:val="none" w:sz="0" w:space="0" w:color="auto"/>
        <w:bottom w:val="none" w:sz="0" w:space="0" w:color="auto"/>
        <w:right w:val="none" w:sz="0" w:space="0" w:color="auto"/>
      </w:divBdr>
      <w:divsChild>
        <w:div w:id="282538527">
          <w:marLeft w:val="605"/>
          <w:marRight w:val="0"/>
          <w:marTop w:val="211"/>
          <w:marBottom w:val="0"/>
          <w:divBdr>
            <w:top w:val="none" w:sz="0" w:space="0" w:color="auto"/>
            <w:left w:val="none" w:sz="0" w:space="0" w:color="auto"/>
            <w:bottom w:val="none" w:sz="0" w:space="0" w:color="auto"/>
            <w:right w:val="none" w:sz="0" w:space="0" w:color="auto"/>
          </w:divBdr>
        </w:div>
        <w:div w:id="601227579">
          <w:marLeft w:val="605"/>
          <w:marRight w:val="0"/>
          <w:marTop w:val="211"/>
          <w:marBottom w:val="0"/>
          <w:divBdr>
            <w:top w:val="none" w:sz="0" w:space="0" w:color="auto"/>
            <w:left w:val="none" w:sz="0" w:space="0" w:color="auto"/>
            <w:bottom w:val="none" w:sz="0" w:space="0" w:color="auto"/>
            <w:right w:val="none" w:sz="0" w:space="0" w:color="auto"/>
          </w:divBdr>
        </w:div>
        <w:div w:id="1854370816">
          <w:marLeft w:val="605"/>
          <w:marRight w:val="0"/>
          <w:marTop w:val="211"/>
          <w:marBottom w:val="0"/>
          <w:divBdr>
            <w:top w:val="none" w:sz="0" w:space="0" w:color="auto"/>
            <w:left w:val="none" w:sz="0" w:space="0" w:color="auto"/>
            <w:bottom w:val="none" w:sz="0" w:space="0" w:color="auto"/>
            <w:right w:val="none" w:sz="0" w:space="0" w:color="auto"/>
          </w:divBdr>
        </w:div>
      </w:divsChild>
    </w:div>
    <w:div w:id="1209032786">
      <w:bodyDiv w:val="1"/>
      <w:marLeft w:val="0"/>
      <w:marRight w:val="0"/>
      <w:marTop w:val="0"/>
      <w:marBottom w:val="0"/>
      <w:divBdr>
        <w:top w:val="none" w:sz="0" w:space="0" w:color="auto"/>
        <w:left w:val="none" w:sz="0" w:space="0" w:color="auto"/>
        <w:bottom w:val="none" w:sz="0" w:space="0" w:color="auto"/>
        <w:right w:val="none" w:sz="0" w:space="0" w:color="auto"/>
      </w:divBdr>
      <w:divsChild>
        <w:div w:id="160510247">
          <w:marLeft w:val="547"/>
          <w:marRight w:val="0"/>
          <w:marTop w:val="0"/>
          <w:marBottom w:val="180"/>
          <w:divBdr>
            <w:top w:val="none" w:sz="0" w:space="0" w:color="auto"/>
            <w:left w:val="none" w:sz="0" w:space="0" w:color="auto"/>
            <w:bottom w:val="none" w:sz="0" w:space="0" w:color="auto"/>
            <w:right w:val="none" w:sz="0" w:space="0" w:color="auto"/>
          </w:divBdr>
        </w:div>
      </w:divsChild>
    </w:div>
    <w:div w:id="1250768920">
      <w:bodyDiv w:val="1"/>
      <w:marLeft w:val="0"/>
      <w:marRight w:val="0"/>
      <w:marTop w:val="0"/>
      <w:marBottom w:val="0"/>
      <w:divBdr>
        <w:top w:val="none" w:sz="0" w:space="0" w:color="auto"/>
        <w:left w:val="none" w:sz="0" w:space="0" w:color="auto"/>
        <w:bottom w:val="none" w:sz="0" w:space="0" w:color="auto"/>
        <w:right w:val="none" w:sz="0" w:space="0" w:color="auto"/>
      </w:divBdr>
    </w:div>
    <w:div w:id="1258101217">
      <w:bodyDiv w:val="1"/>
      <w:marLeft w:val="0"/>
      <w:marRight w:val="0"/>
      <w:marTop w:val="0"/>
      <w:marBottom w:val="0"/>
      <w:divBdr>
        <w:top w:val="none" w:sz="0" w:space="0" w:color="auto"/>
        <w:left w:val="none" w:sz="0" w:space="0" w:color="auto"/>
        <w:bottom w:val="none" w:sz="0" w:space="0" w:color="auto"/>
        <w:right w:val="none" w:sz="0" w:space="0" w:color="auto"/>
      </w:divBdr>
    </w:div>
    <w:div w:id="1263537014">
      <w:bodyDiv w:val="1"/>
      <w:marLeft w:val="0"/>
      <w:marRight w:val="0"/>
      <w:marTop w:val="0"/>
      <w:marBottom w:val="0"/>
      <w:divBdr>
        <w:top w:val="none" w:sz="0" w:space="0" w:color="auto"/>
        <w:left w:val="none" w:sz="0" w:space="0" w:color="auto"/>
        <w:bottom w:val="none" w:sz="0" w:space="0" w:color="auto"/>
        <w:right w:val="none" w:sz="0" w:space="0" w:color="auto"/>
      </w:divBdr>
    </w:div>
    <w:div w:id="1263607067">
      <w:bodyDiv w:val="1"/>
      <w:marLeft w:val="0"/>
      <w:marRight w:val="0"/>
      <w:marTop w:val="0"/>
      <w:marBottom w:val="0"/>
      <w:divBdr>
        <w:top w:val="none" w:sz="0" w:space="0" w:color="auto"/>
        <w:left w:val="none" w:sz="0" w:space="0" w:color="auto"/>
        <w:bottom w:val="none" w:sz="0" w:space="0" w:color="auto"/>
        <w:right w:val="none" w:sz="0" w:space="0" w:color="auto"/>
      </w:divBdr>
      <w:divsChild>
        <w:div w:id="348914870">
          <w:marLeft w:val="605"/>
          <w:marRight w:val="0"/>
          <w:marTop w:val="269"/>
          <w:marBottom w:val="0"/>
          <w:divBdr>
            <w:top w:val="none" w:sz="0" w:space="0" w:color="auto"/>
            <w:left w:val="none" w:sz="0" w:space="0" w:color="auto"/>
            <w:bottom w:val="none" w:sz="0" w:space="0" w:color="auto"/>
            <w:right w:val="none" w:sz="0" w:space="0" w:color="auto"/>
          </w:divBdr>
        </w:div>
        <w:div w:id="1888449985">
          <w:marLeft w:val="605"/>
          <w:marRight w:val="0"/>
          <w:marTop w:val="269"/>
          <w:marBottom w:val="0"/>
          <w:divBdr>
            <w:top w:val="none" w:sz="0" w:space="0" w:color="auto"/>
            <w:left w:val="none" w:sz="0" w:space="0" w:color="auto"/>
            <w:bottom w:val="none" w:sz="0" w:space="0" w:color="auto"/>
            <w:right w:val="none" w:sz="0" w:space="0" w:color="auto"/>
          </w:divBdr>
        </w:div>
      </w:divsChild>
    </w:div>
    <w:div w:id="1264991335">
      <w:bodyDiv w:val="1"/>
      <w:marLeft w:val="0"/>
      <w:marRight w:val="0"/>
      <w:marTop w:val="0"/>
      <w:marBottom w:val="0"/>
      <w:divBdr>
        <w:top w:val="none" w:sz="0" w:space="0" w:color="auto"/>
        <w:left w:val="none" w:sz="0" w:space="0" w:color="auto"/>
        <w:bottom w:val="none" w:sz="0" w:space="0" w:color="auto"/>
        <w:right w:val="none" w:sz="0" w:space="0" w:color="auto"/>
      </w:divBdr>
      <w:divsChild>
        <w:div w:id="148794738">
          <w:marLeft w:val="605"/>
          <w:marRight w:val="0"/>
          <w:marTop w:val="211"/>
          <w:marBottom w:val="0"/>
          <w:divBdr>
            <w:top w:val="none" w:sz="0" w:space="0" w:color="auto"/>
            <w:left w:val="none" w:sz="0" w:space="0" w:color="auto"/>
            <w:bottom w:val="none" w:sz="0" w:space="0" w:color="auto"/>
            <w:right w:val="none" w:sz="0" w:space="0" w:color="auto"/>
          </w:divBdr>
        </w:div>
        <w:div w:id="248775281">
          <w:marLeft w:val="605"/>
          <w:marRight w:val="0"/>
          <w:marTop w:val="211"/>
          <w:marBottom w:val="0"/>
          <w:divBdr>
            <w:top w:val="none" w:sz="0" w:space="0" w:color="auto"/>
            <w:left w:val="none" w:sz="0" w:space="0" w:color="auto"/>
            <w:bottom w:val="none" w:sz="0" w:space="0" w:color="auto"/>
            <w:right w:val="none" w:sz="0" w:space="0" w:color="auto"/>
          </w:divBdr>
        </w:div>
        <w:div w:id="289629304">
          <w:marLeft w:val="605"/>
          <w:marRight w:val="0"/>
          <w:marTop w:val="211"/>
          <w:marBottom w:val="0"/>
          <w:divBdr>
            <w:top w:val="none" w:sz="0" w:space="0" w:color="auto"/>
            <w:left w:val="none" w:sz="0" w:space="0" w:color="auto"/>
            <w:bottom w:val="none" w:sz="0" w:space="0" w:color="auto"/>
            <w:right w:val="none" w:sz="0" w:space="0" w:color="auto"/>
          </w:divBdr>
        </w:div>
        <w:div w:id="388698504">
          <w:marLeft w:val="605"/>
          <w:marRight w:val="0"/>
          <w:marTop w:val="211"/>
          <w:marBottom w:val="0"/>
          <w:divBdr>
            <w:top w:val="none" w:sz="0" w:space="0" w:color="auto"/>
            <w:left w:val="none" w:sz="0" w:space="0" w:color="auto"/>
            <w:bottom w:val="none" w:sz="0" w:space="0" w:color="auto"/>
            <w:right w:val="none" w:sz="0" w:space="0" w:color="auto"/>
          </w:divBdr>
        </w:div>
        <w:div w:id="463693002">
          <w:marLeft w:val="605"/>
          <w:marRight w:val="0"/>
          <w:marTop w:val="211"/>
          <w:marBottom w:val="0"/>
          <w:divBdr>
            <w:top w:val="none" w:sz="0" w:space="0" w:color="auto"/>
            <w:left w:val="none" w:sz="0" w:space="0" w:color="auto"/>
            <w:bottom w:val="none" w:sz="0" w:space="0" w:color="auto"/>
            <w:right w:val="none" w:sz="0" w:space="0" w:color="auto"/>
          </w:divBdr>
        </w:div>
        <w:div w:id="584074098">
          <w:marLeft w:val="605"/>
          <w:marRight w:val="0"/>
          <w:marTop w:val="211"/>
          <w:marBottom w:val="0"/>
          <w:divBdr>
            <w:top w:val="none" w:sz="0" w:space="0" w:color="auto"/>
            <w:left w:val="none" w:sz="0" w:space="0" w:color="auto"/>
            <w:bottom w:val="none" w:sz="0" w:space="0" w:color="auto"/>
            <w:right w:val="none" w:sz="0" w:space="0" w:color="auto"/>
          </w:divBdr>
        </w:div>
        <w:div w:id="660280947">
          <w:marLeft w:val="605"/>
          <w:marRight w:val="0"/>
          <w:marTop w:val="211"/>
          <w:marBottom w:val="0"/>
          <w:divBdr>
            <w:top w:val="none" w:sz="0" w:space="0" w:color="auto"/>
            <w:left w:val="none" w:sz="0" w:space="0" w:color="auto"/>
            <w:bottom w:val="none" w:sz="0" w:space="0" w:color="auto"/>
            <w:right w:val="none" w:sz="0" w:space="0" w:color="auto"/>
          </w:divBdr>
        </w:div>
        <w:div w:id="1117141863">
          <w:marLeft w:val="605"/>
          <w:marRight w:val="0"/>
          <w:marTop w:val="211"/>
          <w:marBottom w:val="0"/>
          <w:divBdr>
            <w:top w:val="none" w:sz="0" w:space="0" w:color="auto"/>
            <w:left w:val="none" w:sz="0" w:space="0" w:color="auto"/>
            <w:bottom w:val="none" w:sz="0" w:space="0" w:color="auto"/>
            <w:right w:val="none" w:sz="0" w:space="0" w:color="auto"/>
          </w:divBdr>
        </w:div>
      </w:divsChild>
    </w:div>
    <w:div w:id="1273322891">
      <w:bodyDiv w:val="1"/>
      <w:marLeft w:val="0"/>
      <w:marRight w:val="0"/>
      <w:marTop w:val="0"/>
      <w:marBottom w:val="0"/>
      <w:divBdr>
        <w:top w:val="none" w:sz="0" w:space="0" w:color="auto"/>
        <w:left w:val="none" w:sz="0" w:space="0" w:color="auto"/>
        <w:bottom w:val="none" w:sz="0" w:space="0" w:color="auto"/>
        <w:right w:val="none" w:sz="0" w:space="0" w:color="auto"/>
      </w:divBdr>
    </w:div>
    <w:div w:id="1305237333">
      <w:bodyDiv w:val="1"/>
      <w:marLeft w:val="0"/>
      <w:marRight w:val="0"/>
      <w:marTop w:val="0"/>
      <w:marBottom w:val="0"/>
      <w:divBdr>
        <w:top w:val="none" w:sz="0" w:space="0" w:color="auto"/>
        <w:left w:val="none" w:sz="0" w:space="0" w:color="auto"/>
        <w:bottom w:val="none" w:sz="0" w:space="0" w:color="auto"/>
        <w:right w:val="none" w:sz="0" w:space="0" w:color="auto"/>
      </w:divBdr>
    </w:div>
    <w:div w:id="1311904636">
      <w:bodyDiv w:val="1"/>
      <w:marLeft w:val="0"/>
      <w:marRight w:val="0"/>
      <w:marTop w:val="0"/>
      <w:marBottom w:val="0"/>
      <w:divBdr>
        <w:top w:val="none" w:sz="0" w:space="0" w:color="auto"/>
        <w:left w:val="none" w:sz="0" w:space="0" w:color="auto"/>
        <w:bottom w:val="none" w:sz="0" w:space="0" w:color="auto"/>
        <w:right w:val="none" w:sz="0" w:space="0" w:color="auto"/>
      </w:divBdr>
      <w:divsChild>
        <w:div w:id="2132819147">
          <w:marLeft w:val="0"/>
          <w:marRight w:val="0"/>
          <w:marTop w:val="0"/>
          <w:marBottom w:val="0"/>
          <w:divBdr>
            <w:top w:val="none" w:sz="0" w:space="0" w:color="auto"/>
            <w:left w:val="none" w:sz="0" w:space="0" w:color="auto"/>
            <w:bottom w:val="none" w:sz="0" w:space="0" w:color="auto"/>
            <w:right w:val="none" w:sz="0" w:space="0" w:color="auto"/>
          </w:divBdr>
        </w:div>
      </w:divsChild>
    </w:div>
    <w:div w:id="1317419419">
      <w:bodyDiv w:val="1"/>
      <w:marLeft w:val="0"/>
      <w:marRight w:val="0"/>
      <w:marTop w:val="0"/>
      <w:marBottom w:val="0"/>
      <w:divBdr>
        <w:top w:val="none" w:sz="0" w:space="0" w:color="auto"/>
        <w:left w:val="none" w:sz="0" w:space="0" w:color="auto"/>
        <w:bottom w:val="none" w:sz="0" w:space="0" w:color="auto"/>
        <w:right w:val="none" w:sz="0" w:space="0" w:color="auto"/>
      </w:divBdr>
    </w:div>
    <w:div w:id="1366248747">
      <w:bodyDiv w:val="1"/>
      <w:marLeft w:val="0"/>
      <w:marRight w:val="0"/>
      <w:marTop w:val="0"/>
      <w:marBottom w:val="0"/>
      <w:divBdr>
        <w:top w:val="none" w:sz="0" w:space="0" w:color="auto"/>
        <w:left w:val="none" w:sz="0" w:space="0" w:color="auto"/>
        <w:bottom w:val="none" w:sz="0" w:space="0" w:color="auto"/>
        <w:right w:val="none" w:sz="0" w:space="0" w:color="auto"/>
      </w:divBdr>
    </w:div>
    <w:div w:id="1370186372">
      <w:bodyDiv w:val="1"/>
      <w:marLeft w:val="0"/>
      <w:marRight w:val="0"/>
      <w:marTop w:val="0"/>
      <w:marBottom w:val="0"/>
      <w:divBdr>
        <w:top w:val="none" w:sz="0" w:space="0" w:color="auto"/>
        <w:left w:val="none" w:sz="0" w:space="0" w:color="auto"/>
        <w:bottom w:val="none" w:sz="0" w:space="0" w:color="auto"/>
        <w:right w:val="none" w:sz="0" w:space="0" w:color="auto"/>
      </w:divBdr>
    </w:div>
    <w:div w:id="1372194234">
      <w:bodyDiv w:val="1"/>
      <w:marLeft w:val="0"/>
      <w:marRight w:val="0"/>
      <w:marTop w:val="0"/>
      <w:marBottom w:val="0"/>
      <w:divBdr>
        <w:top w:val="none" w:sz="0" w:space="0" w:color="auto"/>
        <w:left w:val="none" w:sz="0" w:space="0" w:color="auto"/>
        <w:bottom w:val="none" w:sz="0" w:space="0" w:color="auto"/>
        <w:right w:val="none" w:sz="0" w:space="0" w:color="auto"/>
      </w:divBdr>
      <w:divsChild>
        <w:div w:id="751270890">
          <w:marLeft w:val="605"/>
          <w:marRight w:val="0"/>
          <w:marTop w:val="230"/>
          <w:marBottom w:val="0"/>
          <w:divBdr>
            <w:top w:val="none" w:sz="0" w:space="0" w:color="auto"/>
            <w:left w:val="none" w:sz="0" w:space="0" w:color="auto"/>
            <w:bottom w:val="none" w:sz="0" w:space="0" w:color="auto"/>
            <w:right w:val="none" w:sz="0" w:space="0" w:color="auto"/>
          </w:divBdr>
        </w:div>
        <w:div w:id="1044452129">
          <w:marLeft w:val="605"/>
          <w:marRight w:val="0"/>
          <w:marTop w:val="230"/>
          <w:marBottom w:val="0"/>
          <w:divBdr>
            <w:top w:val="none" w:sz="0" w:space="0" w:color="auto"/>
            <w:left w:val="none" w:sz="0" w:space="0" w:color="auto"/>
            <w:bottom w:val="none" w:sz="0" w:space="0" w:color="auto"/>
            <w:right w:val="none" w:sz="0" w:space="0" w:color="auto"/>
          </w:divBdr>
        </w:div>
        <w:div w:id="1258247517">
          <w:marLeft w:val="605"/>
          <w:marRight w:val="0"/>
          <w:marTop w:val="230"/>
          <w:marBottom w:val="0"/>
          <w:divBdr>
            <w:top w:val="none" w:sz="0" w:space="0" w:color="auto"/>
            <w:left w:val="none" w:sz="0" w:space="0" w:color="auto"/>
            <w:bottom w:val="none" w:sz="0" w:space="0" w:color="auto"/>
            <w:right w:val="none" w:sz="0" w:space="0" w:color="auto"/>
          </w:divBdr>
        </w:div>
        <w:div w:id="1989434947">
          <w:marLeft w:val="605"/>
          <w:marRight w:val="0"/>
          <w:marTop w:val="230"/>
          <w:marBottom w:val="0"/>
          <w:divBdr>
            <w:top w:val="none" w:sz="0" w:space="0" w:color="auto"/>
            <w:left w:val="none" w:sz="0" w:space="0" w:color="auto"/>
            <w:bottom w:val="none" w:sz="0" w:space="0" w:color="auto"/>
            <w:right w:val="none" w:sz="0" w:space="0" w:color="auto"/>
          </w:divBdr>
        </w:div>
        <w:div w:id="2110461531">
          <w:marLeft w:val="605"/>
          <w:marRight w:val="0"/>
          <w:marTop w:val="230"/>
          <w:marBottom w:val="0"/>
          <w:divBdr>
            <w:top w:val="none" w:sz="0" w:space="0" w:color="auto"/>
            <w:left w:val="none" w:sz="0" w:space="0" w:color="auto"/>
            <w:bottom w:val="none" w:sz="0" w:space="0" w:color="auto"/>
            <w:right w:val="none" w:sz="0" w:space="0" w:color="auto"/>
          </w:divBdr>
        </w:div>
      </w:divsChild>
    </w:div>
    <w:div w:id="1410543767">
      <w:bodyDiv w:val="1"/>
      <w:marLeft w:val="0"/>
      <w:marRight w:val="0"/>
      <w:marTop w:val="0"/>
      <w:marBottom w:val="0"/>
      <w:divBdr>
        <w:top w:val="none" w:sz="0" w:space="0" w:color="auto"/>
        <w:left w:val="none" w:sz="0" w:space="0" w:color="auto"/>
        <w:bottom w:val="none" w:sz="0" w:space="0" w:color="auto"/>
        <w:right w:val="none" w:sz="0" w:space="0" w:color="auto"/>
      </w:divBdr>
    </w:div>
    <w:div w:id="1413965860">
      <w:bodyDiv w:val="1"/>
      <w:marLeft w:val="0"/>
      <w:marRight w:val="0"/>
      <w:marTop w:val="0"/>
      <w:marBottom w:val="0"/>
      <w:divBdr>
        <w:top w:val="none" w:sz="0" w:space="0" w:color="auto"/>
        <w:left w:val="none" w:sz="0" w:space="0" w:color="auto"/>
        <w:bottom w:val="none" w:sz="0" w:space="0" w:color="auto"/>
        <w:right w:val="none" w:sz="0" w:space="0" w:color="auto"/>
      </w:divBdr>
      <w:divsChild>
        <w:div w:id="163518137">
          <w:marLeft w:val="605"/>
          <w:marRight w:val="0"/>
          <w:marTop w:val="269"/>
          <w:marBottom w:val="0"/>
          <w:divBdr>
            <w:top w:val="none" w:sz="0" w:space="0" w:color="auto"/>
            <w:left w:val="none" w:sz="0" w:space="0" w:color="auto"/>
            <w:bottom w:val="none" w:sz="0" w:space="0" w:color="auto"/>
            <w:right w:val="none" w:sz="0" w:space="0" w:color="auto"/>
          </w:divBdr>
        </w:div>
        <w:div w:id="735906256">
          <w:marLeft w:val="605"/>
          <w:marRight w:val="0"/>
          <w:marTop w:val="269"/>
          <w:marBottom w:val="0"/>
          <w:divBdr>
            <w:top w:val="none" w:sz="0" w:space="0" w:color="auto"/>
            <w:left w:val="none" w:sz="0" w:space="0" w:color="auto"/>
            <w:bottom w:val="none" w:sz="0" w:space="0" w:color="auto"/>
            <w:right w:val="none" w:sz="0" w:space="0" w:color="auto"/>
          </w:divBdr>
        </w:div>
        <w:div w:id="966085266">
          <w:marLeft w:val="605"/>
          <w:marRight w:val="0"/>
          <w:marTop w:val="269"/>
          <w:marBottom w:val="0"/>
          <w:divBdr>
            <w:top w:val="none" w:sz="0" w:space="0" w:color="auto"/>
            <w:left w:val="none" w:sz="0" w:space="0" w:color="auto"/>
            <w:bottom w:val="none" w:sz="0" w:space="0" w:color="auto"/>
            <w:right w:val="none" w:sz="0" w:space="0" w:color="auto"/>
          </w:divBdr>
        </w:div>
        <w:div w:id="1165710297">
          <w:marLeft w:val="605"/>
          <w:marRight w:val="0"/>
          <w:marTop w:val="269"/>
          <w:marBottom w:val="0"/>
          <w:divBdr>
            <w:top w:val="none" w:sz="0" w:space="0" w:color="auto"/>
            <w:left w:val="none" w:sz="0" w:space="0" w:color="auto"/>
            <w:bottom w:val="none" w:sz="0" w:space="0" w:color="auto"/>
            <w:right w:val="none" w:sz="0" w:space="0" w:color="auto"/>
          </w:divBdr>
        </w:div>
        <w:div w:id="1503206237">
          <w:marLeft w:val="605"/>
          <w:marRight w:val="0"/>
          <w:marTop w:val="269"/>
          <w:marBottom w:val="0"/>
          <w:divBdr>
            <w:top w:val="none" w:sz="0" w:space="0" w:color="auto"/>
            <w:left w:val="none" w:sz="0" w:space="0" w:color="auto"/>
            <w:bottom w:val="none" w:sz="0" w:space="0" w:color="auto"/>
            <w:right w:val="none" w:sz="0" w:space="0" w:color="auto"/>
          </w:divBdr>
        </w:div>
        <w:div w:id="1892423434">
          <w:marLeft w:val="605"/>
          <w:marRight w:val="0"/>
          <w:marTop w:val="269"/>
          <w:marBottom w:val="0"/>
          <w:divBdr>
            <w:top w:val="none" w:sz="0" w:space="0" w:color="auto"/>
            <w:left w:val="none" w:sz="0" w:space="0" w:color="auto"/>
            <w:bottom w:val="none" w:sz="0" w:space="0" w:color="auto"/>
            <w:right w:val="none" w:sz="0" w:space="0" w:color="auto"/>
          </w:divBdr>
        </w:div>
        <w:div w:id="2086805339">
          <w:marLeft w:val="605"/>
          <w:marRight w:val="0"/>
          <w:marTop w:val="269"/>
          <w:marBottom w:val="0"/>
          <w:divBdr>
            <w:top w:val="none" w:sz="0" w:space="0" w:color="auto"/>
            <w:left w:val="none" w:sz="0" w:space="0" w:color="auto"/>
            <w:bottom w:val="none" w:sz="0" w:space="0" w:color="auto"/>
            <w:right w:val="none" w:sz="0" w:space="0" w:color="auto"/>
          </w:divBdr>
        </w:div>
      </w:divsChild>
    </w:div>
    <w:div w:id="1442338513">
      <w:bodyDiv w:val="1"/>
      <w:marLeft w:val="0"/>
      <w:marRight w:val="0"/>
      <w:marTop w:val="0"/>
      <w:marBottom w:val="0"/>
      <w:divBdr>
        <w:top w:val="none" w:sz="0" w:space="0" w:color="auto"/>
        <w:left w:val="none" w:sz="0" w:space="0" w:color="auto"/>
        <w:bottom w:val="none" w:sz="0" w:space="0" w:color="auto"/>
        <w:right w:val="none" w:sz="0" w:space="0" w:color="auto"/>
      </w:divBdr>
      <w:divsChild>
        <w:div w:id="526405840">
          <w:marLeft w:val="547"/>
          <w:marRight w:val="0"/>
          <w:marTop w:val="0"/>
          <w:marBottom w:val="180"/>
          <w:divBdr>
            <w:top w:val="none" w:sz="0" w:space="0" w:color="auto"/>
            <w:left w:val="none" w:sz="0" w:space="0" w:color="auto"/>
            <w:bottom w:val="none" w:sz="0" w:space="0" w:color="auto"/>
            <w:right w:val="none" w:sz="0" w:space="0" w:color="auto"/>
          </w:divBdr>
        </w:div>
      </w:divsChild>
    </w:div>
    <w:div w:id="1467310958">
      <w:bodyDiv w:val="1"/>
      <w:marLeft w:val="0"/>
      <w:marRight w:val="0"/>
      <w:marTop w:val="0"/>
      <w:marBottom w:val="0"/>
      <w:divBdr>
        <w:top w:val="none" w:sz="0" w:space="0" w:color="auto"/>
        <w:left w:val="none" w:sz="0" w:space="0" w:color="auto"/>
        <w:bottom w:val="none" w:sz="0" w:space="0" w:color="auto"/>
        <w:right w:val="none" w:sz="0" w:space="0" w:color="auto"/>
      </w:divBdr>
    </w:div>
    <w:div w:id="1482036196">
      <w:bodyDiv w:val="1"/>
      <w:marLeft w:val="0"/>
      <w:marRight w:val="0"/>
      <w:marTop w:val="0"/>
      <w:marBottom w:val="0"/>
      <w:divBdr>
        <w:top w:val="none" w:sz="0" w:space="0" w:color="auto"/>
        <w:left w:val="none" w:sz="0" w:space="0" w:color="auto"/>
        <w:bottom w:val="none" w:sz="0" w:space="0" w:color="auto"/>
        <w:right w:val="none" w:sz="0" w:space="0" w:color="auto"/>
      </w:divBdr>
      <w:divsChild>
        <w:div w:id="180053214">
          <w:marLeft w:val="605"/>
          <w:marRight w:val="0"/>
          <w:marTop w:val="211"/>
          <w:marBottom w:val="0"/>
          <w:divBdr>
            <w:top w:val="none" w:sz="0" w:space="0" w:color="auto"/>
            <w:left w:val="none" w:sz="0" w:space="0" w:color="auto"/>
            <w:bottom w:val="none" w:sz="0" w:space="0" w:color="auto"/>
            <w:right w:val="none" w:sz="0" w:space="0" w:color="auto"/>
          </w:divBdr>
        </w:div>
        <w:div w:id="339236611">
          <w:marLeft w:val="605"/>
          <w:marRight w:val="0"/>
          <w:marTop w:val="211"/>
          <w:marBottom w:val="0"/>
          <w:divBdr>
            <w:top w:val="none" w:sz="0" w:space="0" w:color="auto"/>
            <w:left w:val="none" w:sz="0" w:space="0" w:color="auto"/>
            <w:bottom w:val="none" w:sz="0" w:space="0" w:color="auto"/>
            <w:right w:val="none" w:sz="0" w:space="0" w:color="auto"/>
          </w:divBdr>
        </w:div>
        <w:div w:id="1039358731">
          <w:marLeft w:val="605"/>
          <w:marRight w:val="0"/>
          <w:marTop w:val="211"/>
          <w:marBottom w:val="0"/>
          <w:divBdr>
            <w:top w:val="none" w:sz="0" w:space="0" w:color="auto"/>
            <w:left w:val="none" w:sz="0" w:space="0" w:color="auto"/>
            <w:bottom w:val="none" w:sz="0" w:space="0" w:color="auto"/>
            <w:right w:val="none" w:sz="0" w:space="0" w:color="auto"/>
          </w:divBdr>
        </w:div>
        <w:div w:id="1441341714">
          <w:marLeft w:val="605"/>
          <w:marRight w:val="0"/>
          <w:marTop w:val="211"/>
          <w:marBottom w:val="0"/>
          <w:divBdr>
            <w:top w:val="none" w:sz="0" w:space="0" w:color="auto"/>
            <w:left w:val="none" w:sz="0" w:space="0" w:color="auto"/>
            <w:bottom w:val="none" w:sz="0" w:space="0" w:color="auto"/>
            <w:right w:val="none" w:sz="0" w:space="0" w:color="auto"/>
          </w:divBdr>
        </w:div>
      </w:divsChild>
    </w:div>
    <w:div w:id="1503466059">
      <w:bodyDiv w:val="1"/>
      <w:marLeft w:val="0"/>
      <w:marRight w:val="0"/>
      <w:marTop w:val="0"/>
      <w:marBottom w:val="0"/>
      <w:divBdr>
        <w:top w:val="none" w:sz="0" w:space="0" w:color="auto"/>
        <w:left w:val="none" w:sz="0" w:space="0" w:color="auto"/>
        <w:bottom w:val="none" w:sz="0" w:space="0" w:color="auto"/>
        <w:right w:val="none" w:sz="0" w:space="0" w:color="auto"/>
      </w:divBdr>
      <w:divsChild>
        <w:div w:id="1987394670">
          <w:marLeft w:val="0"/>
          <w:marRight w:val="0"/>
          <w:marTop w:val="0"/>
          <w:marBottom w:val="0"/>
          <w:divBdr>
            <w:top w:val="none" w:sz="0" w:space="0" w:color="auto"/>
            <w:left w:val="none" w:sz="0" w:space="0" w:color="auto"/>
            <w:bottom w:val="none" w:sz="0" w:space="0" w:color="auto"/>
            <w:right w:val="none" w:sz="0" w:space="0" w:color="auto"/>
          </w:divBdr>
          <w:divsChild>
            <w:div w:id="1479876316">
              <w:marLeft w:val="0"/>
              <w:marRight w:val="300"/>
              <w:marTop w:val="0"/>
              <w:marBottom w:val="0"/>
              <w:divBdr>
                <w:top w:val="none" w:sz="0" w:space="0" w:color="auto"/>
                <w:left w:val="none" w:sz="0" w:space="0" w:color="auto"/>
                <w:bottom w:val="none" w:sz="0" w:space="0" w:color="auto"/>
                <w:right w:val="none" w:sz="0" w:space="0" w:color="auto"/>
              </w:divBdr>
              <w:divsChild>
                <w:div w:id="646781126">
                  <w:marLeft w:val="0"/>
                  <w:marRight w:val="0"/>
                  <w:marTop w:val="0"/>
                  <w:marBottom w:val="0"/>
                  <w:divBdr>
                    <w:top w:val="none" w:sz="0" w:space="0" w:color="auto"/>
                    <w:left w:val="none" w:sz="0" w:space="0" w:color="auto"/>
                    <w:bottom w:val="none" w:sz="0" w:space="0" w:color="auto"/>
                    <w:right w:val="none" w:sz="0" w:space="0" w:color="auto"/>
                  </w:divBdr>
                </w:div>
                <w:div w:id="1231039026">
                  <w:marLeft w:val="0"/>
                  <w:marRight w:val="0"/>
                  <w:marTop w:val="0"/>
                  <w:marBottom w:val="30"/>
                  <w:divBdr>
                    <w:top w:val="none" w:sz="0" w:space="0" w:color="auto"/>
                    <w:left w:val="none" w:sz="0" w:space="0" w:color="auto"/>
                    <w:bottom w:val="none" w:sz="0" w:space="0" w:color="auto"/>
                    <w:right w:val="none" w:sz="0" w:space="0" w:color="auto"/>
                  </w:divBdr>
                </w:div>
                <w:div w:id="19453086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535312236">
      <w:bodyDiv w:val="1"/>
      <w:marLeft w:val="0"/>
      <w:marRight w:val="0"/>
      <w:marTop w:val="0"/>
      <w:marBottom w:val="0"/>
      <w:divBdr>
        <w:top w:val="none" w:sz="0" w:space="0" w:color="auto"/>
        <w:left w:val="none" w:sz="0" w:space="0" w:color="auto"/>
        <w:bottom w:val="none" w:sz="0" w:space="0" w:color="auto"/>
        <w:right w:val="none" w:sz="0" w:space="0" w:color="auto"/>
      </w:divBdr>
      <w:divsChild>
        <w:div w:id="455369197">
          <w:marLeft w:val="0"/>
          <w:marRight w:val="0"/>
          <w:marTop w:val="0"/>
          <w:marBottom w:val="0"/>
          <w:divBdr>
            <w:top w:val="none" w:sz="0" w:space="0" w:color="auto"/>
            <w:left w:val="none" w:sz="0" w:space="0" w:color="auto"/>
            <w:bottom w:val="none" w:sz="0" w:space="0" w:color="auto"/>
            <w:right w:val="none" w:sz="0" w:space="0" w:color="auto"/>
          </w:divBdr>
        </w:div>
      </w:divsChild>
    </w:div>
    <w:div w:id="1561939824">
      <w:bodyDiv w:val="1"/>
      <w:marLeft w:val="0"/>
      <w:marRight w:val="0"/>
      <w:marTop w:val="0"/>
      <w:marBottom w:val="0"/>
      <w:divBdr>
        <w:top w:val="none" w:sz="0" w:space="0" w:color="auto"/>
        <w:left w:val="none" w:sz="0" w:space="0" w:color="auto"/>
        <w:bottom w:val="none" w:sz="0" w:space="0" w:color="auto"/>
        <w:right w:val="none" w:sz="0" w:space="0" w:color="auto"/>
      </w:divBdr>
      <w:divsChild>
        <w:div w:id="226115033">
          <w:marLeft w:val="605"/>
          <w:marRight w:val="0"/>
          <w:marTop w:val="269"/>
          <w:marBottom w:val="0"/>
          <w:divBdr>
            <w:top w:val="none" w:sz="0" w:space="0" w:color="auto"/>
            <w:left w:val="none" w:sz="0" w:space="0" w:color="auto"/>
            <w:bottom w:val="none" w:sz="0" w:space="0" w:color="auto"/>
            <w:right w:val="none" w:sz="0" w:space="0" w:color="auto"/>
          </w:divBdr>
        </w:div>
        <w:div w:id="309332978">
          <w:marLeft w:val="605"/>
          <w:marRight w:val="0"/>
          <w:marTop w:val="269"/>
          <w:marBottom w:val="0"/>
          <w:divBdr>
            <w:top w:val="none" w:sz="0" w:space="0" w:color="auto"/>
            <w:left w:val="none" w:sz="0" w:space="0" w:color="auto"/>
            <w:bottom w:val="none" w:sz="0" w:space="0" w:color="auto"/>
            <w:right w:val="none" w:sz="0" w:space="0" w:color="auto"/>
          </w:divBdr>
        </w:div>
        <w:div w:id="1234506959">
          <w:marLeft w:val="605"/>
          <w:marRight w:val="0"/>
          <w:marTop w:val="269"/>
          <w:marBottom w:val="0"/>
          <w:divBdr>
            <w:top w:val="none" w:sz="0" w:space="0" w:color="auto"/>
            <w:left w:val="none" w:sz="0" w:space="0" w:color="auto"/>
            <w:bottom w:val="none" w:sz="0" w:space="0" w:color="auto"/>
            <w:right w:val="none" w:sz="0" w:space="0" w:color="auto"/>
          </w:divBdr>
        </w:div>
      </w:divsChild>
    </w:div>
    <w:div w:id="1581332675">
      <w:bodyDiv w:val="1"/>
      <w:marLeft w:val="0"/>
      <w:marRight w:val="0"/>
      <w:marTop w:val="0"/>
      <w:marBottom w:val="0"/>
      <w:divBdr>
        <w:top w:val="none" w:sz="0" w:space="0" w:color="auto"/>
        <w:left w:val="none" w:sz="0" w:space="0" w:color="auto"/>
        <w:bottom w:val="none" w:sz="0" w:space="0" w:color="auto"/>
        <w:right w:val="none" w:sz="0" w:space="0" w:color="auto"/>
      </w:divBdr>
    </w:div>
    <w:div w:id="1584295518">
      <w:bodyDiv w:val="1"/>
      <w:marLeft w:val="0"/>
      <w:marRight w:val="0"/>
      <w:marTop w:val="0"/>
      <w:marBottom w:val="0"/>
      <w:divBdr>
        <w:top w:val="none" w:sz="0" w:space="0" w:color="auto"/>
        <w:left w:val="none" w:sz="0" w:space="0" w:color="auto"/>
        <w:bottom w:val="none" w:sz="0" w:space="0" w:color="auto"/>
        <w:right w:val="none" w:sz="0" w:space="0" w:color="auto"/>
      </w:divBdr>
      <w:divsChild>
        <w:div w:id="2099515221">
          <w:marLeft w:val="547"/>
          <w:marRight w:val="0"/>
          <w:marTop w:val="0"/>
          <w:marBottom w:val="0"/>
          <w:divBdr>
            <w:top w:val="none" w:sz="0" w:space="0" w:color="auto"/>
            <w:left w:val="none" w:sz="0" w:space="0" w:color="auto"/>
            <w:bottom w:val="none" w:sz="0" w:space="0" w:color="auto"/>
            <w:right w:val="none" w:sz="0" w:space="0" w:color="auto"/>
          </w:divBdr>
        </w:div>
        <w:div w:id="1912080670">
          <w:marLeft w:val="547"/>
          <w:marRight w:val="0"/>
          <w:marTop w:val="0"/>
          <w:marBottom w:val="0"/>
          <w:divBdr>
            <w:top w:val="none" w:sz="0" w:space="0" w:color="auto"/>
            <w:left w:val="none" w:sz="0" w:space="0" w:color="auto"/>
            <w:bottom w:val="none" w:sz="0" w:space="0" w:color="auto"/>
            <w:right w:val="none" w:sz="0" w:space="0" w:color="auto"/>
          </w:divBdr>
        </w:div>
        <w:div w:id="156001038">
          <w:marLeft w:val="547"/>
          <w:marRight w:val="0"/>
          <w:marTop w:val="0"/>
          <w:marBottom w:val="0"/>
          <w:divBdr>
            <w:top w:val="none" w:sz="0" w:space="0" w:color="auto"/>
            <w:left w:val="none" w:sz="0" w:space="0" w:color="auto"/>
            <w:bottom w:val="none" w:sz="0" w:space="0" w:color="auto"/>
            <w:right w:val="none" w:sz="0" w:space="0" w:color="auto"/>
          </w:divBdr>
        </w:div>
        <w:div w:id="582185185">
          <w:marLeft w:val="547"/>
          <w:marRight w:val="0"/>
          <w:marTop w:val="0"/>
          <w:marBottom w:val="0"/>
          <w:divBdr>
            <w:top w:val="none" w:sz="0" w:space="0" w:color="auto"/>
            <w:left w:val="none" w:sz="0" w:space="0" w:color="auto"/>
            <w:bottom w:val="none" w:sz="0" w:space="0" w:color="auto"/>
            <w:right w:val="none" w:sz="0" w:space="0" w:color="auto"/>
          </w:divBdr>
        </w:div>
        <w:div w:id="1567956276">
          <w:marLeft w:val="547"/>
          <w:marRight w:val="0"/>
          <w:marTop w:val="0"/>
          <w:marBottom w:val="0"/>
          <w:divBdr>
            <w:top w:val="none" w:sz="0" w:space="0" w:color="auto"/>
            <w:left w:val="none" w:sz="0" w:space="0" w:color="auto"/>
            <w:bottom w:val="none" w:sz="0" w:space="0" w:color="auto"/>
            <w:right w:val="none" w:sz="0" w:space="0" w:color="auto"/>
          </w:divBdr>
        </w:div>
        <w:div w:id="1184200592">
          <w:marLeft w:val="547"/>
          <w:marRight w:val="0"/>
          <w:marTop w:val="0"/>
          <w:marBottom w:val="0"/>
          <w:divBdr>
            <w:top w:val="none" w:sz="0" w:space="0" w:color="auto"/>
            <w:left w:val="none" w:sz="0" w:space="0" w:color="auto"/>
            <w:bottom w:val="none" w:sz="0" w:space="0" w:color="auto"/>
            <w:right w:val="none" w:sz="0" w:space="0" w:color="auto"/>
          </w:divBdr>
        </w:div>
        <w:div w:id="1118257474">
          <w:marLeft w:val="547"/>
          <w:marRight w:val="0"/>
          <w:marTop w:val="0"/>
          <w:marBottom w:val="0"/>
          <w:divBdr>
            <w:top w:val="none" w:sz="0" w:space="0" w:color="auto"/>
            <w:left w:val="none" w:sz="0" w:space="0" w:color="auto"/>
            <w:bottom w:val="none" w:sz="0" w:space="0" w:color="auto"/>
            <w:right w:val="none" w:sz="0" w:space="0" w:color="auto"/>
          </w:divBdr>
        </w:div>
        <w:div w:id="1005982502">
          <w:marLeft w:val="547"/>
          <w:marRight w:val="0"/>
          <w:marTop w:val="0"/>
          <w:marBottom w:val="0"/>
          <w:divBdr>
            <w:top w:val="none" w:sz="0" w:space="0" w:color="auto"/>
            <w:left w:val="none" w:sz="0" w:space="0" w:color="auto"/>
            <w:bottom w:val="none" w:sz="0" w:space="0" w:color="auto"/>
            <w:right w:val="none" w:sz="0" w:space="0" w:color="auto"/>
          </w:divBdr>
        </w:div>
        <w:div w:id="101844825">
          <w:marLeft w:val="547"/>
          <w:marRight w:val="0"/>
          <w:marTop w:val="0"/>
          <w:marBottom w:val="0"/>
          <w:divBdr>
            <w:top w:val="none" w:sz="0" w:space="0" w:color="auto"/>
            <w:left w:val="none" w:sz="0" w:space="0" w:color="auto"/>
            <w:bottom w:val="none" w:sz="0" w:space="0" w:color="auto"/>
            <w:right w:val="none" w:sz="0" w:space="0" w:color="auto"/>
          </w:divBdr>
        </w:div>
        <w:div w:id="1095857473">
          <w:marLeft w:val="547"/>
          <w:marRight w:val="0"/>
          <w:marTop w:val="0"/>
          <w:marBottom w:val="0"/>
          <w:divBdr>
            <w:top w:val="none" w:sz="0" w:space="0" w:color="auto"/>
            <w:left w:val="none" w:sz="0" w:space="0" w:color="auto"/>
            <w:bottom w:val="none" w:sz="0" w:space="0" w:color="auto"/>
            <w:right w:val="none" w:sz="0" w:space="0" w:color="auto"/>
          </w:divBdr>
        </w:div>
        <w:div w:id="2095010427">
          <w:marLeft w:val="547"/>
          <w:marRight w:val="0"/>
          <w:marTop w:val="0"/>
          <w:marBottom w:val="0"/>
          <w:divBdr>
            <w:top w:val="none" w:sz="0" w:space="0" w:color="auto"/>
            <w:left w:val="none" w:sz="0" w:space="0" w:color="auto"/>
            <w:bottom w:val="none" w:sz="0" w:space="0" w:color="auto"/>
            <w:right w:val="none" w:sz="0" w:space="0" w:color="auto"/>
          </w:divBdr>
        </w:div>
        <w:div w:id="785580857">
          <w:marLeft w:val="547"/>
          <w:marRight w:val="0"/>
          <w:marTop w:val="0"/>
          <w:marBottom w:val="0"/>
          <w:divBdr>
            <w:top w:val="none" w:sz="0" w:space="0" w:color="auto"/>
            <w:left w:val="none" w:sz="0" w:space="0" w:color="auto"/>
            <w:bottom w:val="none" w:sz="0" w:space="0" w:color="auto"/>
            <w:right w:val="none" w:sz="0" w:space="0" w:color="auto"/>
          </w:divBdr>
        </w:div>
        <w:div w:id="1686513018">
          <w:marLeft w:val="547"/>
          <w:marRight w:val="0"/>
          <w:marTop w:val="0"/>
          <w:marBottom w:val="0"/>
          <w:divBdr>
            <w:top w:val="none" w:sz="0" w:space="0" w:color="auto"/>
            <w:left w:val="none" w:sz="0" w:space="0" w:color="auto"/>
            <w:bottom w:val="none" w:sz="0" w:space="0" w:color="auto"/>
            <w:right w:val="none" w:sz="0" w:space="0" w:color="auto"/>
          </w:divBdr>
        </w:div>
      </w:divsChild>
    </w:div>
    <w:div w:id="1644042501">
      <w:bodyDiv w:val="1"/>
      <w:marLeft w:val="0"/>
      <w:marRight w:val="0"/>
      <w:marTop w:val="0"/>
      <w:marBottom w:val="0"/>
      <w:divBdr>
        <w:top w:val="none" w:sz="0" w:space="0" w:color="auto"/>
        <w:left w:val="none" w:sz="0" w:space="0" w:color="auto"/>
        <w:bottom w:val="none" w:sz="0" w:space="0" w:color="auto"/>
        <w:right w:val="none" w:sz="0" w:space="0" w:color="auto"/>
      </w:divBdr>
      <w:divsChild>
        <w:div w:id="1178740751">
          <w:marLeft w:val="547"/>
          <w:marRight w:val="0"/>
          <w:marTop w:val="0"/>
          <w:marBottom w:val="180"/>
          <w:divBdr>
            <w:top w:val="none" w:sz="0" w:space="0" w:color="auto"/>
            <w:left w:val="none" w:sz="0" w:space="0" w:color="auto"/>
            <w:bottom w:val="none" w:sz="0" w:space="0" w:color="auto"/>
            <w:right w:val="none" w:sz="0" w:space="0" w:color="auto"/>
          </w:divBdr>
        </w:div>
      </w:divsChild>
    </w:div>
    <w:div w:id="1685790495">
      <w:bodyDiv w:val="1"/>
      <w:marLeft w:val="0"/>
      <w:marRight w:val="0"/>
      <w:marTop w:val="0"/>
      <w:marBottom w:val="0"/>
      <w:divBdr>
        <w:top w:val="none" w:sz="0" w:space="0" w:color="auto"/>
        <w:left w:val="none" w:sz="0" w:space="0" w:color="auto"/>
        <w:bottom w:val="none" w:sz="0" w:space="0" w:color="auto"/>
        <w:right w:val="none" w:sz="0" w:space="0" w:color="auto"/>
      </w:divBdr>
      <w:divsChild>
        <w:div w:id="1840270741">
          <w:marLeft w:val="0"/>
          <w:marRight w:val="0"/>
          <w:marTop w:val="0"/>
          <w:marBottom w:val="0"/>
          <w:divBdr>
            <w:top w:val="none" w:sz="0" w:space="0" w:color="auto"/>
            <w:left w:val="none" w:sz="0" w:space="0" w:color="auto"/>
            <w:bottom w:val="none" w:sz="0" w:space="0" w:color="auto"/>
            <w:right w:val="none" w:sz="0" w:space="0" w:color="auto"/>
          </w:divBdr>
          <w:divsChild>
            <w:div w:id="450785331">
              <w:marLeft w:val="0"/>
              <w:marRight w:val="300"/>
              <w:marTop w:val="0"/>
              <w:marBottom w:val="0"/>
              <w:divBdr>
                <w:top w:val="none" w:sz="0" w:space="0" w:color="auto"/>
                <w:left w:val="none" w:sz="0" w:space="0" w:color="auto"/>
                <w:bottom w:val="none" w:sz="0" w:space="0" w:color="auto"/>
                <w:right w:val="none" w:sz="0" w:space="0" w:color="auto"/>
              </w:divBdr>
              <w:divsChild>
                <w:div w:id="562911766">
                  <w:marLeft w:val="0"/>
                  <w:marRight w:val="0"/>
                  <w:marTop w:val="0"/>
                  <w:marBottom w:val="30"/>
                  <w:divBdr>
                    <w:top w:val="none" w:sz="0" w:space="0" w:color="auto"/>
                    <w:left w:val="none" w:sz="0" w:space="0" w:color="auto"/>
                    <w:bottom w:val="none" w:sz="0" w:space="0" w:color="auto"/>
                    <w:right w:val="none" w:sz="0" w:space="0" w:color="auto"/>
                  </w:divBdr>
                </w:div>
                <w:div w:id="813109509">
                  <w:marLeft w:val="0"/>
                  <w:marRight w:val="0"/>
                  <w:marTop w:val="0"/>
                  <w:marBottom w:val="0"/>
                  <w:divBdr>
                    <w:top w:val="none" w:sz="0" w:space="0" w:color="auto"/>
                    <w:left w:val="none" w:sz="0" w:space="0" w:color="auto"/>
                    <w:bottom w:val="none" w:sz="0" w:space="0" w:color="auto"/>
                    <w:right w:val="none" w:sz="0" w:space="0" w:color="auto"/>
                  </w:divBdr>
                </w:div>
                <w:div w:id="175631540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699350270">
      <w:bodyDiv w:val="1"/>
      <w:marLeft w:val="0"/>
      <w:marRight w:val="0"/>
      <w:marTop w:val="0"/>
      <w:marBottom w:val="0"/>
      <w:divBdr>
        <w:top w:val="none" w:sz="0" w:space="0" w:color="auto"/>
        <w:left w:val="none" w:sz="0" w:space="0" w:color="auto"/>
        <w:bottom w:val="none" w:sz="0" w:space="0" w:color="auto"/>
        <w:right w:val="none" w:sz="0" w:space="0" w:color="auto"/>
      </w:divBdr>
      <w:divsChild>
        <w:div w:id="959804510">
          <w:marLeft w:val="605"/>
          <w:marRight w:val="0"/>
          <w:marTop w:val="230"/>
          <w:marBottom w:val="0"/>
          <w:divBdr>
            <w:top w:val="none" w:sz="0" w:space="0" w:color="auto"/>
            <w:left w:val="none" w:sz="0" w:space="0" w:color="auto"/>
            <w:bottom w:val="none" w:sz="0" w:space="0" w:color="auto"/>
            <w:right w:val="none" w:sz="0" w:space="0" w:color="auto"/>
          </w:divBdr>
        </w:div>
        <w:div w:id="1135876824">
          <w:marLeft w:val="605"/>
          <w:marRight w:val="0"/>
          <w:marTop w:val="230"/>
          <w:marBottom w:val="0"/>
          <w:divBdr>
            <w:top w:val="none" w:sz="0" w:space="0" w:color="auto"/>
            <w:left w:val="none" w:sz="0" w:space="0" w:color="auto"/>
            <w:bottom w:val="none" w:sz="0" w:space="0" w:color="auto"/>
            <w:right w:val="none" w:sz="0" w:space="0" w:color="auto"/>
          </w:divBdr>
        </w:div>
      </w:divsChild>
    </w:div>
    <w:div w:id="1714888521">
      <w:bodyDiv w:val="1"/>
      <w:marLeft w:val="0"/>
      <w:marRight w:val="0"/>
      <w:marTop w:val="0"/>
      <w:marBottom w:val="0"/>
      <w:divBdr>
        <w:top w:val="none" w:sz="0" w:space="0" w:color="auto"/>
        <w:left w:val="none" w:sz="0" w:space="0" w:color="auto"/>
        <w:bottom w:val="none" w:sz="0" w:space="0" w:color="auto"/>
        <w:right w:val="none" w:sz="0" w:space="0" w:color="auto"/>
      </w:divBdr>
      <w:divsChild>
        <w:div w:id="1011252860">
          <w:marLeft w:val="662"/>
          <w:marRight w:val="0"/>
          <w:marTop w:val="0"/>
          <w:marBottom w:val="0"/>
          <w:divBdr>
            <w:top w:val="none" w:sz="0" w:space="0" w:color="auto"/>
            <w:left w:val="none" w:sz="0" w:space="0" w:color="auto"/>
            <w:bottom w:val="none" w:sz="0" w:space="0" w:color="auto"/>
            <w:right w:val="none" w:sz="0" w:space="0" w:color="auto"/>
          </w:divBdr>
        </w:div>
        <w:div w:id="285353689">
          <w:marLeft w:val="662"/>
          <w:marRight w:val="0"/>
          <w:marTop w:val="0"/>
          <w:marBottom w:val="0"/>
          <w:divBdr>
            <w:top w:val="none" w:sz="0" w:space="0" w:color="auto"/>
            <w:left w:val="none" w:sz="0" w:space="0" w:color="auto"/>
            <w:bottom w:val="none" w:sz="0" w:space="0" w:color="auto"/>
            <w:right w:val="none" w:sz="0" w:space="0" w:color="auto"/>
          </w:divBdr>
        </w:div>
        <w:div w:id="41366048">
          <w:marLeft w:val="662"/>
          <w:marRight w:val="0"/>
          <w:marTop w:val="0"/>
          <w:marBottom w:val="0"/>
          <w:divBdr>
            <w:top w:val="none" w:sz="0" w:space="0" w:color="auto"/>
            <w:left w:val="none" w:sz="0" w:space="0" w:color="auto"/>
            <w:bottom w:val="none" w:sz="0" w:space="0" w:color="auto"/>
            <w:right w:val="none" w:sz="0" w:space="0" w:color="auto"/>
          </w:divBdr>
        </w:div>
        <w:div w:id="822696822">
          <w:marLeft w:val="662"/>
          <w:marRight w:val="0"/>
          <w:marTop w:val="0"/>
          <w:marBottom w:val="0"/>
          <w:divBdr>
            <w:top w:val="none" w:sz="0" w:space="0" w:color="auto"/>
            <w:left w:val="none" w:sz="0" w:space="0" w:color="auto"/>
            <w:bottom w:val="none" w:sz="0" w:space="0" w:color="auto"/>
            <w:right w:val="none" w:sz="0" w:space="0" w:color="auto"/>
          </w:divBdr>
        </w:div>
        <w:div w:id="1058749147">
          <w:marLeft w:val="662"/>
          <w:marRight w:val="0"/>
          <w:marTop w:val="0"/>
          <w:marBottom w:val="0"/>
          <w:divBdr>
            <w:top w:val="none" w:sz="0" w:space="0" w:color="auto"/>
            <w:left w:val="none" w:sz="0" w:space="0" w:color="auto"/>
            <w:bottom w:val="none" w:sz="0" w:space="0" w:color="auto"/>
            <w:right w:val="none" w:sz="0" w:space="0" w:color="auto"/>
          </w:divBdr>
        </w:div>
        <w:div w:id="403912280">
          <w:marLeft w:val="662"/>
          <w:marRight w:val="0"/>
          <w:marTop w:val="0"/>
          <w:marBottom w:val="0"/>
          <w:divBdr>
            <w:top w:val="none" w:sz="0" w:space="0" w:color="auto"/>
            <w:left w:val="none" w:sz="0" w:space="0" w:color="auto"/>
            <w:bottom w:val="none" w:sz="0" w:space="0" w:color="auto"/>
            <w:right w:val="none" w:sz="0" w:space="0" w:color="auto"/>
          </w:divBdr>
        </w:div>
      </w:divsChild>
    </w:div>
    <w:div w:id="1721858767">
      <w:bodyDiv w:val="1"/>
      <w:marLeft w:val="0"/>
      <w:marRight w:val="0"/>
      <w:marTop w:val="0"/>
      <w:marBottom w:val="0"/>
      <w:divBdr>
        <w:top w:val="none" w:sz="0" w:space="0" w:color="auto"/>
        <w:left w:val="none" w:sz="0" w:space="0" w:color="auto"/>
        <w:bottom w:val="none" w:sz="0" w:space="0" w:color="auto"/>
        <w:right w:val="none" w:sz="0" w:space="0" w:color="auto"/>
      </w:divBdr>
    </w:div>
    <w:div w:id="1722169742">
      <w:bodyDiv w:val="1"/>
      <w:marLeft w:val="0"/>
      <w:marRight w:val="0"/>
      <w:marTop w:val="0"/>
      <w:marBottom w:val="0"/>
      <w:divBdr>
        <w:top w:val="none" w:sz="0" w:space="0" w:color="auto"/>
        <w:left w:val="none" w:sz="0" w:space="0" w:color="auto"/>
        <w:bottom w:val="none" w:sz="0" w:space="0" w:color="auto"/>
        <w:right w:val="none" w:sz="0" w:space="0" w:color="auto"/>
      </w:divBdr>
    </w:div>
    <w:div w:id="1729063858">
      <w:bodyDiv w:val="1"/>
      <w:marLeft w:val="0"/>
      <w:marRight w:val="0"/>
      <w:marTop w:val="0"/>
      <w:marBottom w:val="0"/>
      <w:divBdr>
        <w:top w:val="none" w:sz="0" w:space="0" w:color="auto"/>
        <w:left w:val="none" w:sz="0" w:space="0" w:color="auto"/>
        <w:bottom w:val="none" w:sz="0" w:space="0" w:color="auto"/>
        <w:right w:val="none" w:sz="0" w:space="0" w:color="auto"/>
      </w:divBdr>
    </w:div>
    <w:div w:id="1730034247">
      <w:bodyDiv w:val="1"/>
      <w:marLeft w:val="0"/>
      <w:marRight w:val="0"/>
      <w:marTop w:val="0"/>
      <w:marBottom w:val="0"/>
      <w:divBdr>
        <w:top w:val="none" w:sz="0" w:space="0" w:color="auto"/>
        <w:left w:val="none" w:sz="0" w:space="0" w:color="auto"/>
        <w:bottom w:val="none" w:sz="0" w:space="0" w:color="auto"/>
        <w:right w:val="none" w:sz="0" w:space="0" w:color="auto"/>
      </w:divBdr>
    </w:div>
    <w:div w:id="1742483914">
      <w:bodyDiv w:val="1"/>
      <w:marLeft w:val="0"/>
      <w:marRight w:val="0"/>
      <w:marTop w:val="0"/>
      <w:marBottom w:val="0"/>
      <w:divBdr>
        <w:top w:val="none" w:sz="0" w:space="0" w:color="auto"/>
        <w:left w:val="none" w:sz="0" w:space="0" w:color="auto"/>
        <w:bottom w:val="none" w:sz="0" w:space="0" w:color="auto"/>
        <w:right w:val="none" w:sz="0" w:space="0" w:color="auto"/>
      </w:divBdr>
      <w:divsChild>
        <w:div w:id="39978945">
          <w:marLeft w:val="605"/>
          <w:marRight w:val="0"/>
          <w:marTop w:val="211"/>
          <w:marBottom w:val="0"/>
          <w:divBdr>
            <w:top w:val="none" w:sz="0" w:space="0" w:color="auto"/>
            <w:left w:val="none" w:sz="0" w:space="0" w:color="auto"/>
            <w:bottom w:val="none" w:sz="0" w:space="0" w:color="auto"/>
            <w:right w:val="none" w:sz="0" w:space="0" w:color="auto"/>
          </w:divBdr>
        </w:div>
        <w:div w:id="118031997">
          <w:marLeft w:val="605"/>
          <w:marRight w:val="0"/>
          <w:marTop w:val="211"/>
          <w:marBottom w:val="0"/>
          <w:divBdr>
            <w:top w:val="none" w:sz="0" w:space="0" w:color="auto"/>
            <w:left w:val="none" w:sz="0" w:space="0" w:color="auto"/>
            <w:bottom w:val="none" w:sz="0" w:space="0" w:color="auto"/>
            <w:right w:val="none" w:sz="0" w:space="0" w:color="auto"/>
          </w:divBdr>
        </w:div>
        <w:div w:id="370150259">
          <w:marLeft w:val="1051"/>
          <w:marRight w:val="0"/>
          <w:marTop w:val="106"/>
          <w:marBottom w:val="0"/>
          <w:divBdr>
            <w:top w:val="none" w:sz="0" w:space="0" w:color="auto"/>
            <w:left w:val="none" w:sz="0" w:space="0" w:color="auto"/>
            <w:bottom w:val="none" w:sz="0" w:space="0" w:color="auto"/>
            <w:right w:val="none" w:sz="0" w:space="0" w:color="auto"/>
          </w:divBdr>
        </w:div>
        <w:div w:id="468667389">
          <w:marLeft w:val="605"/>
          <w:marRight w:val="0"/>
          <w:marTop w:val="211"/>
          <w:marBottom w:val="0"/>
          <w:divBdr>
            <w:top w:val="none" w:sz="0" w:space="0" w:color="auto"/>
            <w:left w:val="none" w:sz="0" w:space="0" w:color="auto"/>
            <w:bottom w:val="none" w:sz="0" w:space="0" w:color="auto"/>
            <w:right w:val="none" w:sz="0" w:space="0" w:color="auto"/>
          </w:divBdr>
        </w:div>
        <w:div w:id="849371215">
          <w:marLeft w:val="605"/>
          <w:marRight w:val="0"/>
          <w:marTop w:val="211"/>
          <w:marBottom w:val="0"/>
          <w:divBdr>
            <w:top w:val="none" w:sz="0" w:space="0" w:color="auto"/>
            <w:left w:val="none" w:sz="0" w:space="0" w:color="auto"/>
            <w:bottom w:val="none" w:sz="0" w:space="0" w:color="auto"/>
            <w:right w:val="none" w:sz="0" w:space="0" w:color="auto"/>
          </w:divBdr>
        </w:div>
        <w:div w:id="1045065361">
          <w:marLeft w:val="605"/>
          <w:marRight w:val="0"/>
          <w:marTop w:val="211"/>
          <w:marBottom w:val="0"/>
          <w:divBdr>
            <w:top w:val="none" w:sz="0" w:space="0" w:color="auto"/>
            <w:left w:val="none" w:sz="0" w:space="0" w:color="auto"/>
            <w:bottom w:val="none" w:sz="0" w:space="0" w:color="auto"/>
            <w:right w:val="none" w:sz="0" w:space="0" w:color="auto"/>
          </w:divBdr>
        </w:div>
        <w:div w:id="1058211913">
          <w:marLeft w:val="1051"/>
          <w:marRight w:val="0"/>
          <w:marTop w:val="106"/>
          <w:marBottom w:val="0"/>
          <w:divBdr>
            <w:top w:val="none" w:sz="0" w:space="0" w:color="auto"/>
            <w:left w:val="none" w:sz="0" w:space="0" w:color="auto"/>
            <w:bottom w:val="none" w:sz="0" w:space="0" w:color="auto"/>
            <w:right w:val="none" w:sz="0" w:space="0" w:color="auto"/>
          </w:divBdr>
        </w:div>
        <w:div w:id="1310594385">
          <w:marLeft w:val="605"/>
          <w:marRight w:val="0"/>
          <w:marTop w:val="211"/>
          <w:marBottom w:val="0"/>
          <w:divBdr>
            <w:top w:val="none" w:sz="0" w:space="0" w:color="auto"/>
            <w:left w:val="none" w:sz="0" w:space="0" w:color="auto"/>
            <w:bottom w:val="none" w:sz="0" w:space="0" w:color="auto"/>
            <w:right w:val="none" w:sz="0" w:space="0" w:color="auto"/>
          </w:divBdr>
        </w:div>
        <w:div w:id="1371299637">
          <w:marLeft w:val="605"/>
          <w:marRight w:val="0"/>
          <w:marTop w:val="211"/>
          <w:marBottom w:val="0"/>
          <w:divBdr>
            <w:top w:val="none" w:sz="0" w:space="0" w:color="auto"/>
            <w:left w:val="none" w:sz="0" w:space="0" w:color="auto"/>
            <w:bottom w:val="none" w:sz="0" w:space="0" w:color="auto"/>
            <w:right w:val="none" w:sz="0" w:space="0" w:color="auto"/>
          </w:divBdr>
        </w:div>
        <w:div w:id="1389723318">
          <w:marLeft w:val="605"/>
          <w:marRight w:val="0"/>
          <w:marTop w:val="211"/>
          <w:marBottom w:val="0"/>
          <w:divBdr>
            <w:top w:val="none" w:sz="0" w:space="0" w:color="auto"/>
            <w:left w:val="none" w:sz="0" w:space="0" w:color="auto"/>
            <w:bottom w:val="none" w:sz="0" w:space="0" w:color="auto"/>
            <w:right w:val="none" w:sz="0" w:space="0" w:color="auto"/>
          </w:divBdr>
        </w:div>
        <w:div w:id="1420298893">
          <w:marLeft w:val="1051"/>
          <w:marRight w:val="0"/>
          <w:marTop w:val="106"/>
          <w:marBottom w:val="0"/>
          <w:divBdr>
            <w:top w:val="none" w:sz="0" w:space="0" w:color="auto"/>
            <w:left w:val="none" w:sz="0" w:space="0" w:color="auto"/>
            <w:bottom w:val="none" w:sz="0" w:space="0" w:color="auto"/>
            <w:right w:val="none" w:sz="0" w:space="0" w:color="auto"/>
          </w:divBdr>
        </w:div>
        <w:div w:id="1663269580">
          <w:marLeft w:val="605"/>
          <w:marRight w:val="0"/>
          <w:marTop w:val="211"/>
          <w:marBottom w:val="0"/>
          <w:divBdr>
            <w:top w:val="none" w:sz="0" w:space="0" w:color="auto"/>
            <w:left w:val="none" w:sz="0" w:space="0" w:color="auto"/>
            <w:bottom w:val="none" w:sz="0" w:space="0" w:color="auto"/>
            <w:right w:val="none" w:sz="0" w:space="0" w:color="auto"/>
          </w:divBdr>
        </w:div>
        <w:div w:id="2048942465">
          <w:marLeft w:val="605"/>
          <w:marRight w:val="0"/>
          <w:marTop w:val="211"/>
          <w:marBottom w:val="0"/>
          <w:divBdr>
            <w:top w:val="none" w:sz="0" w:space="0" w:color="auto"/>
            <w:left w:val="none" w:sz="0" w:space="0" w:color="auto"/>
            <w:bottom w:val="none" w:sz="0" w:space="0" w:color="auto"/>
            <w:right w:val="none" w:sz="0" w:space="0" w:color="auto"/>
          </w:divBdr>
        </w:div>
      </w:divsChild>
    </w:div>
    <w:div w:id="1746761835">
      <w:bodyDiv w:val="1"/>
      <w:marLeft w:val="0"/>
      <w:marRight w:val="0"/>
      <w:marTop w:val="0"/>
      <w:marBottom w:val="0"/>
      <w:divBdr>
        <w:top w:val="none" w:sz="0" w:space="0" w:color="auto"/>
        <w:left w:val="none" w:sz="0" w:space="0" w:color="auto"/>
        <w:bottom w:val="none" w:sz="0" w:space="0" w:color="auto"/>
        <w:right w:val="none" w:sz="0" w:space="0" w:color="auto"/>
      </w:divBdr>
    </w:div>
    <w:div w:id="1750615276">
      <w:bodyDiv w:val="1"/>
      <w:marLeft w:val="0"/>
      <w:marRight w:val="0"/>
      <w:marTop w:val="0"/>
      <w:marBottom w:val="0"/>
      <w:divBdr>
        <w:top w:val="none" w:sz="0" w:space="0" w:color="auto"/>
        <w:left w:val="none" w:sz="0" w:space="0" w:color="auto"/>
        <w:bottom w:val="none" w:sz="0" w:space="0" w:color="auto"/>
        <w:right w:val="none" w:sz="0" w:space="0" w:color="auto"/>
      </w:divBdr>
      <w:divsChild>
        <w:div w:id="1171482854">
          <w:marLeft w:val="547"/>
          <w:marRight w:val="0"/>
          <w:marTop w:val="0"/>
          <w:marBottom w:val="0"/>
          <w:divBdr>
            <w:top w:val="none" w:sz="0" w:space="0" w:color="auto"/>
            <w:left w:val="none" w:sz="0" w:space="0" w:color="auto"/>
            <w:bottom w:val="none" w:sz="0" w:space="0" w:color="auto"/>
            <w:right w:val="none" w:sz="0" w:space="0" w:color="auto"/>
          </w:divBdr>
        </w:div>
      </w:divsChild>
    </w:div>
    <w:div w:id="1787115664">
      <w:bodyDiv w:val="1"/>
      <w:marLeft w:val="0"/>
      <w:marRight w:val="0"/>
      <w:marTop w:val="0"/>
      <w:marBottom w:val="0"/>
      <w:divBdr>
        <w:top w:val="none" w:sz="0" w:space="0" w:color="auto"/>
        <w:left w:val="none" w:sz="0" w:space="0" w:color="auto"/>
        <w:bottom w:val="none" w:sz="0" w:space="0" w:color="auto"/>
        <w:right w:val="none" w:sz="0" w:space="0" w:color="auto"/>
      </w:divBdr>
      <w:divsChild>
        <w:div w:id="777875069">
          <w:marLeft w:val="835"/>
          <w:marRight w:val="0"/>
          <w:marTop w:val="0"/>
          <w:marBottom w:val="180"/>
          <w:divBdr>
            <w:top w:val="none" w:sz="0" w:space="0" w:color="auto"/>
            <w:left w:val="none" w:sz="0" w:space="0" w:color="auto"/>
            <w:bottom w:val="none" w:sz="0" w:space="0" w:color="auto"/>
            <w:right w:val="none" w:sz="0" w:space="0" w:color="auto"/>
          </w:divBdr>
        </w:div>
        <w:div w:id="983050605">
          <w:marLeft w:val="835"/>
          <w:marRight w:val="0"/>
          <w:marTop w:val="0"/>
          <w:marBottom w:val="180"/>
          <w:divBdr>
            <w:top w:val="none" w:sz="0" w:space="0" w:color="auto"/>
            <w:left w:val="none" w:sz="0" w:space="0" w:color="auto"/>
            <w:bottom w:val="none" w:sz="0" w:space="0" w:color="auto"/>
            <w:right w:val="none" w:sz="0" w:space="0" w:color="auto"/>
          </w:divBdr>
        </w:div>
        <w:div w:id="1217938888">
          <w:marLeft w:val="835"/>
          <w:marRight w:val="0"/>
          <w:marTop w:val="0"/>
          <w:marBottom w:val="180"/>
          <w:divBdr>
            <w:top w:val="none" w:sz="0" w:space="0" w:color="auto"/>
            <w:left w:val="none" w:sz="0" w:space="0" w:color="auto"/>
            <w:bottom w:val="none" w:sz="0" w:space="0" w:color="auto"/>
            <w:right w:val="none" w:sz="0" w:space="0" w:color="auto"/>
          </w:divBdr>
        </w:div>
        <w:div w:id="1396469812">
          <w:marLeft w:val="835"/>
          <w:marRight w:val="0"/>
          <w:marTop w:val="0"/>
          <w:marBottom w:val="180"/>
          <w:divBdr>
            <w:top w:val="none" w:sz="0" w:space="0" w:color="auto"/>
            <w:left w:val="none" w:sz="0" w:space="0" w:color="auto"/>
            <w:bottom w:val="none" w:sz="0" w:space="0" w:color="auto"/>
            <w:right w:val="none" w:sz="0" w:space="0" w:color="auto"/>
          </w:divBdr>
        </w:div>
        <w:div w:id="1669938120">
          <w:marLeft w:val="835"/>
          <w:marRight w:val="0"/>
          <w:marTop w:val="0"/>
          <w:marBottom w:val="180"/>
          <w:divBdr>
            <w:top w:val="none" w:sz="0" w:space="0" w:color="auto"/>
            <w:left w:val="none" w:sz="0" w:space="0" w:color="auto"/>
            <w:bottom w:val="none" w:sz="0" w:space="0" w:color="auto"/>
            <w:right w:val="none" w:sz="0" w:space="0" w:color="auto"/>
          </w:divBdr>
        </w:div>
        <w:div w:id="1835760974">
          <w:marLeft w:val="835"/>
          <w:marRight w:val="0"/>
          <w:marTop w:val="0"/>
          <w:marBottom w:val="180"/>
          <w:divBdr>
            <w:top w:val="none" w:sz="0" w:space="0" w:color="auto"/>
            <w:left w:val="none" w:sz="0" w:space="0" w:color="auto"/>
            <w:bottom w:val="none" w:sz="0" w:space="0" w:color="auto"/>
            <w:right w:val="none" w:sz="0" w:space="0" w:color="auto"/>
          </w:divBdr>
        </w:div>
        <w:div w:id="1858812073">
          <w:marLeft w:val="835"/>
          <w:marRight w:val="0"/>
          <w:marTop w:val="0"/>
          <w:marBottom w:val="180"/>
          <w:divBdr>
            <w:top w:val="none" w:sz="0" w:space="0" w:color="auto"/>
            <w:left w:val="none" w:sz="0" w:space="0" w:color="auto"/>
            <w:bottom w:val="none" w:sz="0" w:space="0" w:color="auto"/>
            <w:right w:val="none" w:sz="0" w:space="0" w:color="auto"/>
          </w:divBdr>
        </w:div>
      </w:divsChild>
    </w:div>
    <w:div w:id="1810127573">
      <w:bodyDiv w:val="1"/>
      <w:marLeft w:val="0"/>
      <w:marRight w:val="0"/>
      <w:marTop w:val="0"/>
      <w:marBottom w:val="0"/>
      <w:divBdr>
        <w:top w:val="none" w:sz="0" w:space="0" w:color="auto"/>
        <w:left w:val="none" w:sz="0" w:space="0" w:color="auto"/>
        <w:bottom w:val="none" w:sz="0" w:space="0" w:color="auto"/>
        <w:right w:val="none" w:sz="0" w:space="0" w:color="auto"/>
      </w:divBdr>
      <w:divsChild>
        <w:div w:id="79570181">
          <w:marLeft w:val="605"/>
          <w:marRight w:val="0"/>
          <w:marTop w:val="269"/>
          <w:marBottom w:val="0"/>
          <w:divBdr>
            <w:top w:val="none" w:sz="0" w:space="0" w:color="auto"/>
            <w:left w:val="none" w:sz="0" w:space="0" w:color="auto"/>
            <w:bottom w:val="none" w:sz="0" w:space="0" w:color="auto"/>
            <w:right w:val="none" w:sz="0" w:space="0" w:color="auto"/>
          </w:divBdr>
        </w:div>
        <w:div w:id="515267074">
          <w:marLeft w:val="605"/>
          <w:marRight w:val="0"/>
          <w:marTop w:val="269"/>
          <w:marBottom w:val="0"/>
          <w:divBdr>
            <w:top w:val="none" w:sz="0" w:space="0" w:color="auto"/>
            <w:left w:val="none" w:sz="0" w:space="0" w:color="auto"/>
            <w:bottom w:val="none" w:sz="0" w:space="0" w:color="auto"/>
            <w:right w:val="none" w:sz="0" w:space="0" w:color="auto"/>
          </w:divBdr>
        </w:div>
        <w:div w:id="1353990527">
          <w:marLeft w:val="605"/>
          <w:marRight w:val="0"/>
          <w:marTop w:val="269"/>
          <w:marBottom w:val="0"/>
          <w:divBdr>
            <w:top w:val="none" w:sz="0" w:space="0" w:color="auto"/>
            <w:left w:val="none" w:sz="0" w:space="0" w:color="auto"/>
            <w:bottom w:val="none" w:sz="0" w:space="0" w:color="auto"/>
            <w:right w:val="none" w:sz="0" w:space="0" w:color="auto"/>
          </w:divBdr>
        </w:div>
        <w:div w:id="1389381889">
          <w:marLeft w:val="605"/>
          <w:marRight w:val="0"/>
          <w:marTop w:val="269"/>
          <w:marBottom w:val="0"/>
          <w:divBdr>
            <w:top w:val="none" w:sz="0" w:space="0" w:color="auto"/>
            <w:left w:val="none" w:sz="0" w:space="0" w:color="auto"/>
            <w:bottom w:val="none" w:sz="0" w:space="0" w:color="auto"/>
            <w:right w:val="none" w:sz="0" w:space="0" w:color="auto"/>
          </w:divBdr>
        </w:div>
        <w:div w:id="1959289523">
          <w:marLeft w:val="605"/>
          <w:marRight w:val="0"/>
          <w:marTop w:val="269"/>
          <w:marBottom w:val="0"/>
          <w:divBdr>
            <w:top w:val="none" w:sz="0" w:space="0" w:color="auto"/>
            <w:left w:val="none" w:sz="0" w:space="0" w:color="auto"/>
            <w:bottom w:val="none" w:sz="0" w:space="0" w:color="auto"/>
            <w:right w:val="none" w:sz="0" w:space="0" w:color="auto"/>
          </w:divBdr>
        </w:div>
        <w:div w:id="2078547496">
          <w:marLeft w:val="605"/>
          <w:marRight w:val="0"/>
          <w:marTop w:val="269"/>
          <w:marBottom w:val="0"/>
          <w:divBdr>
            <w:top w:val="none" w:sz="0" w:space="0" w:color="auto"/>
            <w:left w:val="none" w:sz="0" w:space="0" w:color="auto"/>
            <w:bottom w:val="none" w:sz="0" w:space="0" w:color="auto"/>
            <w:right w:val="none" w:sz="0" w:space="0" w:color="auto"/>
          </w:divBdr>
        </w:div>
      </w:divsChild>
    </w:div>
    <w:div w:id="1825319760">
      <w:bodyDiv w:val="1"/>
      <w:marLeft w:val="0"/>
      <w:marRight w:val="0"/>
      <w:marTop w:val="0"/>
      <w:marBottom w:val="0"/>
      <w:divBdr>
        <w:top w:val="none" w:sz="0" w:space="0" w:color="auto"/>
        <w:left w:val="none" w:sz="0" w:space="0" w:color="auto"/>
        <w:bottom w:val="none" w:sz="0" w:space="0" w:color="auto"/>
        <w:right w:val="none" w:sz="0" w:space="0" w:color="auto"/>
      </w:divBdr>
      <w:divsChild>
        <w:div w:id="2118482664">
          <w:marLeft w:val="115"/>
          <w:marRight w:val="0"/>
          <w:marTop w:val="0"/>
          <w:marBottom w:val="180"/>
          <w:divBdr>
            <w:top w:val="none" w:sz="0" w:space="0" w:color="auto"/>
            <w:left w:val="none" w:sz="0" w:space="0" w:color="auto"/>
            <w:bottom w:val="none" w:sz="0" w:space="0" w:color="auto"/>
            <w:right w:val="none" w:sz="0" w:space="0" w:color="auto"/>
          </w:divBdr>
        </w:div>
        <w:div w:id="1921593550">
          <w:marLeft w:val="115"/>
          <w:marRight w:val="0"/>
          <w:marTop w:val="0"/>
          <w:marBottom w:val="180"/>
          <w:divBdr>
            <w:top w:val="none" w:sz="0" w:space="0" w:color="auto"/>
            <w:left w:val="none" w:sz="0" w:space="0" w:color="auto"/>
            <w:bottom w:val="none" w:sz="0" w:space="0" w:color="auto"/>
            <w:right w:val="none" w:sz="0" w:space="0" w:color="auto"/>
          </w:divBdr>
        </w:div>
        <w:div w:id="311444957">
          <w:marLeft w:val="115"/>
          <w:marRight w:val="0"/>
          <w:marTop w:val="0"/>
          <w:marBottom w:val="180"/>
          <w:divBdr>
            <w:top w:val="none" w:sz="0" w:space="0" w:color="auto"/>
            <w:left w:val="none" w:sz="0" w:space="0" w:color="auto"/>
            <w:bottom w:val="none" w:sz="0" w:space="0" w:color="auto"/>
            <w:right w:val="none" w:sz="0" w:space="0" w:color="auto"/>
          </w:divBdr>
        </w:div>
        <w:div w:id="1679238006">
          <w:marLeft w:val="115"/>
          <w:marRight w:val="0"/>
          <w:marTop w:val="0"/>
          <w:marBottom w:val="180"/>
          <w:divBdr>
            <w:top w:val="none" w:sz="0" w:space="0" w:color="auto"/>
            <w:left w:val="none" w:sz="0" w:space="0" w:color="auto"/>
            <w:bottom w:val="none" w:sz="0" w:space="0" w:color="auto"/>
            <w:right w:val="none" w:sz="0" w:space="0" w:color="auto"/>
          </w:divBdr>
        </w:div>
        <w:div w:id="434374300">
          <w:marLeft w:val="115"/>
          <w:marRight w:val="0"/>
          <w:marTop w:val="0"/>
          <w:marBottom w:val="180"/>
          <w:divBdr>
            <w:top w:val="none" w:sz="0" w:space="0" w:color="auto"/>
            <w:left w:val="none" w:sz="0" w:space="0" w:color="auto"/>
            <w:bottom w:val="none" w:sz="0" w:space="0" w:color="auto"/>
            <w:right w:val="none" w:sz="0" w:space="0" w:color="auto"/>
          </w:divBdr>
        </w:div>
        <w:div w:id="860048042">
          <w:marLeft w:val="115"/>
          <w:marRight w:val="0"/>
          <w:marTop w:val="0"/>
          <w:marBottom w:val="180"/>
          <w:divBdr>
            <w:top w:val="none" w:sz="0" w:space="0" w:color="auto"/>
            <w:left w:val="none" w:sz="0" w:space="0" w:color="auto"/>
            <w:bottom w:val="none" w:sz="0" w:space="0" w:color="auto"/>
            <w:right w:val="none" w:sz="0" w:space="0" w:color="auto"/>
          </w:divBdr>
        </w:div>
      </w:divsChild>
    </w:div>
    <w:div w:id="1835948648">
      <w:bodyDiv w:val="1"/>
      <w:marLeft w:val="0"/>
      <w:marRight w:val="0"/>
      <w:marTop w:val="0"/>
      <w:marBottom w:val="0"/>
      <w:divBdr>
        <w:top w:val="none" w:sz="0" w:space="0" w:color="auto"/>
        <w:left w:val="none" w:sz="0" w:space="0" w:color="auto"/>
        <w:bottom w:val="none" w:sz="0" w:space="0" w:color="auto"/>
        <w:right w:val="none" w:sz="0" w:space="0" w:color="auto"/>
      </w:divBdr>
    </w:div>
    <w:div w:id="1849712811">
      <w:bodyDiv w:val="1"/>
      <w:marLeft w:val="0"/>
      <w:marRight w:val="0"/>
      <w:marTop w:val="0"/>
      <w:marBottom w:val="0"/>
      <w:divBdr>
        <w:top w:val="none" w:sz="0" w:space="0" w:color="auto"/>
        <w:left w:val="none" w:sz="0" w:space="0" w:color="auto"/>
        <w:bottom w:val="none" w:sz="0" w:space="0" w:color="auto"/>
        <w:right w:val="none" w:sz="0" w:space="0" w:color="auto"/>
      </w:divBdr>
    </w:div>
    <w:div w:id="1869641218">
      <w:bodyDiv w:val="1"/>
      <w:marLeft w:val="0"/>
      <w:marRight w:val="0"/>
      <w:marTop w:val="0"/>
      <w:marBottom w:val="0"/>
      <w:divBdr>
        <w:top w:val="none" w:sz="0" w:space="0" w:color="auto"/>
        <w:left w:val="none" w:sz="0" w:space="0" w:color="auto"/>
        <w:bottom w:val="none" w:sz="0" w:space="0" w:color="auto"/>
        <w:right w:val="none" w:sz="0" w:space="0" w:color="auto"/>
      </w:divBdr>
    </w:div>
    <w:div w:id="1880050954">
      <w:bodyDiv w:val="1"/>
      <w:marLeft w:val="0"/>
      <w:marRight w:val="0"/>
      <w:marTop w:val="0"/>
      <w:marBottom w:val="0"/>
      <w:divBdr>
        <w:top w:val="none" w:sz="0" w:space="0" w:color="auto"/>
        <w:left w:val="none" w:sz="0" w:space="0" w:color="auto"/>
        <w:bottom w:val="none" w:sz="0" w:space="0" w:color="auto"/>
        <w:right w:val="none" w:sz="0" w:space="0" w:color="auto"/>
      </w:divBdr>
    </w:div>
    <w:div w:id="1978874893">
      <w:bodyDiv w:val="1"/>
      <w:marLeft w:val="0"/>
      <w:marRight w:val="0"/>
      <w:marTop w:val="0"/>
      <w:marBottom w:val="0"/>
      <w:divBdr>
        <w:top w:val="none" w:sz="0" w:space="0" w:color="auto"/>
        <w:left w:val="none" w:sz="0" w:space="0" w:color="auto"/>
        <w:bottom w:val="none" w:sz="0" w:space="0" w:color="auto"/>
        <w:right w:val="none" w:sz="0" w:space="0" w:color="auto"/>
      </w:divBdr>
      <w:divsChild>
        <w:div w:id="11154871">
          <w:marLeft w:val="605"/>
          <w:marRight w:val="0"/>
          <w:marTop w:val="211"/>
          <w:marBottom w:val="0"/>
          <w:divBdr>
            <w:top w:val="none" w:sz="0" w:space="0" w:color="auto"/>
            <w:left w:val="none" w:sz="0" w:space="0" w:color="auto"/>
            <w:bottom w:val="none" w:sz="0" w:space="0" w:color="auto"/>
            <w:right w:val="none" w:sz="0" w:space="0" w:color="auto"/>
          </w:divBdr>
        </w:div>
        <w:div w:id="267205460">
          <w:marLeft w:val="605"/>
          <w:marRight w:val="0"/>
          <w:marTop w:val="211"/>
          <w:marBottom w:val="0"/>
          <w:divBdr>
            <w:top w:val="none" w:sz="0" w:space="0" w:color="auto"/>
            <w:left w:val="none" w:sz="0" w:space="0" w:color="auto"/>
            <w:bottom w:val="none" w:sz="0" w:space="0" w:color="auto"/>
            <w:right w:val="none" w:sz="0" w:space="0" w:color="auto"/>
          </w:divBdr>
        </w:div>
        <w:div w:id="663240638">
          <w:marLeft w:val="605"/>
          <w:marRight w:val="0"/>
          <w:marTop w:val="211"/>
          <w:marBottom w:val="0"/>
          <w:divBdr>
            <w:top w:val="none" w:sz="0" w:space="0" w:color="auto"/>
            <w:left w:val="none" w:sz="0" w:space="0" w:color="auto"/>
            <w:bottom w:val="none" w:sz="0" w:space="0" w:color="auto"/>
            <w:right w:val="none" w:sz="0" w:space="0" w:color="auto"/>
          </w:divBdr>
        </w:div>
        <w:div w:id="923224738">
          <w:marLeft w:val="605"/>
          <w:marRight w:val="0"/>
          <w:marTop w:val="211"/>
          <w:marBottom w:val="0"/>
          <w:divBdr>
            <w:top w:val="none" w:sz="0" w:space="0" w:color="auto"/>
            <w:left w:val="none" w:sz="0" w:space="0" w:color="auto"/>
            <w:bottom w:val="none" w:sz="0" w:space="0" w:color="auto"/>
            <w:right w:val="none" w:sz="0" w:space="0" w:color="auto"/>
          </w:divBdr>
        </w:div>
        <w:div w:id="1106656250">
          <w:marLeft w:val="605"/>
          <w:marRight w:val="0"/>
          <w:marTop w:val="211"/>
          <w:marBottom w:val="0"/>
          <w:divBdr>
            <w:top w:val="none" w:sz="0" w:space="0" w:color="auto"/>
            <w:left w:val="none" w:sz="0" w:space="0" w:color="auto"/>
            <w:bottom w:val="none" w:sz="0" w:space="0" w:color="auto"/>
            <w:right w:val="none" w:sz="0" w:space="0" w:color="auto"/>
          </w:divBdr>
        </w:div>
        <w:div w:id="1157646783">
          <w:marLeft w:val="605"/>
          <w:marRight w:val="0"/>
          <w:marTop w:val="211"/>
          <w:marBottom w:val="0"/>
          <w:divBdr>
            <w:top w:val="none" w:sz="0" w:space="0" w:color="auto"/>
            <w:left w:val="none" w:sz="0" w:space="0" w:color="auto"/>
            <w:bottom w:val="none" w:sz="0" w:space="0" w:color="auto"/>
            <w:right w:val="none" w:sz="0" w:space="0" w:color="auto"/>
          </w:divBdr>
        </w:div>
        <w:div w:id="1753041904">
          <w:marLeft w:val="605"/>
          <w:marRight w:val="0"/>
          <w:marTop w:val="211"/>
          <w:marBottom w:val="0"/>
          <w:divBdr>
            <w:top w:val="none" w:sz="0" w:space="0" w:color="auto"/>
            <w:left w:val="none" w:sz="0" w:space="0" w:color="auto"/>
            <w:bottom w:val="none" w:sz="0" w:space="0" w:color="auto"/>
            <w:right w:val="none" w:sz="0" w:space="0" w:color="auto"/>
          </w:divBdr>
        </w:div>
        <w:div w:id="1996296249">
          <w:marLeft w:val="605"/>
          <w:marRight w:val="0"/>
          <w:marTop w:val="211"/>
          <w:marBottom w:val="0"/>
          <w:divBdr>
            <w:top w:val="none" w:sz="0" w:space="0" w:color="auto"/>
            <w:left w:val="none" w:sz="0" w:space="0" w:color="auto"/>
            <w:bottom w:val="none" w:sz="0" w:space="0" w:color="auto"/>
            <w:right w:val="none" w:sz="0" w:space="0" w:color="auto"/>
          </w:divBdr>
        </w:div>
        <w:div w:id="2004703609">
          <w:marLeft w:val="605"/>
          <w:marRight w:val="0"/>
          <w:marTop w:val="211"/>
          <w:marBottom w:val="0"/>
          <w:divBdr>
            <w:top w:val="none" w:sz="0" w:space="0" w:color="auto"/>
            <w:left w:val="none" w:sz="0" w:space="0" w:color="auto"/>
            <w:bottom w:val="none" w:sz="0" w:space="0" w:color="auto"/>
            <w:right w:val="none" w:sz="0" w:space="0" w:color="auto"/>
          </w:divBdr>
        </w:div>
      </w:divsChild>
    </w:div>
    <w:div w:id="2030982116">
      <w:bodyDiv w:val="1"/>
      <w:marLeft w:val="0"/>
      <w:marRight w:val="0"/>
      <w:marTop w:val="0"/>
      <w:marBottom w:val="0"/>
      <w:divBdr>
        <w:top w:val="none" w:sz="0" w:space="0" w:color="auto"/>
        <w:left w:val="none" w:sz="0" w:space="0" w:color="auto"/>
        <w:bottom w:val="none" w:sz="0" w:space="0" w:color="auto"/>
        <w:right w:val="none" w:sz="0" w:space="0" w:color="auto"/>
      </w:divBdr>
      <w:divsChild>
        <w:div w:id="2129355205">
          <w:marLeft w:val="360"/>
          <w:marRight w:val="0"/>
          <w:marTop w:val="0"/>
          <w:marBottom w:val="180"/>
          <w:divBdr>
            <w:top w:val="none" w:sz="0" w:space="0" w:color="auto"/>
            <w:left w:val="none" w:sz="0" w:space="0" w:color="auto"/>
            <w:bottom w:val="none" w:sz="0" w:space="0" w:color="auto"/>
            <w:right w:val="none" w:sz="0" w:space="0" w:color="auto"/>
          </w:divBdr>
        </w:div>
      </w:divsChild>
    </w:div>
    <w:div w:id="2056157350">
      <w:bodyDiv w:val="1"/>
      <w:marLeft w:val="0"/>
      <w:marRight w:val="0"/>
      <w:marTop w:val="0"/>
      <w:marBottom w:val="0"/>
      <w:divBdr>
        <w:top w:val="none" w:sz="0" w:space="0" w:color="auto"/>
        <w:left w:val="none" w:sz="0" w:space="0" w:color="auto"/>
        <w:bottom w:val="none" w:sz="0" w:space="0" w:color="auto"/>
        <w:right w:val="none" w:sz="0" w:space="0" w:color="auto"/>
      </w:divBdr>
      <w:divsChild>
        <w:div w:id="1073698889">
          <w:marLeft w:val="605"/>
          <w:marRight w:val="0"/>
          <w:marTop w:val="230"/>
          <w:marBottom w:val="0"/>
          <w:divBdr>
            <w:top w:val="none" w:sz="0" w:space="0" w:color="auto"/>
            <w:left w:val="none" w:sz="0" w:space="0" w:color="auto"/>
            <w:bottom w:val="none" w:sz="0" w:space="0" w:color="auto"/>
            <w:right w:val="none" w:sz="0" w:space="0" w:color="auto"/>
          </w:divBdr>
        </w:div>
        <w:div w:id="1397168559">
          <w:marLeft w:val="605"/>
          <w:marRight w:val="0"/>
          <w:marTop w:val="230"/>
          <w:marBottom w:val="0"/>
          <w:divBdr>
            <w:top w:val="none" w:sz="0" w:space="0" w:color="auto"/>
            <w:left w:val="none" w:sz="0" w:space="0" w:color="auto"/>
            <w:bottom w:val="none" w:sz="0" w:space="0" w:color="auto"/>
            <w:right w:val="none" w:sz="0" w:space="0" w:color="auto"/>
          </w:divBdr>
        </w:div>
        <w:div w:id="1618947210">
          <w:marLeft w:val="605"/>
          <w:marRight w:val="0"/>
          <w:marTop w:val="230"/>
          <w:marBottom w:val="0"/>
          <w:divBdr>
            <w:top w:val="none" w:sz="0" w:space="0" w:color="auto"/>
            <w:left w:val="none" w:sz="0" w:space="0" w:color="auto"/>
            <w:bottom w:val="none" w:sz="0" w:space="0" w:color="auto"/>
            <w:right w:val="none" w:sz="0" w:space="0" w:color="auto"/>
          </w:divBdr>
        </w:div>
        <w:div w:id="1681854422">
          <w:marLeft w:val="605"/>
          <w:marRight w:val="0"/>
          <w:marTop w:val="230"/>
          <w:marBottom w:val="0"/>
          <w:divBdr>
            <w:top w:val="none" w:sz="0" w:space="0" w:color="auto"/>
            <w:left w:val="none" w:sz="0" w:space="0" w:color="auto"/>
            <w:bottom w:val="none" w:sz="0" w:space="0" w:color="auto"/>
            <w:right w:val="none" w:sz="0" w:space="0" w:color="auto"/>
          </w:divBdr>
        </w:div>
        <w:div w:id="1914511555">
          <w:marLeft w:val="605"/>
          <w:marRight w:val="0"/>
          <w:marTop w:val="230"/>
          <w:marBottom w:val="0"/>
          <w:divBdr>
            <w:top w:val="none" w:sz="0" w:space="0" w:color="auto"/>
            <w:left w:val="none" w:sz="0" w:space="0" w:color="auto"/>
            <w:bottom w:val="none" w:sz="0" w:space="0" w:color="auto"/>
            <w:right w:val="none" w:sz="0" w:space="0" w:color="auto"/>
          </w:divBdr>
        </w:div>
        <w:div w:id="2088722273">
          <w:marLeft w:val="605"/>
          <w:marRight w:val="0"/>
          <w:marTop w:val="230"/>
          <w:marBottom w:val="0"/>
          <w:divBdr>
            <w:top w:val="none" w:sz="0" w:space="0" w:color="auto"/>
            <w:left w:val="none" w:sz="0" w:space="0" w:color="auto"/>
            <w:bottom w:val="none" w:sz="0" w:space="0" w:color="auto"/>
            <w:right w:val="none" w:sz="0" w:space="0" w:color="auto"/>
          </w:divBdr>
        </w:div>
        <w:div w:id="2125222924">
          <w:marLeft w:val="605"/>
          <w:marRight w:val="0"/>
          <w:marTop w:val="230"/>
          <w:marBottom w:val="0"/>
          <w:divBdr>
            <w:top w:val="none" w:sz="0" w:space="0" w:color="auto"/>
            <w:left w:val="none" w:sz="0" w:space="0" w:color="auto"/>
            <w:bottom w:val="none" w:sz="0" w:space="0" w:color="auto"/>
            <w:right w:val="none" w:sz="0" w:space="0" w:color="auto"/>
          </w:divBdr>
        </w:div>
        <w:div w:id="2145929891">
          <w:marLeft w:val="605"/>
          <w:marRight w:val="0"/>
          <w:marTop w:val="230"/>
          <w:marBottom w:val="0"/>
          <w:divBdr>
            <w:top w:val="none" w:sz="0" w:space="0" w:color="auto"/>
            <w:left w:val="none" w:sz="0" w:space="0" w:color="auto"/>
            <w:bottom w:val="none" w:sz="0" w:space="0" w:color="auto"/>
            <w:right w:val="none" w:sz="0" w:space="0" w:color="auto"/>
          </w:divBdr>
        </w:div>
      </w:divsChild>
    </w:div>
    <w:div w:id="2072994458">
      <w:bodyDiv w:val="1"/>
      <w:marLeft w:val="0"/>
      <w:marRight w:val="0"/>
      <w:marTop w:val="0"/>
      <w:marBottom w:val="0"/>
      <w:divBdr>
        <w:top w:val="none" w:sz="0" w:space="0" w:color="auto"/>
        <w:left w:val="none" w:sz="0" w:space="0" w:color="auto"/>
        <w:bottom w:val="none" w:sz="0" w:space="0" w:color="auto"/>
        <w:right w:val="none" w:sz="0" w:space="0" w:color="auto"/>
      </w:divBdr>
      <w:divsChild>
        <w:div w:id="1934169533">
          <w:marLeft w:val="547"/>
          <w:marRight w:val="0"/>
          <w:marTop w:val="0"/>
          <w:marBottom w:val="0"/>
          <w:divBdr>
            <w:top w:val="none" w:sz="0" w:space="0" w:color="auto"/>
            <w:left w:val="none" w:sz="0" w:space="0" w:color="auto"/>
            <w:bottom w:val="none" w:sz="0" w:space="0" w:color="auto"/>
            <w:right w:val="none" w:sz="0" w:space="0" w:color="auto"/>
          </w:divBdr>
        </w:div>
      </w:divsChild>
    </w:div>
    <w:div w:id="2099056687">
      <w:bodyDiv w:val="1"/>
      <w:marLeft w:val="0"/>
      <w:marRight w:val="0"/>
      <w:marTop w:val="0"/>
      <w:marBottom w:val="0"/>
      <w:divBdr>
        <w:top w:val="none" w:sz="0" w:space="0" w:color="auto"/>
        <w:left w:val="none" w:sz="0" w:space="0" w:color="auto"/>
        <w:bottom w:val="none" w:sz="0" w:space="0" w:color="auto"/>
        <w:right w:val="none" w:sz="0" w:space="0" w:color="auto"/>
      </w:divBdr>
    </w:div>
    <w:div w:id="2124494884">
      <w:bodyDiv w:val="1"/>
      <w:marLeft w:val="0"/>
      <w:marRight w:val="0"/>
      <w:marTop w:val="0"/>
      <w:marBottom w:val="0"/>
      <w:divBdr>
        <w:top w:val="none" w:sz="0" w:space="0" w:color="auto"/>
        <w:left w:val="none" w:sz="0" w:space="0" w:color="auto"/>
        <w:bottom w:val="none" w:sz="0" w:space="0" w:color="auto"/>
        <w:right w:val="none" w:sz="0" w:space="0" w:color="auto"/>
      </w:divBdr>
    </w:div>
    <w:div w:id="2144081022">
      <w:bodyDiv w:val="1"/>
      <w:marLeft w:val="0"/>
      <w:marRight w:val="0"/>
      <w:marTop w:val="0"/>
      <w:marBottom w:val="0"/>
      <w:divBdr>
        <w:top w:val="none" w:sz="0" w:space="0" w:color="auto"/>
        <w:left w:val="none" w:sz="0" w:space="0" w:color="auto"/>
        <w:bottom w:val="none" w:sz="0" w:space="0" w:color="auto"/>
        <w:right w:val="none" w:sz="0" w:space="0" w:color="auto"/>
      </w:divBdr>
    </w:div>
    <w:div w:id="21468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pyright@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Onl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341F-2C36-4926-9239-D7F6D8B0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11056</Words>
  <Characters>65522</Characters>
  <Application>Microsoft Office Word</Application>
  <DocSecurity>0</DocSecurity>
  <Lines>546</Lines>
  <Paragraphs>152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PHNB</dc:creator>
  <cp:lastModifiedBy>PHN Branch</cp:lastModifiedBy>
  <cp:revision>5</cp:revision>
  <cp:lastPrinted>2018-07-10T06:00:00Z</cp:lastPrinted>
  <dcterms:created xsi:type="dcterms:W3CDTF">2018-08-08T08:27:00Z</dcterms:created>
  <dcterms:modified xsi:type="dcterms:W3CDTF">2018-08-09T06:42:00Z</dcterms:modified>
</cp:coreProperties>
</file>