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254F1" w14:textId="463A2586" w:rsidR="00432032" w:rsidRPr="00432032" w:rsidRDefault="00ED48BA" w:rsidP="00D849E0">
      <w:pPr>
        <w:pStyle w:val="Title"/>
        <w:jc w:val="center"/>
        <w:rPr>
          <w:rFonts w:eastAsia="Calibri"/>
        </w:rPr>
      </w:pPr>
      <w:r w:rsidRPr="00ED48BA">
        <w:t>Change Management and Commissioning Competencies Guidance</w:t>
      </w:r>
    </w:p>
    <w:p w14:paraId="21D19BB0" w14:textId="77777777" w:rsidR="00432032" w:rsidRPr="003D5106" w:rsidRDefault="00432032" w:rsidP="00432032">
      <w:pPr>
        <w:pBdr>
          <w:bottom w:val="single" w:sz="4" w:space="13" w:color="5B9BD5"/>
        </w:pBdr>
        <w:spacing w:before="200" w:after="280"/>
        <w:ind w:left="936" w:right="936"/>
        <w:jc w:val="both"/>
      </w:pPr>
      <w:r w:rsidRPr="003D5106">
        <w:rPr>
          <w:noProof/>
          <w:lang w:eastAsia="en-AU"/>
        </w:rPr>
        <w:drawing>
          <wp:inline distT="0" distB="0" distL="0" distR="0" wp14:anchorId="28322A11" wp14:editId="53E9C6BD">
            <wp:extent cx="4652063" cy="3336369"/>
            <wp:effectExtent l="0" t="0" r="0" b="0"/>
            <wp:docPr id="4" name="Picture 3" descr="The PHN Commissioning Framework diagram depicts the full PHN commissioning cycle including the three main phases within the commissioning process. The first phase is titled 'Strategic Planning' and involves both needs assessment and annual planning. The second phase is 'Procuring Services' and involves designing and contracting services and shaping the structure of supply. The third phase in the framework is 'Monitoring and Evaluation and involves managing performance and evaluation." title="The PHN Commissioning Framework"/>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652063" cy="3336369"/>
                    </a:xfrm>
                    <a:prstGeom prst="rect">
                      <a:avLst/>
                    </a:prstGeom>
                    <a:noFill/>
                    <a:ln>
                      <a:noFill/>
                    </a:ln>
                    <a:extLst>
                      <a:ext uri="{53640926-AAD7-44D8-BBD7-CCE9431645EC}">
                        <a14:shadowObscured xmlns:a14="http://schemas.microsoft.com/office/drawing/2010/main"/>
                      </a:ext>
                    </a:extLst>
                  </pic:spPr>
                </pic:pic>
              </a:graphicData>
            </a:graphic>
          </wp:inline>
        </w:drawing>
      </w:r>
    </w:p>
    <w:p w14:paraId="6DCB6979" w14:textId="2B2F7B2A" w:rsidR="00564821" w:rsidRPr="00CC2A64" w:rsidRDefault="00C3616E" w:rsidP="00D849E0">
      <w:pPr>
        <w:pStyle w:val="Subtitle"/>
        <w:jc w:val="center"/>
      </w:pPr>
      <w:r>
        <w:t>July</w:t>
      </w:r>
      <w:r w:rsidR="00532ABD" w:rsidRPr="00CC2A64">
        <w:t xml:space="preserve"> 2018</w:t>
      </w:r>
    </w:p>
    <w:p w14:paraId="3A2D0A1B" w14:textId="77777777" w:rsidR="00521C17" w:rsidRPr="003D5106" w:rsidRDefault="00521C17" w:rsidP="00564821">
      <w:pPr>
        <w:sectPr w:rsidR="00521C17" w:rsidRPr="003D5106" w:rsidSect="008A032C">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8" w:right="1077" w:bottom="1418" w:left="1077" w:header="709" w:footer="709" w:gutter="0"/>
          <w:pgNumType w:start="1"/>
          <w:cols w:space="708"/>
          <w:docGrid w:linePitch="360"/>
        </w:sectPr>
      </w:pPr>
    </w:p>
    <w:p w14:paraId="50D7A669" w14:textId="7E952157" w:rsidR="00564821" w:rsidRPr="00564821" w:rsidRDefault="00564821" w:rsidP="00201ACB">
      <w:pPr>
        <w:pStyle w:val="SectionHeading"/>
      </w:pPr>
      <w:bookmarkStart w:id="0" w:name="_Toc519689540"/>
      <w:r w:rsidRPr="00564821">
        <w:lastRenderedPageBreak/>
        <w:t>Acknowledgement</w:t>
      </w:r>
      <w:bookmarkEnd w:id="0"/>
    </w:p>
    <w:p w14:paraId="14E918CC" w14:textId="77777777" w:rsidR="00ED48BA" w:rsidRDefault="00ED48BA" w:rsidP="00ED48BA">
      <w:pPr>
        <w:pStyle w:val="Paragraphtext"/>
      </w:pPr>
      <w:r>
        <w:t>This document has been developed by the Australian Government Department of Health and PwC as part of a project funded by the Department to develop guidance, tools and training for Primary Health Networks (PHNs) on commissioning. It has been co-designed with PHNs through the PHN Commissioning Working Group and the relevant sub-group and informed by interviews with, and case studies from, some PHNs.</w:t>
      </w:r>
    </w:p>
    <w:p w14:paraId="4D6919C2" w14:textId="77777777" w:rsidR="00ED48BA" w:rsidRDefault="00ED48BA" w:rsidP="00ED48BA">
      <w:pPr>
        <w:pStyle w:val="Paragraphtext"/>
      </w:pPr>
      <w:r>
        <w:t>The active contribution of the PHNs in the development of this guide is appreciated.</w:t>
      </w:r>
    </w:p>
    <w:p w14:paraId="77D162F5" w14:textId="13990916" w:rsidR="0014351C" w:rsidRDefault="00ED48BA" w:rsidP="0014351C">
      <w:pPr>
        <w:pStyle w:val="Paragraphtext"/>
      </w:pPr>
      <w:r>
        <w:t>Contributions from Helen Dickinson, Associate Professor Public Service Research and Director Public Services Research Centre, University of New South Wales, Canberra have provided insight on the commissioning evidence base.</w:t>
      </w:r>
      <w:r w:rsidR="0014351C" w:rsidRPr="0014351C">
        <w:t xml:space="preserve"> </w:t>
      </w:r>
    </w:p>
    <w:p w14:paraId="36CE58B3" w14:textId="77777777" w:rsidR="0014351C" w:rsidRDefault="0014351C" w:rsidP="0014351C">
      <w:pPr>
        <w:pStyle w:val="Paragraphtext"/>
        <w:spacing w:line="240" w:lineRule="auto"/>
      </w:pPr>
      <w:r>
        <w:t>© Commonwealth of Australia 2018</w:t>
      </w:r>
    </w:p>
    <w:p w14:paraId="252DA312" w14:textId="77777777" w:rsidR="0014351C" w:rsidRDefault="0014351C" w:rsidP="0014351C">
      <w:pPr>
        <w:pStyle w:val="Paragraphtext"/>
      </w:pPr>
      <w: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w:t>
      </w:r>
      <w:hyperlink r:id="rId15" w:history="1">
        <w:r>
          <w:rPr>
            <w:rStyle w:val="Hyperlink"/>
          </w:rPr>
          <w:t>copyright@health.gov.au</w:t>
        </w:r>
      </w:hyperlink>
      <w:r>
        <w:t>.</w:t>
      </w:r>
    </w:p>
    <w:p w14:paraId="62D5AD6C" w14:textId="6A8B4324" w:rsidR="0014351C" w:rsidRDefault="0014351C" w:rsidP="0014351C">
      <w:pPr>
        <w:pStyle w:val="Paragraphtext"/>
        <w:spacing w:line="240" w:lineRule="auto"/>
        <w:rPr>
          <w:rFonts w:ascii="Helvetica" w:hAnsi="Helvetica"/>
          <w:color w:val="222222"/>
          <w:sz w:val="20"/>
          <w:szCs w:val="20"/>
        </w:rPr>
      </w:pPr>
      <w:r w:rsidRPr="0014351C">
        <w:t xml:space="preserve">Preferred citation: </w:t>
      </w:r>
      <w:r w:rsidRPr="005B1E25">
        <w:rPr>
          <w:szCs w:val="18"/>
        </w:rPr>
        <w:t>Australian Govern</w:t>
      </w:r>
      <w:r>
        <w:rPr>
          <w:szCs w:val="18"/>
        </w:rPr>
        <w:t xml:space="preserve">ment Department of Health. (2018). </w:t>
      </w:r>
      <w:r>
        <w:rPr>
          <w:i/>
        </w:rPr>
        <w:t>Change Management and Commissioning Competencies Guidance</w:t>
      </w:r>
      <w:r w:rsidRPr="005B1E25">
        <w:rPr>
          <w:szCs w:val="18"/>
        </w:rPr>
        <w:t xml:space="preserve">. Available at: </w:t>
      </w:r>
      <w:r w:rsidRPr="0025311D">
        <w:rPr>
          <w:szCs w:val="18"/>
        </w:rPr>
        <w:t>http://www.health.gov.au/internet/main/publishing.nsf/Content/PHNCommissioningResources</w:t>
      </w:r>
    </w:p>
    <w:p w14:paraId="3A6AF7CE" w14:textId="77777777" w:rsidR="0014351C" w:rsidRPr="00E13224" w:rsidRDefault="0014351C" w:rsidP="0014351C">
      <w:pPr>
        <w:pStyle w:val="SectionHeading"/>
      </w:pPr>
      <w:bookmarkStart w:id="1" w:name="_Toc511304498"/>
      <w:bookmarkStart w:id="2" w:name="_Toc513536072"/>
      <w:bookmarkStart w:id="3" w:name="_Toc519689541"/>
      <w:r w:rsidRPr="00E13224">
        <w:t>Disclaimer</w:t>
      </w:r>
      <w:bookmarkEnd w:id="1"/>
      <w:bookmarkEnd w:id="2"/>
      <w:bookmarkEnd w:id="3"/>
    </w:p>
    <w:p w14:paraId="762CE212" w14:textId="70FE58C5" w:rsidR="00564821" w:rsidRPr="00564821" w:rsidRDefault="0014351C" w:rsidP="0014351C">
      <w:pPr>
        <w:pStyle w:val="Paragraphtext"/>
        <w:spacing w:line="240" w:lineRule="auto"/>
      </w:pPr>
      <w:r w:rsidRPr="00DC36A1">
        <w:t xml:space="preserve">Opinions expressed in </w:t>
      </w:r>
      <w:r>
        <w:t>this document</w:t>
      </w:r>
      <w:r w:rsidRPr="00DC36A1">
        <w:t xml:space="preserve"> are those of the authors and not necessarily those of the Australian Government Department of Health. Data may be subject to revision.</w:t>
      </w:r>
    </w:p>
    <w:p w14:paraId="229E3C1C" w14:textId="77777777" w:rsidR="00564821" w:rsidRPr="00564821" w:rsidRDefault="00564821" w:rsidP="00201ACB">
      <w:pPr>
        <w:pStyle w:val="SectionHeading"/>
      </w:pPr>
      <w:bookmarkStart w:id="4" w:name="_Toc519689542"/>
      <w:r w:rsidRPr="00564821">
        <w:t>Note</w:t>
      </w:r>
      <w:bookmarkEnd w:id="4"/>
    </w:p>
    <w:p w14:paraId="13662E8A" w14:textId="580BA7FC" w:rsidR="00C84CD1" w:rsidRPr="00564821" w:rsidRDefault="00ED48BA" w:rsidP="00201ACB">
      <w:pPr>
        <w:pStyle w:val="Paragraphtext"/>
      </w:pPr>
      <w:r w:rsidRPr="00ED48BA">
        <w:t>This guidance does not override the requirements set out in the PHN Funding Agreement.</w:t>
      </w:r>
    </w:p>
    <w:p w14:paraId="52EBD9C1" w14:textId="77777777" w:rsidR="00EA526A" w:rsidRPr="00DB6D7F" w:rsidRDefault="00EA526A" w:rsidP="00201ACB">
      <w:pPr>
        <w:pStyle w:val="Paragraphtext"/>
      </w:pPr>
      <w:r w:rsidRPr="00DB6D7F">
        <w:br w:type="page"/>
      </w:r>
    </w:p>
    <w:p w14:paraId="1CA09168" w14:textId="64768CFC" w:rsidR="00C46706" w:rsidRPr="00FF1BC6" w:rsidRDefault="00201ACB" w:rsidP="00201ACB">
      <w:pPr>
        <w:pStyle w:val="SectionHeading"/>
      </w:pPr>
      <w:bookmarkStart w:id="5" w:name="_Toc519689543"/>
      <w:r>
        <w:lastRenderedPageBreak/>
        <w:t>Table of c</w:t>
      </w:r>
      <w:r w:rsidR="0032770D" w:rsidRPr="009C5804">
        <w:t>ontents</w:t>
      </w:r>
      <w:bookmarkEnd w:id="5"/>
    </w:p>
    <w:p w14:paraId="4ED20EB2" w14:textId="77777777" w:rsidR="001D02F0" w:rsidRDefault="007F61DF">
      <w:pPr>
        <w:pStyle w:val="TOC1"/>
        <w:rPr>
          <w:rFonts w:asciiTheme="minorHAnsi" w:eastAsiaTheme="minorEastAsia" w:hAnsiTheme="minorHAnsi" w:cstheme="minorBidi"/>
          <w:noProof/>
          <w:szCs w:val="22"/>
          <w:lang w:eastAsia="en-AU"/>
        </w:rPr>
      </w:pPr>
      <w:r>
        <w:rPr>
          <w:color w:val="003D69"/>
        </w:rPr>
        <w:fldChar w:fldCharType="begin"/>
      </w:r>
      <w:r w:rsidR="00C45EC5">
        <w:rPr>
          <w:color w:val="003D69"/>
        </w:rPr>
        <w:instrText xml:space="preserve"> TOC \o "1-3</w:instrText>
      </w:r>
      <w:r>
        <w:rPr>
          <w:color w:val="003D69"/>
        </w:rPr>
        <w:instrText xml:space="preserve">" \h \z \t "Heading 5,2" </w:instrText>
      </w:r>
      <w:r>
        <w:rPr>
          <w:color w:val="003D69"/>
        </w:rPr>
        <w:fldChar w:fldCharType="separate"/>
      </w:r>
      <w:hyperlink w:anchor="_Toc519689540" w:history="1">
        <w:r w:rsidR="001D02F0" w:rsidRPr="009F5174">
          <w:rPr>
            <w:rStyle w:val="Hyperlink"/>
            <w:noProof/>
          </w:rPr>
          <w:t>Acknowledgement</w:t>
        </w:r>
        <w:r w:rsidR="001D02F0">
          <w:rPr>
            <w:noProof/>
            <w:webHidden/>
          </w:rPr>
          <w:tab/>
        </w:r>
        <w:r w:rsidR="001D02F0">
          <w:rPr>
            <w:noProof/>
            <w:webHidden/>
          </w:rPr>
          <w:fldChar w:fldCharType="begin"/>
        </w:r>
        <w:r w:rsidR="001D02F0">
          <w:rPr>
            <w:noProof/>
            <w:webHidden/>
          </w:rPr>
          <w:instrText xml:space="preserve"> PAGEREF _Toc519689540 \h </w:instrText>
        </w:r>
        <w:r w:rsidR="001D02F0">
          <w:rPr>
            <w:noProof/>
            <w:webHidden/>
          </w:rPr>
        </w:r>
        <w:r w:rsidR="001D02F0">
          <w:rPr>
            <w:noProof/>
            <w:webHidden/>
          </w:rPr>
          <w:fldChar w:fldCharType="separate"/>
        </w:r>
        <w:r w:rsidR="00374AF2">
          <w:rPr>
            <w:noProof/>
            <w:webHidden/>
          </w:rPr>
          <w:t>1</w:t>
        </w:r>
        <w:r w:rsidR="001D02F0">
          <w:rPr>
            <w:noProof/>
            <w:webHidden/>
          </w:rPr>
          <w:fldChar w:fldCharType="end"/>
        </w:r>
      </w:hyperlink>
    </w:p>
    <w:p w14:paraId="6B8A96CE" w14:textId="77777777" w:rsidR="001D02F0" w:rsidRDefault="006128AA">
      <w:pPr>
        <w:pStyle w:val="TOC1"/>
        <w:rPr>
          <w:rFonts w:asciiTheme="minorHAnsi" w:eastAsiaTheme="minorEastAsia" w:hAnsiTheme="minorHAnsi" w:cstheme="minorBidi"/>
          <w:noProof/>
          <w:szCs w:val="22"/>
          <w:lang w:eastAsia="en-AU"/>
        </w:rPr>
      </w:pPr>
      <w:hyperlink w:anchor="_Toc519689541" w:history="1">
        <w:r w:rsidR="001D02F0" w:rsidRPr="009F5174">
          <w:rPr>
            <w:rStyle w:val="Hyperlink"/>
            <w:noProof/>
          </w:rPr>
          <w:t>Disclaimer</w:t>
        </w:r>
        <w:r w:rsidR="001D02F0">
          <w:rPr>
            <w:noProof/>
            <w:webHidden/>
          </w:rPr>
          <w:tab/>
        </w:r>
        <w:r w:rsidR="001D02F0">
          <w:rPr>
            <w:noProof/>
            <w:webHidden/>
          </w:rPr>
          <w:fldChar w:fldCharType="begin"/>
        </w:r>
        <w:r w:rsidR="001D02F0">
          <w:rPr>
            <w:noProof/>
            <w:webHidden/>
          </w:rPr>
          <w:instrText xml:space="preserve"> PAGEREF _Toc519689541 \h </w:instrText>
        </w:r>
        <w:r w:rsidR="001D02F0">
          <w:rPr>
            <w:noProof/>
            <w:webHidden/>
          </w:rPr>
        </w:r>
        <w:r w:rsidR="001D02F0">
          <w:rPr>
            <w:noProof/>
            <w:webHidden/>
          </w:rPr>
          <w:fldChar w:fldCharType="separate"/>
        </w:r>
        <w:r w:rsidR="00374AF2">
          <w:rPr>
            <w:noProof/>
            <w:webHidden/>
          </w:rPr>
          <w:t>1</w:t>
        </w:r>
        <w:r w:rsidR="001D02F0">
          <w:rPr>
            <w:noProof/>
            <w:webHidden/>
          </w:rPr>
          <w:fldChar w:fldCharType="end"/>
        </w:r>
      </w:hyperlink>
    </w:p>
    <w:p w14:paraId="3EC85C5D" w14:textId="77777777" w:rsidR="001D02F0" w:rsidRDefault="006128AA">
      <w:pPr>
        <w:pStyle w:val="TOC1"/>
        <w:rPr>
          <w:rFonts w:asciiTheme="minorHAnsi" w:eastAsiaTheme="minorEastAsia" w:hAnsiTheme="minorHAnsi" w:cstheme="minorBidi"/>
          <w:noProof/>
          <w:szCs w:val="22"/>
          <w:lang w:eastAsia="en-AU"/>
        </w:rPr>
      </w:pPr>
      <w:hyperlink w:anchor="_Toc519689542" w:history="1">
        <w:r w:rsidR="001D02F0" w:rsidRPr="009F5174">
          <w:rPr>
            <w:rStyle w:val="Hyperlink"/>
            <w:noProof/>
          </w:rPr>
          <w:t>Note</w:t>
        </w:r>
        <w:r w:rsidR="001D02F0">
          <w:rPr>
            <w:noProof/>
            <w:webHidden/>
          </w:rPr>
          <w:tab/>
        </w:r>
        <w:r w:rsidR="001D02F0">
          <w:rPr>
            <w:noProof/>
            <w:webHidden/>
          </w:rPr>
          <w:fldChar w:fldCharType="begin"/>
        </w:r>
        <w:r w:rsidR="001D02F0">
          <w:rPr>
            <w:noProof/>
            <w:webHidden/>
          </w:rPr>
          <w:instrText xml:space="preserve"> PAGEREF _Toc519689542 \h </w:instrText>
        </w:r>
        <w:r w:rsidR="001D02F0">
          <w:rPr>
            <w:noProof/>
            <w:webHidden/>
          </w:rPr>
        </w:r>
        <w:r w:rsidR="001D02F0">
          <w:rPr>
            <w:noProof/>
            <w:webHidden/>
          </w:rPr>
          <w:fldChar w:fldCharType="separate"/>
        </w:r>
        <w:r w:rsidR="00374AF2">
          <w:rPr>
            <w:noProof/>
            <w:webHidden/>
          </w:rPr>
          <w:t>1</w:t>
        </w:r>
        <w:r w:rsidR="001D02F0">
          <w:rPr>
            <w:noProof/>
            <w:webHidden/>
          </w:rPr>
          <w:fldChar w:fldCharType="end"/>
        </w:r>
      </w:hyperlink>
    </w:p>
    <w:p w14:paraId="278C3B78" w14:textId="77777777" w:rsidR="001D02F0" w:rsidRDefault="006128AA">
      <w:pPr>
        <w:pStyle w:val="TOC1"/>
        <w:rPr>
          <w:rFonts w:asciiTheme="minorHAnsi" w:eastAsiaTheme="minorEastAsia" w:hAnsiTheme="minorHAnsi" w:cstheme="minorBidi"/>
          <w:noProof/>
          <w:szCs w:val="22"/>
          <w:lang w:eastAsia="en-AU"/>
        </w:rPr>
      </w:pPr>
      <w:hyperlink w:anchor="_Toc519689543" w:history="1">
        <w:r w:rsidR="001D02F0" w:rsidRPr="009F5174">
          <w:rPr>
            <w:rStyle w:val="Hyperlink"/>
            <w:noProof/>
          </w:rPr>
          <w:t>Table of contents</w:t>
        </w:r>
        <w:r w:rsidR="001D02F0">
          <w:rPr>
            <w:noProof/>
            <w:webHidden/>
          </w:rPr>
          <w:tab/>
        </w:r>
        <w:r w:rsidR="001D02F0">
          <w:rPr>
            <w:noProof/>
            <w:webHidden/>
          </w:rPr>
          <w:fldChar w:fldCharType="begin"/>
        </w:r>
        <w:r w:rsidR="001D02F0">
          <w:rPr>
            <w:noProof/>
            <w:webHidden/>
          </w:rPr>
          <w:instrText xml:space="preserve"> PAGEREF _Toc519689543 \h </w:instrText>
        </w:r>
        <w:r w:rsidR="001D02F0">
          <w:rPr>
            <w:noProof/>
            <w:webHidden/>
          </w:rPr>
        </w:r>
        <w:r w:rsidR="001D02F0">
          <w:rPr>
            <w:noProof/>
            <w:webHidden/>
          </w:rPr>
          <w:fldChar w:fldCharType="separate"/>
        </w:r>
        <w:r w:rsidR="00374AF2">
          <w:rPr>
            <w:noProof/>
            <w:webHidden/>
          </w:rPr>
          <w:t>2</w:t>
        </w:r>
        <w:r w:rsidR="001D02F0">
          <w:rPr>
            <w:noProof/>
            <w:webHidden/>
          </w:rPr>
          <w:fldChar w:fldCharType="end"/>
        </w:r>
      </w:hyperlink>
    </w:p>
    <w:p w14:paraId="49D242B6" w14:textId="77777777" w:rsidR="001D02F0" w:rsidRDefault="006128AA">
      <w:pPr>
        <w:pStyle w:val="TOC1"/>
        <w:rPr>
          <w:rFonts w:asciiTheme="minorHAnsi" w:eastAsiaTheme="minorEastAsia" w:hAnsiTheme="minorHAnsi" w:cstheme="minorBidi"/>
          <w:noProof/>
          <w:szCs w:val="22"/>
          <w:lang w:eastAsia="en-AU"/>
        </w:rPr>
      </w:pPr>
      <w:hyperlink w:anchor="_Toc519689544" w:history="1">
        <w:r w:rsidR="001D02F0" w:rsidRPr="009F5174">
          <w:rPr>
            <w:rStyle w:val="Hyperlink"/>
            <w:noProof/>
          </w:rPr>
          <w:t>List of figures</w:t>
        </w:r>
        <w:r w:rsidR="001D02F0">
          <w:rPr>
            <w:noProof/>
            <w:webHidden/>
          </w:rPr>
          <w:tab/>
        </w:r>
        <w:r w:rsidR="001D02F0">
          <w:rPr>
            <w:noProof/>
            <w:webHidden/>
          </w:rPr>
          <w:fldChar w:fldCharType="begin"/>
        </w:r>
        <w:r w:rsidR="001D02F0">
          <w:rPr>
            <w:noProof/>
            <w:webHidden/>
          </w:rPr>
          <w:instrText xml:space="preserve"> PAGEREF _Toc519689544 \h </w:instrText>
        </w:r>
        <w:r w:rsidR="001D02F0">
          <w:rPr>
            <w:noProof/>
            <w:webHidden/>
          </w:rPr>
        </w:r>
        <w:r w:rsidR="001D02F0">
          <w:rPr>
            <w:noProof/>
            <w:webHidden/>
          </w:rPr>
          <w:fldChar w:fldCharType="separate"/>
        </w:r>
        <w:r w:rsidR="00374AF2">
          <w:rPr>
            <w:noProof/>
            <w:webHidden/>
          </w:rPr>
          <w:t>4</w:t>
        </w:r>
        <w:r w:rsidR="001D02F0">
          <w:rPr>
            <w:noProof/>
            <w:webHidden/>
          </w:rPr>
          <w:fldChar w:fldCharType="end"/>
        </w:r>
      </w:hyperlink>
    </w:p>
    <w:p w14:paraId="22560AF9" w14:textId="77777777" w:rsidR="001D02F0" w:rsidRDefault="006128AA">
      <w:pPr>
        <w:pStyle w:val="TOC1"/>
        <w:rPr>
          <w:rFonts w:asciiTheme="minorHAnsi" w:eastAsiaTheme="minorEastAsia" w:hAnsiTheme="minorHAnsi" w:cstheme="minorBidi"/>
          <w:noProof/>
          <w:szCs w:val="22"/>
          <w:lang w:eastAsia="en-AU"/>
        </w:rPr>
      </w:pPr>
      <w:hyperlink w:anchor="_Toc519689545" w:history="1">
        <w:r w:rsidR="001D02F0" w:rsidRPr="009F5174">
          <w:rPr>
            <w:rStyle w:val="Hyperlink"/>
            <w:noProof/>
          </w:rPr>
          <w:t>List of tables</w:t>
        </w:r>
        <w:r w:rsidR="001D02F0">
          <w:rPr>
            <w:noProof/>
            <w:webHidden/>
          </w:rPr>
          <w:tab/>
        </w:r>
        <w:r w:rsidR="001D02F0">
          <w:rPr>
            <w:noProof/>
            <w:webHidden/>
          </w:rPr>
          <w:fldChar w:fldCharType="begin"/>
        </w:r>
        <w:r w:rsidR="001D02F0">
          <w:rPr>
            <w:noProof/>
            <w:webHidden/>
          </w:rPr>
          <w:instrText xml:space="preserve"> PAGEREF _Toc519689545 \h </w:instrText>
        </w:r>
        <w:r w:rsidR="001D02F0">
          <w:rPr>
            <w:noProof/>
            <w:webHidden/>
          </w:rPr>
        </w:r>
        <w:r w:rsidR="001D02F0">
          <w:rPr>
            <w:noProof/>
            <w:webHidden/>
          </w:rPr>
          <w:fldChar w:fldCharType="separate"/>
        </w:r>
        <w:r w:rsidR="00374AF2">
          <w:rPr>
            <w:noProof/>
            <w:webHidden/>
          </w:rPr>
          <w:t>4</w:t>
        </w:r>
        <w:r w:rsidR="001D02F0">
          <w:rPr>
            <w:noProof/>
            <w:webHidden/>
          </w:rPr>
          <w:fldChar w:fldCharType="end"/>
        </w:r>
      </w:hyperlink>
    </w:p>
    <w:p w14:paraId="59EFB78A" w14:textId="77777777" w:rsidR="001D02F0" w:rsidRDefault="006128AA">
      <w:pPr>
        <w:pStyle w:val="TOC1"/>
        <w:rPr>
          <w:rFonts w:asciiTheme="minorHAnsi" w:eastAsiaTheme="minorEastAsia" w:hAnsiTheme="minorHAnsi" w:cstheme="minorBidi"/>
          <w:noProof/>
          <w:szCs w:val="22"/>
          <w:lang w:eastAsia="en-AU"/>
        </w:rPr>
      </w:pPr>
      <w:hyperlink w:anchor="_Toc519689546" w:history="1">
        <w:r w:rsidR="001D02F0" w:rsidRPr="009F5174">
          <w:rPr>
            <w:rStyle w:val="Hyperlink"/>
            <w:noProof/>
          </w:rPr>
          <w:t>Acronyms used in this guidance</w:t>
        </w:r>
        <w:r w:rsidR="001D02F0">
          <w:rPr>
            <w:noProof/>
            <w:webHidden/>
          </w:rPr>
          <w:tab/>
        </w:r>
        <w:r w:rsidR="001D02F0">
          <w:rPr>
            <w:noProof/>
            <w:webHidden/>
          </w:rPr>
          <w:fldChar w:fldCharType="begin"/>
        </w:r>
        <w:r w:rsidR="001D02F0">
          <w:rPr>
            <w:noProof/>
            <w:webHidden/>
          </w:rPr>
          <w:instrText xml:space="preserve"> PAGEREF _Toc519689546 \h </w:instrText>
        </w:r>
        <w:r w:rsidR="001D02F0">
          <w:rPr>
            <w:noProof/>
            <w:webHidden/>
          </w:rPr>
        </w:r>
        <w:r w:rsidR="001D02F0">
          <w:rPr>
            <w:noProof/>
            <w:webHidden/>
          </w:rPr>
          <w:fldChar w:fldCharType="separate"/>
        </w:r>
        <w:r w:rsidR="00374AF2">
          <w:rPr>
            <w:noProof/>
            <w:webHidden/>
          </w:rPr>
          <w:t>5</w:t>
        </w:r>
        <w:r w:rsidR="001D02F0">
          <w:rPr>
            <w:noProof/>
            <w:webHidden/>
          </w:rPr>
          <w:fldChar w:fldCharType="end"/>
        </w:r>
      </w:hyperlink>
    </w:p>
    <w:p w14:paraId="5C61151A" w14:textId="77777777" w:rsidR="001D02F0" w:rsidRDefault="006128AA">
      <w:pPr>
        <w:pStyle w:val="TOC1"/>
        <w:rPr>
          <w:rFonts w:asciiTheme="minorHAnsi" w:eastAsiaTheme="minorEastAsia" w:hAnsiTheme="minorHAnsi" w:cstheme="minorBidi"/>
          <w:noProof/>
          <w:szCs w:val="22"/>
          <w:lang w:eastAsia="en-AU"/>
        </w:rPr>
      </w:pPr>
      <w:hyperlink w:anchor="_Toc519689547" w:history="1">
        <w:r w:rsidR="001D02F0" w:rsidRPr="009F5174">
          <w:rPr>
            <w:rStyle w:val="Hyperlink"/>
            <w:noProof/>
          </w:rPr>
          <w:t>Definitions of some key terms used in this guidance</w:t>
        </w:r>
        <w:r w:rsidR="001D02F0">
          <w:rPr>
            <w:noProof/>
            <w:webHidden/>
          </w:rPr>
          <w:tab/>
        </w:r>
        <w:r w:rsidR="001D02F0">
          <w:rPr>
            <w:noProof/>
            <w:webHidden/>
          </w:rPr>
          <w:fldChar w:fldCharType="begin"/>
        </w:r>
        <w:r w:rsidR="001D02F0">
          <w:rPr>
            <w:noProof/>
            <w:webHidden/>
          </w:rPr>
          <w:instrText xml:space="preserve"> PAGEREF _Toc519689547 \h </w:instrText>
        </w:r>
        <w:r w:rsidR="001D02F0">
          <w:rPr>
            <w:noProof/>
            <w:webHidden/>
          </w:rPr>
        </w:r>
        <w:r w:rsidR="001D02F0">
          <w:rPr>
            <w:noProof/>
            <w:webHidden/>
          </w:rPr>
          <w:fldChar w:fldCharType="separate"/>
        </w:r>
        <w:r w:rsidR="00374AF2">
          <w:rPr>
            <w:noProof/>
            <w:webHidden/>
          </w:rPr>
          <w:t>6</w:t>
        </w:r>
        <w:r w:rsidR="001D02F0">
          <w:rPr>
            <w:noProof/>
            <w:webHidden/>
          </w:rPr>
          <w:fldChar w:fldCharType="end"/>
        </w:r>
      </w:hyperlink>
    </w:p>
    <w:p w14:paraId="13737CD6" w14:textId="77777777" w:rsidR="001D02F0" w:rsidRDefault="006128AA">
      <w:pPr>
        <w:pStyle w:val="TOC1"/>
        <w:tabs>
          <w:tab w:val="left" w:pos="440"/>
        </w:tabs>
        <w:rPr>
          <w:rFonts w:asciiTheme="minorHAnsi" w:eastAsiaTheme="minorEastAsia" w:hAnsiTheme="minorHAnsi" w:cstheme="minorBidi"/>
          <w:noProof/>
          <w:szCs w:val="22"/>
          <w:lang w:eastAsia="en-AU"/>
        </w:rPr>
      </w:pPr>
      <w:hyperlink w:anchor="_Toc519689548" w:history="1">
        <w:r w:rsidR="001D02F0" w:rsidRPr="009F5174">
          <w:rPr>
            <w:rStyle w:val="Hyperlink"/>
            <w:noProof/>
          </w:rPr>
          <w:t>1</w:t>
        </w:r>
        <w:r w:rsidR="001D02F0">
          <w:rPr>
            <w:rFonts w:asciiTheme="minorHAnsi" w:eastAsiaTheme="minorEastAsia" w:hAnsiTheme="minorHAnsi" w:cstheme="minorBidi"/>
            <w:noProof/>
            <w:szCs w:val="22"/>
            <w:lang w:eastAsia="en-AU"/>
          </w:rPr>
          <w:tab/>
        </w:r>
        <w:r w:rsidR="001D02F0" w:rsidRPr="009F5174">
          <w:rPr>
            <w:rStyle w:val="Hyperlink"/>
            <w:noProof/>
          </w:rPr>
          <w:t>Overview</w:t>
        </w:r>
        <w:r w:rsidR="001D02F0">
          <w:rPr>
            <w:noProof/>
            <w:webHidden/>
          </w:rPr>
          <w:tab/>
        </w:r>
        <w:r w:rsidR="001D02F0">
          <w:rPr>
            <w:noProof/>
            <w:webHidden/>
          </w:rPr>
          <w:fldChar w:fldCharType="begin"/>
        </w:r>
        <w:r w:rsidR="001D02F0">
          <w:rPr>
            <w:noProof/>
            <w:webHidden/>
          </w:rPr>
          <w:instrText xml:space="preserve"> PAGEREF _Toc519689548 \h </w:instrText>
        </w:r>
        <w:r w:rsidR="001D02F0">
          <w:rPr>
            <w:noProof/>
            <w:webHidden/>
          </w:rPr>
        </w:r>
        <w:r w:rsidR="001D02F0">
          <w:rPr>
            <w:noProof/>
            <w:webHidden/>
          </w:rPr>
          <w:fldChar w:fldCharType="separate"/>
        </w:r>
        <w:r w:rsidR="00374AF2">
          <w:rPr>
            <w:noProof/>
            <w:webHidden/>
          </w:rPr>
          <w:t>7</w:t>
        </w:r>
        <w:r w:rsidR="001D02F0">
          <w:rPr>
            <w:noProof/>
            <w:webHidden/>
          </w:rPr>
          <w:fldChar w:fldCharType="end"/>
        </w:r>
      </w:hyperlink>
    </w:p>
    <w:p w14:paraId="5088D0EB" w14:textId="77777777" w:rsidR="001D02F0" w:rsidRDefault="006128AA">
      <w:pPr>
        <w:pStyle w:val="TOC2"/>
        <w:tabs>
          <w:tab w:val="left" w:pos="880"/>
          <w:tab w:val="right" w:leader="dot" w:pos="9742"/>
        </w:tabs>
        <w:rPr>
          <w:rFonts w:asciiTheme="minorHAnsi" w:eastAsiaTheme="minorEastAsia" w:hAnsiTheme="minorHAnsi" w:cstheme="minorBidi"/>
          <w:noProof/>
          <w:szCs w:val="22"/>
          <w:lang w:eastAsia="en-AU"/>
        </w:rPr>
      </w:pPr>
      <w:hyperlink w:anchor="_Toc519689549" w:history="1">
        <w:r w:rsidR="001D02F0" w:rsidRPr="009F5174">
          <w:rPr>
            <w:rStyle w:val="Hyperlink"/>
            <w:noProof/>
          </w:rPr>
          <w:t>1.1</w:t>
        </w:r>
        <w:r w:rsidR="001D02F0">
          <w:rPr>
            <w:rFonts w:asciiTheme="minorHAnsi" w:eastAsiaTheme="minorEastAsia" w:hAnsiTheme="minorHAnsi" w:cstheme="minorBidi"/>
            <w:noProof/>
            <w:szCs w:val="22"/>
            <w:lang w:eastAsia="en-AU"/>
          </w:rPr>
          <w:tab/>
        </w:r>
        <w:r w:rsidR="001D02F0" w:rsidRPr="009F5174">
          <w:rPr>
            <w:rStyle w:val="Hyperlink"/>
            <w:noProof/>
          </w:rPr>
          <w:t>Purpose</w:t>
        </w:r>
        <w:r w:rsidR="001D02F0">
          <w:rPr>
            <w:noProof/>
            <w:webHidden/>
          </w:rPr>
          <w:tab/>
        </w:r>
        <w:r w:rsidR="001D02F0">
          <w:rPr>
            <w:noProof/>
            <w:webHidden/>
          </w:rPr>
          <w:fldChar w:fldCharType="begin"/>
        </w:r>
        <w:r w:rsidR="001D02F0">
          <w:rPr>
            <w:noProof/>
            <w:webHidden/>
          </w:rPr>
          <w:instrText xml:space="preserve"> PAGEREF _Toc519689549 \h </w:instrText>
        </w:r>
        <w:r w:rsidR="001D02F0">
          <w:rPr>
            <w:noProof/>
            <w:webHidden/>
          </w:rPr>
        </w:r>
        <w:r w:rsidR="001D02F0">
          <w:rPr>
            <w:noProof/>
            <w:webHidden/>
          </w:rPr>
          <w:fldChar w:fldCharType="separate"/>
        </w:r>
        <w:r w:rsidR="00374AF2">
          <w:rPr>
            <w:noProof/>
            <w:webHidden/>
          </w:rPr>
          <w:t>7</w:t>
        </w:r>
        <w:r w:rsidR="001D02F0">
          <w:rPr>
            <w:noProof/>
            <w:webHidden/>
          </w:rPr>
          <w:fldChar w:fldCharType="end"/>
        </w:r>
      </w:hyperlink>
    </w:p>
    <w:p w14:paraId="2BC3A389" w14:textId="77777777" w:rsidR="001D02F0" w:rsidRDefault="006128AA">
      <w:pPr>
        <w:pStyle w:val="TOC2"/>
        <w:tabs>
          <w:tab w:val="left" w:pos="880"/>
          <w:tab w:val="right" w:leader="dot" w:pos="9742"/>
        </w:tabs>
        <w:rPr>
          <w:rFonts w:asciiTheme="minorHAnsi" w:eastAsiaTheme="minorEastAsia" w:hAnsiTheme="minorHAnsi" w:cstheme="minorBidi"/>
          <w:noProof/>
          <w:szCs w:val="22"/>
          <w:lang w:eastAsia="en-AU"/>
        </w:rPr>
      </w:pPr>
      <w:hyperlink w:anchor="_Toc519689550" w:history="1">
        <w:r w:rsidR="001D02F0" w:rsidRPr="009F5174">
          <w:rPr>
            <w:rStyle w:val="Hyperlink"/>
            <w:noProof/>
          </w:rPr>
          <w:t>1.2</w:t>
        </w:r>
        <w:r w:rsidR="001D02F0">
          <w:rPr>
            <w:rFonts w:asciiTheme="minorHAnsi" w:eastAsiaTheme="minorEastAsia" w:hAnsiTheme="minorHAnsi" w:cstheme="minorBidi"/>
            <w:noProof/>
            <w:szCs w:val="22"/>
            <w:lang w:eastAsia="en-AU"/>
          </w:rPr>
          <w:tab/>
        </w:r>
        <w:r w:rsidR="001D02F0" w:rsidRPr="009F5174">
          <w:rPr>
            <w:rStyle w:val="Hyperlink"/>
            <w:noProof/>
          </w:rPr>
          <w:t>Context for this guidance</w:t>
        </w:r>
        <w:r w:rsidR="001D02F0">
          <w:rPr>
            <w:noProof/>
            <w:webHidden/>
          </w:rPr>
          <w:tab/>
        </w:r>
        <w:r w:rsidR="001D02F0">
          <w:rPr>
            <w:noProof/>
            <w:webHidden/>
          </w:rPr>
          <w:fldChar w:fldCharType="begin"/>
        </w:r>
        <w:r w:rsidR="001D02F0">
          <w:rPr>
            <w:noProof/>
            <w:webHidden/>
          </w:rPr>
          <w:instrText xml:space="preserve"> PAGEREF _Toc519689550 \h </w:instrText>
        </w:r>
        <w:r w:rsidR="001D02F0">
          <w:rPr>
            <w:noProof/>
            <w:webHidden/>
          </w:rPr>
        </w:r>
        <w:r w:rsidR="001D02F0">
          <w:rPr>
            <w:noProof/>
            <w:webHidden/>
          </w:rPr>
          <w:fldChar w:fldCharType="separate"/>
        </w:r>
        <w:r w:rsidR="00374AF2">
          <w:rPr>
            <w:noProof/>
            <w:webHidden/>
          </w:rPr>
          <w:t>7</w:t>
        </w:r>
        <w:r w:rsidR="001D02F0">
          <w:rPr>
            <w:noProof/>
            <w:webHidden/>
          </w:rPr>
          <w:fldChar w:fldCharType="end"/>
        </w:r>
      </w:hyperlink>
    </w:p>
    <w:p w14:paraId="0B658249" w14:textId="77777777" w:rsidR="001D02F0" w:rsidRDefault="006128AA">
      <w:pPr>
        <w:pStyle w:val="TOC2"/>
        <w:tabs>
          <w:tab w:val="left" w:pos="880"/>
          <w:tab w:val="right" w:leader="dot" w:pos="9742"/>
        </w:tabs>
        <w:rPr>
          <w:rFonts w:asciiTheme="minorHAnsi" w:eastAsiaTheme="minorEastAsia" w:hAnsiTheme="minorHAnsi" w:cstheme="minorBidi"/>
          <w:noProof/>
          <w:szCs w:val="22"/>
          <w:lang w:eastAsia="en-AU"/>
        </w:rPr>
      </w:pPr>
      <w:hyperlink w:anchor="_Toc519689551" w:history="1">
        <w:r w:rsidR="001D02F0" w:rsidRPr="009F5174">
          <w:rPr>
            <w:rStyle w:val="Hyperlink"/>
            <w:noProof/>
          </w:rPr>
          <w:t>1.3</w:t>
        </w:r>
        <w:r w:rsidR="001D02F0">
          <w:rPr>
            <w:rFonts w:asciiTheme="minorHAnsi" w:eastAsiaTheme="minorEastAsia" w:hAnsiTheme="minorHAnsi" w:cstheme="minorBidi"/>
            <w:noProof/>
            <w:szCs w:val="22"/>
            <w:lang w:eastAsia="en-AU"/>
          </w:rPr>
          <w:tab/>
        </w:r>
        <w:r w:rsidR="001D02F0" w:rsidRPr="009F5174">
          <w:rPr>
            <w:rStyle w:val="Hyperlink"/>
            <w:noProof/>
          </w:rPr>
          <w:t>Key messages from this guidance</w:t>
        </w:r>
        <w:r w:rsidR="001D02F0">
          <w:rPr>
            <w:noProof/>
            <w:webHidden/>
          </w:rPr>
          <w:tab/>
        </w:r>
        <w:r w:rsidR="001D02F0">
          <w:rPr>
            <w:noProof/>
            <w:webHidden/>
          </w:rPr>
          <w:fldChar w:fldCharType="begin"/>
        </w:r>
        <w:r w:rsidR="001D02F0">
          <w:rPr>
            <w:noProof/>
            <w:webHidden/>
          </w:rPr>
          <w:instrText xml:space="preserve"> PAGEREF _Toc519689551 \h </w:instrText>
        </w:r>
        <w:r w:rsidR="001D02F0">
          <w:rPr>
            <w:noProof/>
            <w:webHidden/>
          </w:rPr>
        </w:r>
        <w:r w:rsidR="001D02F0">
          <w:rPr>
            <w:noProof/>
            <w:webHidden/>
          </w:rPr>
          <w:fldChar w:fldCharType="separate"/>
        </w:r>
        <w:r w:rsidR="00374AF2">
          <w:rPr>
            <w:noProof/>
            <w:webHidden/>
          </w:rPr>
          <w:t>8</w:t>
        </w:r>
        <w:r w:rsidR="001D02F0">
          <w:rPr>
            <w:noProof/>
            <w:webHidden/>
          </w:rPr>
          <w:fldChar w:fldCharType="end"/>
        </w:r>
      </w:hyperlink>
    </w:p>
    <w:p w14:paraId="5043D0E2" w14:textId="77777777" w:rsidR="001D02F0" w:rsidRDefault="006128AA">
      <w:pPr>
        <w:pStyle w:val="TOC2"/>
        <w:tabs>
          <w:tab w:val="left" w:pos="880"/>
          <w:tab w:val="right" w:leader="dot" w:pos="9742"/>
        </w:tabs>
        <w:rPr>
          <w:rFonts w:asciiTheme="minorHAnsi" w:eastAsiaTheme="minorEastAsia" w:hAnsiTheme="minorHAnsi" w:cstheme="minorBidi"/>
          <w:noProof/>
          <w:szCs w:val="22"/>
          <w:lang w:eastAsia="en-AU"/>
        </w:rPr>
      </w:pPr>
      <w:hyperlink w:anchor="_Toc519689552" w:history="1">
        <w:r w:rsidR="001D02F0" w:rsidRPr="009F5174">
          <w:rPr>
            <w:rStyle w:val="Hyperlink"/>
            <w:noProof/>
          </w:rPr>
          <w:t>1.4</w:t>
        </w:r>
        <w:r w:rsidR="001D02F0">
          <w:rPr>
            <w:rFonts w:asciiTheme="minorHAnsi" w:eastAsiaTheme="minorEastAsia" w:hAnsiTheme="minorHAnsi" w:cstheme="minorBidi"/>
            <w:noProof/>
            <w:szCs w:val="22"/>
            <w:lang w:eastAsia="en-AU"/>
          </w:rPr>
          <w:tab/>
        </w:r>
        <w:r w:rsidR="001D02F0" w:rsidRPr="009F5174">
          <w:rPr>
            <w:rStyle w:val="Hyperlink"/>
            <w:noProof/>
          </w:rPr>
          <w:t>How should this guidance be used?</w:t>
        </w:r>
        <w:r w:rsidR="001D02F0">
          <w:rPr>
            <w:noProof/>
            <w:webHidden/>
          </w:rPr>
          <w:tab/>
        </w:r>
        <w:r w:rsidR="001D02F0">
          <w:rPr>
            <w:noProof/>
            <w:webHidden/>
          </w:rPr>
          <w:fldChar w:fldCharType="begin"/>
        </w:r>
        <w:r w:rsidR="001D02F0">
          <w:rPr>
            <w:noProof/>
            <w:webHidden/>
          </w:rPr>
          <w:instrText xml:space="preserve"> PAGEREF _Toc519689552 \h </w:instrText>
        </w:r>
        <w:r w:rsidR="001D02F0">
          <w:rPr>
            <w:noProof/>
            <w:webHidden/>
          </w:rPr>
        </w:r>
        <w:r w:rsidR="001D02F0">
          <w:rPr>
            <w:noProof/>
            <w:webHidden/>
          </w:rPr>
          <w:fldChar w:fldCharType="separate"/>
        </w:r>
        <w:r w:rsidR="00374AF2">
          <w:rPr>
            <w:noProof/>
            <w:webHidden/>
          </w:rPr>
          <w:t>8</w:t>
        </w:r>
        <w:r w:rsidR="001D02F0">
          <w:rPr>
            <w:noProof/>
            <w:webHidden/>
          </w:rPr>
          <w:fldChar w:fldCharType="end"/>
        </w:r>
      </w:hyperlink>
    </w:p>
    <w:p w14:paraId="54B147F1" w14:textId="77777777" w:rsidR="001D02F0" w:rsidRDefault="006128AA">
      <w:pPr>
        <w:pStyle w:val="TOC1"/>
        <w:tabs>
          <w:tab w:val="left" w:pos="440"/>
        </w:tabs>
        <w:rPr>
          <w:rFonts w:asciiTheme="minorHAnsi" w:eastAsiaTheme="minorEastAsia" w:hAnsiTheme="minorHAnsi" w:cstheme="minorBidi"/>
          <w:noProof/>
          <w:szCs w:val="22"/>
          <w:lang w:eastAsia="en-AU"/>
        </w:rPr>
      </w:pPr>
      <w:hyperlink w:anchor="_Toc519689553" w:history="1">
        <w:r w:rsidR="001D02F0" w:rsidRPr="009F5174">
          <w:rPr>
            <w:rStyle w:val="Hyperlink"/>
            <w:noProof/>
          </w:rPr>
          <w:t>2</w:t>
        </w:r>
        <w:r w:rsidR="001D02F0">
          <w:rPr>
            <w:rFonts w:asciiTheme="minorHAnsi" w:eastAsiaTheme="minorEastAsia" w:hAnsiTheme="minorHAnsi" w:cstheme="minorBidi"/>
            <w:noProof/>
            <w:szCs w:val="22"/>
            <w:lang w:eastAsia="en-AU"/>
          </w:rPr>
          <w:tab/>
        </w:r>
        <w:r w:rsidR="001D02F0" w:rsidRPr="009F5174">
          <w:rPr>
            <w:rStyle w:val="Hyperlink"/>
            <w:noProof/>
          </w:rPr>
          <w:t>A commissioning mindset</w:t>
        </w:r>
        <w:r w:rsidR="001D02F0">
          <w:rPr>
            <w:noProof/>
            <w:webHidden/>
          </w:rPr>
          <w:tab/>
        </w:r>
        <w:r w:rsidR="001D02F0">
          <w:rPr>
            <w:noProof/>
            <w:webHidden/>
          </w:rPr>
          <w:fldChar w:fldCharType="begin"/>
        </w:r>
        <w:r w:rsidR="001D02F0">
          <w:rPr>
            <w:noProof/>
            <w:webHidden/>
          </w:rPr>
          <w:instrText xml:space="preserve"> PAGEREF _Toc519689553 \h </w:instrText>
        </w:r>
        <w:r w:rsidR="001D02F0">
          <w:rPr>
            <w:noProof/>
            <w:webHidden/>
          </w:rPr>
        </w:r>
        <w:r w:rsidR="001D02F0">
          <w:rPr>
            <w:noProof/>
            <w:webHidden/>
          </w:rPr>
          <w:fldChar w:fldCharType="separate"/>
        </w:r>
        <w:r w:rsidR="00374AF2">
          <w:rPr>
            <w:noProof/>
            <w:webHidden/>
          </w:rPr>
          <w:t>10</w:t>
        </w:r>
        <w:r w:rsidR="001D02F0">
          <w:rPr>
            <w:noProof/>
            <w:webHidden/>
          </w:rPr>
          <w:fldChar w:fldCharType="end"/>
        </w:r>
      </w:hyperlink>
    </w:p>
    <w:p w14:paraId="3021BA39" w14:textId="77777777" w:rsidR="001D02F0" w:rsidRDefault="006128AA">
      <w:pPr>
        <w:pStyle w:val="TOC1"/>
        <w:tabs>
          <w:tab w:val="left" w:pos="440"/>
        </w:tabs>
        <w:rPr>
          <w:rFonts w:asciiTheme="minorHAnsi" w:eastAsiaTheme="minorEastAsia" w:hAnsiTheme="minorHAnsi" w:cstheme="minorBidi"/>
          <w:noProof/>
          <w:szCs w:val="22"/>
          <w:lang w:eastAsia="en-AU"/>
        </w:rPr>
      </w:pPr>
      <w:hyperlink w:anchor="_Toc519689554" w:history="1">
        <w:r w:rsidR="001D02F0" w:rsidRPr="009F5174">
          <w:rPr>
            <w:rStyle w:val="Hyperlink"/>
            <w:noProof/>
          </w:rPr>
          <w:t>3</w:t>
        </w:r>
        <w:r w:rsidR="001D02F0">
          <w:rPr>
            <w:rFonts w:asciiTheme="minorHAnsi" w:eastAsiaTheme="minorEastAsia" w:hAnsiTheme="minorHAnsi" w:cstheme="minorBidi"/>
            <w:noProof/>
            <w:szCs w:val="22"/>
            <w:lang w:eastAsia="en-AU"/>
          </w:rPr>
          <w:tab/>
        </w:r>
        <w:r w:rsidR="001D02F0" w:rsidRPr="009F5174">
          <w:rPr>
            <w:rStyle w:val="Hyperlink"/>
            <w:noProof/>
          </w:rPr>
          <w:t>Key commissioning competencies and skills</w:t>
        </w:r>
        <w:r w:rsidR="001D02F0">
          <w:rPr>
            <w:noProof/>
            <w:webHidden/>
          </w:rPr>
          <w:tab/>
        </w:r>
        <w:r w:rsidR="001D02F0">
          <w:rPr>
            <w:noProof/>
            <w:webHidden/>
          </w:rPr>
          <w:fldChar w:fldCharType="begin"/>
        </w:r>
        <w:r w:rsidR="001D02F0">
          <w:rPr>
            <w:noProof/>
            <w:webHidden/>
          </w:rPr>
          <w:instrText xml:space="preserve"> PAGEREF _Toc519689554 \h </w:instrText>
        </w:r>
        <w:r w:rsidR="001D02F0">
          <w:rPr>
            <w:noProof/>
            <w:webHidden/>
          </w:rPr>
        </w:r>
        <w:r w:rsidR="001D02F0">
          <w:rPr>
            <w:noProof/>
            <w:webHidden/>
          </w:rPr>
          <w:fldChar w:fldCharType="separate"/>
        </w:r>
        <w:r w:rsidR="00374AF2">
          <w:rPr>
            <w:noProof/>
            <w:webHidden/>
          </w:rPr>
          <w:t>11</w:t>
        </w:r>
        <w:r w:rsidR="001D02F0">
          <w:rPr>
            <w:noProof/>
            <w:webHidden/>
          </w:rPr>
          <w:fldChar w:fldCharType="end"/>
        </w:r>
      </w:hyperlink>
    </w:p>
    <w:p w14:paraId="18F1F619" w14:textId="77777777" w:rsidR="001D02F0" w:rsidRDefault="006128AA">
      <w:pPr>
        <w:pStyle w:val="TOC2"/>
        <w:tabs>
          <w:tab w:val="left" w:pos="880"/>
          <w:tab w:val="right" w:leader="dot" w:pos="9742"/>
        </w:tabs>
        <w:rPr>
          <w:rFonts w:asciiTheme="minorHAnsi" w:eastAsiaTheme="minorEastAsia" w:hAnsiTheme="minorHAnsi" w:cstheme="minorBidi"/>
          <w:noProof/>
          <w:szCs w:val="22"/>
          <w:lang w:eastAsia="en-AU"/>
        </w:rPr>
      </w:pPr>
      <w:hyperlink w:anchor="_Toc519689555" w:history="1">
        <w:r w:rsidR="001D02F0" w:rsidRPr="009F5174">
          <w:rPr>
            <w:rStyle w:val="Hyperlink"/>
            <w:noProof/>
          </w:rPr>
          <w:t>3.1</w:t>
        </w:r>
        <w:r w:rsidR="001D02F0">
          <w:rPr>
            <w:rFonts w:asciiTheme="minorHAnsi" w:eastAsiaTheme="minorEastAsia" w:hAnsiTheme="minorHAnsi" w:cstheme="minorBidi"/>
            <w:noProof/>
            <w:szCs w:val="22"/>
            <w:lang w:eastAsia="en-AU"/>
          </w:rPr>
          <w:tab/>
        </w:r>
        <w:r w:rsidR="001D02F0" w:rsidRPr="009F5174">
          <w:rPr>
            <w:rStyle w:val="Hyperlink"/>
            <w:noProof/>
          </w:rPr>
          <w:t>Leadership and change management</w:t>
        </w:r>
        <w:r w:rsidR="001D02F0">
          <w:rPr>
            <w:noProof/>
            <w:webHidden/>
          </w:rPr>
          <w:tab/>
        </w:r>
        <w:r w:rsidR="001D02F0">
          <w:rPr>
            <w:noProof/>
            <w:webHidden/>
          </w:rPr>
          <w:fldChar w:fldCharType="begin"/>
        </w:r>
        <w:r w:rsidR="001D02F0">
          <w:rPr>
            <w:noProof/>
            <w:webHidden/>
          </w:rPr>
          <w:instrText xml:space="preserve"> PAGEREF _Toc519689555 \h </w:instrText>
        </w:r>
        <w:r w:rsidR="001D02F0">
          <w:rPr>
            <w:noProof/>
            <w:webHidden/>
          </w:rPr>
        </w:r>
        <w:r w:rsidR="001D02F0">
          <w:rPr>
            <w:noProof/>
            <w:webHidden/>
          </w:rPr>
          <w:fldChar w:fldCharType="separate"/>
        </w:r>
        <w:r w:rsidR="00374AF2">
          <w:rPr>
            <w:noProof/>
            <w:webHidden/>
          </w:rPr>
          <w:t>12</w:t>
        </w:r>
        <w:r w:rsidR="001D02F0">
          <w:rPr>
            <w:noProof/>
            <w:webHidden/>
          </w:rPr>
          <w:fldChar w:fldCharType="end"/>
        </w:r>
      </w:hyperlink>
    </w:p>
    <w:p w14:paraId="157AEB4F"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56" w:history="1">
        <w:r w:rsidR="001D02F0" w:rsidRPr="009F5174">
          <w:rPr>
            <w:rStyle w:val="Hyperlink"/>
            <w:noProof/>
          </w:rPr>
          <w:t>3.1.1</w:t>
        </w:r>
        <w:r w:rsidR="001D02F0">
          <w:rPr>
            <w:rFonts w:asciiTheme="minorHAnsi" w:eastAsiaTheme="minorEastAsia" w:hAnsiTheme="minorHAnsi" w:cstheme="minorBidi"/>
            <w:noProof/>
            <w:szCs w:val="22"/>
            <w:lang w:eastAsia="en-AU"/>
          </w:rPr>
          <w:tab/>
        </w:r>
        <w:r w:rsidR="001D02F0" w:rsidRPr="009F5174">
          <w:rPr>
            <w:rStyle w:val="Hyperlink"/>
            <w:noProof/>
          </w:rPr>
          <w:t>Leadership competency</w:t>
        </w:r>
        <w:r w:rsidR="001D02F0">
          <w:rPr>
            <w:noProof/>
            <w:webHidden/>
          </w:rPr>
          <w:tab/>
        </w:r>
        <w:r w:rsidR="001D02F0">
          <w:rPr>
            <w:noProof/>
            <w:webHidden/>
          </w:rPr>
          <w:fldChar w:fldCharType="begin"/>
        </w:r>
        <w:r w:rsidR="001D02F0">
          <w:rPr>
            <w:noProof/>
            <w:webHidden/>
          </w:rPr>
          <w:instrText xml:space="preserve"> PAGEREF _Toc519689556 \h </w:instrText>
        </w:r>
        <w:r w:rsidR="001D02F0">
          <w:rPr>
            <w:noProof/>
            <w:webHidden/>
          </w:rPr>
        </w:r>
        <w:r w:rsidR="001D02F0">
          <w:rPr>
            <w:noProof/>
            <w:webHidden/>
          </w:rPr>
          <w:fldChar w:fldCharType="separate"/>
        </w:r>
        <w:r w:rsidR="00374AF2">
          <w:rPr>
            <w:noProof/>
            <w:webHidden/>
          </w:rPr>
          <w:t>13</w:t>
        </w:r>
        <w:r w:rsidR="001D02F0">
          <w:rPr>
            <w:noProof/>
            <w:webHidden/>
          </w:rPr>
          <w:fldChar w:fldCharType="end"/>
        </w:r>
      </w:hyperlink>
    </w:p>
    <w:p w14:paraId="27A20174"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57" w:history="1">
        <w:r w:rsidR="001D02F0" w:rsidRPr="009F5174">
          <w:rPr>
            <w:rStyle w:val="Hyperlink"/>
            <w:noProof/>
          </w:rPr>
          <w:t>3.1.2</w:t>
        </w:r>
        <w:r w:rsidR="001D02F0">
          <w:rPr>
            <w:rFonts w:asciiTheme="minorHAnsi" w:eastAsiaTheme="minorEastAsia" w:hAnsiTheme="minorHAnsi" w:cstheme="minorBidi"/>
            <w:noProof/>
            <w:szCs w:val="22"/>
            <w:lang w:eastAsia="en-AU"/>
          </w:rPr>
          <w:tab/>
        </w:r>
        <w:r w:rsidR="001D02F0" w:rsidRPr="009F5174">
          <w:rPr>
            <w:rStyle w:val="Hyperlink"/>
            <w:noProof/>
          </w:rPr>
          <w:t>Leadership context for PHNs</w:t>
        </w:r>
        <w:r w:rsidR="001D02F0">
          <w:rPr>
            <w:noProof/>
            <w:webHidden/>
          </w:rPr>
          <w:tab/>
        </w:r>
        <w:r w:rsidR="001D02F0">
          <w:rPr>
            <w:noProof/>
            <w:webHidden/>
          </w:rPr>
          <w:fldChar w:fldCharType="begin"/>
        </w:r>
        <w:r w:rsidR="001D02F0">
          <w:rPr>
            <w:noProof/>
            <w:webHidden/>
          </w:rPr>
          <w:instrText xml:space="preserve"> PAGEREF _Toc519689557 \h </w:instrText>
        </w:r>
        <w:r w:rsidR="001D02F0">
          <w:rPr>
            <w:noProof/>
            <w:webHidden/>
          </w:rPr>
        </w:r>
        <w:r w:rsidR="001D02F0">
          <w:rPr>
            <w:noProof/>
            <w:webHidden/>
          </w:rPr>
          <w:fldChar w:fldCharType="separate"/>
        </w:r>
        <w:r w:rsidR="00374AF2">
          <w:rPr>
            <w:noProof/>
            <w:webHidden/>
          </w:rPr>
          <w:t>13</w:t>
        </w:r>
        <w:r w:rsidR="001D02F0">
          <w:rPr>
            <w:noProof/>
            <w:webHidden/>
          </w:rPr>
          <w:fldChar w:fldCharType="end"/>
        </w:r>
      </w:hyperlink>
    </w:p>
    <w:p w14:paraId="0D1E8B1F"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58" w:history="1">
        <w:r w:rsidR="001D02F0" w:rsidRPr="009F5174">
          <w:rPr>
            <w:rStyle w:val="Hyperlink"/>
            <w:noProof/>
          </w:rPr>
          <w:t>3.1.3</w:t>
        </w:r>
        <w:r w:rsidR="001D02F0">
          <w:rPr>
            <w:rFonts w:asciiTheme="minorHAnsi" w:eastAsiaTheme="minorEastAsia" w:hAnsiTheme="minorHAnsi" w:cstheme="minorBidi"/>
            <w:noProof/>
            <w:szCs w:val="22"/>
            <w:lang w:eastAsia="en-AU"/>
          </w:rPr>
          <w:tab/>
        </w:r>
        <w:r w:rsidR="001D02F0" w:rsidRPr="009F5174">
          <w:rPr>
            <w:rStyle w:val="Hyperlink"/>
            <w:noProof/>
          </w:rPr>
          <w:t>Leadership approaches</w:t>
        </w:r>
        <w:r w:rsidR="001D02F0">
          <w:rPr>
            <w:noProof/>
            <w:webHidden/>
          </w:rPr>
          <w:tab/>
        </w:r>
        <w:r w:rsidR="001D02F0">
          <w:rPr>
            <w:noProof/>
            <w:webHidden/>
          </w:rPr>
          <w:fldChar w:fldCharType="begin"/>
        </w:r>
        <w:r w:rsidR="001D02F0">
          <w:rPr>
            <w:noProof/>
            <w:webHidden/>
          </w:rPr>
          <w:instrText xml:space="preserve"> PAGEREF _Toc519689558 \h </w:instrText>
        </w:r>
        <w:r w:rsidR="001D02F0">
          <w:rPr>
            <w:noProof/>
            <w:webHidden/>
          </w:rPr>
        </w:r>
        <w:r w:rsidR="001D02F0">
          <w:rPr>
            <w:noProof/>
            <w:webHidden/>
          </w:rPr>
          <w:fldChar w:fldCharType="separate"/>
        </w:r>
        <w:r w:rsidR="00374AF2">
          <w:rPr>
            <w:noProof/>
            <w:webHidden/>
          </w:rPr>
          <w:t>14</w:t>
        </w:r>
        <w:r w:rsidR="001D02F0">
          <w:rPr>
            <w:noProof/>
            <w:webHidden/>
          </w:rPr>
          <w:fldChar w:fldCharType="end"/>
        </w:r>
      </w:hyperlink>
    </w:p>
    <w:p w14:paraId="67CBDEC7"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59" w:history="1">
        <w:r w:rsidR="001D02F0" w:rsidRPr="009F5174">
          <w:rPr>
            <w:rStyle w:val="Hyperlink"/>
            <w:noProof/>
          </w:rPr>
          <w:t>3.1.4</w:t>
        </w:r>
        <w:r w:rsidR="001D02F0">
          <w:rPr>
            <w:rFonts w:asciiTheme="minorHAnsi" w:eastAsiaTheme="minorEastAsia" w:hAnsiTheme="minorHAnsi" w:cstheme="minorBidi"/>
            <w:noProof/>
            <w:szCs w:val="22"/>
            <w:lang w:eastAsia="en-AU"/>
          </w:rPr>
          <w:tab/>
        </w:r>
        <w:r w:rsidR="001D02F0" w:rsidRPr="009F5174">
          <w:rPr>
            <w:rStyle w:val="Hyperlink"/>
            <w:noProof/>
          </w:rPr>
          <w:t>Practical tips and skills for developing leadership</w:t>
        </w:r>
        <w:r w:rsidR="001D02F0">
          <w:rPr>
            <w:noProof/>
            <w:webHidden/>
          </w:rPr>
          <w:tab/>
        </w:r>
        <w:r w:rsidR="001D02F0">
          <w:rPr>
            <w:noProof/>
            <w:webHidden/>
          </w:rPr>
          <w:fldChar w:fldCharType="begin"/>
        </w:r>
        <w:r w:rsidR="001D02F0">
          <w:rPr>
            <w:noProof/>
            <w:webHidden/>
          </w:rPr>
          <w:instrText xml:space="preserve"> PAGEREF _Toc519689559 \h </w:instrText>
        </w:r>
        <w:r w:rsidR="001D02F0">
          <w:rPr>
            <w:noProof/>
            <w:webHidden/>
          </w:rPr>
        </w:r>
        <w:r w:rsidR="001D02F0">
          <w:rPr>
            <w:noProof/>
            <w:webHidden/>
          </w:rPr>
          <w:fldChar w:fldCharType="separate"/>
        </w:r>
        <w:r w:rsidR="00374AF2">
          <w:rPr>
            <w:noProof/>
            <w:webHidden/>
          </w:rPr>
          <w:t>16</w:t>
        </w:r>
        <w:r w:rsidR="001D02F0">
          <w:rPr>
            <w:noProof/>
            <w:webHidden/>
          </w:rPr>
          <w:fldChar w:fldCharType="end"/>
        </w:r>
      </w:hyperlink>
    </w:p>
    <w:p w14:paraId="132E732E"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60" w:history="1">
        <w:r w:rsidR="001D02F0" w:rsidRPr="009F5174">
          <w:rPr>
            <w:rStyle w:val="Hyperlink"/>
            <w:noProof/>
          </w:rPr>
          <w:t>3.1.5</w:t>
        </w:r>
        <w:r w:rsidR="001D02F0">
          <w:rPr>
            <w:rFonts w:asciiTheme="minorHAnsi" w:eastAsiaTheme="minorEastAsia" w:hAnsiTheme="minorHAnsi" w:cstheme="minorBidi"/>
            <w:noProof/>
            <w:szCs w:val="22"/>
            <w:lang w:eastAsia="en-AU"/>
          </w:rPr>
          <w:tab/>
        </w:r>
        <w:r w:rsidR="001D02F0" w:rsidRPr="009F5174">
          <w:rPr>
            <w:rStyle w:val="Hyperlink"/>
            <w:noProof/>
          </w:rPr>
          <w:t>Change management competency</w:t>
        </w:r>
        <w:r w:rsidR="001D02F0">
          <w:rPr>
            <w:noProof/>
            <w:webHidden/>
          </w:rPr>
          <w:tab/>
        </w:r>
        <w:r w:rsidR="001D02F0">
          <w:rPr>
            <w:noProof/>
            <w:webHidden/>
          </w:rPr>
          <w:fldChar w:fldCharType="begin"/>
        </w:r>
        <w:r w:rsidR="001D02F0">
          <w:rPr>
            <w:noProof/>
            <w:webHidden/>
          </w:rPr>
          <w:instrText xml:space="preserve"> PAGEREF _Toc519689560 \h </w:instrText>
        </w:r>
        <w:r w:rsidR="001D02F0">
          <w:rPr>
            <w:noProof/>
            <w:webHidden/>
          </w:rPr>
        </w:r>
        <w:r w:rsidR="001D02F0">
          <w:rPr>
            <w:noProof/>
            <w:webHidden/>
          </w:rPr>
          <w:fldChar w:fldCharType="separate"/>
        </w:r>
        <w:r w:rsidR="00374AF2">
          <w:rPr>
            <w:noProof/>
            <w:webHidden/>
          </w:rPr>
          <w:t>17</w:t>
        </w:r>
        <w:r w:rsidR="001D02F0">
          <w:rPr>
            <w:noProof/>
            <w:webHidden/>
          </w:rPr>
          <w:fldChar w:fldCharType="end"/>
        </w:r>
      </w:hyperlink>
    </w:p>
    <w:p w14:paraId="78055AFD"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61" w:history="1">
        <w:r w:rsidR="001D02F0" w:rsidRPr="009F5174">
          <w:rPr>
            <w:rStyle w:val="Hyperlink"/>
            <w:noProof/>
          </w:rPr>
          <w:t>3.1.6</w:t>
        </w:r>
        <w:r w:rsidR="001D02F0">
          <w:rPr>
            <w:rFonts w:asciiTheme="minorHAnsi" w:eastAsiaTheme="minorEastAsia" w:hAnsiTheme="minorHAnsi" w:cstheme="minorBidi"/>
            <w:noProof/>
            <w:szCs w:val="22"/>
            <w:lang w:eastAsia="en-AU"/>
          </w:rPr>
          <w:tab/>
        </w:r>
        <w:r w:rsidR="001D02F0" w:rsidRPr="009F5174">
          <w:rPr>
            <w:rStyle w:val="Hyperlink"/>
            <w:noProof/>
          </w:rPr>
          <w:t>Change management context for PHNs</w:t>
        </w:r>
        <w:r w:rsidR="001D02F0">
          <w:rPr>
            <w:noProof/>
            <w:webHidden/>
          </w:rPr>
          <w:tab/>
        </w:r>
        <w:r w:rsidR="001D02F0">
          <w:rPr>
            <w:noProof/>
            <w:webHidden/>
          </w:rPr>
          <w:fldChar w:fldCharType="begin"/>
        </w:r>
        <w:r w:rsidR="001D02F0">
          <w:rPr>
            <w:noProof/>
            <w:webHidden/>
          </w:rPr>
          <w:instrText xml:space="preserve"> PAGEREF _Toc519689561 \h </w:instrText>
        </w:r>
        <w:r w:rsidR="001D02F0">
          <w:rPr>
            <w:noProof/>
            <w:webHidden/>
          </w:rPr>
        </w:r>
        <w:r w:rsidR="001D02F0">
          <w:rPr>
            <w:noProof/>
            <w:webHidden/>
          </w:rPr>
          <w:fldChar w:fldCharType="separate"/>
        </w:r>
        <w:r w:rsidR="00374AF2">
          <w:rPr>
            <w:noProof/>
            <w:webHidden/>
          </w:rPr>
          <w:t>17</w:t>
        </w:r>
        <w:r w:rsidR="001D02F0">
          <w:rPr>
            <w:noProof/>
            <w:webHidden/>
          </w:rPr>
          <w:fldChar w:fldCharType="end"/>
        </w:r>
      </w:hyperlink>
    </w:p>
    <w:p w14:paraId="00808D5B"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62" w:history="1">
        <w:r w:rsidR="001D02F0" w:rsidRPr="009F5174">
          <w:rPr>
            <w:rStyle w:val="Hyperlink"/>
            <w:noProof/>
          </w:rPr>
          <w:t>3.1.7</w:t>
        </w:r>
        <w:r w:rsidR="001D02F0">
          <w:rPr>
            <w:rFonts w:asciiTheme="minorHAnsi" w:eastAsiaTheme="minorEastAsia" w:hAnsiTheme="minorHAnsi" w:cstheme="minorBidi"/>
            <w:noProof/>
            <w:szCs w:val="22"/>
            <w:lang w:eastAsia="en-AU"/>
          </w:rPr>
          <w:tab/>
        </w:r>
        <w:r w:rsidR="001D02F0" w:rsidRPr="009F5174">
          <w:rPr>
            <w:rStyle w:val="Hyperlink"/>
            <w:noProof/>
          </w:rPr>
          <w:t>Levers of PHNs to effect change</w:t>
        </w:r>
        <w:r w:rsidR="001D02F0">
          <w:rPr>
            <w:noProof/>
            <w:webHidden/>
          </w:rPr>
          <w:tab/>
        </w:r>
        <w:r w:rsidR="001D02F0">
          <w:rPr>
            <w:noProof/>
            <w:webHidden/>
          </w:rPr>
          <w:fldChar w:fldCharType="begin"/>
        </w:r>
        <w:r w:rsidR="001D02F0">
          <w:rPr>
            <w:noProof/>
            <w:webHidden/>
          </w:rPr>
          <w:instrText xml:space="preserve"> PAGEREF _Toc519689562 \h </w:instrText>
        </w:r>
        <w:r w:rsidR="001D02F0">
          <w:rPr>
            <w:noProof/>
            <w:webHidden/>
          </w:rPr>
        </w:r>
        <w:r w:rsidR="001D02F0">
          <w:rPr>
            <w:noProof/>
            <w:webHidden/>
          </w:rPr>
          <w:fldChar w:fldCharType="separate"/>
        </w:r>
        <w:r w:rsidR="00374AF2">
          <w:rPr>
            <w:noProof/>
            <w:webHidden/>
          </w:rPr>
          <w:t>17</w:t>
        </w:r>
        <w:r w:rsidR="001D02F0">
          <w:rPr>
            <w:noProof/>
            <w:webHidden/>
          </w:rPr>
          <w:fldChar w:fldCharType="end"/>
        </w:r>
      </w:hyperlink>
    </w:p>
    <w:p w14:paraId="5EBB8FAF"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63" w:history="1">
        <w:r w:rsidR="001D02F0" w:rsidRPr="009F5174">
          <w:rPr>
            <w:rStyle w:val="Hyperlink"/>
            <w:noProof/>
          </w:rPr>
          <w:t>3.1.8</w:t>
        </w:r>
        <w:r w:rsidR="001D02F0">
          <w:rPr>
            <w:rFonts w:asciiTheme="minorHAnsi" w:eastAsiaTheme="minorEastAsia" w:hAnsiTheme="minorHAnsi" w:cstheme="minorBidi"/>
            <w:noProof/>
            <w:szCs w:val="22"/>
            <w:lang w:eastAsia="en-AU"/>
          </w:rPr>
          <w:tab/>
        </w:r>
        <w:r w:rsidR="001D02F0" w:rsidRPr="009F5174">
          <w:rPr>
            <w:rStyle w:val="Hyperlink"/>
            <w:noProof/>
          </w:rPr>
          <w:t>Approaches to change management</w:t>
        </w:r>
        <w:r w:rsidR="001D02F0">
          <w:rPr>
            <w:noProof/>
            <w:webHidden/>
          </w:rPr>
          <w:tab/>
        </w:r>
        <w:r w:rsidR="001D02F0">
          <w:rPr>
            <w:noProof/>
            <w:webHidden/>
          </w:rPr>
          <w:fldChar w:fldCharType="begin"/>
        </w:r>
        <w:r w:rsidR="001D02F0">
          <w:rPr>
            <w:noProof/>
            <w:webHidden/>
          </w:rPr>
          <w:instrText xml:space="preserve"> PAGEREF _Toc519689563 \h </w:instrText>
        </w:r>
        <w:r w:rsidR="001D02F0">
          <w:rPr>
            <w:noProof/>
            <w:webHidden/>
          </w:rPr>
        </w:r>
        <w:r w:rsidR="001D02F0">
          <w:rPr>
            <w:noProof/>
            <w:webHidden/>
          </w:rPr>
          <w:fldChar w:fldCharType="separate"/>
        </w:r>
        <w:r w:rsidR="00374AF2">
          <w:rPr>
            <w:noProof/>
            <w:webHidden/>
          </w:rPr>
          <w:t>19</w:t>
        </w:r>
        <w:r w:rsidR="001D02F0">
          <w:rPr>
            <w:noProof/>
            <w:webHidden/>
          </w:rPr>
          <w:fldChar w:fldCharType="end"/>
        </w:r>
      </w:hyperlink>
    </w:p>
    <w:p w14:paraId="5C840C2F"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64" w:history="1">
        <w:r w:rsidR="001D02F0" w:rsidRPr="009F5174">
          <w:rPr>
            <w:rStyle w:val="Hyperlink"/>
            <w:noProof/>
          </w:rPr>
          <w:t>3.1.9</w:t>
        </w:r>
        <w:r w:rsidR="001D02F0">
          <w:rPr>
            <w:rFonts w:asciiTheme="minorHAnsi" w:eastAsiaTheme="minorEastAsia" w:hAnsiTheme="minorHAnsi" w:cstheme="minorBidi"/>
            <w:noProof/>
            <w:szCs w:val="22"/>
            <w:lang w:eastAsia="en-AU"/>
          </w:rPr>
          <w:tab/>
        </w:r>
        <w:r w:rsidR="001D02F0" w:rsidRPr="009F5174">
          <w:rPr>
            <w:rStyle w:val="Hyperlink"/>
            <w:noProof/>
          </w:rPr>
          <w:t>Practical tips and skills for change management</w:t>
        </w:r>
        <w:r w:rsidR="001D02F0">
          <w:rPr>
            <w:noProof/>
            <w:webHidden/>
          </w:rPr>
          <w:tab/>
        </w:r>
        <w:r w:rsidR="001D02F0">
          <w:rPr>
            <w:noProof/>
            <w:webHidden/>
          </w:rPr>
          <w:fldChar w:fldCharType="begin"/>
        </w:r>
        <w:r w:rsidR="001D02F0">
          <w:rPr>
            <w:noProof/>
            <w:webHidden/>
          </w:rPr>
          <w:instrText xml:space="preserve"> PAGEREF _Toc519689564 \h </w:instrText>
        </w:r>
        <w:r w:rsidR="001D02F0">
          <w:rPr>
            <w:noProof/>
            <w:webHidden/>
          </w:rPr>
        </w:r>
        <w:r w:rsidR="001D02F0">
          <w:rPr>
            <w:noProof/>
            <w:webHidden/>
          </w:rPr>
          <w:fldChar w:fldCharType="separate"/>
        </w:r>
        <w:r w:rsidR="00374AF2">
          <w:rPr>
            <w:noProof/>
            <w:webHidden/>
          </w:rPr>
          <w:t>20</w:t>
        </w:r>
        <w:r w:rsidR="001D02F0">
          <w:rPr>
            <w:noProof/>
            <w:webHidden/>
          </w:rPr>
          <w:fldChar w:fldCharType="end"/>
        </w:r>
      </w:hyperlink>
    </w:p>
    <w:p w14:paraId="50D443AF" w14:textId="77777777" w:rsidR="001D02F0" w:rsidRDefault="006128AA">
      <w:pPr>
        <w:pStyle w:val="TOC2"/>
        <w:tabs>
          <w:tab w:val="left" w:pos="880"/>
          <w:tab w:val="right" w:leader="dot" w:pos="9742"/>
        </w:tabs>
        <w:rPr>
          <w:rFonts w:asciiTheme="minorHAnsi" w:eastAsiaTheme="minorEastAsia" w:hAnsiTheme="minorHAnsi" w:cstheme="minorBidi"/>
          <w:noProof/>
          <w:szCs w:val="22"/>
          <w:lang w:eastAsia="en-AU"/>
        </w:rPr>
      </w:pPr>
      <w:hyperlink w:anchor="_Toc519689565" w:history="1">
        <w:r w:rsidR="001D02F0" w:rsidRPr="009F5174">
          <w:rPr>
            <w:rStyle w:val="Hyperlink"/>
            <w:noProof/>
          </w:rPr>
          <w:t>3.2</w:t>
        </w:r>
        <w:r w:rsidR="001D02F0">
          <w:rPr>
            <w:rFonts w:asciiTheme="minorHAnsi" w:eastAsiaTheme="minorEastAsia" w:hAnsiTheme="minorHAnsi" w:cstheme="minorBidi"/>
            <w:noProof/>
            <w:szCs w:val="22"/>
            <w:lang w:eastAsia="en-AU"/>
          </w:rPr>
          <w:tab/>
        </w:r>
        <w:r w:rsidR="001D02F0" w:rsidRPr="009F5174">
          <w:rPr>
            <w:rStyle w:val="Hyperlink"/>
            <w:noProof/>
          </w:rPr>
          <w:t>Co-design and community engagement</w:t>
        </w:r>
        <w:r w:rsidR="001D02F0">
          <w:rPr>
            <w:noProof/>
            <w:webHidden/>
          </w:rPr>
          <w:tab/>
        </w:r>
        <w:r w:rsidR="001D02F0">
          <w:rPr>
            <w:noProof/>
            <w:webHidden/>
          </w:rPr>
          <w:fldChar w:fldCharType="begin"/>
        </w:r>
        <w:r w:rsidR="001D02F0">
          <w:rPr>
            <w:noProof/>
            <w:webHidden/>
          </w:rPr>
          <w:instrText xml:space="preserve"> PAGEREF _Toc519689565 \h </w:instrText>
        </w:r>
        <w:r w:rsidR="001D02F0">
          <w:rPr>
            <w:noProof/>
            <w:webHidden/>
          </w:rPr>
        </w:r>
        <w:r w:rsidR="001D02F0">
          <w:rPr>
            <w:noProof/>
            <w:webHidden/>
          </w:rPr>
          <w:fldChar w:fldCharType="separate"/>
        </w:r>
        <w:r w:rsidR="00374AF2">
          <w:rPr>
            <w:noProof/>
            <w:webHidden/>
          </w:rPr>
          <w:t>21</w:t>
        </w:r>
        <w:r w:rsidR="001D02F0">
          <w:rPr>
            <w:noProof/>
            <w:webHidden/>
          </w:rPr>
          <w:fldChar w:fldCharType="end"/>
        </w:r>
      </w:hyperlink>
    </w:p>
    <w:p w14:paraId="7A357DE4"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66" w:history="1">
        <w:r w:rsidR="001D02F0" w:rsidRPr="009F5174">
          <w:rPr>
            <w:rStyle w:val="Hyperlink"/>
            <w:noProof/>
          </w:rPr>
          <w:t>3.2.1</w:t>
        </w:r>
        <w:r w:rsidR="001D02F0">
          <w:rPr>
            <w:rFonts w:asciiTheme="minorHAnsi" w:eastAsiaTheme="minorEastAsia" w:hAnsiTheme="minorHAnsi" w:cstheme="minorBidi"/>
            <w:noProof/>
            <w:szCs w:val="22"/>
            <w:lang w:eastAsia="en-AU"/>
          </w:rPr>
          <w:tab/>
        </w:r>
        <w:r w:rsidR="001D02F0" w:rsidRPr="009F5174">
          <w:rPr>
            <w:rStyle w:val="Hyperlink"/>
            <w:noProof/>
          </w:rPr>
          <w:t>Co-design and community engagement context for PHNs</w:t>
        </w:r>
        <w:r w:rsidR="001D02F0">
          <w:rPr>
            <w:noProof/>
            <w:webHidden/>
          </w:rPr>
          <w:tab/>
        </w:r>
        <w:r w:rsidR="001D02F0">
          <w:rPr>
            <w:noProof/>
            <w:webHidden/>
          </w:rPr>
          <w:fldChar w:fldCharType="begin"/>
        </w:r>
        <w:r w:rsidR="001D02F0">
          <w:rPr>
            <w:noProof/>
            <w:webHidden/>
          </w:rPr>
          <w:instrText xml:space="preserve"> PAGEREF _Toc519689566 \h </w:instrText>
        </w:r>
        <w:r w:rsidR="001D02F0">
          <w:rPr>
            <w:noProof/>
            <w:webHidden/>
          </w:rPr>
        </w:r>
        <w:r w:rsidR="001D02F0">
          <w:rPr>
            <w:noProof/>
            <w:webHidden/>
          </w:rPr>
          <w:fldChar w:fldCharType="separate"/>
        </w:r>
        <w:r w:rsidR="00374AF2">
          <w:rPr>
            <w:noProof/>
            <w:webHidden/>
          </w:rPr>
          <w:t>21</w:t>
        </w:r>
        <w:r w:rsidR="001D02F0">
          <w:rPr>
            <w:noProof/>
            <w:webHidden/>
          </w:rPr>
          <w:fldChar w:fldCharType="end"/>
        </w:r>
      </w:hyperlink>
    </w:p>
    <w:p w14:paraId="712B948D"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67" w:history="1">
        <w:r w:rsidR="001D02F0" w:rsidRPr="009F5174">
          <w:rPr>
            <w:rStyle w:val="Hyperlink"/>
            <w:noProof/>
          </w:rPr>
          <w:t>3.2.2</w:t>
        </w:r>
        <w:r w:rsidR="001D02F0">
          <w:rPr>
            <w:rFonts w:asciiTheme="minorHAnsi" w:eastAsiaTheme="minorEastAsia" w:hAnsiTheme="minorHAnsi" w:cstheme="minorBidi"/>
            <w:noProof/>
            <w:szCs w:val="22"/>
            <w:lang w:eastAsia="en-AU"/>
          </w:rPr>
          <w:tab/>
        </w:r>
        <w:r w:rsidR="001D02F0" w:rsidRPr="009F5174">
          <w:rPr>
            <w:rStyle w:val="Hyperlink"/>
            <w:noProof/>
          </w:rPr>
          <w:t>Considerations for co-design and community engagement</w:t>
        </w:r>
        <w:r w:rsidR="001D02F0">
          <w:rPr>
            <w:noProof/>
            <w:webHidden/>
          </w:rPr>
          <w:tab/>
        </w:r>
        <w:r w:rsidR="001D02F0">
          <w:rPr>
            <w:noProof/>
            <w:webHidden/>
          </w:rPr>
          <w:fldChar w:fldCharType="begin"/>
        </w:r>
        <w:r w:rsidR="001D02F0">
          <w:rPr>
            <w:noProof/>
            <w:webHidden/>
          </w:rPr>
          <w:instrText xml:space="preserve"> PAGEREF _Toc519689567 \h </w:instrText>
        </w:r>
        <w:r w:rsidR="001D02F0">
          <w:rPr>
            <w:noProof/>
            <w:webHidden/>
          </w:rPr>
        </w:r>
        <w:r w:rsidR="001D02F0">
          <w:rPr>
            <w:noProof/>
            <w:webHidden/>
          </w:rPr>
          <w:fldChar w:fldCharType="separate"/>
        </w:r>
        <w:r w:rsidR="00374AF2">
          <w:rPr>
            <w:noProof/>
            <w:webHidden/>
          </w:rPr>
          <w:t>22</w:t>
        </w:r>
        <w:r w:rsidR="001D02F0">
          <w:rPr>
            <w:noProof/>
            <w:webHidden/>
          </w:rPr>
          <w:fldChar w:fldCharType="end"/>
        </w:r>
      </w:hyperlink>
    </w:p>
    <w:p w14:paraId="2FEEE7AD"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68" w:history="1">
        <w:r w:rsidR="001D02F0" w:rsidRPr="009F5174">
          <w:rPr>
            <w:rStyle w:val="Hyperlink"/>
            <w:noProof/>
          </w:rPr>
          <w:t>3.2.3</w:t>
        </w:r>
        <w:r w:rsidR="001D02F0">
          <w:rPr>
            <w:rFonts w:asciiTheme="minorHAnsi" w:eastAsiaTheme="minorEastAsia" w:hAnsiTheme="minorHAnsi" w:cstheme="minorBidi"/>
            <w:noProof/>
            <w:szCs w:val="22"/>
            <w:lang w:eastAsia="en-AU"/>
          </w:rPr>
          <w:tab/>
        </w:r>
        <w:r w:rsidR="001D02F0" w:rsidRPr="009F5174">
          <w:rPr>
            <w:rStyle w:val="Hyperlink"/>
            <w:noProof/>
          </w:rPr>
          <w:t>Pre-engagement</w:t>
        </w:r>
        <w:r w:rsidR="001D02F0">
          <w:rPr>
            <w:noProof/>
            <w:webHidden/>
          </w:rPr>
          <w:tab/>
        </w:r>
        <w:r w:rsidR="001D02F0">
          <w:rPr>
            <w:noProof/>
            <w:webHidden/>
          </w:rPr>
          <w:fldChar w:fldCharType="begin"/>
        </w:r>
        <w:r w:rsidR="001D02F0">
          <w:rPr>
            <w:noProof/>
            <w:webHidden/>
          </w:rPr>
          <w:instrText xml:space="preserve"> PAGEREF _Toc519689568 \h </w:instrText>
        </w:r>
        <w:r w:rsidR="001D02F0">
          <w:rPr>
            <w:noProof/>
            <w:webHidden/>
          </w:rPr>
        </w:r>
        <w:r w:rsidR="001D02F0">
          <w:rPr>
            <w:noProof/>
            <w:webHidden/>
          </w:rPr>
          <w:fldChar w:fldCharType="separate"/>
        </w:r>
        <w:r w:rsidR="00374AF2">
          <w:rPr>
            <w:noProof/>
            <w:webHidden/>
          </w:rPr>
          <w:t>22</w:t>
        </w:r>
        <w:r w:rsidR="001D02F0">
          <w:rPr>
            <w:noProof/>
            <w:webHidden/>
          </w:rPr>
          <w:fldChar w:fldCharType="end"/>
        </w:r>
      </w:hyperlink>
    </w:p>
    <w:p w14:paraId="7B3A9476"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69" w:history="1">
        <w:r w:rsidR="001D02F0" w:rsidRPr="009F5174">
          <w:rPr>
            <w:rStyle w:val="Hyperlink"/>
            <w:noProof/>
          </w:rPr>
          <w:t>3.2.4</w:t>
        </w:r>
        <w:r w:rsidR="001D02F0">
          <w:rPr>
            <w:rFonts w:asciiTheme="minorHAnsi" w:eastAsiaTheme="minorEastAsia" w:hAnsiTheme="minorHAnsi" w:cstheme="minorBidi"/>
            <w:noProof/>
            <w:szCs w:val="22"/>
            <w:lang w:eastAsia="en-AU"/>
          </w:rPr>
          <w:tab/>
        </w:r>
        <w:r w:rsidR="001D02F0" w:rsidRPr="009F5174">
          <w:rPr>
            <w:rStyle w:val="Hyperlink"/>
            <w:noProof/>
          </w:rPr>
          <w:t>Engagement</w:t>
        </w:r>
        <w:r w:rsidR="001D02F0">
          <w:rPr>
            <w:noProof/>
            <w:webHidden/>
          </w:rPr>
          <w:tab/>
        </w:r>
        <w:r w:rsidR="001D02F0">
          <w:rPr>
            <w:noProof/>
            <w:webHidden/>
          </w:rPr>
          <w:fldChar w:fldCharType="begin"/>
        </w:r>
        <w:r w:rsidR="001D02F0">
          <w:rPr>
            <w:noProof/>
            <w:webHidden/>
          </w:rPr>
          <w:instrText xml:space="preserve"> PAGEREF _Toc519689569 \h </w:instrText>
        </w:r>
        <w:r w:rsidR="001D02F0">
          <w:rPr>
            <w:noProof/>
            <w:webHidden/>
          </w:rPr>
        </w:r>
        <w:r w:rsidR="001D02F0">
          <w:rPr>
            <w:noProof/>
            <w:webHidden/>
          </w:rPr>
          <w:fldChar w:fldCharType="separate"/>
        </w:r>
        <w:r w:rsidR="00374AF2">
          <w:rPr>
            <w:noProof/>
            <w:webHidden/>
          </w:rPr>
          <w:t>22</w:t>
        </w:r>
        <w:r w:rsidR="001D02F0">
          <w:rPr>
            <w:noProof/>
            <w:webHidden/>
          </w:rPr>
          <w:fldChar w:fldCharType="end"/>
        </w:r>
      </w:hyperlink>
    </w:p>
    <w:p w14:paraId="115E710D"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70" w:history="1">
        <w:r w:rsidR="001D02F0" w:rsidRPr="009F5174">
          <w:rPr>
            <w:rStyle w:val="Hyperlink"/>
            <w:noProof/>
          </w:rPr>
          <w:t>3.2.5</w:t>
        </w:r>
        <w:r w:rsidR="001D02F0">
          <w:rPr>
            <w:rFonts w:asciiTheme="minorHAnsi" w:eastAsiaTheme="minorEastAsia" w:hAnsiTheme="minorHAnsi" w:cstheme="minorBidi"/>
            <w:noProof/>
            <w:szCs w:val="22"/>
            <w:lang w:eastAsia="en-AU"/>
          </w:rPr>
          <w:tab/>
        </w:r>
        <w:r w:rsidR="001D02F0" w:rsidRPr="009F5174">
          <w:rPr>
            <w:rStyle w:val="Hyperlink"/>
            <w:noProof/>
          </w:rPr>
          <w:t>Post-engagement</w:t>
        </w:r>
        <w:r w:rsidR="001D02F0">
          <w:rPr>
            <w:noProof/>
            <w:webHidden/>
          </w:rPr>
          <w:tab/>
        </w:r>
        <w:r w:rsidR="001D02F0">
          <w:rPr>
            <w:noProof/>
            <w:webHidden/>
          </w:rPr>
          <w:fldChar w:fldCharType="begin"/>
        </w:r>
        <w:r w:rsidR="001D02F0">
          <w:rPr>
            <w:noProof/>
            <w:webHidden/>
          </w:rPr>
          <w:instrText xml:space="preserve"> PAGEREF _Toc519689570 \h </w:instrText>
        </w:r>
        <w:r w:rsidR="001D02F0">
          <w:rPr>
            <w:noProof/>
            <w:webHidden/>
          </w:rPr>
        </w:r>
        <w:r w:rsidR="001D02F0">
          <w:rPr>
            <w:noProof/>
            <w:webHidden/>
          </w:rPr>
          <w:fldChar w:fldCharType="separate"/>
        </w:r>
        <w:r w:rsidR="00374AF2">
          <w:rPr>
            <w:noProof/>
            <w:webHidden/>
          </w:rPr>
          <w:t>23</w:t>
        </w:r>
        <w:r w:rsidR="001D02F0">
          <w:rPr>
            <w:noProof/>
            <w:webHidden/>
          </w:rPr>
          <w:fldChar w:fldCharType="end"/>
        </w:r>
      </w:hyperlink>
    </w:p>
    <w:p w14:paraId="6F23AEB3"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71" w:history="1">
        <w:r w:rsidR="001D02F0" w:rsidRPr="009F5174">
          <w:rPr>
            <w:rStyle w:val="Hyperlink"/>
            <w:noProof/>
          </w:rPr>
          <w:t>3.2.6</w:t>
        </w:r>
        <w:r w:rsidR="001D02F0">
          <w:rPr>
            <w:rFonts w:asciiTheme="minorHAnsi" w:eastAsiaTheme="minorEastAsia" w:hAnsiTheme="minorHAnsi" w:cstheme="minorBidi"/>
            <w:noProof/>
            <w:szCs w:val="22"/>
            <w:lang w:eastAsia="en-AU"/>
          </w:rPr>
          <w:tab/>
        </w:r>
        <w:r w:rsidR="001D02F0" w:rsidRPr="009F5174">
          <w:rPr>
            <w:rStyle w:val="Hyperlink"/>
            <w:noProof/>
          </w:rPr>
          <w:t>Practical tips and skills for co-design and community engagement</w:t>
        </w:r>
        <w:r w:rsidR="001D02F0">
          <w:rPr>
            <w:noProof/>
            <w:webHidden/>
          </w:rPr>
          <w:tab/>
        </w:r>
        <w:r w:rsidR="001D02F0">
          <w:rPr>
            <w:noProof/>
            <w:webHidden/>
          </w:rPr>
          <w:fldChar w:fldCharType="begin"/>
        </w:r>
        <w:r w:rsidR="001D02F0">
          <w:rPr>
            <w:noProof/>
            <w:webHidden/>
          </w:rPr>
          <w:instrText xml:space="preserve"> PAGEREF _Toc519689571 \h </w:instrText>
        </w:r>
        <w:r w:rsidR="001D02F0">
          <w:rPr>
            <w:noProof/>
            <w:webHidden/>
          </w:rPr>
        </w:r>
        <w:r w:rsidR="001D02F0">
          <w:rPr>
            <w:noProof/>
            <w:webHidden/>
          </w:rPr>
          <w:fldChar w:fldCharType="separate"/>
        </w:r>
        <w:r w:rsidR="00374AF2">
          <w:rPr>
            <w:noProof/>
            <w:webHidden/>
          </w:rPr>
          <w:t>25</w:t>
        </w:r>
        <w:r w:rsidR="001D02F0">
          <w:rPr>
            <w:noProof/>
            <w:webHidden/>
          </w:rPr>
          <w:fldChar w:fldCharType="end"/>
        </w:r>
      </w:hyperlink>
    </w:p>
    <w:p w14:paraId="46F204F5" w14:textId="77777777" w:rsidR="001D02F0" w:rsidRDefault="006128AA">
      <w:pPr>
        <w:pStyle w:val="TOC2"/>
        <w:tabs>
          <w:tab w:val="left" w:pos="880"/>
          <w:tab w:val="right" w:leader="dot" w:pos="9742"/>
        </w:tabs>
        <w:rPr>
          <w:rFonts w:asciiTheme="minorHAnsi" w:eastAsiaTheme="minorEastAsia" w:hAnsiTheme="minorHAnsi" w:cstheme="minorBidi"/>
          <w:noProof/>
          <w:szCs w:val="22"/>
          <w:lang w:eastAsia="en-AU"/>
        </w:rPr>
      </w:pPr>
      <w:hyperlink w:anchor="_Toc519689572" w:history="1">
        <w:r w:rsidR="001D02F0" w:rsidRPr="009F5174">
          <w:rPr>
            <w:rStyle w:val="Hyperlink"/>
            <w:noProof/>
          </w:rPr>
          <w:t>3.3</w:t>
        </w:r>
        <w:r w:rsidR="001D02F0">
          <w:rPr>
            <w:rFonts w:asciiTheme="minorHAnsi" w:eastAsiaTheme="minorEastAsia" w:hAnsiTheme="minorHAnsi" w:cstheme="minorBidi"/>
            <w:noProof/>
            <w:szCs w:val="22"/>
            <w:lang w:eastAsia="en-AU"/>
          </w:rPr>
          <w:tab/>
        </w:r>
        <w:r w:rsidR="001D02F0" w:rsidRPr="009F5174">
          <w:rPr>
            <w:rStyle w:val="Hyperlink"/>
            <w:noProof/>
          </w:rPr>
          <w:t>Applying a population health approach</w:t>
        </w:r>
        <w:r w:rsidR="001D02F0">
          <w:rPr>
            <w:noProof/>
            <w:webHidden/>
          </w:rPr>
          <w:tab/>
        </w:r>
        <w:r w:rsidR="001D02F0">
          <w:rPr>
            <w:noProof/>
            <w:webHidden/>
          </w:rPr>
          <w:fldChar w:fldCharType="begin"/>
        </w:r>
        <w:r w:rsidR="001D02F0">
          <w:rPr>
            <w:noProof/>
            <w:webHidden/>
          </w:rPr>
          <w:instrText xml:space="preserve"> PAGEREF _Toc519689572 \h </w:instrText>
        </w:r>
        <w:r w:rsidR="001D02F0">
          <w:rPr>
            <w:noProof/>
            <w:webHidden/>
          </w:rPr>
        </w:r>
        <w:r w:rsidR="001D02F0">
          <w:rPr>
            <w:noProof/>
            <w:webHidden/>
          </w:rPr>
          <w:fldChar w:fldCharType="separate"/>
        </w:r>
        <w:r w:rsidR="00374AF2">
          <w:rPr>
            <w:noProof/>
            <w:webHidden/>
          </w:rPr>
          <w:t>26</w:t>
        </w:r>
        <w:r w:rsidR="001D02F0">
          <w:rPr>
            <w:noProof/>
            <w:webHidden/>
          </w:rPr>
          <w:fldChar w:fldCharType="end"/>
        </w:r>
      </w:hyperlink>
    </w:p>
    <w:p w14:paraId="4DB5157A"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73" w:history="1">
        <w:r w:rsidR="001D02F0" w:rsidRPr="009F5174">
          <w:rPr>
            <w:rStyle w:val="Hyperlink"/>
            <w:noProof/>
          </w:rPr>
          <w:t>3.3.1</w:t>
        </w:r>
        <w:r w:rsidR="001D02F0">
          <w:rPr>
            <w:rFonts w:asciiTheme="minorHAnsi" w:eastAsiaTheme="minorEastAsia" w:hAnsiTheme="minorHAnsi" w:cstheme="minorBidi"/>
            <w:noProof/>
            <w:szCs w:val="22"/>
            <w:lang w:eastAsia="en-AU"/>
          </w:rPr>
          <w:tab/>
        </w:r>
        <w:r w:rsidR="001D02F0" w:rsidRPr="009F5174">
          <w:rPr>
            <w:rStyle w:val="Hyperlink"/>
            <w:noProof/>
          </w:rPr>
          <w:t>Additional resources available to PHNs for this competency</w:t>
        </w:r>
        <w:r w:rsidR="001D02F0">
          <w:rPr>
            <w:noProof/>
            <w:webHidden/>
          </w:rPr>
          <w:tab/>
        </w:r>
        <w:r w:rsidR="001D02F0">
          <w:rPr>
            <w:noProof/>
            <w:webHidden/>
          </w:rPr>
          <w:fldChar w:fldCharType="begin"/>
        </w:r>
        <w:r w:rsidR="001D02F0">
          <w:rPr>
            <w:noProof/>
            <w:webHidden/>
          </w:rPr>
          <w:instrText xml:space="preserve"> PAGEREF _Toc519689573 \h </w:instrText>
        </w:r>
        <w:r w:rsidR="001D02F0">
          <w:rPr>
            <w:noProof/>
            <w:webHidden/>
          </w:rPr>
        </w:r>
        <w:r w:rsidR="001D02F0">
          <w:rPr>
            <w:noProof/>
            <w:webHidden/>
          </w:rPr>
          <w:fldChar w:fldCharType="separate"/>
        </w:r>
        <w:r w:rsidR="00374AF2">
          <w:rPr>
            <w:noProof/>
            <w:webHidden/>
          </w:rPr>
          <w:t>26</w:t>
        </w:r>
        <w:r w:rsidR="001D02F0">
          <w:rPr>
            <w:noProof/>
            <w:webHidden/>
          </w:rPr>
          <w:fldChar w:fldCharType="end"/>
        </w:r>
      </w:hyperlink>
    </w:p>
    <w:p w14:paraId="3705C76E"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74" w:history="1">
        <w:r w:rsidR="001D02F0" w:rsidRPr="009F5174">
          <w:rPr>
            <w:rStyle w:val="Hyperlink"/>
            <w:noProof/>
          </w:rPr>
          <w:t>3.3.2</w:t>
        </w:r>
        <w:r w:rsidR="001D02F0">
          <w:rPr>
            <w:rFonts w:asciiTheme="minorHAnsi" w:eastAsiaTheme="minorEastAsia" w:hAnsiTheme="minorHAnsi" w:cstheme="minorBidi"/>
            <w:noProof/>
            <w:szCs w:val="22"/>
            <w:lang w:eastAsia="en-AU"/>
          </w:rPr>
          <w:tab/>
        </w:r>
        <w:r w:rsidR="001D02F0" w:rsidRPr="009F5174">
          <w:rPr>
            <w:rStyle w:val="Hyperlink"/>
            <w:noProof/>
          </w:rPr>
          <w:t>Practical tips and skills for population health</w:t>
        </w:r>
        <w:r w:rsidR="001D02F0">
          <w:rPr>
            <w:noProof/>
            <w:webHidden/>
          </w:rPr>
          <w:tab/>
        </w:r>
        <w:r w:rsidR="001D02F0">
          <w:rPr>
            <w:noProof/>
            <w:webHidden/>
          </w:rPr>
          <w:fldChar w:fldCharType="begin"/>
        </w:r>
        <w:r w:rsidR="001D02F0">
          <w:rPr>
            <w:noProof/>
            <w:webHidden/>
          </w:rPr>
          <w:instrText xml:space="preserve"> PAGEREF _Toc519689574 \h </w:instrText>
        </w:r>
        <w:r w:rsidR="001D02F0">
          <w:rPr>
            <w:noProof/>
            <w:webHidden/>
          </w:rPr>
        </w:r>
        <w:r w:rsidR="001D02F0">
          <w:rPr>
            <w:noProof/>
            <w:webHidden/>
          </w:rPr>
          <w:fldChar w:fldCharType="separate"/>
        </w:r>
        <w:r w:rsidR="00374AF2">
          <w:rPr>
            <w:noProof/>
            <w:webHidden/>
          </w:rPr>
          <w:t>26</w:t>
        </w:r>
        <w:r w:rsidR="001D02F0">
          <w:rPr>
            <w:noProof/>
            <w:webHidden/>
          </w:rPr>
          <w:fldChar w:fldCharType="end"/>
        </w:r>
      </w:hyperlink>
    </w:p>
    <w:p w14:paraId="73C0A631" w14:textId="77777777" w:rsidR="001D02F0" w:rsidRDefault="006128AA">
      <w:pPr>
        <w:pStyle w:val="TOC2"/>
        <w:tabs>
          <w:tab w:val="left" w:pos="880"/>
          <w:tab w:val="right" w:leader="dot" w:pos="9742"/>
        </w:tabs>
        <w:rPr>
          <w:rFonts w:asciiTheme="minorHAnsi" w:eastAsiaTheme="minorEastAsia" w:hAnsiTheme="minorHAnsi" w:cstheme="minorBidi"/>
          <w:noProof/>
          <w:szCs w:val="22"/>
          <w:lang w:eastAsia="en-AU"/>
        </w:rPr>
      </w:pPr>
      <w:hyperlink w:anchor="_Toc519689575" w:history="1">
        <w:r w:rsidR="001D02F0" w:rsidRPr="009F5174">
          <w:rPr>
            <w:rStyle w:val="Hyperlink"/>
            <w:noProof/>
          </w:rPr>
          <w:t>3.4</w:t>
        </w:r>
        <w:r w:rsidR="001D02F0">
          <w:rPr>
            <w:rFonts w:asciiTheme="minorHAnsi" w:eastAsiaTheme="minorEastAsia" w:hAnsiTheme="minorHAnsi" w:cstheme="minorBidi"/>
            <w:noProof/>
            <w:szCs w:val="22"/>
            <w:lang w:eastAsia="en-AU"/>
          </w:rPr>
          <w:tab/>
        </w:r>
        <w:r w:rsidR="001D02F0" w:rsidRPr="009F5174">
          <w:rPr>
            <w:rStyle w:val="Hyperlink"/>
            <w:noProof/>
          </w:rPr>
          <w:t>Collaborative arrangements</w:t>
        </w:r>
        <w:r w:rsidR="001D02F0">
          <w:rPr>
            <w:noProof/>
            <w:webHidden/>
          </w:rPr>
          <w:tab/>
        </w:r>
        <w:r w:rsidR="001D02F0">
          <w:rPr>
            <w:noProof/>
            <w:webHidden/>
          </w:rPr>
          <w:fldChar w:fldCharType="begin"/>
        </w:r>
        <w:r w:rsidR="001D02F0">
          <w:rPr>
            <w:noProof/>
            <w:webHidden/>
          </w:rPr>
          <w:instrText xml:space="preserve"> PAGEREF _Toc519689575 \h </w:instrText>
        </w:r>
        <w:r w:rsidR="001D02F0">
          <w:rPr>
            <w:noProof/>
            <w:webHidden/>
          </w:rPr>
        </w:r>
        <w:r w:rsidR="001D02F0">
          <w:rPr>
            <w:noProof/>
            <w:webHidden/>
          </w:rPr>
          <w:fldChar w:fldCharType="separate"/>
        </w:r>
        <w:r w:rsidR="00374AF2">
          <w:rPr>
            <w:noProof/>
            <w:webHidden/>
          </w:rPr>
          <w:t>28</w:t>
        </w:r>
        <w:r w:rsidR="001D02F0">
          <w:rPr>
            <w:noProof/>
            <w:webHidden/>
          </w:rPr>
          <w:fldChar w:fldCharType="end"/>
        </w:r>
      </w:hyperlink>
    </w:p>
    <w:p w14:paraId="40B4A0D5"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76" w:history="1">
        <w:r w:rsidR="001D02F0" w:rsidRPr="009F5174">
          <w:rPr>
            <w:rStyle w:val="Hyperlink"/>
            <w:noProof/>
          </w:rPr>
          <w:t>3.4.1</w:t>
        </w:r>
        <w:r w:rsidR="001D02F0">
          <w:rPr>
            <w:rFonts w:asciiTheme="minorHAnsi" w:eastAsiaTheme="minorEastAsia" w:hAnsiTheme="minorHAnsi" w:cstheme="minorBidi"/>
            <w:noProof/>
            <w:szCs w:val="22"/>
            <w:lang w:eastAsia="en-AU"/>
          </w:rPr>
          <w:tab/>
        </w:r>
        <w:r w:rsidR="001D02F0" w:rsidRPr="009F5174">
          <w:rPr>
            <w:rStyle w:val="Hyperlink"/>
            <w:noProof/>
          </w:rPr>
          <w:t>Collaborative arrangements context for PHNs</w:t>
        </w:r>
        <w:r w:rsidR="001D02F0">
          <w:rPr>
            <w:noProof/>
            <w:webHidden/>
          </w:rPr>
          <w:tab/>
        </w:r>
        <w:r w:rsidR="001D02F0">
          <w:rPr>
            <w:noProof/>
            <w:webHidden/>
          </w:rPr>
          <w:fldChar w:fldCharType="begin"/>
        </w:r>
        <w:r w:rsidR="001D02F0">
          <w:rPr>
            <w:noProof/>
            <w:webHidden/>
          </w:rPr>
          <w:instrText xml:space="preserve"> PAGEREF _Toc519689576 \h </w:instrText>
        </w:r>
        <w:r w:rsidR="001D02F0">
          <w:rPr>
            <w:noProof/>
            <w:webHidden/>
          </w:rPr>
        </w:r>
        <w:r w:rsidR="001D02F0">
          <w:rPr>
            <w:noProof/>
            <w:webHidden/>
          </w:rPr>
          <w:fldChar w:fldCharType="separate"/>
        </w:r>
        <w:r w:rsidR="00374AF2">
          <w:rPr>
            <w:noProof/>
            <w:webHidden/>
          </w:rPr>
          <w:t>28</w:t>
        </w:r>
        <w:r w:rsidR="001D02F0">
          <w:rPr>
            <w:noProof/>
            <w:webHidden/>
          </w:rPr>
          <w:fldChar w:fldCharType="end"/>
        </w:r>
      </w:hyperlink>
    </w:p>
    <w:p w14:paraId="6C8AEEF5"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77" w:history="1">
        <w:r w:rsidR="001D02F0" w:rsidRPr="009F5174">
          <w:rPr>
            <w:rStyle w:val="Hyperlink"/>
            <w:noProof/>
          </w:rPr>
          <w:t>3.4.2</w:t>
        </w:r>
        <w:r w:rsidR="001D02F0">
          <w:rPr>
            <w:rFonts w:asciiTheme="minorHAnsi" w:eastAsiaTheme="minorEastAsia" w:hAnsiTheme="minorHAnsi" w:cstheme="minorBidi"/>
            <w:noProof/>
            <w:szCs w:val="22"/>
            <w:lang w:eastAsia="en-AU"/>
          </w:rPr>
          <w:tab/>
        </w:r>
        <w:r w:rsidR="001D02F0" w:rsidRPr="009F5174">
          <w:rPr>
            <w:rStyle w:val="Hyperlink"/>
            <w:noProof/>
          </w:rPr>
          <w:t>Considerations for PHNs</w:t>
        </w:r>
        <w:r w:rsidR="001D02F0">
          <w:rPr>
            <w:noProof/>
            <w:webHidden/>
          </w:rPr>
          <w:tab/>
        </w:r>
        <w:r w:rsidR="001D02F0">
          <w:rPr>
            <w:noProof/>
            <w:webHidden/>
          </w:rPr>
          <w:fldChar w:fldCharType="begin"/>
        </w:r>
        <w:r w:rsidR="001D02F0">
          <w:rPr>
            <w:noProof/>
            <w:webHidden/>
          </w:rPr>
          <w:instrText xml:space="preserve"> PAGEREF _Toc519689577 \h </w:instrText>
        </w:r>
        <w:r w:rsidR="001D02F0">
          <w:rPr>
            <w:noProof/>
            <w:webHidden/>
          </w:rPr>
        </w:r>
        <w:r w:rsidR="001D02F0">
          <w:rPr>
            <w:noProof/>
            <w:webHidden/>
          </w:rPr>
          <w:fldChar w:fldCharType="separate"/>
        </w:r>
        <w:r w:rsidR="00374AF2">
          <w:rPr>
            <w:noProof/>
            <w:webHidden/>
          </w:rPr>
          <w:t>28</w:t>
        </w:r>
        <w:r w:rsidR="001D02F0">
          <w:rPr>
            <w:noProof/>
            <w:webHidden/>
          </w:rPr>
          <w:fldChar w:fldCharType="end"/>
        </w:r>
      </w:hyperlink>
    </w:p>
    <w:p w14:paraId="28FE1634"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78" w:history="1">
        <w:r w:rsidR="001D02F0" w:rsidRPr="009F5174">
          <w:rPr>
            <w:rStyle w:val="Hyperlink"/>
            <w:noProof/>
          </w:rPr>
          <w:t>3.4.3</w:t>
        </w:r>
        <w:r w:rsidR="001D02F0">
          <w:rPr>
            <w:rFonts w:asciiTheme="minorHAnsi" w:eastAsiaTheme="minorEastAsia" w:hAnsiTheme="minorHAnsi" w:cstheme="minorBidi"/>
            <w:noProof/>
            <w:szCs w:val="22"/>
            <w:lang w:eastAsia="en-AU"/>
          </w:rPr>
          <w:tab/>
        </w:r>
        <w:r w:rsidR="001D02F0" w:rsidRPr="009F5174">
          <w:rPr>
            <w:rStyle w:val="Hyperlink"/>
            <w:noProof/>
          </w:rPr>
          <w:t>Practical tips and skills for collaborative arrangements</w:t>
        </w:r>
        <w:r w:rsidR="001D02F0">
          <w:rPr>
            <w:noProof/>
            <w:webHidden/>
          </w:rPr>
          <w:tab/>
        </w:r>
        <w:r w:rsidR="001D02F0">
          <w:rPr>
            <w:noProof/>
            <w:webHidden/>
          </w:rPr>
          <w:fldChar w:fldCharType="begin"/>
        </w:r>
        <w:r w:rsidR="001D02F0">
          <w:rPr>
            <w:noProof/>
            <w:webHidden/>
          </w:rPr>
          <w:instrText xml:space="preserve"> PAGEREF _Toc519689578 \h </w:instrText>
        </w:r>
        <w:r w:rsidR="001D02F0">
          <w:rPr>
            <w:noProof/>
            <w:webHidden/>
          </w:rPr>
        </w:r>
        <w:r w:rsidR="001D02F0">
          <w:rPr>
            <w:noProof/>
            <w:webHidden/>
          </w:rPr>
          <w:fldChar w:fldCharType="separate"/>
        </w:r>
        <w:r w:rsidR="00374AF2">
          <w:rPr>
            <w:noProof/>
            <w:webHidden/>
          </w:rPr>
          <w:t>31</w:t>
        </w:r>
        <w:r w:rsidR="001D02F0">
          <w:rPr>
            <w:noProof/>
            <w:webHidden/>
          </w:rPr>
          <w:fldChar w:fldCharType="end"/>
        </w:r>
      </w:hyperlink>
    </w:p>
    <w:p w14:paraId="36A6A3A1" w14:textId="77777777" w:rsidR="001D02F0" w:rsidRDefault="006128AA">
      <w:pPr>
        <w:pStyle w:val="TOC2"/>
        <w:tabs>
          <w:tab w:val="left" w:pos="880"/>
          <w:tab w:val="right" w:leader="dot" w:pos="9742"/>
        </w:tabs>
        <w:rPr>
          <w:rFonts w:asciiTheme="minorHAnsi" w:eastAsiaTheme="minorEastAsia" w:hAnsiTheme="minorHAnsi" w:cstheme="minorBidi"/>
          <w:noProof/>
          <w:szCs w:val="22"/>
          <w:lang w:eastAsia="en-AU"/>
        </w:rPr>
      </w:pPr>
      <w:hyperlink w:anchor="_Toc519689579" w:history="1">
        <w:r w:rsidR="001D02F0" w:rsidRPr="009F5174">
          <w:rPr>
            <w:rStyle w:val="Hyperlink"/>
            <w:noProof/>
          </w:rPr>
          <w:t>3.5</w:t>
        </w:r>
        <w:r w:rsidR="001D02F0">
          <w:rPr>
            <w:rFonts w:asciiTheme="minorHAnsi" w:eastAsiaTheme="minorEastAsia" w:hAnsiTheme="minorHAnsi" w:cstheme="minorBidi"/>
            <w:noProof/>
            <w:szCs w:val="22"/>
            <w:lang w:eastAsia="en-AU"/>
          </w:rPr>
          <w:tab/>
        </w:r>
        <w:r w:rsidR="001D02F0" w:rsidRPr="009F5174">
          <w:rPr>
            <w:rStyle w:val="Hyperlink"/>
            <w:noProof/>
          </w:rPr>
          <w:t>Market management</w:t>
        </w:r>
        <w:r w:rsidR="001D02F0">
          <w:rPr>
            <w:noProof/>
            <w:webHidden/>
          </w:rPr>
          <w:tab/>
        </w:r>
        <w:r w:rsidR="001D02F0">
          <w:rPr>
            <w:noProof/>
            <w:webHidden/>
          </w:rPr>
          <w:fldChar w:fldCharType="begin"/>
        </w:r>
        <w:r w:rsidR="001D02F0">
          <w:rPr>
            <w:noProof/>
            <w:webHidden/>
          </w:rPr>
          <w:instrText xml:space="preserve"> PAGEREF _Toc519689579 \h </w:instrText>
        </w:r>
        <w:r w:rsidR="001D02F0">
          <w:rPr>
            <w:noProof/>
            <w:webHidden/>
          </w:rPr>
        </w:r>
        <w:r w:rsidR="001D02F0">
          <w:rPr>
            <w:noProof/>
            <w:webHidden/>
          </w:rPr>
          <w:fldChar w:fldCharType="separate"/>
        </w:r>
        <w:r w:rsidR="00374AF2">
          <w:rPr>
            <w:noProof/>
            <w:webHidden/>
          </w:rPr>
          <w:t>32</w:t>
        </w:r>
        <w:r w:rsidR="001D02F0">
          <w:rPr>
            <w:noProof/>
            <w:webHidden/>
          </w:rPr>
          <w:fldChar w:fldCharType="end"/>
        </w:r>
      </w:hyperlink>
    </w:p>
    <w:p w14:paraId="31E0300E"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80" w:history="1">
        <w:r w:rsidR="001D02F0" w:rsidRPr="009F5174">
          <w:rPr>
            <w:rStyle w:val="Hyperlink"/>
            <w:noProof/>
          </w:rPr>
          <w:t>3.5.1</w:t>
        </w:r>
        <w:r w:rsidR="001D02F0">
          <w:rPr>
            <w:rFonts w:asciiTheme="minorHAnsi" w:eastAsiaTheme="minorEastAsia" w:hAnsiTheme="minorHAnsi" w:cstheme="minorBidi"/>
            <w:noProof/>
            <w:szCs w:val="22"/>
            <w:lang w:eastAsia="en-AU"/>
          </w:rPr>
          <w:tab/>
        </w:r>
        <w:r w:rsidR="001D02F0" w:rsidRPr="009F5174">
          <w:rPr>
            <w:rStyle w:val="Hyperlink"/>
            <w:noProof/>
          </w:rPr>
          <w:t>Context for market management</w:t>
        </w:r>
        <w:r w:rsidR="001D02F0">
          <w:rPr>
            <w:noProof/>
            <w:webHidden/>
          </w:rPr>
          <w:tab/>
        </w:r>
        <w:r w:rsidR="001D02F0">
          <w:rPr>
            <w:noProof/>
            <w:webHidden/>
          </w:rPr>
          <w:fldChar w:fldCharType="begin"/>
        </w:r>
        <w:r w:rsidR="001D02F0">
          <w:rPr>
            <w:noProof/>
            <w:webHidden/>
          </w:rPr>
          <w:instrText xml:space="preserve"> PAGEREF _Toc519689580 \h </w:instrText>
        </w:r>
        <w:r w:rsidR="001D02F0">
          <w:rPr>
            <w:noProof/>
            <w:webHidden/>
          </w:rPr>
        </w:r>
        <w:r w:rsidR="001D02F0">
          <w:rPr>
            <w:noProof/>
            <w:webHidden/>
          </w:rPr>
          <w:fldChar w:fldCharType="separate"/>
        </w:r>
        <w:r w:rsidR="00374AF2">
          <w:rPr>
            <w:noProof/>
            <w:webHidden/>
          </w:rPr>
          <w:t>32</w:t>
        </w:r>
        <w:r w:rsidR="001D02F0">
          <w:rPr>
            <w:noProof/>
            <w:webHidden/>
          </w:rPr>
          <w:fldChar w:fldCharType="end"/>
        </w:r>
      </w:hyperlink>
    </w:p>
    <w:p w14:paraId="00A05764"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81" w:history="1">
        <w:r w:rsidR="001D02F0" w:rsidRPr="009F5174">
          <w:rPr>
            <w:rStyle w:val="Hyperlink"/>
            <w:noProof/>
          </w:rPr>
          <w:t>3.5.2</w:t>
        </w:r>
        <w:r w:rsidR="001D02F0">
          <w:rPr>
            <w:rFonts w:asciiTheme="minorHAnsi" w:eastAsiaTheme="minorEastAsia" w:hAnsiTheme="minorHAnsi" w:cstheme="minorBidi"/>
            <w:noProof/>
            <w:szCs w:val="22"/>
            <w:lang w:eastAsia="en-AU"/>
          </w:rPr>
          <w:tab/>
        </w:r>
        <w:r w:rsidR="001D02F0" w:rsidRPr="009F5174">
          <w:rPr>
            <w:rStyle w:val="Hyperlink"/>
            <w:noProof/>
          </w:rPr>
          <w:t>Practical tips and skills for market management</w:t>
        </w:r>
        <w:r w:rsidR="001D02F0">
          <w:rPr>
            <w:noProof/>
            <w:webHidden/>
          </w:rPr>
          <w:tab/>
        </w:r>
        <w:r w:rsidR="001D02F0">
          <w:rPr>
            <w:noProof/>
            <w:webHidden/>
          </w:rPr>
          <w:fldChar w:fldCharType="begin"/>
        </w:r>
        <w:r w:rsidR="001D02F0">
          <w:rPr>
            <w:noProof/>
            <w:webHidden/>
          </w:rPr>
          <w:instrText xml:space="preserve"> PAGEREF _Toc519689581 \h </w:instrText>
        </w:r>
        <w:r w:rsidR="001D02F0">
          <w:rPr>
            <w:noProof/>
            <w:webHidden/>
          </w:rPr>
        </w:r>
        <w:r w:rsidR="001D02F0">
          <w:rPr>
            <w:noProof/>
            <w:webHidden/>
          </w:rPr>
          <w:fldChar w:fldCharType="separate"/>
        </w:r>
        <w:r w:rsidR="00374AF2">
          <w:rPr>
            <w:noProof/>
            <w:webHidden/>
          </w:rPr>
          <w:t>33</w:t>
        </w:r>
        <w:r w:rsidR="001D02F0">
          <w:rPr>
            <w:noProof/>
            <w:webHidden/>
          </w:rPr>
          <w:fldChar w:fldCharType="end"/>
        </w:r>
      </w:hyperlink>
    </w:p>
    <w:p w14:paraId="224543B0" w14:textId="77777777" w:rsidR="001D02F0" w:rsidRDefault="006128AA">
      <w:pPr>
        <w:pStyle w:val="TOC2"/>
        <w:tabs>
          <w:tab w:val="left" w:pos="880"/>
          <w:tab w:val="right" w:leader="dot" w:pos="9742"/>
        </w:tabs>
        <w:rPr>
          <w:rFonts w:asciiTheme="minorHAnsi" w:eastAsiaTheme="minorEastAsia" w:hAnsiTheme="minorHAnsi" w:cstheme="minorBidi"/>
          <w:noProof/>
          <w:szCs w:val="22"/>
          <w:lang w:eastAsia="en-AU"/>
        </w:rPr>
      </w:pPr>
      <w:hyperlink w:anchor="_Toc519689582" w:history="1">
        <w:r w:rsidR="001D02F0" w:rsidRPr="009F5174">
          <w:rPr>
            <w:rStyle w:val="Hyperlink"/>
            <w:noProof/>
          </w:rPr>
          <w:t>3.6</w:t>
        </w:r>
        <w:r w:rsidR="001D02F0">
          <w:rPr>
            <w:rFonts w:asciiTheme="minorHAnsi" w:eastAsiaTheme="minorEastAsia" w:hAnsiTheme="minorHAnsi" w:cstheme="minorBidi"/>
            <w:noProof/>
            <w:szCs w:val="22"/>
            <w:lang w:eastAsia="en-AU"/>
          </w:rPr>
          <w:tab/>
        </w:r>
        <w:r w:rsidR="001D02F0" w:rsidRPr="009F5174">
          <w:rPr>
            <w:rStyle w:val="Hyperlink"/>
            <w:noProof/>
          </w:rPr>
          <w:t>Organisational capability</w:t>
        </w:r>
        <w:r w:rsidR="001D02F0">
          <w:rPr>
            <w:noProof/>
            <w:webHidden/>
          </w:rPr>
          <w:tab/>
        </w:r>
        <w:r w:rsidR="001D02F0">
          <w:rPr>
            <w:noProof/>
            <w:webHidden/>
          </w:rPr>
          <w:fldChar w:fldCharType="begin"/>
        </w:r>
        <w:r w:rsidR="001D02F0">
          <w:rPr>
            <w:noProof/>
            <w:webHidden/>
          </w:rPr>
          <w:instrText xml:space="preserve"> PAGEREF _Toc519689582 \h </w:instrText>
        </w:r>
        <w:r w:rsidR="001D02F0">
          <w:rPr>
            <w:noProof/>
            <w:webHidden/>
          </w:rPr>
        </w:r>
        <w:r w:rsidR="001D02F0">
          <w:rPr>
            <w:noProof/>
            <w:webHidden/>
          </w:rPr>
          <w:fldChar w:fldCharType="separate"/>
        </w:r>
        <w:r w:rsidR="00374AF2">
          <w:rPr>
            <w:noProof/>
            <w:webHidden/>
          </w:rPr>
          <w:t>34</w:t>
        </w:r>
        <w:r w:rsidR="001D02F0">
          <w:rPr>
            <w:noProof/>
            <w:webHidden/>
          </w:rPr>
          <w:fldChar w:fldCharType="end"/>
        </w:r>
      </w:hyperlink>
    </w:p>
    <w:p w14:paraId="56427ECB"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83" w:history="1">
        <w:r w:rsidR="001D02F0" w:rsidRPr="009F5174">
          <w:rPr>
            <w:rStyle w:val="Hyperlink"/>
            <w:noProof/>
          </w:rPr>
          <w:t>3.6.1</w:t>
        </w:r>
        <w:r w:rsidR="001D02F0">
          <w:rPr>
            <w:rFonts w:asciiTheme="minorHAnsi" w:eastAsiaTheme="minorEastAsia" w:hAnsiTheme="minorHAnsi" w:cstheme="minorBidi"/>
            <w:noProof/>
            <w:szCs w:val="22"/>
            <w:lang w:eastAsia="en-AU"/>
          </w:rPr>
          <w:tab/>
        </w:r>
        <w:r w:rsidR="001D02F0" w:rsidRPr="009F5174">
          <w:rPr>
            <w:rStyle w:val="Hyperlink"/>
            <w:noProof/>
          </w:rPr>
          <w:t>Organisational capability context for PHNs:</w:t>
        </w:r>
        <w:r w:rsidR="001D02F0">
          <w:rPr>
            <w:noProof/>
            <w:webHidden/>
          </w:rPr>
          <w:tab/>
        </w:r>
        <w:r w:rsidR="001D02F0">
          <w:rPr>
            <w:noProof/>
            <w:webHidden/>
          </w:rPr>
          <w:fldChar w:fldCharType="begin"/>
        </w:r>
        <w:r w:rsidR="001D02F0">
          <w:rPr>
            <w:noProof/>
            <w:webHidden/>
          </w:rPr>
          <w:instrText xml:space="preserve"> PAGEREF _Toc519689583 \h </w:instrText>
        </w:r>
        <w:r w:rsidR="001D02F0">
          <w:rPr>
            <w:noProof/>
            <w:webHidden/>
          </w:rPr>
        </w:r>
        <w:r w:rsidR="001D02F0">
          <w:rPr>
            <w:noProof/>
            <w:webHidden/>
          </w:rPr>
          <w:fldChar w:fldCharType="separate"/>
        </w:r>
        <w:r w:rsidR="00374AF2">
          <w:rPr>
            <w:noProof/>
            <w:webHidden/>
          </w:rPr>
          <w:t>34</w:t>
        </w:r>
        <w:r w:rsidR="001D02F0">
          <w:rPr>
            <w:noProof/>
            <w:webHidden/>
          </w:rPr>
          <w:fldChar w:fldCharType="end"/>
        </w:r>
      </w:hyperlink>
    </w:p>
    <w:p w14:paraId="50071E81"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84" w:history="1">
        <w:r w:rsidR="001D02F0" w:rsidRPr="009F5174">
          <w:rPr>
            <w:rStyle w:val="Hyperlink"/>
            <w:noProof/>
          </w:rPr>
          <w:t>3.6.2</w:t>
        </w:r>
        <w:r w:rsidR="001D02F0">
          <w:rPr>
            <w:rFonts w:asciiTheme="minorHAnsi" w:eastAsiaTheme="minorEastAsia" w:hAnsiTheme="minorHAnsi" w:cstheme="minorBidi"/>
            <w:noProof/>
            <w:szCs w:val="22"/>
            <w:lang w:eastAsia="en-AU"/>
          </w:rPr>
          <w:tab/>
        </w:r>
        <w:r w:rsidR="001D02F0" w:rsidRPr="009F5174">
          <w:rPr>
            <w:rStyle w:val="Hyperlink"/>
            <w:noProof/>
          </w:rPr>
          <w:t>Considerations for building the organisational capability:</w:t>
        </w:r>
        <w:r w:rsidR="001D02F0">
          <w:rPr>
            <w:noProof/>
            <w:webHidden/>
          </w:rPr>
          <w:tab/>
        </w:r>
        <w:r w:rsidR="001D02F0">
          <w:rPr>
            <w:noProof/>
            <w:webHidden/>
          </w:rPr>
          <w:fldChar w:fldCharType="begin"/>
        </w:r>
        <w:r w:rsidR="001D02F0">
          <w:rPr>
            <w:noProof/>
            <w:webHidden/>
          </w:rPr>
          <w:instrText xml:space="preserve"> PAGEREF _Toc519689584 \h </w:instrText>
        </w:r>
        <w:r w:rsidR="001D02F0">
          <w:rPr>
            <w:noProof/>
            <w:webHidden/>
          </w:rPr>
        </w:r>
        <w:r w:rsidR="001D02F0">
          <w:rPr>
            <w:noProof/>
            <w:webHidden/>
          </w:rPr>
          <w:fldChar w:fldCharType="separate"/>
        </w:r>
        <w:r w:rsidR="00374AF2">
          <w:rPr>
            <w:noProof/>
            <w:webHidden/>
          </w:rPr>
          <w:t>34</w:t>
        </w:r>
        <w:r w:rsidR="001D02F0">
          <w:rPr>
            <w:noProof/>
            <w:webHidden/>
          </w:rPr>
          <w:fldChar w:fldCharType="end"/>
        </w:r>
      </w:hyperlink>
    </w:p>
    <w:p w14:paraId="3C2A1A8C" w14:textId="77777777" w:rsidR="001D02F0" w:rsidRDefault="006128AA">
      <w:pPr>
        <w:pStyle w:val="TOC3"/>
        <w:tabs>
          <w:tab w:val="left" w:pos="1320"/>
          <w:tab w:val="right" w:leader="dot" w:pos="9742"/>
        </w:tabs>
        <w:rPr>
          <w:rFonts w:asciiTheme="minorHAnsi" w:eastAsiaTheme="minorEastAsia" w:hAnsiTheme="minorHAnsi" w:cstheme="minorBidi"/>
          <w:noProof/>
          <w:szCs w:val="22"/>
          <w:lang w:eastAsia="en-AU"/>
        </w:rPr>
      </w:pPr>
      <w:hyperlink w:anchor="_Toc519689585" w:history="1">
        <w:r w:rsidR="001D02F0" w:rsidRPr="009F5174">
          <w:rPr>
            <w:rStyle w:val="Hyperlink"/>
            <w:noProof/>
          </w:rPr>
          <w:t>3.6.3</w:t>
        </w:r>
        <w:r w:rsidR="001D02F0">
          <w:rPr>
            <w:rFonts w:asciiTheme="minorHAnsi" w:eastAsiaTheme="minorEastAsia" w:hAnsiTheme="minorHAnsi" w:cstheme="minorBidi"/>
            <w:noProof/>
            <w:szCs w:val="22"/>
            <w:lang w:eastAsia="en-AU"/>
          </w:rPr>
          <w:tab/>
        </w:r>
        <w:r w:rsidR="001D02F0" w:rsidRPr="009F5174">
          <w:rPr>
            <w:rStyle w:val="Hyperlink"/>
            <w:noProof/>
          </w:rPr>
          <w:t>Practical tips and skills for organisational capability</w:t>
        </w:r>
        <w:r w:rsidR="001D02F0">
          <w:rPr>
            <w:noProof/>
            <w:webHidden/>
          </w:rPr>
          <w:tab/>
        </w:r>
        <w:r w:rsidR="001D02F0">
          <w:rPr>
            <w:noProof/>
            <w:webHidden/>
          </w:rPr>
          <w:fldChar w:fldCharType="begin"/>
        </w:r>
        <w:r w:rsidR="001D02F0">
          <w:rPr>
            <w:noProof/>
            <w:webHidden/>
          </w:rPr>
          <w:instrText xml:space="preserve"> PAGEREF _Toc519689585 \h </w:instrText>
        </w:r>
        <w:r w:rsidR="001D02F0">
          <w:rPr>
            <w:noProof/>
            <w:webHidden/>
          </w:rPr>
        </w:r>
        <w:r w:rsidR="001D02F0">
          <w:rPr>
            <w:noProof/>
            <w:webHidden/>
          </w:rPr>
          <w:fldChar w:fldCharType="separate"/>
        </w:r>
        <w:r w:rsidR="00374AF2">
          <w:rPr>
            <w:noProof/>
            <w:webHidden/>
          </w:rPr>
          <w:t>37</w:t>
        </w:r>
        <w:r w:rsidR="001D02F0">
          <w:rPr>
            <w:noProof/>
            <w:webHidden/>
          </w:rPr>
          <w:fldChar w:fldCharType="end"/>
        </w:r>
      </w:hyperlink>
    </w:p>
    <w:p w14:paraId="0635262A" w14:textId="383AA642" w:rsidR="00D63014" w:rsidRPr="003D5106" w:rsidRDefault="007F61DF" w:rsidP="00554533">
      <w:r>
        <w:rPr>
          <w:color w:val="003D69"/>
          <w:sz w:val="24"/>
        </w:rPr>
        <w:fldChar w:fldCharType="end"/>
      </w:r>
      <w:r w:rsidR="00D63014" w:rsidRPr="003D5106">
        <w:br w:type="page"/>
      </w:r>
    </w:p>
    <w:p w14:paraId="17141590" w14:textId="0D70F1B7" w:rsidR="009C5804" w:rsidRPr="00DB6D7F" w:rsidRDefault="00564821" w:rsidP="00201ACB">
      <w:pPr>
        <w:tabs>
          <w:tab w:val="right" w:pos="9639"/>
        </w:tabs>
        <w:rPr>
          <w:b/>
          <w:color w:val="1F497D" w:themeColor="text2"/>
        </w:rPr>
      </w:pPr>
      <w:r w:rsidRPr="00736B90">
        <w:lastRenderedPageBreak/>
        <w:tab/>
      </w:r>
    </w:p>
    <w:p w14:paraId="168DC757" w14:textId="03CB90B6" w:rsidR="00D63014" w:rsidRPr="00A43C00" w:rsidRDefault="00BC71AB" w:rsidP="00201ACB">
      <w:pPr>
        <w:pStyle w:val="SectionHeading"/>
      </w:pPr>
      <w:bookmarkStart w:id="6" w:name="_Toc519689544"/>
      <w:r w:rsidRPr="00736B90">
        <w:t xml:space="preserve">List </w:t>
      </w:r>
      <w:r w:rsidR="00D63014" w:rsidRPr="00736B90">
        <w:t xml:space="preserve">of </w:t>
      </w:r>
      <w:r w:rsidR="00710429" w:rsidRPr="00736B90">
        <w:t>f</w:t>
      </w:r>
      <w:r w:rsidR="00D63014" w:rsidRPr="00736B90">
        <w:t>igures</w:t>
      </w:r>
      <w:bookmarkEnd w:id="6"/>
    </w:p>
    <w:p w14:paraId="535177F3" w14:textId="4E1326DF" w:rsidR="00D97FAF" w:rsidRDefault="007625F1">
      <w:pPr>
        <w:pStyle w:val="TableofFigures"/>
        <w:tabs>
          <w:tab w:val="right" w:leader="dot" w:pos="9742"/>
        </w:tabs>
        <w:rPr>
          <w:rFonts w:asciiTheme="minorHAnsi" w:eastAsiaTheme="minorEastAsia" w:hAnsiTheme="minorHAnsi" w:cstheme="minorBidi"/>
          <w:noProof/>
          <w:szCs w:val="22"/>
          <w:lang w:val="en-US"/>
        </w:rPr>
      </w:pPr>
      <w:r w:rsidRPr="00A43C00">
        <w:rPr>
          <w:color w:val="004274"/>
          <w:sz w:val="24"/>
        </w:rPr>
        <w:fldChar w:fldCharType="begin"/>
      </w:r>
      <w:r w:rsidRPr="00A43C00">
        <w:instrText xml:space="preserve"> TOC \h \z \c "Figure" </w:instrText>
      </w:r>
      <w:r w:rsidRPr="00A43C00">
        <w:rPr>
          <w:color w:val="004274"/>
          <w:sz w:val="24"/>
        </w:rPr>
        <w:fldChar w:fldCharType="separate"/>
      </w:r>
      <w:hyperlink w:anchor="_Toc516150685" w:history="1">
        <w:r w:rsidR="00D97FAF" w:rsidRPr="000A3AA3">
          <w:rPr>
            <w:rStyle w:val="Hyperlink"/>
            <w:noProof/>
          </w:rPr>
          <w:t>Figure 1: Key commissioning competencies</w:t>
        </w:r>
        <w:r w:rsidR="00D97FAF">
          <w:rPr>
            <w:noProof/>
            <w:webHidden/>
          </w:rPr>
          <w:tab/>
        </w:r>
        <w:r w:rsidR="00D97FAF">
          <w:rPr>
            <w:noProof/>
            <w:webHidden/>
          </w:rPr>
          <w:fldChar w:fldCharType="begin"/>
        </w:r>
        <w:r w:rsidR="00D97FAF">
          <w:rPr>
            <w:noProof/>
            <w:webHidden/>
          </w:rPr>
          <w:instrText xml:space="preserve"> PAGEREF _Toc516150685 \h </w:instrText>
        </w:r>
        <w:r w:rsidR="00D97FAF">
          <w:rPr>
            <w:noProof/>
            <w:webHidden/>
          </w:rPr>
        </w:r>
        <w:r w:rsidR="00D97FAF">
          <w:rPr>
            <w:noProof/>
            <w:webHidden/>
          </w:rPr>
          <w:fldChar w:fldCharType="separate"/>
        </w:r>
        <w:r w:rsidR="00374AF2">
          <w:rPr>
            <w:noProof/>
            <w:webHidden/>
          </w:rPr>
          <w:t>12</w:t>
        </w:r>
        <w:r w:rsidR="00D97FAF">
          <w:rPr>
            <w:noProof/>
            <w:webHidden/>
          </w:rPr>
          <w:fldChar w:fldCharType="end"/>
        </w:r>
      </w:hyperlink>
    </w:p>
    <w:p w14:paraId="1EE0558F" w14:textId="40AD4C36" w:rsidR="003D5106" w:rsidRDefault="007625F1" w:rsidP="003D5106">
      <w:pPr>
        <w:pStyle w:val="TOC1"/>
      </w:pPr>
      <w:r w:rsidRPr="00A43C00">
        <w:fldChar w:fldCharType="end"/>
      </w:r>
    </w:p>
    <w:p w14:paraId="009A1BCE" w14:textId="0AA56791" w:rsidR="00F01D83" w:rsidRPr="00DB6D7F" w:rsidRDefault="00BC71AB" w:rsidP="00201ACB">
      <w:pPr>
        <w:pStyle w:val="SectionHeading"/>
      </w:pPr>
      <w:bookmarkStart w:id="7" w:name="_Toc519689545"/>
      <w:r w:rsidRPr="00DB6D7F">
        <w:t xml:space="preserve">List of </w:t>
      </w:r>
      <w:r w:rsidR="00710429" w:rsidRPr="00DB6D7F">
        <w:t>t</w:t>
      </w:r>
      <w:r w:rsidRPr="00DB6D7F">
        <w:t>ables</w:t>
      </w:r>
      <w:bookmarkEnd w:id="7"/>
    </w:p>
    <w:p w14:paraId="49B8A8F8" w14:textId="64FDFC41" w:rsidR="00D97FAF" w:rsidRDefault="007625F1">
      <w:pPr>
        <w:pStyle w:val="TableofFigures"/>
        <w:tabs>
          <w:tab w:val="right" w:leader="dot" w:pos="9742"/>
        </w:tabs>
        <w:rPr>
          <w:rFonts w:asciiTheme="minorHAnsi" w:eastAsiaTheme="minorEastAsia" w:hAnsiTheme="minorHAnsi" w:cstheme="minorBidi"/>
          <w:noProof/>
          <w:szCs w:val="22"/>
          <w:lang w:val="en-US"/>
        </w:rPr>
      </w:pPr>
      <w:r w:rsidRPr="00CF2ABE">
        <w:fldChar w:fldCharType="begin"/>
      </w:r>
      <w:r w:rsidRPr="00CF2ABE">
        <w:instrText xml:space="preserve"> TOC \h \z \c "Table" </w:instrText>
      </w:r>
      <w:r w:rsidRPr="00CF2ABE">
        <w:fldChar w:fldCharType="separate"/>
      </w:r>
      <w:hyperlink w:anchor="_Toc516150686" w:history="1">
        <w:r w:rsidR="00D97FAF" w:rsidRPr="00D90339">
          <w:rPr>
            <w:rStyle w:val="Hyperlink"/>
            <w:noProof/>
          </w:rPr>
          <w:t>Table 1: Aspects of ‘Capable organisations’</w:t>
        </w:r>
        <w:r w:rsidR="00D97FAF">
          <w:rPr>
            <w:noProof/>
            <w:webHidden/>
          </w:rPr>
          <w:tab/>
        </w:r>
        <w:r w:rsidR="00D97FAF">
          <w:rPr>
            <w:noProof/>
            <w:webHidden/>
          </w:rPr>
          <w:fldChar w:fldCharType="begin"/>
        </w:r>
        <w:r w:rsidR="00D97FAF">
          <w:rPr>
            <w:noProof/>
            <w:webHidden/>
          </w:rPr>
          <w:instrText xml:space="preserve"> PAGEREF _Toc516150686 \h </w:instrText>
        </w:r>
        <w:r w:rsidR="00D97FAF">
          <w:rPr>
            <w:noProof/>
            <w:webHidden/>
          </w:rPr>
        </w:r>
        <w:r w:rsidR="00D97FAF">
          <w:rPr>
            <w:noProof/>
            <w:webHidden/>
          </w:rPr>
          <w:fldChar w:fldCharType="separate"/>
        </w:r>
        <w:r w:rsidR="00374AF2">
          <w:rPr>
            <w:noProof/>
            <w:webHidden/>
          </w:rPr>
          <w:t>9</w:t>
        </w:r>
        <w:r w:rsidR="00D97FAF">
          <w:rPr>
            <w:noProof/>
            <w:webHidden/>
          </w:rPr>
          <w:fldChar w:fldCharType="end"/>
        </w:r>
      </w:hyperlink>
    </w:p>
    <w:p w14:paraId="4C37093C" w14:textId="1C263DAA" w:rsidR="00D97FAF" w:rsidRDefault="006128AA">
      <w:pPr>
        <w:pStyle w:val="TableofFigures"/>
        <w:tabs>
          <w:tab w:val="right" w:leader="dot" w:pos="9742"/>
        </w:tabs>
        <w:rPr>
          <w:rFonts w:asciiTheme="minorHAnsi" w:eastAsiaTheme="minorEastAsia" w:hAnsiTheme="minorHAnsi" w:cstheme="minorBidi"/>
          <w:noProof/>
          <w:szCs w:val="22"/>
          <w:lang w:val="en-US"/>
        </w:rPr>
      </w:pPr>
      <w:hyperlink w:anchor="_Toc516150687" w:history="1">
        <w:r w:rsidR="00D97FAF" w:rsidRPr="00D90339">
          <w:rPr>
            <w:rStyle w:val="Hyperlink"/>
            <w:noProof/>
          </w:rPr>
          <w:t>Table 2: Key shifts in mindset for PHNs and their market</w:t>
        </w:r>
        <w:r w:rsidR="00D97FAF">
          <w:rPr>
            <w:noProof/>
            <w:webHidden/>
          </w:rPr>
          <w:tab/>
        </w:r>
        <w:r w:rsidR="00D97FAF">
          <w:rPr>
            <w:noProof/>
            <w:webHidden/>
          </w:rPr>
          <w:fldChar w:fldCharType="begin"/>
        </w:r>
        <w:r w:rsidR="00D97FAF">
          <w:rPr>
            <w:noProof/>
            <w:webHidden/>
          </w:rPr>
          <w:instrText xml:space="preserve"> PAGEREF _Toc516150687 \h </w:instrText>
        </w:r>
        <w:r w:rsidR="00D97FAF">
          <w:rPr>
            <w:noProof/>
            <w:webHidden/>
          </w:rPr>
        </w:r>
        <w:r w:rsidR="00D97FAF">
          <w:rPr>
            <w:noProof/>
            <w:webHidden/>
          </w:rPr>
          <w:fldChar w:fldCharType="separate"/>
        </w:r>
        <w:r w:rsidR="00374AF2">
          <w:rPr>
            <w:noProof/>
            <w:webHidden/>
          </w:rPr>
          <w:t>10</w:t>
        </w:r>
        <w:r w:rsidR="00D97FAF">
          <w:rPr>
            <w:noProof/>
            <w:webHidden/>
          </w:rPr>
          <w:fldChar w:fldCharType="end"/>
        </w:r>
      </w:hyperlink>
    </w:p>
    <w:p w14:paraId="766A2626" w14:textId="5251F4B4" w:rsidR="00D97FAF" w:rsidRDefault="006128AA">
      <w:pPr>
        <w:pStyle w:val="TableofFigures"/>
        <w:tabs>
          <w:tab w:val="right" w:leader="dot" w:pos="9742"/>
        </w:tabs>
        <w:rPr>
          <w:rFonts w:asciiTheme="minorHAnsi" w:eastAsiaTheme="minorEastAsia" w:hAnsiTheme="minorHAnsi" w:cstheme="minorBidi"/>
          <w:noProof/>
          <w:szCs w:val="22"/>
          <w:lang w:val="en-US"/>
        </w:rPr>
      </w:pPr>
      <w:hyperlink w:anchor="_Toc516150688" w:history="1">
        <w:r w:rsidR="00D97FAF" w:rsidRPr="00D90339">
          <w:rPr>
            <w:rStyle w:val="Hyperlink"/>
            <w:noProof/>
          </w:rPr>
          <w:t>Table 3: Practical tips and skills for leadership</w:t>
        </w:r>
        <w:r w:rsidR="00D97FAF">
          <w:rPr>
            <w:noProof/>
            <w:webHidden/>
          </w:rPr>
          <w:tab/>
        </w:r>
        <w:r w:rsidR="00D97FAF">
          <w:rPr>
            <w:noProof/>
            <w:webHidden/>
          </w:rPr>
          <w:fldChar w:fldCharType="begin"/>
        </w:r>
        <w:r w:rsidR="00D97FAF">
          <w:rPr>
            <w:noProof/>
            <w:webHidden/>
          </w:rPr>
          <w:instrText xml:space="preserve"> PAGEREF _Toc516150688 \h </w:instrText>
        </w:r>
        <w:r w:rsidR="00D97FAF">
          <w:rPr>
            <w:noProof/>
            <w:webHidden/>
          </w:rPr>
        </w:r>
        <w:r w:rsidR="00D97FAF">
          <w:rPr>
            <w:noProof/>
            <w:webHidden/>
          </w:rPr>
          <w:fldChar w:fldCharType="separate"/>
        </w:r>
        <w:r w:rsidR="00374AF2">
          <w:rPr>
            <w:noProof/>
            <w:webHidden/>
          </w:rPr>
          <w:t>16</w:t>
        </w:r>
        <w:r w:rsidR="00D97FAF">
          <w:rPr>
            <w:noProof/>
            <w:webHidden/>
          </w:rPr>
          <w:fldChar w:fldCharType="end"/>
        </w:r>
      </w:hyperlink>
    </w:p>
    <w:p w14:paraId="61467A76" w14:textId="2D258C10" w:rsidR="00D97FAF" w:rsidRDefault="006128AA">
      <w:pPr>
        <w:pStyle w:val="TableofFigures"/>
        <w:tabs>
          <w:tab w:val="right" w:leader="dot" w:pos="9742"/>
        </w:tabs>
        <w:rPr>
          <w:rFonts w:asciiTheme="minorHAnsi" w:eastAsiaTheme="minorEastAsia" w:hAnsiTheme="minorHAnsi" w:cstheme="minorBidi"/>
          <w:noProof/>
          <w:szCs w:val="22"/>
          <w:lang w:val="en-US"/>
        </w:rPr>
      </w:pPr>
      <w:hyperlink w:anchor="_Toc516150689" w:history="1">
        <w:r w:rsidR="00D97FAF" w:rsidRPr="00D90339">
          <w:rPr>
            <w:rStyle w:val="Hyperlink"/>
            <w:noProof/>
          </w:rPr>
          <w:t>Table 4: Levers available to PHNs in leading change</w:t>
        </w:r>
        <w:r w:rsidR="00D97FAF">
          <w:rPr>
            <w:noProof/>
            <w:webHidden/>
          </w:rPr>
          <w:tab/>
        </w:r>
        <w:r w:rsidR="00D97FAF">
          <w:rPr>
            <w:noProof/>
            <w:webHidden/>
          </w:rPr>
          <w:fldChar w:fldCharType="begin"/>
        </w:r>
        <w:r w:rsidR="00D97FAF">
          <w:rPr>
            <w:noProof/>
            <w:webHidden/>
          </w:rPr>
          <w:instrText xml:space="preserve"> PAGEREF _Toc516150689 \h </w:instrText>
        </w:r>
        <w:r w:rsidR="00D97FAF">
          <w:rPr>
            <w:noProof/>
            <w:webHidden/>
          </w:rPr>
        </w:r>
        <w:r w:rsidR="00D97FAF">
          <w:rPr>
            <w:noProof/>
            <w:webHidden/>
          </w:rPr>
          <w:fldChar w:fldCharType="separate"/>
        </w:r>
        <w:r w:rsidR="00374AF2">
          <w:rPr>
            <w:noProof/>
            <w:webHidden/>
          </w:rPr>
          <w:t>18</w:t>
        </w:r>
        <w:r w:rsidR="00D97FAF">
          <w:rPr>
            <w:noProof/>
            <w:webHidden/>
          </w:rPr>
          <w:fldChar w:fldCharType="end"/>
        </w:r>
      </w:hyperlink>
    </w:p>
    <w:p w14:paraId="67D4E80B" w14:textId="147B0028" w:rsidR="00D97FAF" w:rsidRDefault="006128AA">
      <w:pPr>
        <w:pStyle w:val="TableofFigures"/>
        <w:tabs>
          <w:tab w:val="right" w:leader="dot" w:pos="9742"/>
        </w:tabs>
        <w:rPr>
          <w:rFonts w:asciiTheme="minorHAnsi" w:eastAsiaTheme="minorEastAsia" w:hAnsiTheme="minorHAnsi" w:cstheme="minorBidi"/>
          <w:noProof/>
          <w:szCs w:val="22"/>
          <w:lang w:val="en-US"/>
        </w:rPr>
      </w:pPr>
      <w:hyperlink w:anchor="_Toc516150690" w:history="1">
        <w:r w:rsidR="00D97FAF" w:rsidRPr="00D90339">
          <w:rPr>
            <w:rStyle w:val="Hyperlink"/>
            <w:noProof/>
          </w:rPr>
          <w:t>Table 5: Practical tips and skills for change management</w:t>
        </w:r>
        <w:r w:rsidR="00D97FAF">
          <w:rPr>
            <w:noProof/>
            <w:webHidden/>
          </w:rPr>
          <w:tab/>
        </w:r>
        <w:r w:rsidR="00D97FAF">
          <w:rPr>
            <w:noProof/>
            <w:webHidden/>
          </w:rPr>
          <w:fldChar w:fldCharType="begin"/>
        </w:r>
        <w:r w:rsidR="00D97FAF">
          <w:rPr>
            <w:noProof/>
            <w:webHidden/>
          </w:rPr>
          <w:instrText xml:space="preserve"> PAGEREF _Toc516150690 \h </w:instrText>
        </w:r>
        <w:r w:rsidR="00D97FAF">
          <w:rPr>
            <w:noProof/>
            <w:webHidden/>
          </w:rPr>
        </w:r>
        <w:r w:rsidR="00D97FAF">
          <w:rPr>
            <w:noProof/>
            <w:webHidden/>
          </w:rPr>
          <w:fldChar w:fldCharType="separate"/>
        </w:r>
        <w:r w:rsidR="00374AF2">
          <w:rPr>
            <w:noProof/>
            <w:webHidden/>
          </w:rPr>
          <w:t>20</w:t>
        </w:r>
        <w:r w:rsidR="00D97FAF">
          <w:rPr>
            <w:noProof/>
            <w:webHidden/>
          </w:rPr>
          <w:fldChar w:fldCharType="end"/>
        </w:r>
      </w:hyperlink>
    </w:p>
    <w:p w14:paraId="6DD6CC67" w14:textId="4DC1B6CD" w:rsidR="00D97FAF" w:rsidRDefault="006128AA">
      <w:pPr>
        <w:pStyle w:val="TableofFigures"/>
        <w:tabs>
          <w:tab w:val="right" w:leader="dot" w:pos="9742"/>
        </w:tabs>
        <w:rPr>
          <w:rFonts w:asciiTheme="minorHAnsi" w:eastAsiaTheme="minorEastAsia" w:hAnsiTheme="minorHAnsi" w:cstheme="minorBidi"/>
          <w:noProof/>
          <w:szCs w:val="22"/>
          <w:lang w:val="en-US"/>
        </w:rPr>
      </w:pPr>
      <w:hyperlink w:anchor="_Toc516150691" w:history="1">
        <w:r w:rsidR="00D97FAF" w:rsidRPr="00D90339">
          <w:rPr>
            <w:rStyle w:val="Hyperlink"/>
            <w:noProof/>
          </w:rPr>
          <w:t>Table 6: Practical tips and skills for co-design and community engagement</w:t>
        </w:r>
        <w:r w:rsidR="00D97FAF">
          <w:rPr>
            <w:noProof/>
            <w:webHidden/>
          </w:rPr>
          <w:tab/>
        </w:r>
        <w:r w:rsidR="00D97FAF">
          <w:rPr>
            <w:noProof/>
            <w:webHidden/>
          </w:rPr>
          <w:fldChar w:fldCharType="begin"/>
        </w:r>
        <w:r w:rsidR="00D97FAF">
          <w:rPr>
            <w:noProof/>
            <w:webHidden/>
          </w:rPr>
          <w:instrText xml:space="preserve"> PAGEREF _Toc516150691 \h </w:instrText>
        </w:r>
        <w:r w:rsidR="00D97FAF">
          <w:rPr>
            <w:noProof/>
            <w:webHidden/>
          </w:rPr>
        </w:r>
        <w:r w:rsidR="00D97FAF">
          <w:rPr>
            <w:noProof/>
            <w:webHidden/>
          </w:rPr>
          <w:fldChar w:fldCharType="separate"/>
        </w:r>
        <w:r w:rsidR="00374AF2">
          <w:rPr>
            <w:noProof/>
            <w:webHidden/>
          </w:rPr>
          <w:t>25</w:t>
        </w:r>
        <w:r w:rsidR="00D97FAF">
          <w:rPr>
            <w:noProof/>
            <w:webHidden/>
          </w:rPr>
          <w:fldChar w:fldCharType="end"/>
        </w:r>
      </w:hyperlink>
    </w:p>
    <w:p w14:paraId="646C8686" w14:textId="1B8EC020" w:rsidR="00D97FAF" w:rsidRDefault="006128AA">
      <w:pPr>
        <w:pStyle w:val="TableofFigures"/>
        <w:tabs>
          <w:tab w:val="right" w:leader="dot" w:pos="9742"/>
        </w:tabs>
        <w:rPr>
          <w:rFonts w:asciiTheme="minorHAnsi" w:eastAsiaTheme="minorEastAsia" w:hAnsiTheme="minorHAnsi" w:cstheme="minorBidi"/>
          <w:noProof/>
          <w:szCs w:val="22"/>
          <w:lang w:val="en-US"/>
        </w:rPr>
      </w:pPr>
      <w:hyperlink w:anchor="_Toc516150692" w:history="1">
        <w:r w:rsidR="00D97FAF" w:rsidRPr="00D90339">
          <w:rPr>
            <w:rStyle w:val="Hyperlink"/>
            <w:noProof/>
          </w:rPr>
          <w:t>Table 7: Practical tips and skills for population health</w:t>
        </w:r>
        <w:r w:rsidR="00D97FAF">
          <w:rPr>
            <w:noProof/>
            <w:webHidden/>
          </w:rPr>
          <w:tab/>
        </w:r>
        <w:r w:rsidR="00D97FAF">
          <w:rPr>
            <w:noProof/>
            <w:webHidden/>
          </w:rPr>
          <w:fldChar w:fldCharType="begin"/>
        </w:r>
        <w:r w:rsidR="00D97FAF">
          <w:rPr>
            <w:noProof/>
            <w:webHidden/>
          </w:rPr>
          <w:instrText xml:space="preserve"> PAGEREF _Toc516150692 \h </w:instrText>
        </w:r>
        <w:r w:rsidR="00D97FAF">
          <w:rPr>
            <w:noProof/>
            <w:webHidden/>
          </w:rPr>
        </w:r>
        <w:r w:rsidR="00D97FAF">
          <w:rPr>
            <w:noProof/>
            <w:webHidden/>
          </w:rPr>
          <w:fldChar w:fldCharType="separate"/>
        </w:r>
        <w:r w:rsidR="00374AF2">
          <w:rPr>
            <w:noProof/>
            <w:webHidden/>
          </w:rPr>
          <w:t>27</w:t>
        </w:r>
        <w:r w:rsidR="00D97FAF">
          <w:rPr>
            <w:noProof/>
            <w:webHidden/>
          </w:rPr>
          <w:fldChar w:fldCharType="end"/>
        </w:r>
      </w:hyperlink>
    </w:p>
    <w:p w14:paraId="3271AD4E" w14:textId="4E6D4372" w:rsidR="00D97FAF" w:rsidRDefault="006128AA">
      <w:pPr>
        <w:pStyle w:val="TableofFigures"/>
        <w:tabs>
          <w:tab w:val="right" w:leader="dot" w:pos="9742"/>
        </w:tabs>
        <w:rPr>
          <w:rFonts w:asciiTheme="minorHAnsi" w:eastAsiaTheme="minorEastAsia" w:hAnsiTheme="minorHAnsi" w:cstheme="minorBidi"/>
          <w:noProof/>
          <w:szCs w:val="22"/>
          <w:lang w:val="en-US"/>
        </w:rPr>
      </w:pPr>
      <w:hyperlink w:anchor="_Toc516150693" w:history="1">
        <w:r w:rsidR="00D97FAF" w:rsidRPr="00D90339">
          <w:rPr>
            <w:rStyle w:val="Hyperlink"/>
            <w:noProof/>
          </w:rPr>
          <w:t>Table 8: Practical tips and skills for collaborative arrangements</w:t>
        </w:r>
        <w:r w:rsidR="00D97FAF">
          <w:rPr>
            <w:noProof/>
            <w:webHidden/>
          </w:rPr>
          <w:tab/>
        </w:r>
        <w:r w:rsidR="00D97FAF">
          <w:rPr>
            <w:noProof/>
            <w:webHidden/>
          </w:rPr>
          <w:fldChar w:fldCharType="begin"/>
        </w:r>
        <w:r w:rsidR="00D97FAF">
          <w:rPr>
            <w:noProof/>
            <w:webHidden/>
          </w:rPr>
          <w:instrText xml:space="preserve"> PAGEREF _Toc516150693 \h </w:instrText>
        </w:r>
        <w:r w:rsidR="00D97FAF">
          <w:rPr>
            <w:noProof/>
            <w:webHidden/>
          </w:rPr>
        </w:r>
        <w:r w:rsidR="00D97FAF">
          <w:rPr>
            <w:noProof/>
            <w:webHidden/>
          </w:rPr>
          <w:fldChar w:fldCharType="separate"/>
        </w:r>
        <w:r w:rsidR="00374AF2">
          <w:rPr>
            <w:noProof/>
            <w:webHidden/>
          </w:rPr>
          <w:t>31</w:t>
        </w:r>
        <w:r w:rsidR="00D97FAF">
          <w:rPr>
            <w:noProof/>
            <w:webHidden/>
          </w:rPr>
          <w:fldChar w:fldCharType="end"/>
        </w:r>
      </w:hyperlink>
    </w:p>
    <w:p w14:paraId="4E124F05" w14:textId="50C1529E" w:rsidR="00D97FAF" w:rsidRDefault="006128AA">
      <w:pPr>
        <w:pStyle w:val="TableofFigures"/>
        <w:tabs>
          <w:tab w:val="right" w:leader="dot" w:pos="9742"/>
        </w:tabs>
        <w:rPr>
          <w:rFonts w:asciiTheme="minorHAnsi" w:eastAsiaTheme="minorEastAsia" w:hAnsiTheme="minorHAnsi" w:cstheme="minorBidi"/>
          <w:noProof/>
          <w:szCs w:val="22"/>
          <w:lang w:val="en-US"/>
        </w:rPr>
      </w:pPr>
      <w:hyperlink w:anchor="_Toc516150694" w:history="1">
        <w:r w:rsidR="00D97FAF" w:rsidRPr="00D90339">
          <w:rPr>
            <w:rStyle w:val="Hyperlink"/>
            <w:noProof/>
          </w:rPr>
          <w:t>Table 9: Practical tips and skills for market management</w:t>
        </w:r>
        <w:r w:rsidR="00D97FAF">
          <w:rPr>
            <w:noProof/>
            <w:webHidden/>
          </w:rPr>
          <w:tab/>
        </w:r>
        <w:r w:rsidR="00D97FAF">
          <w:rPr>
            <w:noProof/>
            <w:webHidden/>
          </w:rPr>
          <w:fldChar w:fldCharType="begin"/>
        </w:r>
        <w:r w:rsidR="00D97FAF">
          <w:rPr>
            <w:noProof/>
            <w:webHidden/>
          </w:rPr>
          <w:instrText xml:space="preserve"> PAGEREF _Toc516150694 \h </w:instrText>
        </w:r>
        <w:r w:rsidR="00D97FAF">
          <w:rPr>
            <w:noProof/>
            <w:webHidden/>
          </w:rPr>
        </w:r>
        <w:r w:rsidR="00D97FAF">
          <w:rPr>
            <w:noProof/>
            <w:webHidden/>
          </w:rPr>
          <w:fldChar w:fldCharType="separate"/>
        </w:r>
        <w:r w:rsidR="00374AF2">
          <w:rPr>
            <w:noProof/>
            <w:webHidden/>
          </w:rPr>
          <w:t>33</w:t>
        </w:r>
        <w:r w:rsidR="00D97FAF">
          <w:rPr>
            <w:noProof/>
            <w:webHidden/>
          </w:rPr>
          <w:fldChar w:fldCharType="end"/>
        </w:r>
      </w:hyperlink>
    </w:p>
    <w:p w14:paraId="2F6E49CF" w14:textId="238B47F3" w:rsidR="00D97FAF" w:rsidRDefault="006128AA">
      <w:pPr>
        <w:pStyle w:val="TableofFigures"/>
        <w:tabs>
          <w:tab w:val="right" w:leader="dot" w:pos="9742"/>
        </w:tabs>
        <w:rPr>
          <w:rFonts w:asciiTheme="minorHAnsi" w:eastAsiaTheme="minorEastAsia" w:hAnsiTheme="minorHAnsi" w:cstheme="minorBidi"/>
          <w:noProof/>
          <w:szCs w:val="22"/>
          <w:lang w:val="en-US"/>
        </w:rPr>
      </w:pPr>
      <w:hyperlink w:anchor="_Toc516150695" w:history="1">
        <w:r w:rsidR="00D97FAF" w:rsidRPr="00D90339">
          <w:rPr>
            <w:rStyle w:val="Hyperlink"/>
            <w:noProof/>
          </w:rPr>
          <w:t>Table 10: Comparison of commissioning organisation structures</w:t>
        </w:r>
        <w:r w:rsidR="00D97FAF">
          <w:rPr>
            <w:noProof/>
            <w:webHidden/>
          </w:rPr>
          <w:tab/>
        </w:r>
        <w:r w:rsidR="00D97FAF">
          <w:rPr>
            <w:noProof/>
            <w:webHidden/>
          </w:rPr>
          <w:fldChar w:fldCharType="begin"/>
        </w:r>
        <w:r w:rsidR="00D97FAF">
          <w:rPr>
            <w:noProof/>
            <w:webHidden/>
          </w:rPr>
          <w:instrText xml:space="preserve"> PAGEREF _Toc516150695 \h </w:instrText>
        </w:r>
        <w:r w:rsidR="00D97FAF">
          <w:rPr>
            <w:noProof/>
            <w:webHidden/>
          </w:rPr>
        </w:r>
        <w:r w:rsidR="00D97FAF">
          <w:rPr>
            <w:noProof/>
            <w:webHidden/>
          </w:rPr>
          <w:fldChar w:fldCharType="separate"/>
        </w:r>
        <w:r w:rsidR="00374AF2">
          <w:rPr>
            <w:noProof/>
            <w:webHidden/>
          </w:rPr>
          <w:t>36</w:t>
        </w:r>
        <w:r w:rsidR="00D97FAF">
          <w:rPr>
            <w:noProof/>
            <w:webHidden/>
          </w:rPr>
          <w:fldChar w:fldCharType="end"/>
        </w:r>
      </w:hyperlink>
    </w:p>
    <w:p w14:paraId="35125F9E" w14:textId="3153F2DF" w:rsidR="00D97FAF" w:rsidRDefault="006128AA">
      <w:pPr>
        <w:pStyle w:val="TableofFigures"/>
        <w:tabs>
          <w:tab w:val="right" w:leader="dot" w:pos="9742"/>
        </w:tabs>
        <w:rPr>
          <w:rFonts w:asciiTheme="minorHAnsi" w:eastAsiaTheme="minorEastAsia" w:hAnsiTheme="minorHAnsi" w:cstheme="minorBidi"/>
          <w:noProof/>
          <w:szCs w:val="22"/>
          <w:lang w:val="en-US"/>
        </w:rPr>
      </w:pPr>
      <w:hyperlink w:anchor="_Toc516150696" w:history="1">
        <w:r w:rsidR="00D97FAF" w:rsidRPr="00D90339">
          <w:rPr>
            <w:rStyle w:val="Hyperlink"/>
            <w:noProof/>
          </w:rPr>
          <w:t>Table 11: Practical tips and skills for organisational capability</w:t>
        </w:r>
        <w:r w:rsidR="00D97FAF">
          <w:rPr>
            <w:noProof/>
            <w:webHidden/>
          </w:rPr>
          <w:tab/>
        </w:r>
        <w:r w:rsidR="00D97FAF">
          <w:rPr>
            <w:noProof/>
            <w:webHidden/>
          </w:rPr>
          <w:fldChar w:fldCharType="begin"/>
        </w:r>
        <w:r w:rsidR="00D97FAF">
          <w:rPr>
            <w:noProof/>
            <w:webHidden/>
          </w:rPr>
          <w:instrText xml:space="preserve"> PAGEREF _Toc516150696 \h </w:instrText>
        </w:r>
        <w:r w:rsidR="00D97FAF">
          <w:rPr>
            <w:noProof/>
            <w:webHidden/>
          </w:rPr>
        </w:r>
        <w:r w:rsidR="00D97FAF">
          <w:rPr>
            <w:noProof/>
            <w:webHidden/>
          </w:rPr>
          <w:fldChar w:fldCharType="separate"/>
        </w:r>
        <w:r w:rsidR="00374AF2">
          <w:rPr>
            <w:noProof/>
            <w:webHidden/>
          </w:rPr>
          <w:t>38</w:t>
        </w:r>
        <w:r w:rsidR="00D97FAF">
          <w:rPr>
            <w:noProof/>
            <w:webHidden/>
          </w:rPr>
          <w:fldChar w:fldCharType="end"/>
        </w:r>
      </w:hyperlink>
    </w:p>
    <w:p w14:paraId="4005DFB1" w14:textId="7BDF89DC" w:rsidR="002E655B" w:rsidRPr="00E579F8" w:rsidRDefault="007625F1" w:rsidP="003D5106">
      <w:pPr>
        <w:pStyle w:val="TOC1"/>
      </w:pPr>
      <w:r w:rsidRPr="00CF2ABE">
        <w:fldChar w:fldCharType="end"/>
      </w:r>
      <w:r w:rsidR="002E655B" w:rsidRPr="00E579F8">
        <w:br w:type="page"/>
      </w:r>
    </w:p>
    <w:p w14:paraId="3C635940" w14:textId="3742A28F" w:rsidR="00C57C66" w:rsidRPr="002815FE" w:rsidRDefault="002B5A35" w:rsidP="00201ACB">
      <w:pPr>
        <w:pStyle w:val="SectionHeading"/>
      </w:pPr>
      <w:bookmarkStart w:id="8" w:name="_Toc519689546"/>
      <w:r>
        <w:lastRenderedPageBreak/>
        <w:t>A</w:t>
      </w:r>
      <w:r w:rsidRPr="002815FE">
        <w:t>cronyms</w:t>
      </w:r>
      <w:r w:rsidR="00B41EC0" w:rsidRPr="002815FE">
        <w:t xml:space="preserve"> used in this guidance</w:t>
      </w:r>
      <w:bookmarkEnd w:id="8"/>
    </w:p>
    <w:p w14:paraId="4A63BED2" w14:textId="47889479" w:rsidR="00C57C66" w:rsidRPr="00CC2A64" w:rsidRDefault="00C57C66" w:rsidP="0007512C">
      <w:pPr>
        <w:spacing w:after="120"/>
      </w:pPr>
    </w:p>
    <w:p w14:paraId="0040AFBD" w14:textId="6CAB5652" w:rsidR="000747D7" w:rsidRDefault="00A15602" w:rsidP="00201ACB">
      <w:pPr>
        <w:ind w:left="1560" w:hanging="1560"/>
      </w:pPr>
      <w:bookmarkStart w:id="9" w:name="_Toc453947341"/>
      <w:r w:rsidRPr="00201ACB">
        <w:rPr>
          <w:b/>
          <w:color w:val="1F497D" w:themeColor="text2"/>
        </w:rPr>
        <w:t>ACCHS</w:t>
      </w:r>
      <w:r w:rsidR="000747D7" w:rsidRPr="000747D7">
        <w:tab/>
        <w:t xml:space="preserve">Aboriginal Community Controlled Health </w:t>
      </w:r>
      <w:r>
        <w:t>Services</w:t>
      </w:r>
    </w:p>
    <w:p w14:paraId="0BD00D88" w14:textId="0FA944D7" w:rsidR="00ED48BA" w:rsidRPr="00ED48BA" w:rsidRDefault="00ED48BA" w:rsidP="00ED48BA">
      <w:pPr>
        <w:ind w:left="1560" w:hanging="1560"/>
      </w:pPr>
      <w:r w:rsidRPr="00ED48BA">
        <w:rPr>
          <w:b/>
          <w:color w:val="1F497D" w:themeColor="text2"/>
        </w:rPr>
        <w:t>COI</w:t>
      </w:r>
      <w:r w:rsidRPr="00ED48BA">
        <w:rPr>
          <w:b/>
        </w:rPr>
        <w:tab/>
      </w:r>
      <w:r w:rsidRPr="00ED48BA">
        <w:t>Conflict of Interest</w:t>
      </w:r>
    </w:p>
    <w:p w14:paraId="47A3C62A" w14:textId="01703838" w:rsidR="00ED48BA" w:rsidRPr="00ED48BA" w:rsidRDefault="00ED48BA" w:rsidP="00ED48BA">
      <w:pPr>
        <w:ind w:left="1560" w:hanging="1560"/>
      </w:pPr>
      <w:r w:rsidRPr="00ED48BA">
        <w:rPr>
          <w:b/>
          <w:color w:val="1F497D" w:themeColor="text2"/>
        </w:rPr>
        <w:t>EOI</w:t>
      </w:r>
      <w:r w:rsidRPr="00ED48BA">
        <w:rPr>
          <w:b/>
        </w:rPr>
        <w:tab/>
      </w:r>
      <w:r w:rsidRPr="00ED48BA">
        <w:t>Expression of Interest</w:t>
      </w:r>
    </w:p>
    <w:p w14:paraId="70F61617" w14:textId="357121C7" w:rsidR="00ED48BA" w:rsidRPr="00ED48BA" w:rsidRDefault="00ED48BA" w:rsidP="00ED48BA">
      <w:pPr>
        <w:ind w:left="1560" w:hanging="1560"/>
        <w:rPr>
          <w:b/>
        </w:rPr>
      </w:pPr>
      <w:r w:rsidRPr="00ED48BA">
        <w:rPr>
          <w:b/>
          <w:color w:val="1F497D" w:themeColor="text2"/>
        </w:rPr>
        <w:t>GP</w:t>
      </w:r>
      <w:r w:rsidRPr="00ED48BA">
        <w:rPr>
          <w:b/>
        </w:rPr>
        <w:tab/>
      </w:r>
      <w:r w:rsidRPr="00ED48BA">
        <w:t>General Practitioner</w:t>
      </w:r>
    </w:p>
    <w:p w14:paraId="2BBA7295" w14:textId="39358C32" w:rsidR="00ED48BA" w:rsidRPr="00ED48BA" w:rsidRDefault="00ED48BA" w:rsidP="00ED48BA">
      <w:pPr>
        <w:ind w:left="1560" w:hanging="1560"/>
      </w:pPr>
      <w:r w:rsidRPr="00ED48BA">
        <w:rPr>
          <w:b/>
          <w:color w:val="1F497D" w:themeColor="text2"/>
        </w:rPr>
        <w:t>KPIs</w:t>
      </w:r>
      <w:r w:rsidRPr="00ED48BA">
        <w:rPr>
          <w:b/>
        </w:rPr>
        <w:tab/>
      </w:r>
      <w:r w:rsidRPr="00ED48BA">
        <w:t>Key Performance Indicators</w:t>
      </w:r>
    </w:p>
    <w:p w14:paraId="2ACA8C48" w14:textId="0BFF3FD8" w:rsidR="00ED48BA" w:rsidRPr="00ED48BA" w:rsidRDefault="00ED48BA" w:rsidP="00ED48BA">
      <w:pPr>
        <w:ind w:left="1560" w:hanging="1560"/>
        <w:rPr>
          <w:b/>
        </w:rPr>
      </w:pPr>
      <w:r w:rsidRPr="00ED48BA">
        <w:rPr>
          <w:b/>
          <w:color w:val="1F497D" w:themeColor="text2"/>
        </w:rPr>
        <w:t>MoU</w:t>
      </w:r>
      <w:r w:rsidRPr="00ED48BA">
        <w:rPr>
          <w:b/>
        </w:rPr>
        <w:tab/>
      </w:r>
      <w:r w:rsidRPr="00ED48BA">
        <w:t>Memorandum of Understanding</w:t>
      </w:r>
    </w:p>
    <w:p w14:paraId="37746AF1" w14:textId="27BD9361" w:rsidR="00ED48BA" w:rsidRPr="00ED48BA" w:rsidRDefault="00ED48BA" w:rsidP="00ED48BA">
      <w:pPr>
        <w:ind w:left="1560" w:hanging="1560"/>
        <w:rPr>
          <w:b/>
        </w:rPr>
      </w:pPr>
      <w:r w:rsidRPr="00ED48BA">
        <w:rPr>
          <w:b/>
          <w:color w:val="1F497D" w:themeColor="text2"/>
        </w:rPr>
        <w:t>OBC</w:t>
      </w:r>
      <w:r w:rsidRPr="00ED48BA">
        <w:rPr>
          <w:b/>
        </w:rPr>
        <w:tab/>
      </w:r>
      <w:r w:rsidRPr="00ED48BA">
        <w:t>Outcomes Based Commissioning</w:t>
      </w:r>
    </w:p>
    <w:p w14:paraId="08376FA7" w14:textId="4B86473D" w:rsidR="00ED48BA" w:rsidRPr="00ED48BA" w:rsidRDefault="00ED48BA" w:rsidP="00ED48BA">
      <w:pPr>
        <w:ind w:left="1560" w:hanging="1560"/>
      </w:pPr>
      <w:r w:rsidRPr="00ED48BA">
        <w:rPr>
          <w:b/>
          <w:color w:val="1F497D" w:themeColor="text2"/>
        </w:rPr>
        <w:t>PHN(s)</w:t>
      </w:r>
      <w:r w:rsidRPr="00ED48BA">
        <w:rPr>
          <w:b/>
        </w:rPr>
        <w:tab/>
      </w:r>
      <w:r w:rsidRPr="00ED48BA">
        <w:t>Primary Health Network(s)</w:t>
      </w:r>
    </w:p>
    <w:p w14:paraId="51C313D0" w14:textId="17E4A477" w:rsidR="00ED48BA" w:rsidRPr="00ED48BA" w:rsidRDefault="00ED48BA" w:rsidP="00ED48BA">
      <w:pPr>
        <w:ind w:left="1560" w:hanging="1560"/>
        <w:rPr>
          <w:b/>
        </w:rPr>
      </w:pPr>
      <w:r w:rsidRPr="00ED48BA">
        <w:rPr>
          <w:b/>
          <w:color w:val="1F497D" w:themeColor="text2"/>
        </w:rPr>
        <w:t>RACI</w:t>
      </w:r>
      <w:r w:rsidRPr="00ED48BA">
        <w:rPr>
          <w:b/>
        </w:rPr>
        <w:tab/>
      </w:r>
      <w:r w:rsidRPr="00ED48BA">
        <w:t>Responsible, Accountable, Consulted, Informed</w:t>
      </w:r>
    </w:p>
    <w:p w14:paraId="1AF68A35" w14:textId="35D9CFB4" w:rsidR="000747D7" w:rsidRPr="00ED48BA" w:rsidRDefault="00ED48BA" w:rsidP="00ED48BA">
      <w:pPr>
        <w:ind w:left="1560" w:hanging="1560"/>
      </w:pPr>
      <w:r w:rsidRPr="00ED48BA">
        <w:rPr>
          <w:b/>
          <w:color w:val="1F497D" w:themeColor="text2"/>
        </w:rPr>
        <w:t>VFM</w:t>
      </w:r>
      <w:r w:rsidRPr="00ED48BA">
        <w:rPr>
          <w:b/>
        </w:rPr>
        <w:tab/>
      </w:r>
      <w:r w:rsidRPr="00ED48BA">
        <w:t>Value for Money</w:t>
      </w:r>
    </w:p>
    <w:p w14:paraId="65672955" w14:textId="41A97DD1" w:rsidR="00564821" w:rsidRDefault="00564821" w:rsidP="00201ACB">
      <w:r>
        <w:br w:type="page"/>
      </w:r>
    </w:p>
    <w:p w14:paraId="7C252BDE" w14:textId="74BFAE48" w:rsidR="00564821" w:rsidRPr="00564821" w:rsidRDefault="00564821" w:rsidP="00201ACB">
      <w:pPr>
        <w:pStyle w:val="SectionHeading"/>
      </w:pPr>
      <w:bookmarkStart w:id="10" w:name="_Toc519689547"/>
      <w:r w:rsidRPr="00564821">
        <w:lastRenderedPageBreak/>
        <w:t xml:space="preserve">Definitions </w:t>
      </w:r>
      <w:r w:rsidR="003C1F1B">
        <w:t xml:space="preserve">of some key terms </w:t>
      </w:r>
      <w:r w:rsidRPr="00564821">
        <w:t>used in this guidance</w:t>
      </w:r>
      <w:bookmarkEnd w:id="10"/>
    </w:p>
    <w:p w14:paraId="585DEFCD" w14:textId="64D1BF1D" w:rsidR="00564821" w:rsidRPr="00564821" w:rsidRDefault="00564821" w:rsidP="00D97FAF">
      <w:pPr>
        <w:pStyle w:val="MajorHeading"/>
      </w:pPr>
      <w:r w:rsidRPr="00564821">
        <w:t>Cultural awareness</w:t>
      </w:r>
      <w:r w:rsidRPr="00D97FAF">
        <w:rPr>
          <w:b w:val="0"/>
        </w:rPr>
        <w:t xml:space="preserve"> </w:t>
      </w:r>
      <w:r w:rsidR="006A4537" w:rsidRPr="00D97FAF">
        <w:rPr>
          <w:b w:val="0"/>
        </w:rPr>
        <w:t>(in relation to Aboriginal and Torres Strait Islander cultures)</w:t>
      </w:r>
    </w:p>
    <w:p w14:paraId="26C58169" w14:textId="77777777" w:rsidR="00564821" w:rsidRPr="00564821" w:rsidRDefault="00564821" w:rsidP="00201ACB">
      <w:pPr>
        <w:pStyle w:val="Paragraphtext"/>
      </w:pPr>
      <w:r w:rsidRPr="00564821">
        <w:t>Demonstrates a basic understanding of Aboriginal and Torres Strait Islander histories, peoples and cultures. There is no common accepted practice, and the actions taken depend upon the individual and their knowledge of Aboriginal and Torres Strait Islander culture. Generally accepted as a necessary first step and a foundation for further development, but not sufficient for sustained behaviour change.</w:t>
      </w:r>
      <w:r w:rsidRPr="00CC2A64">
        <w:rPr>
          <w:rStyle w:val="FootnoteReference"/>
        </w:rPr>
        <w:footnoteReference w:id="1"/>
      </w:r>
    </w:p>
    <w:p w14:paraId="327245B0" w14:textId="45E6C6E2" w:rsidR="00564821" w:rsidRPr="00564821" w:rsidRDefault="000D001F" w:rsidP="00D97FAF">
      <w:pPr>
        <w:pStyle w:val="MajorHeading"/>
      </w:pPr>
      <w:r>
        <w:t>Cultural competency</w:t>
      </w:r>
    </w:p>
    <w:p w14:paraId="4C405E18" w14:textId="77777777" w:rsidR="000D001F" w:rsidRDefault="00ED719C" w:rsidP="00201ACB">
      <w:pPr>
        <w:pStyle w:val="Paragraphtext"/>
      </w:pPr>
      <w:r>
        <w:t>Cultural competency is a</w:t>
      </w:r>
      <w:r w:rsidR="00D6060C">
        <w:t xml:space="preserve"> key strategy for reducing inequalities in health care access and improving the quality and effectiveness of care for Indigenous people.</w:t>
      </w:r>
    </w:p>
    <w:p w14:paraId="64E83233" w14:textId="26E04EF1" w:rsidR="00564821" w:rsidRPr="00564821" w:rsidRDefault="00D6060C" w:rsidP="00201ACB">
      <w:pPr>
        <w:pStyle w:val="Paragraphtext"/>
      </w:pPr>
      <w:r>
        <w:t>Cultural competence is more than cultural awareness</w:t>
      </w:r>
      <w:r w:rsidR="00ED719C">
        <w:t>;</w:t>
      </w:r>
      <w:r w:rsidR="00E048A8">
        <w:t xml:space="preserve"> it is</w:t>
      </w:r>
      <w:r w:rsidR="00564821" w:rsidRPr="00564821">
        <w:t xml:space="preserve"> </w:t>
      </w:r>
      <w:r>
        <w:t xml:space="preserve">the </w:t>
      </w:r>
      <w:r w:rsidR="00564821" w:rsidRPr="00564821">
        <w:t xml:space="preserve">set of behaviours, attitudes and policies that come together </w:t>
      </w:r>
      <w:r>
        <w:t xml:space="preserve">to enable </w:t>
      </w:r>
      <w:r w:rsidR="00564821" w:rsidRPr="00564821">
        <w:t xml:space="preserve">a system, agency or professionals to </w:t>
      </w:r>
      <w:r>
        <w:t xml:space="preserve">work effectively in </w:t>
      </w:r>
      <w:r w:rsidR="00564821" w:rsidRPr="00564821">
        <w:t>cross</w:t>
      </w:r>
      <w:r w:rsidR="00BC0BA7">
        <w:noBreakHyphen/>
      </w:r>
      <w:r w:rsidR="00564821" w:rsidRPr="00564821">
        <w:t>cultural situations.</w:t>
      </w:r>
      <w:r w:rsidR="00564821" w:rsidRPr="00CC2A64">
        <w:rPr>
          <w:rStyle w:val="FootnoteReference"/>
        </w:rPr>
        <w:footnoteReference w:id="2"/>
      </w:r>
    </w:p>
    <w:p w14:paraId="664DDF40" w14:textId="77777777" w:rsidR="000D001F" w:rsidRDefault="00564821" w:rsidP="00D97FAF">
      <w:pPr>
        <w:pStyle w:val="MajorHeading"/>
      </w:pPr>
      <w:r w:rsidRPr="00564821">
        <w:t>Cultural safety</w:t>
      </w:r>
    </w:p>
    <w:p w14:paraId="6974C013" w14:textId="5C669423" w:rsidR="00564821" w:rsidRPr="00564821" w:rsidRDefault="00564821" w:rsidP="00201ACB">
      <w:pPr>
        <w:pStyle w:val="Paragraphtext"/>
      </w:pPr>
      <w:r w:rsidRPr="00564821">
        <w:t>Identifies that health consumers are safest when health professionals have considered power relations, cultural differences and patients’ rights. Part of this process requires health professionals to examine their own realities, beliefs and attitudes.</w:t>
      </w:r>
      <w:r w:rsidR="00F23FF8">
        <w:t xml:space="preserve"> </w:t>
      </w:r>
      <w:r w:rsidRPr="00564821">
        <w:t>Cultural safety is not defined by the health professional, but is defined by the health consumer’s experience</w:t>
      </w:r>
      <w:r w:rsidR="00F23FF8">
        <w:t xml:space="preserve"> - </w:t>
      </w:r>
      <w:r w:rsidRPr="00564821">
        <w:t>the individual’s experience of care they are given, ability to access services and to raise concerns.</w:t>
      </w:r>
      <w:r w:rsidR="00F23FF8">
        <w:t xml:space="preserve"> </w:t>
      </w:r>
      <w:r w:rsidRPr="00564821">
        <w:t>The essential features of cultural safety are:</w:t>
      </w:r>
    </w:p>
    <w:p w14:paraId="3EF97930" w14:textId="2ACB02FF" w:rsidR="00564821" w:rsidRPr="00564821" w:rsidRDefault="00564821" w:rsidP="003D5106">
      <w:pPr>
        <w:pStyle w:val="Hangingindent1"/>
      </w:pPr>
      <w:r w:rsidRPr="00564821">
        <w:t xml:space="preserve">a) </w:t>
      </w:r>
      <w:r w:rsidR="003D5106">
        <w:tab/>
      </w:r>
      <w:r w:rsidRPr="00564821">
        <w:t>An understanding of one’s culture</w:t>
      </w:r>
    </w:p>
    <w:p w14:paraId="03AAE994" w14:textId="451C6783" w:rsidR="00564821" w:rsidRPr="00564821" w:rsidRDefault="00564821" w:rsidP="003D5106">
      <w:pPr>
        <w:pStyle w:val="Hangingindent1"/>
      </w:pPr>
      <w:r w:rsidRPr="00564821">
        <w:t xml:space="preserve">b) </w:t>
      </w:r>
      <w:r w:rsidR="003D5106">
        <w:tab/>
      </w:r>
      <w:r w:rsidRPr="00564821">
        <w:t>An acknowledgment of difference, and a requirement that caregivers are actively mindful and respectful of difference(s)</w:t>
      </w:r>
    </w:p>
    <w:p w14:paraId="4ECF7CA6" w14:textId="58C27773" w:rsidR="00564821" w:rsidRPr="00564821" w:rsidRDefault="00564821" w:rsidP="003D5106">
      <w:pPr>
        <w:pStyle w:val="Hangingindent1"/>
      </w:pPr>
      <w:r w:rsidRPr="00564821">
        <w:t xml:space="preserve">c) </w:t>
      </w:r>
      <w:r w:rsidR="003D5106">
        <w:tab/>
      </w:r>
      <w:r w:rsidRPr="00564821">
        <w:t>It is informed by the theory of power relations; any attempt to depoliticise cultural safety is to miss the point</w:t>
      </w:r>
    </w:p>
    <w:p w14:paraId="08EDDAC1" w14:textId="7C6ED270" w:rsidR="00564821" w:rsidRPr="00564821" w:rsidRDefault="00564821" w:rsidP="003D5106">
      <w:pPr>
        <w:pStyle w:val="Hangingindent1"/>
      </w:pPr>
      <w:r w:rsidRPr="00564821">
        <w:t xml:space="preserve">d) </w:t>
      </w:r>
      <w:r w:rsidR="003D5106">
        <w:tab/>
      </w:r>
      <w:r w:rsidRPr="00564821">
        <w:t>An appreciation of the historical context of colonisation, the practices of racism at individual and institutional levels, and their impact on First Nations people’s living and wellbeing, both in the present and past</w:t>
      </w:r>
    </w:p>
    <w:p w14:paraId="680D30DB" w14:textId="7F5A1447" w:rsidR="00564821" w:rsidRPr="00564821" w:rsidRDefault="00564821" w:rsidP="003D5106">
      <w:pPr>
        <w:pStyle w:val="Hangingindent1"/>
        <w:sectPr w:rsidR="00564821" w:rsidRPr="00564821" w:rsidSect="008A032C">
          <w:headerReference w:type="default" r:id="rId16"/>
          <w:endnotePr>
            <w:numFmt w:val="decimal"/>
          </w:endnotePr>
          <w:pgSz w:w="11906" w:h="16838"/>
          <w:pgMar w:top="1418" w:right="1077" w:bottom="1418" w:left="1077" w:header="709" w:footer="709" w:gutter="0"/>
          <w:pgNumType w:start="1"/>
          <w:cols w:space="708"/>
          <w:docGrid w:linePitch="360"/>
        </w:sectPr>
      </w:pPr>
      <w:r w:rsidRPr="00564821">
        <w:t xml:space="preserve">e) </w:t>
      </w:r>
      <w:r w:rsidR="003D5106">
        <w:tab/>
      </w:r>
      <w:r w:rsidRPr="00564821">
        <w:t>Its presence or absence is determined by the experience of the recipient of care and not defined by the caregiver.</w:t>
      </w:r>
      <w:r w:rsidRPr="00CC2A64">
        <w:rPr>
          <w:rStyle w:val="FootnoteReference"/>
        </w:rPr>
        <w:footnoteReference w:id="3"/>
      </w:r>
      <w:r w:rsidRPr="00564821">
        <w:t xml:space="preserve"> </w:t>
      </w:r>
    </w:p>
    <w:p w14:paraId="2BF7DD44" w14:textId="7F292980" w:rsidR="0007512C" w:rsidRPr="00DB6D7F" w:rsidRDefault="00ED48BA" w:rsidP="00DB6D7F">
      <w:pPr>
        <w:pStyle w:val="Heading1"/>
      </w:pPr>
      <w:bookmarkStart w:id="11" w:name="_Toc519689548"/>
      <w:bookmarkEnd w:id="9"/>
      <w:r>
        <w:lastRenderedPageBreak/>
        <w:t>Overview</w:t>
      </w:r>
      <w:bookmarkEnd w:id="11"/>
    </w:p>
    <w:p w14:paraId="5ADAC6BF" w14:textId="77777777" w:rsidR="007226C2" w:rsidRPr="00CD70C2" w:rsidRDefault="007226C2" w:rsidP="007226C2">
      <w:pPr>
        <w:pStyle w:val="Heading2"/>
      </w:pPr>
      <w:bookmarkStart w:id="12" w:name="_Toc519689549"/>
      <w:r w:rsidRPr="00CD70C2">
        <w:t>Purpose</w:t>
      </w:r>
      <w:bookmarkEnd w:id="12"/>
    </w:p>
    <w:p w14:paraId="136D5843" w14:textId="77777777" w:rsidR="00ED48BA" w:rsidRPr="00F52065" w:rsidRDefault="00ED48BA" w:rsidP="00ED48BA">
      <w:pPr>
        <w:pStyle w:val="Paragraphtext"/>
      </w:pPr>
      <w:bookmarkStart w:id="13" w:name="_Toc504119852"/>
      <w:bookmarkStart w:id="14" w:name="_Toc504119856"/>
      <w:bookmarkStart w:id="15" w:name="_Toc504119858"/>
      <w:bookmarkStart w:id="16" w:name="_Toc504119860"/>
      <w:bookmarkStart w:id="17" w:name="_Toc504119861"/>
      <w:bookmarkEnd w:id="13"/>
      <w:bookmarkEnd w:id="14"/>
      <w:bookmarkEnd w:id="15"/>
      <w:bookmarkEnd w:id="16"/>
      <w:bookmarkEnd w:id="17"/>
      <w:r w:rsidRPr="00F52065">
        <w:t xml:space="preserve">This guidance considers the competencies and skills </w:t>
      </w:r>
      <w:r>
        <w:t xml:space="preserve">required </w:t>
      </w:r>
      <w:r w:rsidRPr="00F52065">
        <w:t xml:space="preserve">to </w:t>
      </w:r>
      <w:r>
        <w:t xml:space="preserve">effectively </w:t>
      </w:r>
      <w:r w:rsidRPr="00F52065">
        <w:t xml:space="preserve">commission primary health care </w:t>
      </w:r>
      <w:r>
        <w:t xml:space="preserve">services </w:t>
      </w:r>
      <w:r w:rsidRPr="00F52065">
        <w:t>in Australia. This guidance will assist PHNs to:</w:t>
      </w:r>
    </w:p>
    <w:p w14:paraId="64DFC2C7" w14:textId="2843776C" w:rsidR="00ED48BA" w:rsidRPr="00F52065" w:rsidRDefault="00ED48BA" w:rsidP="00ED48BA">
      <w:pPr>
        <w:pStyle w:val="ListBullet"/>
      </w:pPr>
      <w:r w:rsidRPr="00F52065">
        <w:t>Understand the different mindset and broader set of competencies</w:t>
      </w:r>
      <w:r>
        <w:t xml:space="preserve"> required</w:t>
      </w:r>
      <w:r w:rsidRPr="00F52065">
        <w:t xml:space="preserve"> to undertake commissioning</w:t>
      </w:r>
      <w:r w:rsidR="006418BA">
        <w:t>.</w:t>
      </w:r>
    </w:p>
    <w:p w14:paraId="77402E39" w14:textId="3F493876" w:rsidR="00ED48BA" w:rsidRPr="00F52065" w:rsidRDefault="00ED48BA" w:rsidP="00ED48BA">
      <w:pPr>
        <w:pStyle w:val="ListBullet"/>
      </w:pPr>
      <w:r w:rsidRPr="00F52065">
        <w:t>Identify characteristics of commissioning competencies to determine ‘what good looks like’</w:t>
      </w:r>
      <w:r w:rsidR="006418BA">
        <w:t>.</w:t>
      </w:r>
    </w:p>
    <w:p w14:paraId="743A2A0E" w14:textId="7707D29E" w:rsidR="00ED48BA" w:rsidRPr="00F52065" w:rsidRDefault="00ED48BA" w:rsidP="00ED48BA">
      <w:pPr>
        <w:pStyle w:val="ListBullet"/>
      </w:pPr>
      <w:r w:rsidRPr="00F52065">
        <w:t>Assess the maturity of their PHN in relation to commissioning competencies</w:t>
      </w:r>
      <w:r w:rsidR="006418BA">
        <w:t>.</w:t>
      </w:r>
    </w:p>
    <w:p w14:paraId="766C43E8" w14:textId="0227E9BE" w:rsidR="00ED48BA" w:rsidRPr="00F52065" w:rsidRDefault="00ED48BA" w:rsidP="00ED48BA">
      <w:pPr>
        <w:pStyle w:val="ListBullet"/>
      </w:pPr>
      <w:r w:rsidRPr="00F52065">
        <w:t>Encourage different conversations within their region that will assist them in enhancing the efficiency and effectiveness of the primary health care system</w:t>
      </w:r>
      <w:r w:rsidR="006418BA">
        <w:t>.</w:t>
      </w:r>
    </w:p>
    <w:p w14:paraId="3FDEFC9F" w14:textId="77777777" w:rsidR="000D001F" w:rsidRDefault="00ED48BA" w:rsidP="00ED48BA">
      <w:pPr>
        <w:pStyle w:val="ListBullet"/>
      </w:pPr>
      <w:r w:rsidRPr="00F52065">
        <w:t>Adopt new ways of working that encourage culture change within the PHN and the broader system</w:t>
      </w:r>
      <w:r>
        <w:t>,</w:t>
      </w:r>
      <w:r w:rsidRPr="00F52065">
        <w:t xml:space="preserve"> and build capability.</w:t>
      </w:r>
    </w:p>
    <w:p w14:paraId="78B5AE08" w14:textId="76C6B371" w:rsidR="00ED48BA" w:rsidRPr="00231B71" w:rsidRDefault="00ED48BA" w:rsidP="00231B71">
      <w:pPr>
        <w:pStyle w:val="Heading2"/>
      </w:pPr>
      <w:bookmarkStart w:id="18" w:name="_Toc519689550"/>
      <w:r w:rsidRPr="00231B71">
        <w:t>Context for this guidance</w:t>
      </w:r>
      <w:bookmarkEnd w:id="18"/>
    </w:p>
    <w:p w14:paraId="23B7681E" w14:textId="77777777" w:rsidR="000D001F" w:rsidRDefault="00ED48BA" w:rsidP="00ED48BA">
      <w:pPr>
        <w:pStyle w:val="Paragraphtext"/>
      </w:pPr>
      <w:r w:rsidRPr="00F52065">
        <w:t>As commissioning organisations, PHNs can benefit from build</w:t>
      </w:r>
      <w:r>
        <w:t>ing on the skill sets</w:t>
      </w:r>
      <w:r w:rsidRPr="00F52065">
        <w:t xml:space="preserve"> of previous primary health organisations (such as Medicare Locals) to successfully secure primary health care outcomes. </w:t>
      </w:r>
      <w:r>
        <w:t>Currently,</w:t>
      </w:r>
      <w:r w:rsidRPr="00F52065">
        <w:t xml:space="preserve"> limited guidance exists for PHNs to support the development of competencies</w:t>
      </w:r>
      <w:r>
        <w:t xml:space="preserve"> and skills</w:t>
      </w:r>
      <w:r w:rsidRPr="00F52065">
        <w:t xml:space="preserve"> that are required to </w:t>
      </w:r>
      <w:r>
        <w:t>undertake commissioning</w:t>
      </w:r>
      <w:r w:rsidRPr="00F52065">
        <w:t>.</w:t>
      </w:r>
    </w:p>
    <w:p w14:paraId="0DA80BD6" w14:textId="77777777" w:rsidR="000D001F" w:rsidRDefault="00ED48BA" w:rsidP="00ED48BA">
      <w:pPr>
        <w:pStyle w:val="Paragraphtext"/>
      </w:pPr>
      <w:r w:rsidRPr="00F52065">
        <w:t xml:space="preserve">PHNs’ paths to becoming leading commissioners </w:t>
      </w:r>
      <w:r>
        <w:t>are</w:t>
      </w:r>
      <w:r w:rsidRPr="00F52065">
        <w:t xml:space="preserve"> developing</w:t>
      </w:r>
      <w:r>
        <w:t>,</w:t>
      </w:r>
      <w:r w:rsidRPr="00F52065">
        <w:t xml:space="preserve"> as commissioning is still an emerging practice in Australia. High quality commissioning takes time and investment to get right</w:t>
      </w:r>
      <w:r>
        <w:t>,</w:t>
      </w:r>
      <w:r w:rsidRPr="00F52065">
        <w:t xml:space="preserve"> and progress is often </w:t>
      </w:r>
      <w:r>
        <w:t>impacted by</w:t>
      </w:r>
      <w:r w:rsidRPr="00F52065">
        <w:t xml:space="preserve"> a</w:t>
      </w:r>
      <w:r>
        <w:t xml:space="preserve"> broad</w:t>
      </w:r>
      <w:r w:rsidRPr="00F52065">
        <w:t xml:space="preserve"> range of factors which include:</w:t>
      </w:r>
    </w:p>
    <w:p w14:paraId="1EE85B89" w14:textId="503ED88B" w:rsidR="000D001F" w:rsidRDefault="00ED48BA" w:rsidP="00ED48BA">
      <w:pPr>
        <w:pStyle w:val="ListBullet"/>
      </w:pPr>
      <w:r w:rsidRPr="00F52065">
        <w:t>Increasing demand for primary health care services</w:t>
      </w:r>
      <w:r w:rsidR="006418BA">
        <w:t>.</w:t>
      </w:r>
    </w:p>
    <w:p w14:paraId="1949FE69" w14:textId="16062105" w:rsidR="000D001F" w:rsidRDefault="00ED48BA" w:rsidP="00ED48BA">
      <w:pPr>
        <w:pStyle w:val="ListBullet"/>
      </w:pPr>
      <w:r w:rsidRPr="00F52065">
        <w:t xml:space="preserve">Increasing prevalence of chronic </w:t>
      </w:r>
      <w:r>
        <w:t xml:space="preserve">and complex </w:t>
      </w:r>
      <w:r w:rsidRPr="00F52065">
        <w:t>conditions</w:t>
      </w:r>
      <w:r w:rsidR="006418BA">
        <w:t>.</w:t>
      </w:r>
    </w:p>
    <w:p w14:paraId="3D3ECDD3" w14:textId="042D831A" w:rsidR="00ED48BA" w:rsidRPr="00F52065" w:rsidRDefault="00ED48BA" w:rsidP="00ED48BA">
      <w:pPr>
        <w:pStyle w:val="ListBullet"/>
      </w:pPr>
      <w:r>
        <w:t>Ongoing reform and complexities in the commissioning landscape</w:t>
      </w:r>
      <w:r w:rsidR="006418BA">
        <w:t>.</w:t>
      </w:r>
    </w:p>
    <w:p w14:paraId="2D6AF910" w14:textId="610B3E75" w:rsidR="00ED48BA" w:rsidRPr="00F52065" w:rsidRDefault="00ED48BA" w:rsidP="00ED48BA">
      <w:pPr>
        <w:pStyle w:val="ListBullet"/>
      </w:pPr>
      <w:r w:rsidRPr="00F52065">
        <w:t>The</w:t>
      </w:r>
      <w:r>
        <w:t xml:space="preserve"> nature of the Australian health system (i.e.</w:t>
      </w:r>
      <w:r w:rsidRPr="00F52065">
        <w:t xml:space="preserve"> </w:t>
      </w:r>
      <w:r>
        <w:t xml:space="preserve">Commonwealth </w:t>
      </w:r>
      <w:r w:rsidRPr="00F52065">
        <w:t xml:space="preserve">and </w:t>
      </w:r>
      <w:r>
        <w:t>s</w:t>
      </w:r>
      <w:r w:rsidRPr="00F52065">
        <w:t>tate</w:t>
      </w:r>
      <w:r>
        <w:t>/territory</w:t>
      </w:r>
      <w:r w:rsidRPr="00F52065">
        <w:t xml:space="preserve"> Government split in responsibility and funding respectively between the primary and acute health care systems</w:t>
      </w:r>
      <w:r>
        <w:t>)</w:t>
      </w:r>
      <w:r w:rsidR="006418BA">
        <w:t>.</w:t>
      </w:r>
    </w:p>
    <w:p w14:paraId="7BE19361" w14:textId="0767E952" w:rsidR="00ED48BA" w:rsidRPr="00F52065" w:rsidRDefault="00ED48BA" w:rsidP="00ED48BA">
      <w:pPr>
        <w:pStyle w:val="ListBullet"/>
      </w:pPr>
      <w:r>
        <w:t>Working with a</w:t>
      </w:r>
      <w:r w:rsidRPr="00F52065">
        <w:t xml:space="preserve"> wide range of stakeholders that directly and indirectly impact on the health outcomes that PHNs are </w:t>
      </w:r>
      <w:r>
        <w:t>focused on achieving</w:t>
      </w:r>
      <w:r w:rsidR="006418BA">
        <w:t>.</w:t>
      </w:r>
    </w:p>
    <w:p w14:paraId="17DFF5C3" w14:textId="77777777" w:rsidR="00ED48BA" w:rsidRPr="00F52065" w:rsidRDefault="00ED48BA" w:rsidP="00ED48BA">
      <w:pPr>
        <w:pStyle w:val="ListBullet"/>
      </w:pPr>
      <w:r w:rsidRPr="00F52065">
        <w:t>The market</w:t>
      </w:r>
      <w:r>
        <w:t>s</w:t>
      </w:r>
      <w:r w:rsidRPr="00F52065">
        <w:t xml:space="preserve"> capability and maturity</w:t>
      </w:r>
      <w:r>
        <w:t xml:space="preserve"> in relation to working with PHNs as commissioners</w:t>
      </w:r>
      <w:r w:rsidRPr="00F52065">
        <w:t>.</w:t>
      </w:r>
    </w:p>
    <w:p w14:paraId="2B3AFECE" w14:textId="77777777" w:rsidR="000D001F" w:rsidRDefault="00ED48BA" w:rsidP="00ED48BA">
      <w:pPr>
        <w:pStyle w:val="Paragraphtext"/>
      </w:pPr>
      <w:r>
        <w:t xml:space="preserve">It is also important to acknowledge that PHNs are operating as a part of the broader health system. The services and outcomes that PHNs commission will be influenced by the services that are funded and commissioned by other parts of the system (as well as </w:t>
      </w:r>
      <w:r w:rsidRPr="00A869FC">
        <w:t>other sectors that more directly</w:t>
      </w:r>
      <w:r>
        <w:t xml:space="preserve"> influence social determinants of health, such as housing, education and human services) at the Commonwealth and state and territory government levels, and at the private sector provider level.</w:t>
      </w:r>
    </w:p>
    <w:p w14:paraId="082E528D" w14:textId="77777777" w:rsidR="006418BA" w:rsidRDefault="006418BA">
      <w:r>
        <w:br w:type="page"/>
      </w:r>
    </w:p>
    <w:p w14:paraId="1807E094" w14:textId="386EA7F6" w:rsidR="00ED48BA" w:rsidRPr="007967DF" w:rsidRDefault="00ED48BA" w:rsidP="007967DF">
      <w:pPr>
        <w:rPr>
          <w:color w:val="000000" w:themeColor="text1"/>
        </w:rPr>
      </w:pPr>
      <w:r w:rsidRPr="001979E1">
        <w:lastRenderedPageBreak/>
        <w:t xml:space="preserve">However, there is a considerable body of Australian and international literature spanning many years, which suggests that </w:t>
      </w:r>
      <w:r>
        <w:t>primary health care commissioners (now PHN</w:t>
      </w:r>
      <w:r w:rsidRPr="001979E1">
        <w:t>s</w:t>
      </w:r>
      <w:r>
        <w:t>)</w:t>
      </w:r>
      <w:r w:rsidRPr="001979E1">
        <w:t xml:space="preserve"> – individually and collectively – have a real capacity to play a role in systemic improvements to </w:t>
      </w:r>
      <w:r w:rsidRPr="00A869FC">
        <w:t>primary health care.</w:t>
      </w:r>
      <w:r>
        <w:t xml:space="preserve"> </w:t>
      </w:r>
      <w:r w:rsidRPr="00A869FC">
        <w:t>This was a key finding of the Horvath Review of Medicare Locals and lies at the heart of the PHN Program.</w:t>
      </w:r>
      <w:r w:rsidRPr="00D24FAE">
        <w:rPr>
          <w:rStyle w:val="FootnoteReference"/>
        </w:rPr>
        <w:footnoteReference w:id="4"/>
      </w:r>
    </w:p>
    <w:p w14:paraId="762D7BAA" w14:textId="1D8A44BE" w:rsidR="000D001F" w:rsidRDefault="00ED48BA" w:rsidP="00ED48BA">
      <w:pPr>
        <w:pStyle w:val="Paragraphtext"/>
      </w:pPr>
      <w:r w:rsidRPr="00A869FC">
        <w:t>PHNs’ role as part of the broader health system has a key influence on how PHNs work with other parts of the system; how they commission primary health care services; and how they move towards</w:t>
      </w:r>
      <w:r w:rsidR="0078316F">
        <w:t xml:space="preserve"> incorporating</w:t>
      </w:r>
      <w:r w:rsidRPr="00A869FC">
        <w:t xml:space="preserve"> commissioning on an outcomes basis. The point here is twofold:</w:t>
      </w:r>
    </w:p>
    <w:p w14:paraId="73B96D8E" w14:textId="1496B0D6" w:rsidR="00ED48BA" w:rsidRPr="00A869FC" w:rsidRDefault="00ED48BA" w:rsidP="00ED48BA">
      <w:pPr>
        <w:pStyle w:val="ListBullet"/>
      </w:pPr>
      <w:r w:rsidRPr="002E0E38">
        <w:t xml:space="preserve">Firstly, if PHNs are to </w:t>
      </w:r>
      <w:r w:rsidR="002E0E38" w:rsidRPr="002E0E38">
        <w:t xml:space="preserve">incorporate </w:t>
      </w:r>
      <w:r w:rsidRPr="002E0E38">
        <w:t>a greater focus on outcomes</w:t>
      </w:r>
      <w:r w:rsidRPr="00A869FC">
        <w:t xml:space="preserve"> it is important to recognise the complexity of contribution and attribution. This will impact how PHNs monitor and evaluate what they commission (see</w:t>
      </w:r>
      <w:r w:rsidRPr="00A869FC">
        <w:rPr>
          <w:i/>
        </w:rPr>
        <w:t xml:space="preserve"> Monitoring and Evaluation Guidance</w:t>
      </w:r>
      <w:r w:rsidR="0078316F">
        <w:rPr>
          <w:rStyle w:val="FootnoteReference"/>
          <w:i/>
        </w:rPr>
        <w:footnoteReference w:id="5"/>
      </w:r>
      <w:r w:rsidRPr="00A869FC">
        <w:t xml:space="preserve"> for further information on this)</w:t>
      </w:r>
      <w:r>
        <w:t>.</w:t>
      </w:r>
    </w:p>
    <w:p w14:paraId="2BACC6B7" w14:textId="77777777" w:rsidR="00ED48BA" w:rsidRPr="00A869FC" w:rsidRDefault="00ED48BA" w:rsidP="00ED48BA">
      <w:pPr>
        <w:pStyle w:val="ListBullet"/>
      </w:pPr>
      <w:r w:rsidRPr="00A869FC">
        <w:t>Secondly, in order to secure the best possible outcomes for Australians and secure more integrated care, it is likely that PHNs will work with other parties to co-commission solutions. It is also important to acknowledge that many providers are also likely to be working with these other funders and commissioners.</w:t>
      </w:r>
    </w:p>
    <w:p w14:paraId="51E548D5" w14:textId="77777777" w:rsidR="000D001F" w:rsidRDefault="00ED48BA" w:rsidP="00ED48BA">
      <w:pPr>
        <w:pStyle w:val="Paragraphtext"/>
      </w:pPr>
      <w:r w:rsidRPr="00A869FC">
        <w:t>This guidance also considers commissioning in the context of the needs of Aboriginal and Torres Strait Islander people and the needs of culturally and linguistically diverse (CALD) populations. It recognises the need for cultural safety; taking a paradigmatic approach and creating an enabling environment for the system players to take a strengths based approach.</w:t>
      </w:r>
    </w:p>
    <w:p w14:paraId="0541C77C" w14:textId="49EE3147" w:rsidR="00ED48BA" w:rsidRPr="00A869FC" w:rsidRDefault="00ED48BA" w:rsidP="00ED48BA">
      <w:pPr>
        <w:pStyle w:val="Paragraphtext"/>
      </w:pPr>
      <w:r w:rsidRPr="00A869FC">
        <w:t>This guidance has been developed to help PHNs accelerate their development. Given the breadth and diversity of the PHNs and the market, it is important that there is a clear and consistent understanding and approach to being an effective commissioner.</w:t>
      </w:r>
    </w:p>
    <w:p w14:paraId="478E8609" w14:textId="77777777" w:rsidR="00ED48BA" w:rsidRPr="00231B71" w:rsidRDefault="00ED48BA" w:rsidP="00231B71">
      <w:pPr>
        <w:pStyle w:val="Heading2"/>
      </w:pPr>
      <w:bookmarkStart w:id="19" w:name="_Toc519689551"/>
      <w:r w:rsidRPr="00231B71">
        <w:t>Key messages from this guidance</w:t>
      </w:r>
      <w:bookmarkEnd w:id="19"/>
    </w:p>
    <w:p w14:paraId="41B8E4A1" w14:textId="77777777" w:rsidR="00ED48BA" w:rsidRPr="00A869FC" w:rsidRDefault="00ED48BA" w:rsidP="00ED48BA">
      <w:pPr>
        <w:pStyle w:val="Paragraphtext"/>
      </w:pPr>
      <w:r w:rsidRPr="00A869FC">
        <w:t>The key messages that PHNs should take from this guidance are:</w:t>
      </w:r>
    </w:p>
    <w:p w14:paraId="6D27DAC3" w14:textId="740AAD0C" w:rsidR="00ED48BA" w:rsidRPr="002E0E38" w:rsidRDefault="00ED48BA" w:rsidP="00ED48BA">
      <w:pPr>
        <w:pStyle w:val="ListBullet"/>
      </w:pPr>
      <w:r w:rsidRPr="00A869FC">
        <w:t xml:space="preserve">A new mindset and broader set of competencies </w:t>
      </w:r>
      <w:r w:rsidRPr="002E0E38">
        <w:t>are required to support commissioning.</w:t>
      </w:r>
    </w:p>
    <w:p w14:paraId="2D0068B9" w14:textId="0903C9ED" w:rsidR="00ED48BA" w:rsidRPr="00A869FC" w:rsidRDefault="00ED48BA" w:rsidP="00ED48BA">
      <w:pPr>
        <w:pStyle w:val="ListBullet"/>
      </w:pPr>
      <w:r w:rsidRPr="00A869FC">
        <w:t>Patients and communities are to be at the heart of everything that commissioners and providers do</w:t>
      </w:r>
      <w:r w:rsidR="00AE4799">
        <w:t>.</w:t>
      </w:r>
    </w:p>
    <w:p w14:paraId="03BE3AAE" w14:textId="77777777" w:rsidR="00ED48BA" w:rsidRPr="00A869FC" w:rsidRDefault="00ED48BA" w:rsidP="00ED48BA">
      <w:pPr>
        <w:pStyle w:val="ListBullet"/>
      </w:pPr>
      <w:r w:rsidRPr="00A869FC">
        <w:rPr>
          <w:szCs w:val="22"/>
        </w:rPr>
        <w:t>Creating an environment of concordance between the PHN, ACCHS and other providers and Aboriginal and Torres Strait Islander people, and between the PHN and providers and CALD populations, is critical to supporting those groups. This might include consideration of collaborative decision making; and people, processes and systems that are culturally safe.</w:t>
      </w:r>
      <w:r w:rsidRPr="00231B71">
        <w:t xml:space="preserve"> </w:t>
      </w:r>
      <w:r w:rsidRPr="00A869FC">
        <w:t>Change management is critical to achieve behaviour change in clinicians, providers and communities, as well as within the PHN organisation and the broader primary health care system</w:t>
      </w:r>
      <w:r>
        <w:t>.</w:t>
      </w:r>
    </w:p>
    <w:p w14:paraId="6D39D2B1" w14:textId="77777777" w:rsidR="000D001F" w:rsidRDefault="00ED48BA" w:rsidP="00ED48BA">
      <w:pPr>
        <w:pStyle w:val="ListBullet"/>
      </w:pPr>
      <w:r w:rsidRPr="00A869FC">
        <w:t>Building and maintaining relationships with the people and organisations who can best influence and effect change can take considerable time and effort but is critical</w:t>
      </w:r>
      <w:r>
        <w:t>.</w:t>
      </w:r>
    </w:p>
    <w:p w14:paraId="62EBFC43" w14:textId="27D357C6" w:rsidR="0014351C" w:rsidRDefault="00ED48BA" w:rsidP="0014351C">
      <w:pPr>
        <w:pStyle w:val="ListBullet"/>
      </w:pPr>
      <w:r w:rsidRPr="00A869FC">
        <w:t>Collaborative effort by PHNs, partner organisations and providers helps with the design and delivery of changes that tran</w:t>
      </w:r>
      <w:r w:rsidR="0014351C">
        <w:t xml:space="preserve">sform the primary health system. </w:t>
      </w:r>
    </w:p>
    <w:p w14:paraId="6E40BAD1" w14:textId="77777777" w:rsidR="0014351C" w:rsidRPr="00231B71" w:rsidRDefault="0014351C" w:rsidP="0014351C">
      <w:pPr>
        <w:pStyle w:val="Heading2"/>
      </w:pPr>
      <w:bookmarkStart w:id="20" w:name="_Toc519689552"/>
      <w:r w:rsidRPr="00231B71">
        <w:lastRenderedPageBreak/>
        <w:t>How should this guidance be used?</w:t>
      </w:r>
      <w:bookmarkEnd w:id="20"/>
    </w:p>
    <w:p w14:paraId="444BD3CB" w14:textId="77777777" w:rsidR="0014351C" w:rsidRDefault="0014351C" w:rsidP="0014351C">
      <w:pPr>
        <w:pStyle w:val="Paragraphtext"/>
      </w:pPr>
      <w:r w:rsidRPr="00A869FC">
        <w:t>This document provides guidance that PHNs may have regard for in the context of other guidance and requirements, such as the PHN Grant Programme Guidelines</w:t>
      </w:r>
      <w:r w:rsidRPr="00D24FAE">
        <w:rPr>
          <w:rStyle w:val="FootnoteReference"/>
        </w:rPr>
        <w:footnoteReference w:id="6"/>
      </w:r>
      <w:r w:rsidRPr="00A869FC">
        <w:t>. This guidance is just one step in the journey to improve the capability of the system. It is not intended to provide comprehensive instructions or requirements.</w:t>
      </w:r>
    </w:p>
    <w:p w14:paraId="5D9B69B1" w14:textId="77777777" w:rsidR="00ED48BA" w:rsidRPr="00F52065" w:rsidRDefault="00ED48BA" w:rsidP="00ED48BA">
      <w:pPr>
        <w:pStyle w:val="Paragraphtext"/>
      </w:pPr>
      <w:r w:rsidRPr="00F52065">
        <w:t xml:space="preserve">PHNs </w:t>
      </w:r>
      <w:r>
        <w:t>could</w:t>
      </w:r>
      <w:r w:rsidRPr="00F52065">
        <w:t xml:space="preserve"> consider using this guidance to:</w:t>
      </w:r>
    </w:p>
    <w:p w14:paraId="2E328A9C" w14:textId="77777777" w:rsidR="00ED48BA" w:rsidRPr="00F52065" w:rsidRDefault="00ED48BA" w:rsidP="00ED48BA">
      <w:pPr>
        <w:pStyle w:val="ListBullet"/>
      </w:pPr>
      <w:r w:rsidRPr="00F52065">
        <w:t>Determine their current and future capability levels</w:t>
      </w:r>
    </w:p>
    <w:p w14:paraId="63FC5E4F" w14:textId="77777777" w:rsidR="00ED48BA" w:rsidRPr="00F52065" w:rsidRDefault="00ED48BA" w:rsidP="00ED48BA">
      <w:pPr>
        <w:pStyle w:val="ListBullet"/>
      </w:pPr>
      <w:r w:rsidRPr="00F52065">
        <w:t>Guide their organisational structure, human resource development pathway</w:t>
      </w:r>
      <w:r>
        <w:t>s</w:t>
      </w:r>
      <w:r w:rsidRPr="00F52065">
        <w:t xml:space="preserve"> and other resource investments</w:t>
      </w:r>
    </w:p>
    <w:p w14:paraId="7256CAE3" w14:textId="77777777" w:rsidR="000D001F" w:rsidRDefault="00ED48BA" w:rsidP="00ED48BA">
      <w:pPr>
        <w:pStyle w:val="ListBullet"/>
      </w:pPr>
      <w:r w:rsidRPr="00F52065">
        <w:t>Engage with the broader health system and promote new ways of working.</w:t>
      </w:r>
    </w:p>
    <w:p w14:paraId="129CD41C" w14:textId="301D6274" w:rsidR="00ED48BA" w:rsidRPr="00F52065" w:rsidRDefault="00ED48BA" w:rsidP="00ED48BA">
      <w:pPr>
        <w:pStyle w:val="Paragraphtext"/>
      </w:pPr>
      <w:r w:rsidRPr="00F52065">
        <w:t>PHNs should come to their own views as to how this guidance is best applied, considering their own operating context, priorities and resources</w:t>
      </w:r>
      <w:r>
        <w:t>,</w:t>
      </w:r>
      <w:r w:rsidRPr="00F52065">
        <w:t xml:space="preserve"> as well as wider competency development activities.</w:t>
      </w:r>
    </w:p>
    <w:p w14:paraId="2581E707" w14:textId="7B3549FA" w:rsidR="00ED48BA" w:rsidRPr="00F52065" w:rsidRDefault="00ED48BA" w:rsidP="00ED48BA">
      <w:pPr>
        <w:pStyle w:val="Paragraphtext"/>
      </w:pPr>
      <w:r w:rsidRPr="00F52065">
        <w:t>This document does not provide in-depth guidance on all the competencies for commissioning, and should be used in conjunction with the other commissioning guidance and tools made available by the Australian Government Department of Health.</w:t>
      </w:r>
      <w:r>
        <w:t xml:space="preserve"> This guidance is complemented by two supporting to</w:t>
      </w:r>
      <w:r w:rsidRPr="007D4D2F">
        <w:t>ols:</w:t>
      </w:r>
    </w:p>
    <w:p w14:paraId="0388BB82" w14:textId="742197F4" w:rsidR="00ED48BA" w:rsidRPr="00F52065" w:rsidRDefault="00ED48BA" w:rsidP="00ED48BA">
      <w:pPr>
        <w:pStyle w:val="ListBullet"/>
      </w:pPr>
      <w:r w:rsidRPr="00E51DD2">
        <w:rPr>
          <w:i/>
        </w:rPr>
        <w:t xml:space="preserve">PHN </w:t>
      </w:r>
      <w:r w:rsidR="00067B5C">
        <w:rPr>
          <w:i/>
        </w:rPr>
        <w:t xml:space="preserve">Commissioning Competencies </w:t>
      </w:r>
      <w:r w:rsidRPr="00E51DD2">
        <w:rPr>
          <w:i/>
        </w:rPr>
        <w:t>Self-Assessment Tool</w:t>
      </w:r>
      <w:r w:rsidR="00466AC2" w:rsidRPr="00D24FAE">
        <w:rPr>
          <w:rStyle w:val="FootnoteReference"/>
        </w:rPr>
        <w:footnoteReference w:id="7"/>
      </w:r>
      <w:r w:rsidRPr="00F52065">
        <w:t>: this enables PHNs to assess their own com</w:t>
      </w:r>
      <w:r>
        <w:t>missioning competency</w:t>
      </w:r>
      <w:r w:rsidRPr="00F52065">
        <w:t>, and as a result, build an action plan for commissioning improvement and development</w:t>
      </w:r>
      <w:r w:rsidR="006418BA">
        <w:t>.</w:t>
      </w:r>
    </w:p>
    <w:p w14:paraId="048CA649" w14:textId="7D1EC877" w:rsidR="000D001F" w:rsidRDefault="00466AC2" w:rsidP="00ED48BA">
      <w:pPr>
        <w:pStyle w:val="ListBullet"/>
      </w:pPr>
      <w:r>
        <w:rPr>
          <w:i/>
        </w:rPr>
        <w:t>Change Management and Commissioning Competencies Resources Toolkit</w:t>
      </w:r>
      <w:r>
        <w:rPr>
          <w:rStyle w:val="FootnoteReference"/>
          <w:i/>
        </w:rPr>
        <w:footnoteReference w:id="8"/>
      </w:r>
      <w:r w:rsidR="00ED48BA" w:rsidRPr="00F52065">
        <w:t>: this provides links to tools developed by a range of sources that could support PHNs in applying the key commissioning competencies.</w:t>
      </w:r>
    </w:p>
    <w:p w14:paraId="35C14EC9" w14:textId="074B91BF" w:rsidR="000D001F" w:rsidRDefault="00ED48BA" w:rsidP="00ED48BA">
      <w:pPr>
        <w:pStyle w:val="Paragraphtext"/>
      </w:pPr>
      <w:r w:rsidRPr="00F52065">
        <w:t xml:space="preserve">This guidance </w:t>
      </w:r>
      <w:r>
        <w:t xml:space="preserve">broadly aligns with the outcome theme of ‘capable organisations’ which is included in </w:t>
      </w:r>
      <w:r w:rsidRPr="00F52065">
        <w:t>the PHN Program Performance and Quality Framework</w:t>
      </w:r>
      <w:r>
        <w:t xml:space="preserve"> </w:t>
      </w:r>
      <w:r w:rsidRPr="00F52065">
        <w:t>(the Framework)</w:t>
      </w:r>
      <w:r>
        <w:t xml:space="preserve">. This guidance considers the aspects of </w:t>
      </w:r>
      <w:r w:rsidRPr="00F52065">
        <w:t>capable organisations’</w:t>
      </w:r>
      <w:r>
        <w:t xml:space="preserve"> which are included in t</w:t>
      </w:r>
      <w:r w:rsidRPr="00F52065">
        <w:t>he Framework</w:t>
      </w:r>
      <w:r>
        <w:t xml:space="preserve"> as shown in</w:t>
      </w:r>
      <w:r w:rsidRPr="00F52065">
        <w:t xml:space="preserve"> </w:t>
      </w:r>
      <w:r>
        <w:t>T</w:t>
      </w:r>
      <w:r w:rsidRPr="00F52065">
        <w:t>able</w:t>
      </w:r>
      <w:r>
        <w:t xml:space="preserve"> 1</w:t>
      </w:r>
      <w:r w:rsidR="001D0BFC">
        <w:t>.</w:t>
      </w:r>
    </w:p>
    <w:p w14:paraId="3218FD9D" w14:textId="77777777" w:rsidR="00523354" w:rsidRDefault="00523354">
      <w:pPr>
        <w:rPr>
          <w:b/>
          <w:bCs/>
          <w:color w:val="000000" w:themeColor="text1"/>
          <w:szCs w:val="18"/>
        </w:rPr>
      </w:pPr>
      <w:bookmarkStart w:id="21" w:name="_Toc515288580"/>
      <w:bookmarkStart w:id="22" w:name="_Toc516150686"/>
      <w:r>
        <w:br w:type="page"/>
      </w:r>
    </w:p>
    <w:p w14:paraId="3428674F" w14:textId="03D8E013" w:rsidR="00ED48BA" w:rsidRPr="00D24FAE" w:rsidRDefault="00ED48BA" w:rsidP="00ED48BA">
      <w:pPr>
        <w:pStyle w:val="Caption"/>
      </w:pPr>
      <w:r w:rsidRPr="00F52065">
        <w:lastRenderedPageBreak/>
        <w:t xml:space="preserve">Table </w:t>
      </w:r>
      <w:fldSimple w:instr=" SEQ Table \* ARABIC ">
        <w:r w:rsidR="00374AF2">
          <w:rPr>
            <w:noProof/>
          </w:rPr>
          <w:t>1</w:t>
        </w:r>
      </w:fldSimple>
      <w:r w:rsidRPr="00F52065">
        <w:t>: Aspects of ‘Capable organisations’</w:t>
      </w:r>
      <w:bookmarkEnd w:id="21"/>
      <w:bookmarkEnd w:id="22"/>
    </w:p>
    <w:tbl>
      <w:tblPr>
        <w:tblStyle w:val="PHNBlueTable"/>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Aspects of ‘Capable organisations’"/>
        <w:tblDescription w:val="This table features two columns and three rows. The first column outlines aspects of ‘capable organisations’. The second column describes the competency and section in the guidance that relates to each aspect of a capable organisation. "/>
      </w:tblPr>
      <w:tblGrid>
        <w:gridCol w:w="4657"/>
        <w:gridCol w:w="4630"/>
      </w:tblGrid>
      <w:tr w:rsidR="00ED48BA" w:rsidRPr="003319ED" w14:paraId="2A8DEDB7" w14:textId="77777777" w:rsidTr="00AE4799">
        <w:trPr>
          <w:cnfStyle w:val="100000000000" w:firstRow="1" w:lastRow="0" w:firstColumn="0" w:lastColumn="0" w:oddVBand="0" w:evenVBand="0" w:oddHBand="0" w:evenHBand="0" w:firstRowFirstColumn="0" w:firstRowLastColumn="0" w:lastRowFirstColumn="0" w:lastRowLastColumn="0"/>
        </w:trPr>
        <w:tc>
          <w:tcPr>
            <w:tcW w:w="4873" w:type="dxa"/>
            <w:shd w:val="clear" w:color="auto" w:fill="8D188D"/>
          </w:tcPr>
          <w:p w14:paraId="0D1005F6" w14:textId="77777777" w:rsidR="00ED48BA" w:rsidRPr="0078794C" w:rsidRDefault="00ED48BA" w:rsidP="0078794C">
            <w:pPr>
              <w:pStyle w:val="TableHeaderWhite"/>
            </w:pPr>
            <w:r w:rsidRPr="0078794C">
              <w:t>Aspects</w:t>
            </w:r>
          </w:p>
        </w:tc>
        <w:tc>
          <w:tcPr>
            <w:tcW w:w="4874" w:type="dxa"/>
            <w:shd w:val="clear" w:color="auto" w:fill="8D188D"/>
          </w:tcPr>
          <w:p w14:paraId="3AC1740D" w14:textId="77777777" w:rsidR="00ED48BA" w:rsidRPr="0078794C" w:rsidRDefault="00ED48BA" w:rsidP="0078794C">
            <w:pPr>
              <w:pStyle w:val="TableHeaderWhite"/>
            </w:pPr>
            <w:r w:rsidRPr="0078794C">
              <w:t xml:space="preserve">Relevant section / competency in this guidance </w:t>
            </w:r>
          </w:p>
        </w:tc>
      </w:tr>
      <w:tr w:rsidR="00ED48BA" w:rsidRPr="003319ED" w14:paraId="796CD438" w14:textId="77777777" w:rsidTr="00AE4799">
        <w:tc>
          <w:tcPr>
            <w:tcW w:w="4873" w:type="dxa"/>
          </w:tcPr>
          <w:p w14:paraId="21E55AE7" w14:textId="77777777" w:rsidR="00ED48BA" w:rsidRPr="003319ED" w:rsidRDefault="00ED48BA" w:rsidP="0078794C">
            <w:pPr>
              <w:pStyle w:val="Tablelistbullet"/>
            </w:pPr>
            <w:r w:rsidRPr="003319ED">
              <w:t>Governance</w:t>
            </w:r>
          </w:p>
          <w:p w14:paraId="76DD0617" w14:textId="77777777" w:rsidR="00ED48BA" w:rsidRPr="003319ED" w:rsidRDefault="00ED48BA" w:rsidP="0078794C">
            <w:pPr>
              <w:pStyle w:val="Tablelistbullet"/>
            </w:pPr>
            <w:r w:rsidRPr="003319ED">
              <w:t>Operational management</w:t>
            </w:r>
          </w:p>
          <w:p w14:paraId="183F86B6" w14:textId="77777777" w:rsidR="00ED48BA" w:rsidRPr="003319ED" w:rsidRDefault="00ED48BA" w:rsidP="0078794C">
            <w:pPr>
              <w:pStyle w:val="Tablelistbullet"/>
            </w:pPr>
            <w:r w:rsidRPr="003319ED">
              <w:t>People management</w:t>
            </w:r>
          </w:p>
          <w:p w14:paraId="581FAC63" w14:textId="77777777" w:rsidR="00ED48BA" w:rsidRPr="003319ED" w:rsidRDefault="00ED48BA" w:rsidP="0078794C">
            <w:pPr>
              <w:pStyle w:val="Tablelistbullet"/>
            </w:pPr>
            <w:r w:rsidRPr="003319ED">
              <w:t>Financial management</w:t>
            </w:r>
          </w:p>
        </w:tc>
        <w:tc>
          <w:tcPr>
            <w:tcW w:w="4874" w:type="dxa"/>
          </w:tcPr>
          <w:p w14:paraId="52253B9D" w14:textId="104B2931" w:rsidR="00ED48BA" w:rsidRPr="003319ED" w:rsidRDefault="00ED48BA" w:rsidP="0078794C">
            <w:pPr>
              <w:pStyle w:val="Tabletextnormal"/>
            </w:pPr>
            <w:r w:rsidRPr="003319ED">
              <w:t>Section 3.6 Operational capability competency</w:t>
            </w:r>
            <w:r w:rsidR="00C843C3">
              <w:t>.</w:t>
            </w:r>
          </w:p>
        </w:tc>
      </w:tr>
      <w:tr w:rsidR="00ED48BA" w:rsidRPr="003319ED" w14:paraId="763DF01F" w14:textId="77777777" w:rsidTr="00AE4799">
        <w:trPr>
          <w:trHeight w:val="682"/>
        </w:trPr>
        <w:tc>
          <w:tcPr>
            <w:tcW w:w="4873" w:type="dxa"/>
          </w:tcPr>
          <w:p w14:paraId="22680944" w14:textId="77777777" w:rsidR="000D001F" w:rsidRDefault="00ED48BA" w:rsidP="0078794C">
            <w:pPr>
              <w:pStyle w:val="Tablelistbullet"/>
            </w:pPr>
            <w:r w:rsidRPr="003319ED">
              <w:t>Commissioning</w:t>
            </w:r>
          </w:p>
          <w:p w14:paraId="75D02168" w14:textId="1DFA324A" w:rsidR="00ED48BA" w:rsidRPr="003319ED" w:rsidRDefault="00ED48BA" w:rsidP="0078794C">
            <w:pPr>
              <w:pStyle w:val="Tablelistbullet"/>
            </w:pPr>
            <w:r w:rsidRPr="003319ED">
              <w:t>Relationship management</w:t>
            </w:r>
          </w:p>
        </w:tc>
        <w:tc>
          <w:tcPr>
            <w:tcW w:w="4874" w:type="dxa"/>
          </w:tcPr>
          <w:p w14:paraId="4C9E76BC" w14:textId="2F37F1FC" w:rsidR="00ED48BA" w:rsidRPr="003319ED" w:rsidRDefault="00ED48BA" w:rsidP="0078794C">
            <w:pPr>
              <w:pStyle w:val="Tabletextnormal"/>
            </w:pPr>
            <w:r w:rsidRPr="003319ED">
              <w:t>Throughout this guidance (all key commissioning competencies)</w:t>
            </w:r>
            <w:r w:rsidR="00C843C3">
              <w:t>.</w:t>
            </w:r>
          </w:p>
        </w:tc>
      </w:tr>
    </w:tbl>
    <w:p w14:paraId="2EF9B203" w14:textId="47CF5657" w:rsidR="00ED48BA" w:rsidRPr="0078794C" w:rsidRDefault="00ED48BA" w:rsidP="00ED48BA">
      <w:pPr>
        <w:pStyle w:val="Paragraphtext"/>
        <w:rPr>
          <w:highlight w:val="lightGray"/>
        </w:rPr>
      </w:pPr>
      <w:bookmarkStart w:id="23" w:name="_Toc453947345"/>
      <w:bookmarkStart w:id="24" w:name="_Toc454197946"/>
      <w:bookmarkStart w:id="25" w:name="_Toc454198238"/>
    </w:p>
    <w:p w14:paraId="1293B514" w14:textId="77777777" w:rsidR="006418BA" w:rsidRDefault="006418BA">
      <w:pPr>
        <w:rPr>
          <w:rFonts w:cs="Arial"/>
          <w:b/>
          <w:bCs/>
          <w:color w:val="153A6E"/>
          <w:kern w:val="28"/>
          <w:sz w:val="36"/>
          <w:szCs w:val="32"/>
        </w:rPr>
      </w:pPr>
      <w:bookmarkStart w:id="26" w:name="_Toc515288559"/>
      <w:bookmarkStart w:id="27" w:name="_Toc519689553"/>
      <w:r>
        <w:br w:type="page"/>
      </w:r>
    </w:p>
    <w:p w14:paraId="3C2EE878" w14:textId="784BE4C1" w:rsidR="00ED48BA" w:rsidRPr="00F52065" w:rsidRDefault="00D24FAE" w:rsidP="00231B71">
      <w:pPr>
        <w:pStyle w:val="Heading1"/>
      </w:pPr>
      <w:r>
        <w:lastRenderedPageBreak/>
        <w:t>A</w:t>
      </w:r>
      <w:r w:rsidRPr="00F52065">
        <w:t xml:space="preserve"> </w:t>
      </w:r>
      <w:r>
        <w:t>commissioning mindset</w:t>
      </w:r>
      <w:bookmarkEnd w:id="26"/>
      <w:bookmarkEnd w:id="27"/>
    </w:p>
    <w:p w14:paraId="643CBC9A" w14:textId="5F37A1BC" w:rsidR="000D001F" w:rsidRDefault="00ED48BA" w:rsidP="00ED48BA">
      <w:pPr>
        <w:pStyle w:val="Paragraphtext"/>
      </w:pPr>
      <w:r w:rsidRPr="00F52065">
        <w:t xml:space="preserve">Commissioning is a relatively new way of working for PHNs and the Australian health system. It requires a new mindset that is supported by new competencies and culture change. </w:t>
      </w:r>
      <w:r w:rsidR="001D0BFC">
        <w:t xml:space="preserve">Table 2 </w:t>
      </w:r>
      <w:r w:rsidRPr="00F52065">
        <w:t>summarises the key aspects of a commissioning mindset, as adapted from The King’s Fund (UK)</w:t>
      </w:r>
      <w:r w:rsidRPr="00D24FAE">
        <w:rPr>
          <w:rStyle w:val="FootnoteReference"/>
        </w:rPr>
        <w:footnoteReference w:id="9"/>
      </w:r>
      <w:r w:rsidRPr="00F52065">
        <w:t xml:space="preserve"> </w:t>
      </w:r>
      <w:r>
        <w:t xml:space="preserve">for applicability in </w:t>
      </w:r>
      <w:r w:rsidRPr="00F52065">
        <w:t>the Australian context.</w:t>
      </w:r>
    </w:p>
    <w:p w14:paraId="017E4ED9" w14:textId="0C383B04" w:rsidR="00ED48BA" w:rsidRPr="00D24FAE" w:rsidRDefault="00ED48BA" w:rsidP="00ED48BA">
      <w:pPr>
        <w:pStyle w:val="Caption"/>
      </w:pPr>
      <w:bookmarkStart w:id="28" w:name="_Toc515288581"/>
      <w:bookmarkStart w:id="29" w:name="_Toc516150687"/>
      <w:r w:rsidRPr="00F52065">
        <w:t xml:space="preserve">Table </w:t>
      </w:r>
      <w:fldSimple w:instr=" SEQ Table \* ARABIC ">
        <w:r w:rsidR="00374AF2">
          <w:rPr>
            <w:noProof/>
          </w:rPr>
          <w:t>2</w:t>
        </w:r>
      </w:fldSimple>
      <w:r>
        <w:rPr>
          <w:noProof/>
        </w:rPr>
        <w:t>:</w:t>
      </w:r>
      <w:r w:rsidRPr="00F52065">
        <w:t xml:space="preserve"> Key shifts in mindset for PHNs and their market</w:t>
      </w:r>
      <w:bookmarkEnd w:id="28"/>
      <w:bookmarkEnd w:id="29"/>
    </w:p>
    <w:tbl>
      <w:tblPr>
        <w:tblStyle w:val="PHNBlueTable"/>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Key shifts in mindset for PHNs and their market"/>
        <w:tblDescription w:val="This table features two columns and nine rows. The first column outlines aspects of the pre-commissioning mindset for PHNs. The second column describes the commissioning mindset for PHNs. "/>
      </w:tblPr>
      <w:tblGrid>
        <w:gridCol w:w="4066"/>
        <w:gridCol w:w="5221"/>
      </w:tblGrid>
      <w:tr w:rsidR="00ED48BA" w:rsidRPr="0078794C" w14:paraId="40D8F1DD" w14:textId="77777777" w:rsidTr="00AE4799">
        <w:trPr>
          <w:cnfStyle w:val="100000000000" w:firstRow="1" w:lastRow="0" w:firstColumn="0" w:lastColumn="0" w:oddVBand="0" w:evenVBand="0" w:oddHBand="0" w:evenHBand="0" w:firstRowFirstColumn="0" w:firstRowLastColumn="0" w:lastRowFirstColumn="0" w:lastRowLastColumn="0"/>
          <w:trHeight w:val="357"/>
        </w:trPr>
        <w:tc>
          <w:tcPr>
            <w:tcW w:w="4156" w:type="dxa"/>
            <w:shd w:val="clear" w:color="auto" w:fill="8D188D"/>
          </w:tcPr>
          <w:p w14:paraId="65A3871D" w14:textId="77777777" w:rsidR="00ED48BA" w:rsidRPr="0078794C" w:rsidRDefault="00ED48BA" w:rsidP="0078794C">
            <w:pPr>
              <w:pStyle w:val="TableHeaderWhite"/>
            </w:pPr>
            <w:r w:rsidRPr="0078794C">
              <w:t>Pre-commissioning mindset</w:t>
            </w:r>
          </w:p>
        </w:tc>
        <w:tc>
          <w:tcPr>
            <w:tcW w:w="5384" w:type="dxa"/>
            <w:shd w:val="clear" w:color="auto" w:fill="8D188D"/>
          </w:tcPr>
          <w:p w14:paraId="4D834AC9" w14:textId="77777777" w:rsidR="00ED48BA" w:rsidRPr="0078794C" w:rsidRDefault="00ED48BA" w:rsidP="0078794C">
            <w:pPr>
              <w:pStyle w:val="TableHeaderWhite"/>
            </w:pPr>
            <w:r w:rsidRPr="0078794C">
              <w:t>Commissioning mindset</w:t>
            </w:r>
          </w:p>
        </w:tc>
      </w:tr>
      <w:tr w:rsidR="00ED48BA" w:rsidRPr="0047609D" w14:paraId="2D3D9026" w14:textId="77777777" w:rsidTr="00AE4799">
        <w:tc>
          <w:tcPr>
            <w:tcW w:w="4156" w:type="dxa"/>
          </w:tcPr>
          <w:p w14:paraId="5DC373E4" w14:textId="238CAD52" w:rsidR="00ED48BA" w:rsidRPr="0047609D" w:rsidRDefault="00ED48BA" w:rsidP="00C033E5">
            <w:pPr>
              <w:pStyle w:val="Tabletextnormal"/>
              <w:spacing w:before="60" w:after="60"/>
            </w:pPr>
            <w:r w:rsidRPr="0047609D">
              <w:t>Programmatic and centrally devised approach to funding activity</w:t>
            </w:r>
            <w:r w:rsidR="00C843C3">
              <w:t>.</w:t>
            </w:r>
          </w:p>
        </w:tc>
        <w:tc>
          <w:tcPr>
            <w:tcW w:w="5384" w:type="dxa"/>
          </w:tcPr>
          <w:p w14:paraId="2E41CC0B" w14:textId="2E77EBB5" w:rsidR="00ED48BA" w:rsidRPr="0047609D" w:rsidRDefault="00ED48BA" w:rsidP="00C033E5">
            <w:pPr>
              <w:pStyle w:val="Tabletextnormal"/>
              <w:spacing w:before="60" w:after="60"/>
            </w:pPr>
            <w:r w:rsidRPr="0047609D">
              <w:t>Deeper understanding of the health needs of the population</w:t>
            </w:r>
            <w:r>
              <w:t xml:space="preserve"> to assist in informing how funding will be prioritised on a needs basis</w:t>
            </w:r>
            <w:r w:rsidR="00C843C3">
              <w:t>.</w:t>
            </w:r>
            <w:r>
              <w:t xml:space="preserve"> </w:t>
            </w:r>
          </w:p>
        </w:tc>
      </w:tr>
      <w:tr w:rsidR="00ED48BA" w:rsidRPr="0047609D" w14:paraId="51019726" w14:textId="77777777" w:rsidTr="00AE4799">
        <w:tc>
          <w:tcPr>
            <w:tcW w:w="4156" w:type="dxa"/>
          </w:tcPr>
          <w:p w14:paraId="2DCFC697" w14:textId="3551F0B9" w:rsidR="00ED48BA" w:rsidRPr="0047609D" w:rsidRDefault="00ED48BA" w:rsidP="00C033E5">
            <w:pPr>
              <w:pStyle w:val="Tabletextnormal"/>
              <w:spacing w:before="60" w:after="60"/>
            </w:pPr>
            <w:r w:rsidRPr="0047609D">
              <w:t>Service inputs and activity specified and paid for on that basis</w:t>
            </w:r>
            <w:r w:rsidR="00C843C3">
              <w:t>.</w:t>
            </w:r>
          </w:p>
        </w:tc>
        <w:tc>
          <w:tcPr>
            <w:tcW w:w="5384" w:type="dxa"/>
          </w:tcPr>
          <w:p w14:paraId="17025EF5" w14:textId="3F96644A" w:rsidR="00ED48BA" w:rsidRPr="0047609D" w:rsidRDefault="00ED48BA" w:rsidP="00C843C3">
            <w:pPr>
              <w:pStyle w:val="Tabletextnormal"/>
              <w:spacing w:before="60" w:after="60"/>
            </w:pPr>
            <w:r w:rsidRPr="0046538A">
              <w:t>A greater focus on service performance and the achievement of outcomes, rather than just volume in individual service activity</w:t>
            </w:r>
            <w:r w:rsidR="00C843C3">
              <w:t>.</w:t>
            </w:r>
          </w:p>
        </w:tc>
      </w:tr>
      <w:tr w:rsidR="00ED48BA" w:rsidRPr="0047609D" w14:paraId="22FE080D" w14:textId="77777777" w:rsidTr="00AE4799">
        <w:tc>
          <w:tcPr>
            <w:tcW w:w="4156" w:type="dxa"/>
          </w:tcPr>
          <w:p w14:paraId="451064D8" w14:textId="4EDAA753" w:rsidR="00ED48BA" w:rsidRPr="0047609D" w:rsidRDefault="00ED48BA" w:rsidP="00C843C3">
            <w:pPr>
              <w:pStyle w:val="Tabletextnormal"/>
              <w:spacing w:before="60" w:after="60"/>
            </w:pPr>
            <w:r w:rsidRPr="0047609D">
              <w:t>Service provider driven models of care that decide what is best for the patient</w:t>
            </w:r>
            <w:r w:rsidR="00C843C3">
              <w:t>.</w:t>
            </w:r>
          </w:p>
        </w:tc>
        <w:tc>
          <w:tcPr>
            <w:tcW w:w="5384" w:type="dxa"/>
          </w:tcPr>
          <w:p w14:paraId="20F99CB8" w14:textId="0792489F" w:rsidR="00ED48BA" w:rsidRPr="0047609D" w:rsidRDefault="00ED48BA" w:rsidP="00C033E5">
            <w:pPr>
              <w:pStyle w:val="Tabletextnormal"/>
              <w:spacing w:before="60" w:after="60"/>
            </w:pPr>
            <w:r w:rsidRPr="0047609D">
              <w:t>Models driven by outcomes that matter to the patient and community, including the ability to exercise choice and take ownership of their health</w:t>
            </w:r>
            <w:r w:rsidR="00C843C3">
              <w:t>.</w:t>
            </w:r>
          </w:p>
        </w:tc>
      </w:tr>
      <w:tr w:rsidR="00ED48BA" w:rsidRPr="0047609D" w14:paraId="387BE201" w14:textId="77777777" w:rsidTr="00AE4799">
        <w:tc>
          <w:tcPr>
            <w:tcW w:w="4156" w:type="dxa"/>
          </w:tcPr>
          <w:p w14:paraId="06879FF6" w14:textId="3F0EAB9E" w:rsidR="00ED48BA" w:rsidRPr="0047609D" w:rsidRDefault="00ED48BA" w:rsidP="00C033E5">
            <w:pPr>
              <w:pStyle w:val="Tabletextnormal"/>
              <w:spacing w:before="60" w:after="60"/>
            </w:pPr>
            <w:r w:rsidRPr="0047609D">
              <w:t>Funding and delivery of services are to be kept within existing accountability structures</w:t>
            </w:r>
            <w:r w:rsidR="00C843C3">
              <w:t>.</w:t>
            </w:r>
          </w:p>
        </w:tc>
        <w:tc>
          <w:tcPr>
            <w:tcW w:w="5384" w:type="dxa"/>
          </w:tcPr>
          <w:p w14:paraId="1C104D8D" w14:textId="11F8B828" w:rsidR="00ED48BA" w:rsidRPr="0047609D" w:rsidRDefault="00ED48BA" w:rsidP="00C033E5">
            <w:pPr>
              <w:pStyle w:val="Tabletextnormal"/>
              <w:spacing w:before="60" w:after="60"/>
            </w:pPr>
            <w:r w:rsidRPr="0047609D">
              <w:t>Working collaboratively at a local level through shared resources (including, where appropriate, pooled budgets) and decision making. Governance and accountability structures are still in place with an increased emphasis on transparency and shared decision making</w:t>
            </w:r>
            <w:r w:rsidR="00C843C3">
              <w:t>.</w:t>
            </w:r>
          </w:p>
        </w:tc>
      </w:tr>
      <w:tr w:rsidR="00ED48BA" w:rsidRPr="0047609D" w14:paraId="159DFF0D" w14:textId="77777777" w:rsidTr="00AE4799">
        <w:tc>
          <w:tcPr>
            <w:tcW w:w="4156" w:type="dxa"/>
          </w:tcPr>
          <w:p w14:paraId="039A1AA8" w14:textId="302CBB00" w:rsidR="00ED48BA" w:rsidRPr="0047609D" w:rsidRDefault="00ED48BA" w:rsidP="00C033E5">
            <w:pPr>
              <w:pStyle w:val="Tabletextnormal"/>
              <w:spacing w:before="60" w:after="60"/>
            </w:pPr>
            <w:r w:rsidRPr="0047609D">
              <w:t>Focusing on individual services or single diseases/conditions</w:t>
            </w:r>
            <w:r w:rsidR="00C843C3">
              <w:t>.</w:t>
            </w:r>
          </w:p>
        </w:tc>
        <w:tc>
          <w:tcPr>
            <w:tcW w:w="5384" w:type="dxa"/>
          </w:tcPr>
          <w:p w14:paraId="49FD4DC9" w14:textId="0DBD9972" w:rsidR="00ED48BA" w:rsidRPr="0047609D" w:rsidRDefault="00ED48BA" w:rsidP="00C033E5">
            <w:pPr>
              <w:pStyle w:val="Tabletextnormal"/>
              <w:spacing w:before="60" w:after="60"/>
            </w:pPr>
            <w:r w:rsidRPr="0047609D">
              <w:t>Strategically overseeing, in partnership or in collaboration with the local health system, and ensuring the market is diverse and sustainable</w:t>
            </w:r>
            <w:r w:rsidR="00C843C3">
              <w:t>.</w:t>
            </w:r>
            <w:r w:rsidRPr="0047609D">
              <w:t xml:space="preserve"> </w:t>
            </w:r>
          </w:p>
        </w:tc>
      </w:tr>
      <w:tr w:rsidR="00ED48BA" w:rsidRPr="0047609D" w14:paraId="1401F896" w14:textId="77777777" w:rsidTr="00AE4799">
        <w:tc>
          <w:tcPr>
            <w:tcW w:w="4156" w:type="dxa"/>
          </w:tcPr>
          <w:p w14:paraId="694E3FD5" w14:textId="52232A09" w:rsidR="00ED48BA" w:rsidRPr="0047609D" w:rsidRDefault="00ED48BA" w:rsidP="00C033E5">
            <w:pPr>
              <w:pStyle w:val="Tabletextnormal"/>
              <w:spacing w:before="60" w:after="60"/>
            </w:pPr>
            <w:r w:rsidRPr="0047609D">
              <w:t>Centralised decision making on resource allocation and funding of programs</w:t>
            </w:r>
            <w:r w:rsidR="00C843C3">
              <w:t>.</w:t>
            </w:r>
            <w:r w:rsidRPr="0047609D">
              <w:t xml:space="preserve"> </w:t>
            </w:r>
          </w:p>
        </w:tc>
        <w:tc>
          <w:tcPr>
            <w:tcW w:w="5384" w:type="dxa"/>
          </w:tcPr>
          <w:p w14:paraId="79F3AB5D" w14:textId="2DC10769" w:rsidR="00ED48BA" w:rsidRPr="0047609D" w:rsidRDefault="00ED48BA" w:rsidP="00C843C3">
            <w:pPr>
              <w:pStyle w:val="Tabletextnormal"/>
              <w:spacing w:before="60" w:after="60"/>
            </w:pPr>
            <w:r w:rsidRPr="0047609D">
              <w:t>Devolving decision making to enable a more place</w:t>
            </w:r>
            <w:r w:rsidR="00C843C3">
              <w:noBreakHyphen/>
            </w:r>
            <w:r w:rsidRPr="0047609D">
              <w:t>based approach that suits local community needs and circumstances</w:t>
            </w:r>
            <w:r w:rsidR="00C843C3">
              <w:t>.</w:t>
            </w:r>
          </w:p>
        </w:tc>
      </w:tr>
      <w:tr w:rsidR="00ED48BA" w:rsidRPr="0047609D" w14:paraId="325281EA" w14:textId="77777777" w:rsidTr="00AE4799">
        <w:tc>
          <w:tcPr>
            <w:tcW w:w="4156" w:type="dxa"/>
          </w:tcPr>
          <w:p w14:paraId="2AAA5841" w14:textId="7F0A2ED0" w:rsidR="00ED48BA" w:rsidRPr="0047609D" w:rsidRDefault="00B402AE" w:rsidP="00C033E5">
            <w:pPr>
              <w:pStyle w:val="Tabletextnormal"/>
              <w:spacing w:before="60" w:after="60"/>
            </w:pPr>
            <w:r>
              <w:t>R</w:t>
            </w:r>
            <w:r w:rsidR="00ED48BA" w:rsidRPr="0047609D">
              <w:t>ecognition that other services supplement clinical care and are best managed through referrals</w:t>
            </w:r>
            <w:r w:rsidR="00C843C3">
              <w:t>.</w:t>
            </w:r>
            <w:r w:rsidR="00ED48BA" w:rsidRPr="0047609D">
              <w:t xml:space="preserve"> </w:t>
            </w:r>
          </w:p>
        </w:tc>
        <w:tc>
          <w:tcPr>
            <w:tcW w:w="5384" w:type="dxa"/>
          </w:tcPr>
          <w:p w14:paraId="64086D35" w14:textId="61461658" w:rsidR="00ED48BA" w:rsidRPr="0047609D" w:rsidRDefault="00ED48BA" w:rsidP="00C033E5">
            <w:pPr>
              <w:pStyle w:val="Tabletextnormal"/>
              <w:spacing w:before="60" w:after="60"/>
            </w:pPr>
            <w:r w:rsidRPr="0047609D">
              <w:t>Enabling integrated and coordinated care teams to deliver a range of primary health care services from a variety of sectors, including working in collaboration with others who can more directly address social determinants of health, particularly where they can support or enhance the delivery of clinical care</w:t>
            </w:r>
            <w:r w:rsidR="00C843C3">
              <w:t>.</w:t>
            </w:r>
          </w:p>
        </w:tc>
      </w:tr>
      <w:tr w:rsidR="00ED48BA" w:rsidRPr="0047609D" w14:paraId="7068A0C4" w14:textId="77777777" w:rsidTr="00AE4799">
        <w:tc>
          <w:tcPr>
            <w:tcW w:w="4156" w:type="dxa"/>
          </w:tcPr>
          <w:p w14:paraId="224ECAEC" w14:textId="5933C242" w:rsidR="00ED48BA" w:rsidRPr="0047609D" w:rsidRDefault="00ED48BA" w:rsidP="00C033E5">
            <w:pPr>
              <w:pStyle w:val="Tabletextnormal"/>
              <w:spacing w:before="60" w:after="60"/>
            </w:pPr>
            <w:r w:rsidRPr="0047609D">
              <w:t>A clear split between the contracting approach applied to, and services provided by, for-profit and not-for-profit organisations</w:t>
            </w:r>
            <w:r w:rsidR="00C843C3">
              <w:t>.</w:t>
            </w:r>
          </w:p>
        </w:tc>
        <w:tc>
          <w:tcPr>
            <w:tcW w:w="5384" w:type="dxa"/>
          </w:tcPr>
          <w:p w14:paraId="43CB7C34" w14:textId="58D40795" w:rsidR="00ED48BA" w:rsidRPr="0047609D" w:rsidRDefault="00ED48BA" w:rsidP="00C033E5">
            <w:pPr>
              <w:pStyle w:val="Tabletextnormal"/>
              <w:spacing w:before="60" w:after="60"/>
            </w:pPr>
            <w:r w:rsidRPr="0047609D">
              <w:t>Embedding commercial discipline in, whilst leveraging the social motives of, the not-for-profits sector to drive improved performance</w:t>
            </w:r>
            <w:r w:rsidR="00C843C3">
              <w:t>.</w:t>
            </w:r>
          </w:p>
        </w:tc>
      </w:tr>
    </w:tbl>
    <w:p w14:paraId="1D4E89C2" w14:textId="77777777" w:rsidR="000D001F" w:rsidRDefault="00ED48BA" w:rsidP="00ED48BA">
      <w:pPr>
        <w:pStyle w:val="Paragraphtext"/>
      </w:pPr>
      <w:r>
        <w:t>T</w:t>
      </w:r>
      <w:r w:rsidRPr="00F52065">
        <w:t>raditional approach</w:t>
      </w:r>
      <w:r>
        <w:t>es to service delivery</w:t>
      </w:r>
      <w:r w:rsidRPr="00F52065">
        <w:t xml:space="preserve"> ha</w:t>
      </w:r>
      <w:r>
        <w:t>ve</w:t>
      </w:r>
      <w:r w:rsidRPr="00F52065">
        <w:t xml:space="preserve"> relied on activity or service based funding where requirements</w:t>
      </w:r>
      <w:r>
        <w:t xml:space="preserve"> are stated</w:t>
      </w:r>
      <w:r w:rsidRPr="00F52065">
        <w:t xml:space="preserve"> in service terms, and providers are evaluated and paid based on what</w:t>
      </w:r>
      <w:r>
        <w:t xml:space="preserve"> has been</w:t>
      </w:r>
      <w:r w:rsidRPr="00F52065">
        <w:t xml:space="preserve"> do</w:t>
      </w:r>
      <w:r>
        <w:t>ne</w:t>
      </w:r>
      <w:r w:rsidRPr="00F52065">
        <w:t xml:space="preserve"> rather than what outcomes have been achieved.</w:t>
      </w:r>
    </w:p>
    <w:p w14:paraId="24704410" w14:textId="091C49F9" w:rsidR="00ED48BA" w:rsidRPr="00F52065" w:rsidRDefault="00ED48BA" w:rsidP="00ED48BA">
      <w:pPr>
        <w:pStyle w:val="Paragraphtext"/>
      </w:pPr>
      <w:r w:rsidRPr="00F52065">
        <w:lastRenderedPageBreak/>
        <w:t xml:space="preserve">As Table 2 indicates, a commissioning mindset requires a deeper understanding of the health needs of the population to develop outcomes that matter to the patient and community. It recognises that to achieve these outcomes, </w:t>
      </w:r>
      <w:r>
        <w:t xml:space="preserve">PHNs </w:t>
      </w:r>
      <w:r w:rsidRPr="00F52065">
        <w:t>need to work collaboratively</w:t>
      </w:r>
      <w:r>
        <w:t xml:space="preserve"> with</w:t>
      </w:r>
      <w:r w:rsidRPr="00F52065">
        <w:t xml:space="preserve"> the market and community to develop, deliver and monitor patient centric models of care. Evidence on commissioning suggests that this is more than a technical or operational process, it is also value-based and relational</w:t>
      </w:r>
      <w:r w:rsidRPr="00D24FAE">
        <w:rPr>
          <w:rStyle w:val="FootnoteReference"/>
        </w:rPr>
        <w:footnoteReference w:id="10"/>
      </w:r>
      <w:r>
        <w:t>,</w:t>
      </w:r>
      <w:r w:rsidRPr="00F52065">
        <w:t xml:space="preserve"> as emphasised throughout this guidance.</w:t>
      </w:r>
    </w:p>
    <w:p w14:paraId="01EFEC03" w14:textId="47968892" w:rsidR="00ED48BA" w:rsidRDefault="00ED48BA" w:rsidP="00ED48BA">
      <w:pPr>
        <w:pStyle w:val="Paragraphtext"/>
      </w:pPr>
      <w:r w:rsidRPr="00F52065">
        <w:t>Key to a commissioning mindset is that PHNs put patients and the community at the centre of all thinking</w:t>
      </w:r>
      <w:r>
        <w:t xml:space="preserve"> and action which involves</w:t>
      </w:r>
      <w:r w:rsidRPr="00F52065">
        <w:t xml:space="preserve"> </w:t>
      </w:r>
      <w:r>
        <w:t xml:space="preserve">co-design, </w:t>
      </w:r>
      <w:r w:rsidRPr="00F52065">
        <w:t>engage</w:t>
      </w:r>
      <w:r>
        <w:t>ment</w:t>
      </w:r>
      <w:r w:rsidRPr="00F52065">
        <w:t xml:space="preserve"> and/or mak</w:t>
      </w:r>
      <w:r>
        <w:t>ing</w:t>
      </w:r>
      <w:r w:rsidRPr="00F52065">
        <w:t xml:space="preserve"> commissioning decisions in collaboration</w:t>
      </w:r>
      <w:r w:rsidR="00C117E4">
        <w:t>,</w:t>
      </w:r>
      <w:r w:rsidRPr="00F52065">
        <w:t xml:space="preserve"> and </w:t>
      </w:r>
      <w:r w:rsidR="00C117E4">
        <w:t xml:space="preserve">with </w:t>
      </w:r>
      <w:r w:rsidRPr="00F52065">
        <w:t xml:space="preserve">input from </w:t>
      </w:r>
      <w:r>
        <w:t>the community.</w:t>
      </w:r>
      <w:r w:rsidR="006418BA">
        <w:t xml:space="preserve">  </w:t>
      </w:r>
    </w:p>
    <w:p w14:paraId="65EE1052" w14:textId="52D8E62D" w:rsidR="000D001F" w:rsidRDefault="00ED48BA" w:rsidP="00ED48BA">
      <w:pPr>
        <w:pStyle w:val="Paragraphtext"/>
        <w:rPr>
          <w:rStyle w:val="CommentReference"/>
        </w:rPr>
      </w:pPr>
      <w:r w:rsidRPr="00F52065">
        <w:t>This is</w:t>
      </w:r>
      <w:r>
        <w:t xml:space="preserve"> of particular importance</w:t>
      </w:r>
      <w:r w:rsidRPr="00F52065">
        <w:t xml:space="preserve"> for Aboriginal and Torres Strait Islander people and communities</w:t>
      </w:r>
      <w:r>
        <w:t>, who seek cultural</w:t>
      </w:r>
      <w:r w:rsidRPr="00F52065">
        <w:t xml:space="preserve"> safe</w:t>
      </w:r>
      <w:r>
        <w:t>ty, cultural</w:t>
      </w:r>
      <w:r w:rsidRPr="00F52065">
        <w:t xml:space="preserve"> c</w:t>
      </w:r>
      <w:r>
        <w:t>ompetency and cultural</w:t>
      </w:r>
      <w:r w:rsidRPr="00F52065">
        <w:t xml:space="preserve"> aware</w:t>
      </w:r>
      <w:r>
        <w:t xml:space="preserve">ness in the provision of services. </w:t>
      </w:r>
      <w:r w:rsidRPr="00F52065">
        <w:t>In applying a commissioning mindset, PHNs should take into account the PHN and ACCHS Guiding Principles</w:t>
      </w:r>
      <w:r w:rsidR="00C117E4" w:rsidRPr="00D24FAE">
        <w:rPr>
          <w:rStyle w:val="FootnoteReference"/>
        </w:rPr>
        <w:footnoteReference w:id="11"/>
      </w:r>
      <w:r w:rsidRPr="00F52065">
        <w:t xml:space="preserve">. </w:t>
      </w:r>
      <w:r w:rsidR="00C117E4" w:rsidRPr="0006051C">
        <w:t>The Guiding Principles were developed in consultation with ACCHS and PHNs</w:t>
      </w:r>
      <w:r w:rsidR="00C117E4">
        <w:t xml:space="preserve">, and </w:t>
      </w:r>
      <w:r w:rsidR="00C117E4" w:rsidRPr="0006051C">
        <w:t>provide guidance for actions to be taken by each party across key domains: Closing the Gap, cultural competency, commissioning, engagement and representation, accountability, data and reporting, service delivery, and research.</w:t>
      </w:r>
      <w:r w:rsidR="00C117E4">
        <w:t xml:space="preserve"> </w:t>
      </w:r>
      <w:r w:rsidRPr="00F52065">
        <w:t xml:space="preserve">These </w:t>
      </w:r>
      <w:r w:rsidR="00C117E4">
        <w:t>p</w:t>
      </w:r>
      <w:r w:rsidRPr="00F52065">
        <w:t>rinciples recognise the commitment by PHNs and ACCHS to work together to improve access to health services and improve health outcomes for Aboriginal and Torres Strait Islander people and communities, including building a market of providers which is culturally safe in all its undertakings.</w:t>
      </w:r>
    </w:p>
    <w:p w14:paraId="6CD383E0" w14:textId="5B52469B" w:rsidR="000D001F" w:rsidRDefault="00ED48BA" w:rsidP="00ED48BA">
      <w:pPr>
        <w:pStyle w:val="Paragraphtext"/>
      </w:pPr>
      <w:r w:rsidRPr="0006051C">
        <w:t>At every contact point with the health system, the opportunity exists to provide care that is culturally safe, high quality, responsive and accessible for all</w:t>
      </w:r>
      <w:r>
        <w:t>. This is relevant to all populations</w:t>
      </w:r>
      <w:r w:rsidR="00DB1B06">
        <w:t>,</w:t>
      </w:r>
      <w:r>
        <w:t xml:space="preserve"> with particular consideration for</w:t>
      </w:r>
      <w:r w:rsidRPr="0006051C">
        <w:t xml:space="preserve"> Aboriginal and Torres Strait Islander people</w:t>
      </w:r>
      <w:r>
        <w:t xml:space="preserve"> and communities</w:t>
      </w:r>
      <w:r w:rsidRPr="0006051C">
        <w:t xml:space="preserve">. All services delivering primary health care at the local, regional and state levels can seek to optimise their engagement and involvement with </w:t>
      </w:r>
      <w:r>
        <w:t xml:space="preserve">all relevant populations </w:t>
      </w:r>
      <w:r w:rsidRPr="0006051C">
        <w:t>to improve health outcomes</w:t>
      </w:r>
      <w:r>
        <w:t>.</w:t>
      </w:r>
    </w:p>
    <w:p w14:paraId="39D5991A" w14:textId="77777777" w:rsidR="000D001F" w:rsidRDefault="00ED48BA" w:rsidP="00ED48BA">
      <w:pPr>
        <w:pStyle w:val="Paragraphtext"/>
      </w:pPr>
      <w:r>
        <w:t>Therefore, the development of commissioning to support the outcomes that matter to Aboriginal and Torres Strait Islander people and communities is a key focus for PHNs. This involves PHNs being culturally safe and culturally competent; and building a market of providers that are culturally safe.</w:t>
      </w:r>
    </w:p>
    <w:p w14:paraId="2CEC74CF" w14:textId="2E79C1F5" w:rsidR="000D001F" w:rsidRDefault="00ED48BA" w:rsidP="00ED48BA">
      <w:pPr>
        <w:pStyle w:val="Paragraphtext"/>
      </w:pPr>
      <w:r>
        <w:t xml:space="preserve">PHNs can play a significant role in how they operate to create an enabling environment which responds not only to </w:t>
      </w:r>
      <w:r w:rsidR="00DB1B06">
        <w:t>patients</w:t>
      </w:r>
      <w:r>
        <w:t xml:space="preserve"> and their primary health care needs but also to the </w:t>
      </w:r>
      <w:r w:rsidR="00DB1B06">
        <w:t>patient</w:t>
      </w:r>
      <w:r>
        <w:t>’s situation and family and community context. This context for Aboriginal and Torres Strait Islander people and communities is a significant consideration as PHNs build their commissioning capability and capacity</w:t>
      </w:r>
      <w:r w:rsidR="00DB1B06">
        <w:t>,</w:t>
      </w:r>
      <w:r>
        <w:t xml:space="preserve"> and develop their commissioning mindsets.</w:t>
      </w:r>
    </w:p>
    <w:p w14:paraId="052635F6" w14:textId="77777777" w:rsidR="002F60D5" w:rsidRDefault="002F60D5">
      <w:pPr>
        <w:rPr>
          <w:rFonts w:cs="Arial"/>
          <w:b/>
          <w:bCs/>
          <w:color w:val="153A6E"/>
          <w:kern w:val="28"/>
          <w:sz w:val="36"/>
          <w:szCs w:val="32"/>
        </w:rPr>
      </w:pPr>
      <w:bookmarkStart w:id="30" w:name="_Toc515288560"/>
      <w:bookmarkStart w:id="31" w:name="_Toc519689554"/>
      <w:r>
        <w:br w:type="page"/>
      </w:r>
    </w:p>
    <w:p w14:paraId="663C220C" w14:textId="27911D85" w:rsidR="00ED48BA" w:rsidRPr="00D24FAE" w:rsidRDefault="00ED48BA" w:rsidP="00D24FAE">
      <w:pPr>
        <w:pStyle w:val="Heading1"/>
      </w:pPr>
      <w:r>
        <w:lastRenderedPageBreak/>
        <w:t>K</w:t>
      </w:r>
      <w:r w:rsidR="00D24FAE">
        <w:t>ey commissioning competencies and skills</w:t>
      </w:r>
      <w:bookmarkEnd w:id="30"/>
      <w:bookmarkEnd w:id="31"/>
    </w:p>
    <w:p w14:paraId="5B5E821D" w14:textId="77777777" w:rsidR="000D001F" w:rsidRDefault="00ED48BA" w:rsidP="00ED48BA">
      <w:pPr>
        <w:pStyle w:val="Paragraphtext"/>
      </w:pPr>
      <w:r>
        <w:t xml:space="preserve">Drawing on international experience, this section provides an overview of the key competencies that have been shown to improve the success of commissioners </w:t>
      </w:r>
      <w:r w:rsidRPr="00B574AE">
        <w:t xml:space="preserve">in </w:t>
      </w:r>
      <w:r>
        <w:t xml:space="preserve">increasing the </w:t>
      </w:r>
      <w:r w:rsidRPr="00B574AE">
        <w:t xml:space="preserve">capacity and capability </w:t>
      </w:r>
      <w:r>
        <w:t xml:space="preserve">of health </w:t>
      </w:r>
      <w:r w:rsidRPr="006D4549">
        <w:t>systems.</w:t>
      </w:r>
    </w:p>
    <w:p w14:paraId="2735955A" w14:textId="595CD306" w:rsidR="00ED48BA" w:rsidRDefault="00ED48BA" w:rsidP="00ED48BA">
      <w:pPr>
        <w:pStyle w:val="Paragraphtext"/>
      </w:pPr>
      <w:r w:rsidRPr="006D4549">
        <w:t>The guidance does not attempt to define all competencies at a local level for PHNs, or replace existing competencies that PHNs may already have developed. Rather, it provides an overview of the broader set of competencies that will assist PHNs to be successful commissioners. This guidance gives further detail about the competencies on which there is less guidance available to PHNs that is directly relevant to the Australian context.</w:t>
      </w:r>
    </w:p>
    <w:p w14:paraId="4DAF6C25" w14:textId="0770F4F3" w:rsidR="00ED48BA" w:rsidRDefault="00ED48BA" w:rsidP="00ED48BA">
      <w:pPr>
        <w:pStyle w:val="Paragraphtext"/>
      </w:pPr>
      <w:r>
        <w:t>Figure 1 identifies the broader set of key competencies that can assist PHNs to be successful commissioners, and sections 3.1 to 3.6 of this guidance provide further detail on each. The key competencies are relevant at all stages of the PHN commissioning framework.</w:t>
      </w:r>
    </w:p>
    <w:p w14:paraId="346CC675" w14:textId="77777777" w:rsidR="00840C7D" w:rsidRDefault="002A774A" w:rsidP="00840C7D">
      <w:pPr>
        <w:pStyle w:val="Caption"/>
      </w:pPr>
      <w:bookmarkStart w:id="32" w:name="_Toc515288571"/>
      <w:bookmarkStart w:id="33" w:name="_Toc516150685"/>
      <w:r w:rsidRPr="00FF72C3">
        <w:t xml:space="preserve">Figure </w:t>
      </w:r>
      <w:fldSimple w:instr=" SEQ Figure \* ARABIC ">
        <w:r w:rsidR="00374AF2">
          <w:rPr>
            <w:noProof/>
          </w:rPr>
          <w:t>1</w:t>
        </w:r>
      </w:fldSimple>
      <w:r>
        <w:rPr>
          <w:noProof/>
        </w:rPr>
        <w:t>:</w:t>
      </w:r>
      <w:r w:rsidRPr="00FF72C3">
        <w:t xml:space="preserve"> Key commissionin</w:t>
      </w:r>
      <w:r>
        <w:t>g</w:t>
      </w:r>
      <w:r w:rsidRPr="00FF72C3">
        <w:t xml:space="preserve"> competencies</w:t>
      </w:r>
    </w:p>
    <w:p w14:paraId="277183FC" w14:textId="21AB1480" w:rsidR="002A774A" w:rsidRDefault="007D1432" w:rsidP="00840C7D">
      <w:pPr>
        <w:pStyle w:val="Caption"/>
        <w:jc w:val="center"/>
      </w:pPr>
      <w:r>
        <w:rPr>
          <w:noProof/>
          <w:lang w:eastAsia="en-AU"/>
        </w:rPr>
        <w:drawing>
          <wp:inline distT="0" distB="0" distL="0" distR="0" wp14:anchorId="3B3E3077" wp14:editId="4BF772FD">
            <wp:extent cx="4351655" cy="4157345"/>
            <wp:effectExtent l="0" t="0" r="0" b="0"/>
            <wp:docPr id="3" name="Picture 3" descr="This figure shows the key competencies for commis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1655" cy="4157345"/>
                    </a:xfrm>
                    <a:prstGeom prst="rect">
                      <a:avLst/>
                    </a:prstGeom>
                    <a:noFill/>
                    <a:ln>
                      <a:noFill/>
                    </a:ln>
                  </pic:spPr>
                </pic:pic>
              </a:graphicData>
            </a:graphic>
          </wp:inline>
        </w:drawing>
      </w:r>
    </w:p>
    <w:bookmarkEnd w:id="32"/>
    <w:bookmarkEnd w:id="33"/>
    <w:p w14:paraId="6C98FA74" w14:textId="6C1E92DD" w:rsidR="00ED48BA" w:rsidRDefault="00ED48BA" w:rsidP="00ED48BA">
      <w:pPr>
        <w:pStyle w:val="Paragraphtext"/>
      </w:pPr>
      <w:r>
        <w:t>The key competencies are also discussed in other resources, such as the 201</w:t>
      </w:r>
      <w:r w:rsidR="0046538A">
        <w:t>5</w:t>
      </w:r>
      <w:r>
        <w:t xml:space="preserve"> </w:t>
      </w:r>
      <w:r w:rsidRPr="0046538A">
        <w:rPr>
          <w:i/>
        </w:rPr>
        <w:t>PHN Needs Assessment Guidance</w:t>
      </w:r>
      <w:r w:rsidRPr="003A5A29">
        <w:t xml:space="preserve">, </w:t>
      </w:r>
      <w:r>
        <w:t xml:space="preserve">the 2016 </w:t>
      </w:r>
      <w:r w:rsidRPr="0046538A">
        <w:rPr>
          <w:i/>
        </w:rPr>
        <w:t>Planning in a Commissioning Environment Guidance</w:t>
      </w:r>
      <w:r w:rsidRPr="003A5A29">
        <w:t xml:space="preserve">, </w:t>
      </w:r>
      <w:r>
        <w:t>the 2016</w:t>
      </w:r>
      <w:r w:rsidRPr="003A5A29">
        <w:t xml:space="preserve"> </w:t>
      </w:r>
      <w:r w:rsidRPr="0046538A">
        <w:rPr>
          <w:i/>
        </w:rPr>
        <w:t>Designing and Contracting Services Guidance</w:t>
      </w:r>
      <w:r w:rsidRPr="003A5A29">
        <w:t>,</w:t>
      </w:r>
      <w:r>
        <w:t xml:space="preserve"> </w:t>
      </w:r>
      <w:r w:rsidRPr="009460FE">
        <w:t>the 2018</w:t>
      </w:r>
      <w:r>
        <w:t xml:space="preserve"> </w:t>
      </w:r>
      <w:r w:rsidRPr="0046538A">
        <w:rPr>
          <w:i/>
        </w:rPr>
        <w:t>Change Management and Commissioning Competencies Toolkit</w:t>
      </w:r>
      <w:r>
        <w:t>,</w:t>
      </w:r>
      <w:r w:rsidRPr="003A5A29">
        <w:t xml:space="preserve"> </w:t>
      </w:r>
      <w:r>
        <w:t xml:space="preserve">the 2018 </w:t>
      </w:r>
      <w:r w:rsidRPr="0046538A">
        <w:rPr>
          <w:i/>
        </w:rPr>
        <w:t>Market Making and Development Guidance</w:t>
      </w:r>
      <w:r>
        <w:t xml:space="preserve"> and the 2018</w:t>
      </w:r>
      <w:r w:rsidRPr="003A5A29">
        <w:t xml:space="preserve"> </w:t>
      </w:r>
      <w:r w:rsidRPr="0046538A">
        <w:rPr>
          <w:i/>
        </w:rPr>
        <w:t>Monitoring and Evaluation Guidance</w:t>
      </w:r>
      <w:r>
        <w:t>.</w:t>
      </w:r>
      <w:r w:rsidRPr="000740CD">
        <w:rPr>
          <w:rStyle w:val="FootnoteReference"/>
        </w:rPr>
        <w:footnoteReference w:id="12"/>
      </w:r>
    </w:p>
    <w:p w14:paraId="7EFD1028" w14:textId="77777777" w:rsidR="000D001F" w:rsidRDefault="00ED48BA" w:rsidP="00231B71">
      <w:pPr>
        <w:pStyle w:val="Heading2"/>
      </w:pPr>
      <w:bookmarkStart w:id="34" w:name="_Toc515288561"/>
      <w:bookmarkStart w:id="35" w:name="_Toc519689555"/>
      <w:r w:rsidRPr="00231B71">
        <w:lastRenderedPageBreak/>
        <w:t>Leadership and change management</w:t>
      </w:r>
      <w:bookmarkEnd w:id="34"/>
      <w:bookmarkEnd w:id="35"/>
    </w:p>
    <w:p w14:paraId="3A594A16" w14:textId="684683AE" w:rsidR="000D001F" w:rsidRDefault="00ED48BA" w:rsidP="00ED48BA">
      <w:pPr>
        <w:pStyle w:val="Paragraphtext"/>
      </w:pPr>
      <w:r w:rsidRPr="002D5313">
        <w:t xml:space="preserve">This competency is about collaboratively leading change internally and externally to support the primary </w:t>
      </w:r>
      <w:r>
        <w:t xml:space="preserve">health </w:t>
      </w:r>
      <w:r w:rsidRPr="002D5313">
        <w:t>care system</w:t>
      </w:r>
      <w:r>
        <w:t xml:space="preserve"> towards</w:t>
      </w:r>
      <w:r w:rsidRPr="002D5313">
        <w:t xml:space="preserve"> place</w:t>
      </w:r>
      <w:r>
        <w:t xml:space="preserve"> based</w:t>
      </w:r>
      <w:r w:rsidRPr="002D5313">
        <w:t xml:space="preserve"> and </w:t>
      </w:r>
      <w:r w:rsidR="0078316F" w:rsidRPr="004076DA">
        <w:t>commissioning</w:t>
      </w:r>
      <w:r w:rsidRPr="004076DA">
        <w:t xml:space="preserve"> approaches</w:t>
      </w:r>
      <w:r w:rsidRPr="002D5313">
        <w:t>. A key focus of this is embedding sound change management approaches, building capability and shifting the culture and behaviours to be open to and undertake new and integrated ways of working together.</w:t>
      </w:r>
    </w:p>
    <w:p w14:paraId="04F2CD06" w14:textId="4D61C1EC" w:rsidR="00ED48BA" w:rsidRPr="002E1CE1" w:rsidRDefault="00ED48BA" w:rsidP="00ED48BA">
      <w:pPr>
        <w:pStyle w:val="Paragraphtext"/>
      </w:pPr>
      <w:r>
        <w:t>For the purposes of this guidance, the leadership and change management competency is discussed in its two component parts.</w:t>
      </w:r>
    </w:p>
    <w:p w14:paraId="71B00038" w14:textId="77777777" w:rsidR="00ED48BA" w:rsidRDefault="00ED48BA" w:rsidP="00D97FAF">
      <w:pPr>
        <w:pStyle w:val="Heading3"/>
      </w:pPr>
      <w:bookmarkStart w:id="36" w:name="_Toc519689556"/>
      <w:r>
        <w:t>Leadership competency</w:t>
      </w:r>
      <w:bookmarkEnd w:id="36"/>
    </w:p>
    <w:p w14:paraId="43939299" w14:textId="77777777" w:rsidR="000D001F" w:rsidRDefault="00ED48BA" w:rsidP="00231B71">
      <w:pPr>
        <w:pStyle w:val="Paragraphtext"/>
      </w:pPr>
      <w:r w:rsidRPr="00787863">
        <w:t xml:space="preserve">This competency </w:t>
      </w:r>
      <w:r>
        <w:t>involves:</w:t>
      </w:r>
    </w:p>
    <w:p w14:paraId="3833B80D" w14:textId="06F9659D" w:rsidR="000D001F" w:rsidRDefault="00ED48BA" w:rsidP="00ED48BA">
      <w:pPr>
        <w:pStyle w:val="ListBullet"/>
      </w:pPr>
      <w:r w:rsidRPr="00FC78C9">
        <w:t>PHNs being collaborative local market leaders to collectively embed a commissioning approach</w:t>
      </w:r>
      <w:r w:rsidR="006418BA">
        <w:t>.</w:t>
      </w:r>
    </w:p>
    <w:p w14:paraId="3849A4FA" w14:textId="28BBEB37" w:rsidR="000D001F" w:rsidRDefault="00ED48BA" w:rsidP="00ED48BA">
      <w:pPr>
        <w:pStyle w:val="ListBullet"/>
      </w:pPr>
      <w:r w:rsidRPr="00FC78C9">
        <w:t>Strong, clinically informed leadership that provides clear strategic direction</w:t>
      </w:r>
      <w:r>
        <w:t xml:space="preserve"> and empowers staff and the community to work towards this direction</w:t>
      </w:r>
      <w:r w:rsidR="006418BA">
        <w:t>.</w:t>
      </w:r>
    </w:p>
    <w:p w14:paraId="53062D15" w14:textId="33289E32" w:rsidR="00ED48BA" w:rsidRDefault="00ED48BA" w:rsidP="00ED48BA">
      <w:pPr>
        <w:pStyle w:val="ListBullet"/>
      </w:pPr>
      <w:r>
        <w:t xml:space="preserve">Creating an </w:t>
      </w:r>
      <w:r w:rsidRPr="00FC78C9">
        <w:t>environment</w:t>
      </w:r>
      <w:r>
        <w:t xml:space="preserve"> conducive to learning and continuous improvement.</w:t>
      </w:r>
    </w:p>
    <w:p w14:paraId="60E2512D" w14:textId="77777777" w:rsidR="000D001F" w:rsidRDefault="00ED48BA" w:rsidP="00ED48BA">
      <w:pPr>
        <w:pStyle w:val="Paragraphtext"/>
      </w:pPr>
      <w:r>
        <w:t>The focus of this competency is on the leadership of the PHN, as an organisation, rather than individuals within the PHN. However, the guidance includes practical tips at an individual/team level too, recognising that to develop the leadership of the PHN, this will depend on developing the leadership of staff and executive who constitute the PHN.</w:t>
      </w:r>
    </w:p>
    <w:p w14:paraId="2084B4A8" w14:textId="7C4AE93A" w:rsidR="00ED48BA" w:rsidRDefault="00ED48BA" w:rsidP="00D97FAF">
      <w:pPr>
        <w:pStyle w:val="Heading3"/>
      </w:pPr>
      <w:bookmarkStart w:id="37" w:name="_Toc519689557"/>
      <w:r>
        <w:t>Leadership context for PHNs</w:t>
      </w:r>
      <w:bookmarkEnd w:id="37"/>
    </w:p>
    <w:p w14:paraId="72C4B723" w14:textId="77777777" w:rsidR="000D001F" w:rsidRDefault="00ED48BA" w:rsidP="00ED48BA">
      <w:pPr>
        <w:pStyle w:val="Paragraphtext"/>
      </w:pPr>
      <w:r w:rsidRPr="00B42F75">
        <w:t xml:space="preserve">To design and embed effective reform at scale, PHNs </w:t>
      </w:r>
      <w:r>
        <w:t>could consider</w:t>
      </w:r>
      <w:r w:rsidRPr="00B42F75">
        <w:t xml:space="preserve"> creat</w:t>
      </w:r>
      <w:r>
        <w:t>ing</w:t>
      </w:r>
      <w:r w:rsidRPr="00B42F75">
        <w:t xml:space="preserve"> a shared leadership model that enables them and others to lead beyond authority</w:t>
      </w:r>
      <w:r>
        <w:t>,</w:t>
      </w:r>
      <w:r w:rsidRPr="00B42F75">
        <w:t xml:space="preserve"> and be credible and well respected by the community and the health sector</w:t>
      </w:r>
      <w:r>
        <w:t>.</w:t>
      </w:r>
    </w:p>
    <w:p w14:paraId="68A76DD0" w14:textId="655115F8" w:rsidR="00ED48BA" w:rsidRPr="002E1CE1" w:rsidRDefault="00ED48BA" w:rsidP="00ED48BA">
      <w:pPr>
        <w:pStyle w:val="Paragraphtext"/>
      </w:pPr>
      <w:r w:rsidRPr="002E1CE1">
        <w:t xml:space="preserve">Leadership is key to the success of PHNs </w:t>
      </w:r>
      <w:r>
        <w:t>as</w:t>
      </w:r>
      <w:r w:rsidRPr="002E1CE1">
        <w:t>:</w:t>
      </w:r>
    </w:p>
    <w:p w14:paraId="7A2CB3C1" w14:textId="69377805" w:rsidR="00ED48BA" w:rsidRPr="002E1CE1" w:rsidRDefault="00ED48BA" w:rsidP="00D24FAE">
      <w:pPr>
        <w:pStyle w:val="ListBullet"/>
      </w:pPr>
      <w:r w:rsidRPr="002E1CE1">
        <w:t xml:space="preserve">PHNs have a role in </w:t>
      </w:r>
      <w:r>
        <w:t>ensuring that providers focus on</w:t>
      </w:r>
      <w:r w:rsidRPr="002E1CE1">
        <w:t xml:space="preserve"> local health priorities</w:t>
      </w:r>
      <w:r>
        <w:t xml:space="preserve">. Where required, PHNs should drive </w:t>
      </w:r>
      <w:r w:rsidRPr="002E1CE1">
        <w:t>collaboration, partnerships and innovation to achieve better health outcomes</w:t>
      </w:r>
      <w:r w:rsidR="006418BA">
        <w:t>.</w:t>
      </w:r>
    </w:p>
    <w:p w14:paraId="1472711C" w14:textId="5A48FCF5" w:rsidR="006418BA" w:rsidRPr="00545B0A" w:rsidRDefault="00ED48BA" w:rsidP="00545B0A">
      <w:pPr>
        <w:pStyle w:val="ListBullet"/>
      </w:pPr>
      <w:r w:rsidRPr="002E1CE1">
        <w:t>PHNs have a relatively small proportion of the health system funding, which restricts their scope to achieve system</w:t>
      </w:r>
      <w:r>
        <w:t>-</w:t>
      </w:r>
      <w:r w:rsidRPr="002E1CE1">
        <w:t xml:space="preserve">wide </w:t>
      </w:r>
      <w:r>
        <w:t>change</w:t>
      </w:r>
      <w:r w:rsidRPr="002E1CE1">
        <w:t>. Leadership is critical in enabling PHNs to bring other stakeholders to the table to</w:t>
      </w:r>
      <w:r>
        <w:t xml:space="preserve"> form partnerships, steer the market, leverage resources </w:t>
      </w:r>
      <w:r w:rsidRPr="002E1CE1">
        <w:t xml:space="preserve">and strategically invest in </w:t>
      </w:r>
      <w:r>
        <w:t>key areas</w:t>
      </w:r>
      <w:r w:rsidR="006418BA">
        <w:t>.</w:t>
      </w:r>
    </w:p>
    <w:p w14:paraId="2A0BD9A9" w14:textId="0569FF50" w:rsidR="00ED48BA" w:rsidRDefault="00ED48BA" w:rsidP="00D24FAE">
      <w:pPr>
        <w:pStyle w:val="ListBullet"/>
      </w:pPr>
      <w:r w:rsidRPr="002E1CE1">
        <w:t xml:space="preserve">PHNs are the change champions to embed a commissioning approach and new ways of working across the system. Commissioning </w:t>
      </w:r>
      <w:r>
        <w:t xml:space="preserve">can </w:t>
      </w:r>
      <w:r w:rsidRPr="002E1CE1">
        <w:t>result in change</w:t>
      </w:r>
      <w:r>
        <w:t>s</w:t>
      </w:r>
      <w:r w:rsidRPr="002E1CE1">
        <w:t xml:space="preserve"> to the roles and requirements of some individuals and organisations. PHN leadership is</w:t>
      </w:r>
      <w:r>
        <w:t xml:space="preserve"> a</w:t>
      </w:r>
      <w:r w:rsidRPr="002E1CE1">
        <w:t xml:space="preserve"> key </w:t>
      </w:r>
      <w:r>
        <w:t>factor in enabling this ongoing culture change</w:t>
      </w:r>
      <w:r w:rsidR="006418BA">
        <w:t>.</w:t>
      </w:r>
    </w:p>
    <w:p w14:paraId="23A9F546" w14:textId="4E74661F" w:rsidR="00ED48BA" w:rsidRDefault="00ED48BA" w:rsidP="00D24FAE">
      <w:pPr>
        <w:pStyle w:val="ListBullet"/>
      </w:pPr>
      <w:r>
        <w:t>PHNs as local leaders will play a key role in ensuring that markets support change and work collaboratively together to support better outcomes in more coordinated and integrated ways</w:t>
      </w:r>
      <w:r w:rsidR="006418BA">
        <w:t>.</w:t>
      </w:r>
    </w:p>
    <w:p w14:paraId="4A333FD7" w14:textId="627E86BB" w:rsidR="00ED48BA" w:rsidRPr="001C22A3" w:rsidRDefault="00ED48BA" w:rsidP="00D24FAE">
      <w:pPr>
        <w:pStyle w:val="ListBullet"/>
      </w:pPr>
      <w:r w:rsidRPr="004076DA">
        <w:t>Moving towards</w:t>
      </w:r>
      <w:r w:rsidR="0078316F" w:rsidRPr="004076DA">
        <w:t xml:space="preserve"> incorporating</w:t>
      </w:r>
      <w:r w:rsidRPr="004076DA">
        <w:t xml:space="preserve"> outcomes based commissioning </w:t>
      </w:r>
      <w:r w:rsidR="001C22A3">
        <w:t>can be</w:t>
      </w:r>
      <w:r w:rsidRPr="004076DA">
        <w:t xml:space="preserve"> complex and </w:t>
      </w:r>
      <w:r w:rsidR="001C22A3">
        <w:t>s</w:t>
      </w:r>
      <w:r w:rsidRPr="004076DA">
        <w:t>ustained, resilient and visionary leadership will help to secure this longer term strategy and approach</w:t>
      </w:r>
      <w:r w:rsidR="006418BA">
        <w:t>.</w:t>
      </w:r>
    </w:p>
    <w:p w14:paraId="01899902" w14:textId="71889AE5" w:rsidR="00C843C3" w:rsidRPr="002F60D5" w:rsidRDefault="00ED48BA" w:rsidP="002F60D5">
      <w:pPr>
        <w:pStyle w:val="ListBullet"/>
        <w:rPr>
          <w:rFonts w:cs="Arial"/>
          <w:b/>
          <w:iCs/>
          <w:color w:val="153A6E"/>
          <w:sz w:val="28"/>
          <w:szCs w:val="28"/>
        </w:rPr>
      </w:pPr>
      <w:r>
        <w:lastRenderedPageBreak/>
        <w:t>It</w:t>
      </w:r>
      <w:r w:rsidRPr="002E1CE1">
        <w:t xml:space="preserve"> bring</w:t>
      </w:r>
      <w:r>
        <w:t xml:space="preserve">s </w:t>
      </w:r>
      <w:r w:rsidRPr="002E1CE1">
        <w:t>stakeholders together and influence</w:t>
      </w:r>
      <w:r>
        <w:t>s</w:t>
      </w:r>
      <w:r w:rsidRPr="002E1CE1">
        <w:t xml:space="preserve"> those sectors that</w:t>
      </w:r>
      <w:r>
        <w:t xml:space="preserve"> have the remit to directly</w:t>
      </w:r>
      <w:r w:rsidRPr="002E1CE1">
        <w:t xml:space="preserve"> impact on the social determinants of health</w:t>
      </w:r>
      <w:r>
        <w:t>,</w:t>
      </w:r>
      <w:r w:rsidRPr="002E1CE1">
        <w:t xml:space="preserve"> so</w:t>
      </w:r>
      <w:r>
        <w:t xml:space="preserve"> that</w:t>
      </w:r>
      <w:r w:rsidRPr="002E1CE1">
        <w:t xml:space="preserve"> the collective system works in more coordinated and integrated ways</w:t>
      </w:r>
      <w:r>
        <w:t>.</w:t>
      </w:r>
    </w:p>
    <w:p w14:paraId="2FD4BAD9" w14:textId="66E1DA89" w:rsidR="00ED48BA" w:rsidRPr="00F775CF" w:rsidRDefault="00ED48BA" w:rsidP="00D97FAF">
      <w:pPr>
        <w:pStyle w:val="Heading3"/>
      </w:pPr>
      <w:bookmarkStart w:id="38" w:name="_Toc519689558"/>
      <w:r>
        <w:t>Leadership approaches</w:t>
      </w:r>
      <w:bookmarkEnd w:id="38"/>
    </w:p>
    <w:p w14:paraId="0F10DFBE" w14:textId="77777777" w:rsidR="00ED48BA" w:rsidRPr="003A5A29" w:rsidRDefault="00ED48BA" w:rsidP="00ED48BA">
      <w:pPr>
        <w:pStyle w:val="Paragraphtext"/>
      </w:pPr>
      <w:r>
        <w:t>Approaches that could be considered by PHNs in the move to exhibiting best practice leadership include:</w:t>
      </w:r>
    </w:p>
    <w:p w14:paraId="15642563" w14:textId="77777777" w:rsidR="00ED48BA" w:rsidRPr="00F53571" w:rsidRDefault="00ED48BA" w:rsidP="00D97FAF">
      <w:pPr>
        <w:pStyle w:val="Heading4"/>
      </w:pPr>
      <w:r w:rsidRPr="00F53571">
        <w:t>Place based leadership</w:t>
      </w:r>
    </w:p>
    <w:p w14:paraId="2790D73F" w14:textId="77777777" w:rsidR="000D001F" w:rsidRDefault="00ED48BA" w:rsidP="00ED48BA">
      <w:pPr>
        <w:pStyle w:val="Paragraphtext"/>
      </w:pPr>
      <w:r>
        <w:t xml:space="preserve">This is an approach to leadership which </w:t>
      </w:r>
      <w:r w:rsidRPr="00EB22B7">
        <w:t xml:space="preserve">maximises local resources to deliver </w:t>
      </w:r>
      <w:r>
        <w:t xml:space="preserve">health care </w:t>
      </w:r>
      <w:r w:rsidRPr="00EB22B7">
        <w:t xml:space="preserve">services based on </w:t>
      </w:r>
      <w:r>
        <w:t>a specific geographic location</w:t>
      </w:r>
      <w:r w:rsidRPr="00D24FAE">
        <w:rPr>
          <w:rStyle w:val="FootnoteReference"/>
        </w:rPr>
        <w:footnoteReference w:id="13"/>
      </w:r>
      <w:r>
        <w:t>. Characteristics that actively support this approach include:</w:t>
      </w:r>
    </w:p>
    <w:p w14:paraId="61ED8122" w14:textId="44DDD135" w:rsidR="00ED48BA" w:rsidRDefault="00ED48BA" w:rsidP="00ED48BA">
      <w:pPr>
        <w:pStyle w:val="ListBullet"/>
      </w:pPr>
      <w:r w:rsidRPr="00644045">
        <w:t>E</w:t>
      </w:r>
      <w:r>
        <w:t>ngaging</w:t>
      </w:r>
      <w:r w:rsidRPr="00644045">
        <w:t xml:space="preserve"> with local communities</w:t>
      </w:r>
      <w:r>
        <w:t xml:space="preserve"> around the role of PHNs and how commissioning can support better outcomes</w:t>
      </w:r>
      <w:r w:rsidR="006418BA">
        <w:t>.</w:t>
      </w:r>
    </w:p>
    <w:p w14:paraId="29D3E0B1" w14:textId="0CAFADE8" w:rsidR="000D001F" w:rsidRDefault="00ED48BA" w:rsidP="00ED48BA">
      <w:pPr>
        <w:pStyle w:val="ListBullet"/>
      </w:pPr>
      <w:r>
        <w:t>Recognising the</w:t>
      </w:r>
      <w:r w:rsidRPr="00F67149">
        <w:t xml:space="preserve"> </w:t>
      </w:r>
      <w:r>
        <w:t xml:space="preserve">similarities </w:t>
      </w:r>
      <w:r w:rsidRPr="00F67149">
        <w:t>and di</w:t>
      </w:r>
      <w:r>
        <w:t>fferences (such as cultural competency, objectives, geographic boundaries and patient focus)</w:t>
      </w:r>
      <w:r w:rsidRPr="00F67149">
        <w:t xml:space="preserve"> between</w:t>
      </w:r>
      <w:r>
        <w:t xml:space="preserve"> local organisations (such as</w:t>
      </w:r>
      <w:r w:rsidRPr="00F67149">
        <w:t xml:space="preserve"> </w:t>
      </w:r>
      <w:r>
        <w:t>providers, other commissioners/funders) that impact on local population health outcomes</w:t>
      </w:r>
      <w:r w:rsidR="006418BA">
        <w:t>.</w:t>
      </w:r>
    </w:p>
    <w:p w14:paraId="32A60A69" w14:textId="4AAF53FB" w:rsidR="000D001F" w:rsidRDefault="00ED48BA" w:rsidP="00ED48BA">
      <w:pPr>
        <w:pStyle w:val="ListBullet"/>
      </w:pPr>
      <w:r>
        <w:t>Using population health frameworks and tools that connect commissioning programs together and help apply a more strategic approach to understanding needs</w:t>
      </w:r>
      <w:r w:rsidR="006418BA">
        <w:t>.</w:t>
      </w:r>
    </w:p>
    <w:p w14:paraId="7E847D7B" w14:textId="43358E96" w:rsidR="000D001F" w:rsidRDefault="00ED48BA" w:rsidP="00ED48BA">
      <w:pPr>
        <w:pStyle w:val="ListBullet"/>
      </w:pPr>
      <w:r>
        <w:t>A system of local leadership – clinical, consumer and community, supported by PHN leadership that will mirror and support the way local and community decision making is made</w:t>
      </w:r>
      <w:r w:rsidR="006418BA">
        <w:t>.</w:t>
      </w:r>
    </w:p>
    <w:p w14:paraId="6EC256E4" w14:textId="78ABF87D" w:rsidR="00ED48BA" w:rsidRDefault="00ED48BA" w:rsidP="00ED48BA">
      <w:pPr>
        <w:pStyle w:val="ListBullet"/>
      </w:pPr>
      <w:r w:rsidRPr="00F67149">
        <w:t>A focus on the communities of the region and co-creating</w:t>
      </w:r>
      <w:r>
        <w:t xml:space="preserve"> solutions based on their needs, including Aboriginal and Torres Strait Islander people and communities, and those at risk of poor health outcomes</w:t>
      </w:r>
      <w:r w:rsidR="006418BA">
        <w:t>.</w:t>
      </w:r>
    </w:p>
    <w:p w14:paraId="06DB8CA2" w14:textId="7868D81B" w:rsidR="000D001F" w:rsidRDefault="00ED48BA" w:rsidP="00ED48BA">
      <w:pPr>
        <w:pStyle w:val="ListBullet"/>
      </w:pPr>
      <w:r>
        <w:t>Utilising and strategically connecting national, state/territory and local data and programs that are being collected and delivered in isolation / overlap, to better understand target the health needs of the population</w:t>
      </w:r>
      <w:r w:rsidR="006418BA">
        <w:t>.</w:t>
      </w:r>
    </w:p>
    <w:p w14:paraId="610DC9F0" w14:textId="77777777" w:rsidR="000D001F" w:rsidRDefault="00ED48BA" w:rsidP="00ED48BA">
      <w:pPr>
        <w:pStyle w:val="ListBullet"/>
      </w:pPr>
      <w:r w:rsidRPr="00AF6736">
        <w:t xml:space="preserve">Collaboration with other </w:t>
      </w:r>
      <w:r>
        <w:t>funders</w:t>
      </w:r>
      <w:r w:rsidRPr="00AF6736">
        <w:t xml:space="preserve"> and commissioning agencies to address the local needs of the population.</w:t>
      </w:r>
      <w:r>
        <w:t xml:space="preserve"> </w:t>
      </w:r>
      <w:r w:rsidRPr="00AF6736">
        <w:t>This could include shared regional and local planning with shared activities and financial resources.</w:t>
      </w:r>
    </w:p>
    <w:p w14:paraId="5DD791DD" w14:textId="2FAED428" w:rsidR="00ED48BA" w:rsidRPr="004C44A4" w:rsidRDefault="00ED48BA" w:rsidP="00D97FAF">
      <w:pPr>
        <w:pStyle w:val="Heading4"/>
      </w:pPr>
      <w:r w:rsidRPr="004C44A4">
        <w:t>Leading beyond authority</w:t>
      </w:r>
    </w:p>
    <w:p w14:paraId="139FF55D" w14:textId="77777777" w:rsidR="000D001F" w:rsidRDefault="00ED48BA" w:rsidP="00ED48BA">
      <w:pPr>
        <w:pStyle w:val="Paragraphtext"/>
      </w:pPr>
      <w:r w:rsidRPr="00EA526A">
        <w:t>It is important to acknowledge that PHNs are operating as a part of the broader health system</w:t>
      </w:r>
      <w:r>
        <w:t xml:space="preserve">, and </w:t>
      </w:r>
      <w:r w:rsidRPr="00EA526A">
        <w:t>that PHNs are not the sole</w:t>
      </w:r>
      <w:r>
        <w:t xml:space="preserve"> (</w:t>
      </w:r>
      <w:r w:rsidRPr="00EA526A">
        <w:t>and sometimes not the most important</w:t>
      </w:r>
      <w:r>
        <w:t>)</w:t>
      </w:r>
      <w:r w:rsidRPr="00EA526A">
        <w:t xml:space="preserve"> source of support in seeking to develop </w:t>
      </w:r>
      <w:r>
        <w:t>health service provider markets</w:t>
      </w:r>
      <w:r w:rsidRPr="00EA526A">
        <w:t>.</w:t>
      </w:r>
      <w:r>
        <w:t xml:space="preserve"> Leading beyond authority for PHNs is the </w:t>
      </w:r>
      <w:r w:rsidRPr="003A5A29">
        <w:t xml:space="preserve">ability to lead outside their direct circle of control and </w:t>
      </w:r>
      <w:r>
        <w:t>effect</w:t>
      </w:r>
      <w:r w:rsidRPr="003A5A29">
        <w:t xml:space="preserve"> change </w:t>
      </w:r>
      <w:r>
        <w:t>across</w:t>
      </w:r>
      <w:r w:rsidRPr="003A5A29">
        <w:t xml:space="preserve"> the primary health care system and other connected systems</w:t>
      </w:r>
      <w:r>
        <w:rPr>
          <w:rStyle w:val="FootnoteReference"/>
        </w:rPr>
        <w:footnoteReference w:id="14"/>
      </w:r>
      <w:r w:rsidRPr="003A5A29">
        <w:t>.</w:t>
      </w:r>
    </w:p>
    <w:p w14:paraId="6A986333" w14:textId="77777777" w:rsidR="00ED48BA" w:rsidRDefault="00ED48BA" w:rsidP="00C033E5">
      <w:pPr>
        <w:pStyle w:val="Paragraphtext"/>
        <w:spacing w:after="120"/>
      </w:pPr>
      <w:r>
        <w:lastRenderedPageBreak/>
        <w:t>Common Purpose, a not-for-profit organisation that develops leaders who can cross boundaries, recommends ‘leading beyond authority’ as a leadership approach. Many of the core principles of this approach are intuitive, and relevant to PHNs, including</w:t>
      </w:r>
      <w:r>
        <w:rPr>
          <w:rStyle w:val="FootnoteReference"/>
        </w:rPr>
        <w:footnoteReference w:id="15"/>
      </w:r>
      <w:r>
        <w:t>:</w:t>
      </w:r>
    </w:p>
    <w:p w14:paraId="35207C7C" w14:textId="77777777" w:rsidR="000D001F" w:rsidRDefault="00ED48BA" w:rsidP="00ED48BA">
      <w:pPr>
        <w:pStyle w:val="ListBullet"/>
      </w:pPr>
      <w:r>
        <w:t xml:space="preserve">Taking the </w:t>
      </w:r>
      <w:r w:rsidRPr="00822A9E">
        <w:rPr>
          <w:i/>
        </w:rPr>
        <w:t>right approach</w:t>
      </w:r>
      <w:r>
        <w:t xml:space="preserve"> requires</w:t>
      </w:r>
      <w:r w:rsidRPr="00F16657">
        <w:t>:</w:t>
      </w:r>
    </w:p>
    <w:p w14:paraId="0D703824" w14:textId="7A94AF92" w:rsidR="00ED48BA" w:rsidRDefault="00ED48BA" w:rsidP="0078794C">
      <w:pPr>
        <w:pStyle w:val="ListBullet2"/>
      </w:pPr>
      <w:r>
        <w:rPr>
          <w:b/>
        </w:rPr>
        <w:t>C</w:t>
      </w:r>
      <w:r w:rsidRPr="00D56E12">
        <w:rPr>
          <w:b/>
        </w:rPr>
        <w:t>ourage</w:t>
      </w:r>
      <w:r>
        <w:rPr>
          <w:b/>
        </w:rPr>
        <w:t xml:space="preserve"> and passion</w:t>
      </w:r>
      <w:r>
        <w:t xml:space="preserve"> - trying new models of care and ways of working that may not be proven and proactively engaging with stakeholders. </w:t>
      </w:r>
      <w:r w:rsidRPr="00B12172">
        <w:t>Thi</w:t>
      </w:r>
      <w:r>
        <w:t xml:space="preserve">s is important for PHNs in aiming to embed patient centred care, and as </w:t>
      </w:r>
      <w:r w:rsidRPr="00B12172">
        <w:t xml:space="preserve">change agents for </w:t>
      </w:r>
      <w:r>
        <w:t>improving primary health care.</w:t>
      </w:r>
    </w:p>
    <w:p w14:paraId="252675A7" w14:textId="77777777" w:rsidR="00ED48BA" w:rsidRPr="00D56E12" w:rsidRDefault="00ED48BA" w:rsidP="0078794C">
      <w:pPr>
        <w:pStyle w:val="ListBullet2"/>
        <w:rPr>
          <w:b/>
        </w:rPr>
      </w:pPr>
      <w:r>
        <w:rPr>
          <w:b/>
        </w:rPr>
        <w:t>I</w:t>
      </w:r>
      <w:r w:rsidRPr="00D56E12">
        <w:rPr>
          <w:b/>
        </w:rPr>
        <w:t>ndependence</w:t>
      </w:r>
      <w:r>
        <w:rPr>
          <w:b/>
        </w:rPr>
        <w:t xml:space="preserve"> </w:t>
      </w:r>
      <w:r w:rsidRPr="0065377B">
        <w:t>– t</w:t>
      </w:r>
      <w:r w:rsidRPr="00F44A4E">
        <w:t>aking</w:t>
      </w:r>
      <w:r>
        <w:t xml:space="preserve"> a balanced view to health priorities and needs, designing and contracting services, and monitoring and evaluation and working with providers.</w:t>
      </w:r>
    </w:p>
    <w:p w14:paraId="4F7C4077" w14:textId="77777777" w:rsidR="00ED48BA" w:rsidRDefault="00ED48BA" w:rsidP="00ED48BA">
      <w:pPr>
        <w:pStyle w:val="ListBullet"/>
      </w:pPr>
      <w:r>
        <w:t xml:space="preserve">Developing a </w:t>
      </w:r>
      <w:r w:rsidRPr="00822A9E">
        <w:rPr>
          <w:i/>
        </w:rPr>
        <w:t>strategic mindset</w:t>
      </w:r>
      <w:r>
        <w:t xml:space="preserve"> requires:</w:t>
      </w:r>
    </w:p>
    <w:p w14:paraId="54A7F765" w14:textId="4DB3BDCE" w:rsidR="000D001F" w:rsidRPr="0098758D" w:rsidRDefault="00ED48BA" w:rsidP="0078794C">
      <w:pPr>
        <w:pStyle w:val="ListBullet2"/>
      </w:pPr>
      <w:r w:rsidRPr="004C3132">
        <w:rPr>
          <w:b/>
        </w:rPr>
        <w:t>Strategic thinking and a good sense of timing</w:t>
      </w:r>
      <w:r>
        <w:t xml:space="preserve"> - r</w:t>
      </w:r>
      <w:r w:rsidRPr="004C3132">
        <w:t xml:space="preserve">ecognising </w:t>
      </w:r>
      <w:r>
        <w:t>that there will be unique issues in each PHN region to tactfully resolve, using key levers</w:t>
      </w:r>
      <w:r w:rsidR="00241D71">
        <w:t xml:space="preserve"> </w:t>
      </w:r>
      <w:r>
        <w:t xml:space="preserve">at the right time and seizing opportunities. This involves PHNs being patient in implementing long term reforms, such as </w:t>
      </w:r>
      <w:r w:rsidRPr="0098758D">
        <w:t xml:space="preserve">transitioning to outcomes based commissioning </w:t>
      </w:r>
      <w:r w:rsidR="0098758D" w:rsidRPr="0098758D">
        <w:t xml:space="preserve">and </w:t>
      </w:r>
      <w:r w:rsidRPr="0098758D">
        <w:t>in developing markets.</w:t>
      </w:r>
    </w:p>
    <w:p w14:paraId="652BAC29" w14:textId="3A54720C" w:rsidR="00ED48BA" w:rsidRDefault="00ED48BA" w:rsidP="00ED48BA">
      <w:pPr>
        <w:pStyle w:val="ListBullet"/>
      </w:pPr>
      <w:r>
        <w:t xml:space="preserve">Taking a </w:t>
      </w:r>
      <w:r w:rsidRPr="00822A9E">
        <w:rPr>
          <w:i/>
        </w:rPr>
        <w:t>people approach</w:t>
      </w:r>
      <w:r>
        <w:t xml:space="preserve"> requires:</w:t>
      </w:r>
    </w:p>
    <w:p w14:paraId="61C1021B" w14:textId="77777777" w:rsidR="000D001F" w:rsidRDefault="00ED48BA" w:rsidP="0078794C">
      <w:pPr>
        <w:pStyle w:val="ListBullet2"/>
      </w:pPr>
      <w:r w:rsidRPr="004C3132">
        <w:rPr>
          <w:b/>
        </w:rPr>
        <w:t>B</w:t>
      </w:r>
      <w:r>
        <w:rPr>
          <w:b/>
        </w:rPr>
        <w:t>uilding coalitions</w:t>
      </w:r>
      <w:r>
        <w:t xml:space="preserve"> -</w:t>
      </w:r>
      <w:r>
        <w:rPr>
          <w:b/>
        </w:rPr>
        <w:t xml:space="preserve"> </w:t>
      </w:r>
      <w:r>
        <w:t xml:space="preserve">commissioning cannot be undertaken in isolation and can benefit from strong </w:t>
      </w:r>
      <w:r w:rsidRPr="00F16657">
        <w:t>relationships</w:t>
      </w:r>
      <w:r>
        <w:t xml:space="preserve"> formed</w:t>
      </w:r>
      <w:r w:rsidRPr="00F16657">
        <w:t xml:space="preserve"> </w:t>
      </w:r>
      <w:r>
        <w:t>with diverse</w:t>
      </w:r>
      <w:r w:rsidRPr="00F16657">
        <w:t xml:space="preserve"> networks</w:t>
      </w:r>
      <w:r>
        <w:t xml:space="preserve"> at a senior level. This can accelerate the creation of </w:t>
      </w:r>
      <w:r w:rsidRPr="00F16657">
        <w:t xml:space="preserve">new learning and </w:t>
      </w:r>
      <w:r>
        <w:t>i</w:t>
      </w:r>
      <w:r w:rsidRPr="00F16657">
        <w:t>deas</w:t>
      </w:r>
      <w:r>
        <w:t xml:space="preserve"> that improve primary health care.</w:t>
      </w:r>
    </w:p>
    <w:p w14:paraId="4648361A" w14:textId="4ACAD101" w:rsidR="00ED48BA" w:rsidRPr="007165D1" w:rsidRDefault="00ED48BA" w:rsidP="00D97FAF">
      <w:pPr>
        <w:pStyle w:val="Heading4"/>
      </w:pPr>
      <w:r w:rsidRPr="007165D1">
        <w:t>Entrepreneurial leadership</w:t>
      </w:r>
    </w:p>
    <w:p w14:paraId="5B50709D" w14:textId="51736FA5" w:rsidR="00ED48BA" w:rsidRDefault="00ED48BA" w:rsidP="00ED48BA">
      <w:pPr>
        <w:pStyle w:val="Paragraphtext"/>
      </w:pPr>
      <w:r>
        <w:t>Entrepreneurship has been defined as the pursuit of opportunities involving major risk, responsiveness to systematic changes and the development of innovations.</w:t>
      </w:r>
      <w:r w:rsidRPr="00D24FAE">
        <w:rPr>
          <w:rStyle w:val="FootnoteReference"/>
        </w:rPr>
        <w:footnoteReference w:id="16"/>
      </w:r>
      <w:r>
        <w:t xml:space="preserve"> Due to the complexity of the health care environment, a level of entrepreneurial leadership that is innovative, opportunities-driven and that engages with risk, is important in helping to support effective commissioning. According to the Institute for Healthcare Improvement, “</w:t>
      </w:r>
      <w:r w:rsidRPr="005F29CE">
        <w:t>Health care organisations of the future will depend on nimble, sophisticated, and creative employees to meet their objectives”</w:t>
      </w:r>
      <w:r w:rsidRPr="00D24FAE">
        <w:rPr>
          <w:rStyle w:val="FootnoteReference"/>
        </w:rPr>
        <w:t xml:space="preserve"> </w:t>
      </w:r>
      <w:r w:rsidRPr="00D24FAE">
        <w:rPr>
          <w:rStyle w:val="FootnoteReference"/>
        </w:rPr>
        <w:footnoteReference w:id="17"/>
      </w:r>
      <w:r>
        <w:t>. Primary health care, like many sectors, is being influenced by technology and increasing community expectations which requires an increasing level of entrepreneurship. Taking an entrepreneurial approach to leadership could help PHNs to leverage this influence and meet expectations. This type of leadership is based on:</w:t>
      </w:r>
    </w:p>
    <w:p w14:paraId="37FD29D3" w14:textId="4C3B52C7" w:rsidR="00ED48BA" w:rsidRDefault="00ED48BA" w:rsidP="00231B71">
      <w:pPr>
        <w:pStyle w:val="ListBullet"/>
      </w:pPr>
      <w:r>
        <w:t>Creating an acceptable environment for learning and growth, where failures are ultimately viewed as opportunities to learn</w:t>
      </w:r>
      <w:r w:rsidR="006418BA">
        <w:t>.</w:t>
      </w:r>
    </w:p>
    <w:p w14:paraId="31F79633" w14:textId="1AE3862B" w:rsidR="000D001F" w:rsidRDefault="00ED48BA" w:rsidP="00231B71">
      <w:pPr>
        <w:pStyle w:val="ListBullet"/>
      </w:pPr>
      <w:r w:rsidRPr="00B12172">
        <w:t>Communicating</w:t>
      </w:r>
      <w:r w:rsidRPr="00F53571">
        <w:t xml:space="preserve"> a strong common goal </w:t>
      </w:r>
      <w:r>
        <w:t>that all parties can contribute to (which can enable the PHN to jointly commission outcomes with a diverse set of stakeholders)</w:t>
      </w:r>
      <w:r w:rsidR="006418BA">
        <w:t>.</w:t>
      </w:r>
    </w:p>
    <w:p w14:paraId="09B3EA58" w14:textId="259EEC59" w:rsidR="00ED48BA" w:rsidRDefault="00ED48BA" w:rsidP="00231B71">
      <w:pPr>
        <w:pStyle w:val="ListBullet"/>
      </w:pPr>
      <w:r>
        <w:t>S</w:t>
      </w:r>
      <w:r w:rsidRPr="00F53571">
        <w:t xml:space="preserve">etting expectations on ways of working and seeking out passionate individuals to collectively empower others </w:t>
      </w:r>
      <w:r>
        <w:t>to contribute towards this goal</w:t>
      </w:r>
      <w:r w:rsidR="006418BA">
        <w:t>.</w:t>
      </w:r>
    </w:p>
    <w:p w14:paraId="22892964" w14:textId="77777777" w:rsidR="00545B0A" w:rsidRDefault="00545B0A">
      <w:pPr>
        <w:rPr>
          <w:color w:val="000000" w:themeColor="text1"/>
        </w:rPr>
      </w:pPr>
      <w:r>
        <w:br w:type="page"/>
      </w:r>
    </w:p>
    <w:p w14:paraId="68109A19" w14:textId="3D1D27B5" w:rsidR="000D001F" w:rsidRDefault="00ED48BA" w:rsidP="00231B71">
      <w:pPr>
        <w:pStyle w:val="ListBullet"/>
      </w:pPr>
      <w:r w:rsidRPr="00B12172">
        <w:lastRenderedPageBreak/>
        <w:t>Embracing the chance to explore new models of care</w:t>
      </w:r>
      <w:r>
        <w:t xml:space="preserve"> and critically review services for decommissioning or scaling up</w:t>
      </w:r>
      <w:r w:rsidR="006418BA">
        <w:t>.</w:t>
      </w:r>
    </w:p>
    <w:p w14:paraId="52F15B73" w14:textId="48BA25A8" w:rsidR="00ED48BA" w:rsidRDefault="00ED48BA" w:rsidP="00231B71">
      <w:pPr>
        <w:pStyle w:val="ListBullet"/>
      </w:pPr>
      <w:r>
        <w:t>Encouraging continuous improvement and sensible risk taking to ensure the PHN does not just ‘do nothing’ or ‘take blind risks’</w:t>
      </w:r>
      <w:r w:rsidR="006418BA">
        <w:t>.</w:t>
      </w:r>
    </w:p>
    <w:p w14:paraId="4805F46C" w14:textId="77777777" w:rsidR="000D001F" w:rsidRDefault="00ED48BA" w:rsidP="00231B71">
      <w:pPr>
        <w:pStyle w:val="ListBullet"/>
      </w:pPr>
      <w:r>
        <w:t>Balancing</w:t>
      </w:r>
      <w:r w:rsidRPr="00B12172">
        <w:t xml:space="preserve"> risk taking and the potential impacts to reput</w:t>
      </w:r>
      <w:r>
        <w:t>ation and stakeholder relations.</w:t>
      </w:r>
    </w:p>
    <w:p w14:paraId="1F9DA18F" w14:textId="5FF4A90B" w:rsidR="00ED48BA" w:rsidRDefault="00ED48BA" w:rsidP="00D97FAF">
      <w:pPr>
        <w:pStyle w:val="Heading3"/>
      </w:pPr>
      <w:bookmarkStart w:id="39" w:name="_Toc519689559"/>
      <w:r>
        <w:t>Practical tips and skills for developing leadership</w:t>
      </w:r>
      <w:bookmarkEnd w:id="39"/>
    </w:p>
    <w:p w14:paraId="7D4B9F2C" w14:textId="77777777" w:rsidR="00ED48BA" w:rsidRDefault="00ED48BA" w:rsidP="00ED48BA">
      <w:pPr>
        <w:pStyle w:val="Paragraphtext"/>
      </w:pPr>
      <w:r>
        <w:t>The tips in Table 3 aim to provide practical actions for PHNs to develop this competency</w:t>
      </w:r>
      <w:r w:rsidRPr="008E1A36">
        <w:t xml:space="preserve"> </w:t>
      </w:r>
      <w:r>
        <w:t>at the following levels:</w:t>
      </w:r>
    </w:p>
    <w:p w14:paraId="3F474028" w14:textId="77777777" w:rsidR="000D001F" w:rsidRDefault="00ED48BA" w:rsidP="00231B71">
      <w:pPr>
        <w:pStyle w:val="ListBullet"/>
      </w:pPr>
      <w:r>
        <w:t>System – Those within the PHN region that are strategically influencing system wide reform</w:t>
      </w:r>
    </w:p>
    <w:p w14:paraId="44A53829" w14:textId="77777777" w:rsidR="000D001F" w:rsidRDefault="00ED48BA" w:rsidP="00231B71">
      <w:pPr>
        <w:pStyle w:val="ListBullet"/>
      </w:pPr>
      <w:r>
        <w:t>Organisation – PHN leadership / executives</w:t>
      </w:r>
    </w:p>
    <w:p w14:paraId="2D3E9DC2" w14:textId="2824CF9A" w:rsidR="00ED48BA" w:rsidRDefault="00ED48BA" w:rsidP="00231B71">
      <w:pPr>
        <w:pStyle w:val="ListBullet"/>
      </w:pPr>
      <w:r>
        <w:t>Individual/team –</w:t>
      </w:r>
      <w:r w:rsidR="00A45506">
        <w:t xml:space="preserve"> </w:t>
      </w:r>
      <w:r>
        <w:t>operational level of the PHN</w:t>
      </w:r>
    </w:p>
    <w:p w14:paraId="5636EA60" w14:textId="77777777" w:rsidR="00ED48BA" w:rsidRDefault="00ED48BA" w:rsidP="00ED48BA">
      <w:pPr>
        <w:pStyle w:val="Paragraphtext"/>
      </w:pPr>
      <w:r>
        <w:t>Tables with this structure of ‘system/organisation/individual’ are used in each subsequent chapter of this guidance to provide practical actions for PHNs for each of the other competencies.</w:t>
      </w:r>
    </w:p>
    <w:p w14:paraId="0941CA9D" w14:textId="77777777" w:rsidR="00545B0A" w:rsidRDefault="00545B0A">
      <w:pPr>
        <w:rPr>
          <w:b/>
          <w:bCs/>
          <w:color w:val="000000" w:themeColor="text1"/>
          <w:szCs w:val="18"/>
        </w:rPr>
      </w:pPr>
      <w:bookmarkStart w:id="40" w:name="_Toc515288582"/>
      <w:bookmarkStart w:id="41" w:name="_Toc516150688"/>
      <w:r>
        <w:br w:type="page"/>
      </w:r>
    </w:p>
    <w:p w14:paraId="13CA48FB" w14:textId="5E15E6BD" w:rsidR="00ED48BA" w:rsidRPr="00397C7E" w:rsidRDefault="00ED48BA" w:rsidP="00ED48BA">
      <w:pPr>
        <w:pStyle w:val="Caption"/>
      </w:pPr>
      <w:r w:rsidRPr="00397C7E">
        <w:lastRenderedPageBreak/>
        <w:t xml:space="preserve">Table </w:t>
      </w:r>
      <w:fldSimple w:instr=" SEQ Table \* ARABIC ">
        <w:r w:rsidR="00374AF2">
          <w:rPr>
            <w:noProof/>
          </w:rPr>
          <w:t>3</w:t>
        </w:r>
      </w:fldSimple>
      <w:r w:rsidRPr="00397C7E">
        <w:rPr>
          <w:noProof/>
        </w:rPr>
        <w:t>:</w:t>
      </w:r>
      <w:r w:rsidRPr="00397C7E">
        <w:t xml:space="preserve"> Practical tips and skills for leadership</w:t>
      </w:r>
      <w:bookmarkEnd w:id="40"/>
      <w:bookmarkEnd w:id="41"/>
    </w:p>
    <w:tbl>
      <w:tblPr>
        <w:tblStyle w:val="PHNBlueTable"/>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Practical tips and skills for leadership"/>
        <w:tblDescription w:val="This table features three columns and two rows. Each column identifies practical tips that PHNs could use to develop the leadership competency at a system, organisational or individual/team level. "/>
      </w:tblPr>
      <w:tblGrid>
        <w:gridCol w:w="3369"/>
        <w:gridCol w:w="2835"/>
        <w:gridCol w:w="3083"/>
      </w:tblGrid>
      <w:tr w:rsidR="0078794C" w:rsidRPr="00397C7E" w14:paraId="34B5AD47" w14:textId="77777777" w:rsidTr="00545B0A">
        <w:trPr>
          <w:cnfStyle w:val="100000000000" w:firstRow="1" w:lastRow="0" w:firstColumn="0" w:lastColumn="0" w:oddVBand="0" w:evenVBand="0" w:oddHBand="0" w:evenHBand="0" w:firstRowFirstColumn="0" w:firstRowLastColumn="0" w:lastRowFirstColumn="0" w:lastRowLastColumn="0"/>
        </w:trPr>
        <w:tc>
          <w:tcPr>
            <w:tcW w:w="3369" w:type="dxa"/>
            <w:shd w:val="clear" w:color="auto" w:fill="8D188D"/>
          </w:tcPr>
          <w:p w14:paraId="525E926F" w14:textId="77777777" w:rsidR="0078794C" w:rsidRPr="00397C7E" w:rsidRDefault="0078794C" w:rsidP="0078794C">
            <w:pPr>
              <w:pStyle w:val="TableHeaderWhite"/>
            </w:pPr>
            <w:r w:rsidRPr="00397C7E">
              <w:t xml:space="preserve">System </w:t>
            </w:r>
          </w:p>
        </w:tc>
        <w:tc>
          <w:tcPr>
            <w:tcW w:w="2835" w:type="dxa"/>
            <w:shd w:val="clear" w:color="auto" w:fill="8D188D"/>
          </w:tcPr>
          <w:p w14:paraId="42CB58F4" w14:textId="77777777" w:rsidR="0078794C" w:rsidRPr="00397C7E" w:rsidRDefault="0078794C" w:rsidP="0078794C">
            <w:pPr>
              <w:pStyle w:val="TableHeaderWhite"/>
            </w:pPr>
            <w:r w:rsidRPr="00397C7E">
              <w:t>Organisation</w:t>
            </w:r>
          </w:p>
        </w:tc>
        <w:tc>
          <w:tcPr>
            <w:tcW w:w="3083" w:type="dxa"/>
            <w:shd w:val="clear" w:color="auto" w:fill="8D188D"/>
          </w:tcPr>
          <w:p w14:paraId="0BC2369C" w14:textId="77777777" w:rsidR="0078794C" w:rsidRPr="00397C7E" w:rsidRDefault="0078794C" w:rsidP="0078794C">
            <w:pPr>
              <w:pStyle w:val="TableHeaderWhite"/>
            </w:pPr>
            <w:r w:rsidRPr="00397C7E">
              <w:t>Individual / team</w:t>
            </w:r>
          </w:p>
        </w:tc>
      </w:tr>
      <w:tr w:rsidR="0078794C" w:rsidRPr="00BC10FA" w14:paraId="44F0623C" w14:textId="77777777" w:rsidTr="00545B0A">
        <w:tc>
          <w:tcPr>
            <w:tcW w:w="3369" w:type="dxa"/>
          </w:tcPr>
          <w:p w14:paraId="38C555E2" w14:textId="64268D77" w:rsidR="0078794C" w:rsidRPr="00397C7E" w:rsidRDefault="0078794C" w:rsidP="00670F18">
            <w:pPr>
              <w:pStyle w:val="Tablenumberedtextnormal"/>
              <w:numPr>
                <w:ilvl w:val="0"/>
                <w:numId w:val="44"/>
              </w:numPr>
            </w:pPr>
            <w:r w:rsidRPr="00397C7E">
              <w:t>U</w:t>
            </w:r>
            <w:r w:rsidR="00545B0A">
              <w:t>se</w:t>
            </w:r>
            <w:r w:rsidRPr="00397C7E">
              <w:t xml:space="preserve"> relationship management skills to leverage networks within and across regions to collaborate and streamline commissioning resources</w:t>
            </w:r>
            <w:r w:rsidR="00262B8C" w:rsidRPr="00397C7E">
              <w:t>.</w:t>
            </w:r>
          </w:p>
          <w:p w14:paraId="4C70045C" w14:textId="65025885" w:rsidR="00397C7E" w:rsidRDefault="00397C7E" w:rsidP="0078794C">
            <w:pPr>
              <w:pStyle w:val="Tablenumberedtextnormal"/>
            </w:pPr>
            <w:r>
              <w:t xml:space="preserve">Use the PHN network to further develop leadership skills </w:t>
            </w:r>
            <w:r w:rsidR="00A27B0A">
              <w:t>and</w:t>
            </w:r>
            <w:r w:rsidR="00C87F7C">
              <w:t xml:space="preserve"> help</w:t>
            </w:r>
            <w:r w:rsidR="00A27B0A">
              <w:t xml:space="preserve"> </w:t>
            </w:r>
            <w:r w:rsidR="00C87F7C">
              <w:t xml:space="preserve">increase </w:t>
            </w:r>
            <w:r w:rsidR="00A27B0A">
              <w:t xml:space="preserve">PHNs’ </w:t>
            </w:r>
            <w:r>
              <w:t>influence at the system level.</w:t>
            </w:r>
            <w:bookmarkStart w:id="42" w:name="_GoBack"/>
            <w:bookmarkEnd w:id="42"/>
            <w:r>
              <w:t xml:space="preserve"> </w:t>
            </w:r>
          </w:p>
          <w:p w14:paraId="057C97D2" w14:textId="229A471F" w:rsidR="0078794C" w:rsidRPr="00397C7E" w:rsidRDefault="0078794C" w:rsidP="0078794C">
            <w:pPr>
              <w:pStyle w:val="Tablenumberedtextnormal"/>
            </w:pPr>
            <w:r w:rsidRPr="00397C7E">
              <w:t>Focus on the PHN being a collaborative leader, to share and devolve leadership, such as joint decision making with Aboriginal and Torres Strait Islander organisations, including ACCHS, and enable this through ‘convening’ (rather than ‘leading’)</w:t>
            </w:r>
            <w:r w:rsidR="00262B8C" w:rsidRPr="00397C7E">
              <w:t>.</w:t>
            </w:r>
          </w:p>
          <w:p w14:paraId="17D9092A" w14:textId="6106D493" w:rsidR="0078794C" w:rsidRPr="00397C7E" w:rsidRDefault="0078794C" w:rsidP="0078794C">
            <w:pPr>
              <w:pStyle w:val="Tablenumberedtextnormal"/>
            </w:pPr>
            <w:r w:rsidRPr="00397C7E">
              <w:t>U</w:t>
            </w:r>
            <w:r w:rsidR="00545B0A">
              <w:t>se</w:t>
            </w:r>
            <w:r w:rsidRPr="00397C7E">
              <w:t xml:space="preserve"> tools such as Memorandums of Understanding, collaborative governance arrangements, and regional plans that facilitate shared leadership</w:t>
            </w:r>
            <w:r w:rsidR="00262B8C" w:rsidRPr="00397C7E">
              <w:t>.</w:t>
            </w:r>
          </w:p>
          <w:p w14:paraId="7C415ABC" w14:textId="1120B829" w:rsidR="0078794C" w:rsidRPr="00397C7E" w:rsidRDefault="0078794C" w:rsidP="00262B8C">
            <w:pPr>
              <w:pStyle w:val="Tablenumberedtextnormal"/>
            </w:pPr>
            <w:r w:rsidRPr="00397C7E">
              <w:t>Practice communication and presentation skills to lead and effect change at scale</w:t>
            </w:r>
            <w:r w:rsidR="00262B8C" w:rsidRPr="00397C7E">
              <w:t>.</w:t>
            </w:r>
          </w:p>
        </w:tc>
        <w:tc>
          <w:tcPr>
            <w:tcW w:w="2835" w:type="dxa"/>
          </w:tcPr>
          <w:p w14:paraId="07C983FF" w14:textId="576C3FB7" w:rsidR="0078794C" w:rsidRPr="00397C7E" w:rsidRDefault="0078794C" w:rsidP="00670F18">
            <w:pPr>
              <w:pStyle w:val="Tablenumberedtextnormal"/>
              <w:numPr>
                <w:ilvl w:val="0"/>
                <w:numId w:val="43"/>
              </w:numPr>
            </w:pPr>
            <w:r w:rsidRPr="00397C7E">
              <w:t>Articulate a clear strategic direction and inspiring vision</w:t>
            </w:r>
            <w:r w:rsidR="00262B8C" w:rsidRPr="00397C7E">
              <w:t>.</w:t>
            </w:r>
          </w:p>
          <w:p w14:paraId="548EE19C" w14:textId="6ED529FE" w:rsidR="00262B8C" w:rsidRPr="00397C7E" w:rsidRDefault="0078794C" w:rsidP="0078794C">
            <w:pPr>
              <w:pStyle w:val="Tablenumberedtextnormal"/>
            </w:pPr>
            <w:r w:rsidRPr="00397C7E">
              <w:t>Dedicate time to plan and prioritise resources in line with impacts on outcomes, and articulate strategic direction</w:t>
            </w:r>
            <w:r w:rsidR="00262B8C" w:rsidRPr="00397C7E">
              <w:t>.</w:t>
            </w:r>
            <w:r w:rsidRPr="00397C7E" w:rsidDel="00BC3EA7">
              <w:t xml:space="preserve"> </w:t>
            </w:r>
          </w:p>
          <w:p w14:paraId="58D97C77" w14:textId="02B8EAC4" w:rsidR="0078794C" w:rsidRPr="00397C7E" w:rsidRDefault="0078794C" w:rsidP="0078794C">
            <w:pPr>
              <w:pStyle w:val="Tablenumberedtextnormal"/>
            </w:pPr>
            <w:r w:rsidRPr="00397C7E">
              <w:t>Promote a high representation of clinicians and diversity in leadership positions</w:t>
            </w:r>
            <w:r w:rsidR="00262B8C" w:rsidRPr="00397C7E">
              <w:t>.</w:t>
            </w:r>
          </w:p>
          <w:p w14:paraId="2A88CF3A" w14:textId="77777777" w:rsidR="0078794C" w:rsidRPr="00397C7E" w:rsidRDefault="0078794C" w:rsidP="0078794C">
            <w:pPr>
              <w:pStyle w:val="Tablenumberedtextnormal"/>
            </w:pPr>
            <w:r w:rsidRPr="00397C7E">
              <w:t>Create a communications strategy that provides consistent messaging on the PHN priorities and embedding a commissioning approach.</w:t>
            </w:r>
          </w:p>
        </w:tc>
        <w:tc>
          <w:tcPr>
            <w:tcW w:w="3083" w:type="dxa"/>
          </w:tcPr>
          <w:p w14:paraId="6A5E6145" w14:textId="0173ED89" w:rsidR="000D001F" w:rsidRPr="00397C7E" w:rsidRDefault="0078794C" w:rsidP="00670F18">
            <w:pPr>
              <w:pStyle w:val="Tablenumberedtextnormal"/>
              <w:numPr>
                <w:ilvl w:val="0"/>
                <w:numId w:val="45"/>
              </w:numPr>
            </w:pPr>
            <w:r w:rsidRPr="00397C7E">
              <w:t>Build and maintain strong relationships with key stakeholders at a local level to steer the market towards priorities</w:t>
            </w:r>
            <w:r w:rsidR="00262B8C" w:rsidRPr="00397C7E">
              <w:t>.</w:t>
            </w:r>
          </w:p>
          <w:p w14:paraId="7C05397E" w14:textId="042E5B5F" w:rsidR="0078794C" w:rsidRPr="00397C7E" w:rsidRDefault="0078794C" w:rsidP="0078794C">
            <w:pPr>
              <w:pStyle w:val="Tablenumberedtextnormal"/>
            </w:pPr>
            <w:r w:rsidRPr="00397C7E">
              <w:t>Use coaching as an approach to support team development, which involves the leader/coach actively listening, challenging beliefs and allowing team members come up with their own solutions to be accountable and learn from mistakes</w:t>
            </w:r>
            <w:r w:rsidR="00262B8C" w:rsidRPr="00397C7E">
              <w:t>.</w:t>
            </w:r>
          </w:p>
          <w:p w14:paraId="6F7B94BA" w14:textId="1E38CD72" w:rsidR="0078794C" w:rsidRPr="00397C7E" w:rsidRDefault="0078794C" w:rsidP="0078794C">
            <w:pPr>
              <w:pStyle w:val="Tablenumberedtextnormal"/>
            </w:pPr>
            <w:r w:rsidRPr="00397C7E">
              <w:t>Set expectations and conditions for teams and individuals to take risks, considering reputation and stakeholder management</w:t>
            </w:r>
            <w:r w:rsidR="00262B8C" w:rsidRPr="00397C7E">
              <w:t>.</w:t>
            </w:r>
          </w:p>
          <w:p w14:paraId="369D2064" w14:textId="2F45A788" w:rsidR="0078794C" w:rsidRPr="00397C7E" w:rsidRDefault="0078794C" w:rsidP="00262B8C">
            <w:pPr>
              <w:pStyle w:val="Tablenumberedtextnormal"/>
            </w:pPr>
            <w:r w:rsidRPr="00397C7E">
              <w:t>Encourage and support individuals to practice and build their communication and presentation skills to help lead and effect change and foster innovation from the market</w:t>
            </w:r>
            <w:r w:rsidR="00262B8C" w:rsidRPr="00397C7E">
              <w:t>.</w:t>
            </w:r>
          </w:p>
        </w:tc>
      </w:tr>
    </w:tbl>
    <w:p w14:paraId="69CA0CB8" w14:textId="77777777" w:rsidR="00ED48BA" w:rsidRPr="00C14FAA" w:rsidRDefault="00ED48BA" w:rsidP="00D97FAF">
      <w:pPr>
        <w:pStyle w:val="Heading3"/>
      </w:pPr>
      <w:bookmarkStart w:id="43" w:name="_Toc519689560"/>
      <w:r w:rsidRPr="00C14FAA">
        <w:t>Change management</w:t>
      </w:r>
      <w:r>
        <w:t xml:space="preserve"> competency</w:t>
      </w:r>
      <w:bookmarkEnd w:id="43"/>
    </w:p>
    <w:p w14:paraId="0756CC82" w14:textId="77777777" w:rsidR="00ED48BA" w:rsidRDefault="00ED48BA" w:rsidP="00D97FAF">
      <w:pPr>
        <w:pStyle w:val="Heading4"/>
      </w:pPr>
      <w:r>
        <w:t>This competency involves:</w:t>
      </w:r>
    </w:p>
    <w:p w14:paraId="27F04CA7" w14:textId="6CDB33C6" w:rsidR="00ED48BA" w:rsidRDefault="00ED48BA" w:rsidP="00ED48BA">
      <w:pPr>
        <w:pStyle w:val="ListBullet"/>
      </w:pPr>
      <w:r>
        <w:t>D</w:t>
      </w:r>
      <w:r w:rsidRPr="009313E5">
        <w:t>efining and leading the process of change both within PHNs and across stakeholders</w:t>
      </w:r>
      <w:r w:rsidR="00545B0A">
        <w:t>.</w:t>
      </w:r>
    </w:p>
    <w:p w14:paraId="76B4F4F5" w14:textId="77777777" w:rsidR="000D001F" w:rsidRDefault="00ED48BA" w:rsidP="00ED48BA">
      <w:pPr>
        <w:pStyle w:val="ListBullet"/>
      </w:pPr>
      <w:r>
        <w:t>E</w:t>
      </w:r>
      <w:r w:rsidRPr="009313E5">
        <w:t xml:space="preserve">mbedding new approaches and adapting </w:t>
      </w:r>
      <w:r>
        <w:t xml:space="preserve">organisational </w:t>
      </w:r>
      <w:r w:rsidRPr="009313E5">
        <w:t>culture to be open to new ways of working.</w:t>
      </w:r>
    </w:p>
    <w:p w14:paraId="320D9A0A" w14:textId="77777777" w:rsidR="000D001F" w:rsidRDefault="00ED48BA" w:rsidP="00D97FAF">
      <w:pPr>
        <w:pStyle w:val="Heading3"/>
      </w:pPr>
      <w:bookmarkStart w:id="44" w:name="_Toc519689561"/>
      <w:r w:rsidRPr="0065377B">
        <w:t>Change management context for PHNs</w:t>
      </w:r>
      <w:bookmarkEnd w:id="44"/>
    </w:p>
    <w:p w14:paraId="4B4D70C3" w14:textId="77777777" w:rsidR="000D001F" w:rsidRDefault="00ED48BA" w:rsidP="00ED48BA">
      <w:pPr>
        <w:pStyle w:val="Paragraphtext"/>
      </w:pPr>
      <w:r w:rsidRPr="00BC3EA7">
        <w:t>Change management is critical to achiev</w:t>
      </w:r>
      <w:r>
        <w:t>ing</w:t>
      </w:r>
      <w:r w:rsidRPr="00BC3EA7">
        <w:t xml:space="preserve"> behaviour change in providers and consumers, as well as within the PHN organisation and the broader primary health care system.</w:t>
      </w:r>
      <w:r>
        <w:t xml:space="preserve"> Effective c</w:t>
      </w:r>
      <w:r w:rsidRPr="00A176D5">
        <w:t>hange management is critical for PHNs to maximise th</w:t>
      </w:r>
      <w:r>
        <w:t>e</w:t>
      </w:r>
      <w:r w:rsidRPr="00A176D5">
        <w:t xml:space="preserve"> opportunity </w:t>
      </w:r>
      <w:r>
        <w:t>to help strengthen Australia’s primary care system and ensure the</w:t>
      </w:r>
      <w:r w:rsidRPr="00A176D5">
        <w:t xml:space="preserve"> benefits of improved health and wellbeing flow to the </w:t>
      </w:r>
      <w:r>
        <w:t>community</w:t>
      </w:r>
      <w:r w:rsidRPr="00A176D5">
        <w:t>.</w:t>
      </w:r>
    </w:p>
    <w:p w14:paraId="63C369DD" w14:textId="77777777" w:rsidR="00545B0A" w:rsidRDefault="00545B0A">
      <w:pPr>
        <w:rPr>
          <w:color w:val="000000" w:themeColor="text1"/>
        </w:rPr>
      </w:pPr>
      <w:r>
        <w:br w:type="page"/>
      </w:r>
    </w:p>
    <w:p w14:paraId="13B23DB9" w14:textId="3C06965E" w:rsidR="000D001F" w:rsidRDefault="00ED48BA" w:rsidP="00ED48BA">
      <w:pPr>
        <w:pStyle w:val="Paragraphtext"/>
      </w:pPr>
      <w:r>
        <w:lastRenderedPageBreak/>
        <w:t xml:space="preserve">To move </w:t>
      </w:r>
      <w:r w:rsidRPr="00A176D5">
        <w:t xml:space="preserve">from </w:t>
      </w:r>
      <w:r>
        <w:t>a traditional mindset to a commissioning</w:t>
      </w:r>
      <w:r w:rsidRPr="00A176D5">
        <w:t xml:space="preserve"> mindset </w:t>
      </w:r>
      <w:r>
        <w:t>and to</w:t>
      </w:r>
      <w:r w:rsidRPr="00A176D5">
        <w:t xml:space="preserve"> </w:t>
      </w:r>
      <w:r>
        <w:t xml:space="preserve">be agents of change and reform (see Table 2), PHNs would benefit from </w:t>
      </w:r>
      <w:r w:rsidRPr="00A176D5">
        <w:t>embed</w:t>
      </w:r>
      <w:r>
        <w:t xml:space="preserve">ding commissioning as a </w:t>
      </w:r>
      <w:r w:rsidRPr="00A176D5">
        <w:t xml:space="preserve">way of </w:t>
      </w:r>
      <w:r>
        <w:t xml:space="preserve">undertaking </w:t>
      </w:r>
      <w:r w:rsidRPr="00A176D5">
        <w:t>business</w:t>
      </w:r>
      <w:r>
        <w:t xml:space="preserve"> across the system. In doing so,</w:t>
      </w:r>
      <w:r w:rsidRPr="00A176D5">
        <w:t xml:space="preserve"> PHNs </w:t>
      </w:r>
      <w:r>
        <w:t xml:space="preserve">may </w:t>
      </w:r>
      <w:r w:rsidRPr="00A176D5">
        <w:t xml:space="preserve">face significant barriers. PHNs </w:t>
      </w:r>
      <w:r>
        <w:t xml:space="preserve">may </w:t>
      </w:r>
      <w:r w:rsidRPr="00A176D5">
        <w:t xml:space="preserve">need to </w:t>
      </w:r>
      <w:r>
        <w:t>develop their</w:t>
      </w:r>
      <w:r w:rsidRPr="00A176D5">
        <w:t xml:space="preserve"> change management competencies to</w:t>
      </w:r>
      <w:r>
        <w:t xml:space="preserve"> overcome these barriers and bring</w:t>
      </w:r>
      <w:r w:rsidRPr="00A176D5">
        <w:t xml:space="preserve"> all </w:t>
      </w:r>
      <w:r>
        <w:t>their</w:t>
      </w:r>
      <w:r w:rsidRPr="00A176D5">
        <w:t xml:space="preserve"> partners on this transformation</w:t>
      </w:r>
      <w:r>
        <w:t>al journey</w:t>
      </w:r>
      <w:r w:rsidRPr="00A176D5">
        <w:t>.</w:t>
      </w:r>
    </w:p>
    <w:p w14:paraId="22681937" w14:textId="74EBC35A" w:rsidR="00ED48BA" w:rsidRPr="0035417C" w:rsidRDefault="00ED48BA" w:rsidP="00D97FAF">
      <w:pPr>
        <w:pStyle w:val="Heading3"/>
      </w:pPr>
      <w:bookmarkStart w:id="45" w:name="_Toc519689562"/>
      <w:r>
        <w:t>Levers of PHNs to effect change</w:t>
      </w:r>
      <w:bookmarkEnd w:id="45"/>
    </w:p>
    <w:p w14:paraId="154B6A2D" w14:textId="421BF188" w:rsidR="00ED48BA" w:rsidRDefault="00ED48BA" w:rsidP="00ED48BA">
      <w:pPr>
        <w:pStyle w:val="Paragraphtext"/>
        <w:rPr>
          <w:i/>
          <w:iCs/>
          <w:szCs w:val="18"/>
        </w:rPr>
      </w:pPr>
      <w:r>
        <w:t>Understanding the levers</w:t>
      </w:r>
      <w:r w:rsidRPr="005259E4">
        <w:t xml:space="preserve"> </w:t>
      </w:r>
      <w:r>
        <w:t>that are available to PHNs</w:t>
      </w:r>
      <w:r w:rsidRPr="002A1C08">
        <w:t xml:space="preserve"> </w:t>
      </w:r>
      <w:r>
        <w:t>to effect change is the first step for PHNs in applying sound change management. The levers that can help PHNs accelerate change are summarised in Table 4.</w:t>
      </w:r>
      <w:bookmarkStart w:id="46" w:name="_Toc515288583"/>
    </w:p>
    <w:p w14:paraId="0934F660" w14:textId="77777777" w:rsidR="00ED48BA" w:rsidRDefault="00ED48BA" w:rsidP="00ED48BA">
      <w:pPr>
        <w:pStyle w:val="Caption"/>
      </w:pPr>
      <w:bookmarkStart w:id="47" w:name="_Toc516150689"/>
      <w:r>
        <w:t xml:space="preserve">Table </w:t>
      </w:r>
      <w:fldSimple w:instr=" SEQ Table \* ARABIC ">
        <w:r w:rsidR="00374AF2">
          <w:rPr>
            <w:noProof/>
          </w:rPr>
          <w:t>4</w:t>
        </w:r>
      </w:fldSimple>
      <w:r>
        <w:rPr>
          <w:noProof/>
        </w:rPr>
        <w:t>:</w:t>
      </w:r>
      <w:r>
        <w:t xml:space="preserve"> Levers available to PHNs in leading change</w:t>
      </w:r>
      <w:r>
        <w:rPr>
          <w:rStyle w:val="FootnoteReference"/>
        </w:rPr>
        <w:footnoteReference w:id="18"/>
      </w:r>
      <w:bookmarkEnd w:id="46"/>
      <w:bookmarkEnd w:id="47"/>
    </w:p>
    <w:tbl>
      <w:tblPr>
        <w:tblStyle w:val="PHNBlueTable"/>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Levers available to PHNs in leading change"/>
        <w:tblDescription w:val="This table features two columns and nine rows. The first column outlines levers available to PHNs in leading change, and the second column identifies opportunities that PHNs could utilise in order to implement these changes."/>
      </w:tblPr>
      <w:tblGrid>
        <w:gridCol w:w="2137"/>
        <w:gridCol w:w="7150"/>
      </w:tblGrid>
      <w:tr w:rsidR="00ED48BA" w:rsidRPr="00424CF9" w14:paraId="2DBE7D9E" w14:textId="77777777" w:rsidTr="00AE4799">
        <w:trPr>
          <w:cnfStyle w:val="100000000000" w:firstRow="1" w:lastRow="0" w:firstColumn="0" w:lastColumn="0" w:oddVBand="0" w:evenVBand="0" w:oddHBand="0" w:evenHBand="0" w:firstRowFirstColumn="0" w:firstRowLastColumn="0" w:lastRowFirstColumn="0" w:lastRowLastColumn="0"/>
        </w:trPr>
        <w:tc>
          <w:tcPr>
            <w:tcW w:w="2155" w:type="dxa"/>
            <w:shd w:val="clear" w:color="auto" w:fill="8D188D"/>
          </w:tcPr>
          <w:p w14:paraId="4FDC72ED" w14:textId="77777777" w:rsidR="00ED48BA" w:rsidRPr="00424CF9" w:rsidRDefault="00ED48BA" w:rsidP="00ED48BA">
            <w:pPr>
              <w:pStyle w:val="TableHeaderWhite"/>
              <w:rPr>
                <w:b w:val="0"/>
              </w:rPr>
            </w:pPr>
            <w:r w:rsidRPr="00424CF9">
              <w:t>Lever</w:t>
            </w:r>
          </w:p>
        </w:tc>
        <w:tc>
          <w:tcPr>
            <w:tcW w:w="7385" w:type="dxa"/>
            <w:shd w:val="clear" w:color="auto" w:fill="8D188D"/>
          </w:tcPr>
          <w:p w14:paraId="5731D4D3" w14:textId="77777777" w:rsidR="00ED48BA" w:rsidRPr="00424CF9" w:rsidRDefault="00ED48BA" w:rsidP="00ED48BA">
            <w:pPr>
              <w:pStyle w:val="TableHeaderWhite"/>
              <w:rPr>
                <w:b w:val="0"/>
              </w:rPr>
            </w:pPr>
            <w:r w:rsidRPr="00424CF9">
              <w:t>Opportunity</w:t>
            </w:r>
          </w:p>
        </w:tc>
      </w:tr>
      <w:tr w:rsidR="00ED48BA" w:rsidRPr="00424CF9" w14:paraId="417ACD1A" w14:textId="77777777" w:rsidTr="00AE4799">
        <w:tc>
          <w:tcPr>
            <w:tcW w:w="2155" w:type="dxa"/>
          </w:tcPr>
          <w:p w14:paraId="7FE5DD80" w14:textId="77777777" w:rsidR="00ED48BA" w:rsidRPr="00424CF9" w:rsidRDefault="00ED48BA" w:rsidP="00ED48BA">
            <w:pPr>
              <w:pStyle w:val="Tabletextnormal"/>
            </w:pPr>
            <w:r w:rsidRPr="00424CF9">
              <w:t>Mandate to commission primary health care services</w:t>
            </w:r>
          </w:p>
        </w:tc>
        <w:tc>
          <w:tcPr>
            <w:tcW w:w="7385" w:type="dxa"/>
          </w:tcPr>
          <w:p w14:paraId="306F862A" w14:textId="705436ED" w:rsidR="00ED48BA" w:rsidRPr="00424CF9" w:rsidRDefault="00ED48BA" w:rsidP="00ED48BA">
            <w:pPr>
              <w:pStyle w:val="Tablelistbullet"/>
            </w:pPr>
            <w:r w:rsidRPr="00424CF9">
              <w:t>It can be more efficient for stakeholders to engage with PHNs on system wide issues rather than various individuals in the market. Particularly where there are system wide service challenges and gaps, such as after-hours care</w:t>
            </w:r>
            <w:r w:rsidR="007A69E6">
              <w:t>.</w:t>
            </w:r>
          </w:p>
        </w:tc>
      </w:tr>
      <w:tr w:rsidR="00ED48BA" w:rsidRPr="00424CF9" w14:paraId="7DD6E954" w14:textId="77777777" w:rsidTr="00AE4799">
        <w:tc>
          <w:tcPr>
            <w:tcW w:w="2155" w:type="dxa"/>
          </w:tcPr>
          <w:p w14:paraId="1F1B421A" w14:textId="77777777" w:rsidR="00ED48BA" w:rsidRPr="00424CF9" w:rsidRDefault="00ED48BA" w:rsidP="00ED48BA">
            <w:pPr>
              <w:pStyle w:val="Tabletextnormal"/>
            </w:pPr>
            <w:r w:rsidRPr="00424CF9">
              <w:t>Governance groups as a source of relationship building (Clinical Council and Community Advisory Committee)</w:t>
            </w:r>
          </w:p>
        </w:tc>
        <w:tc>
          <w:tcPr>
            <w:tcW w:w="7385" w:type="dxa"/>
          </w:tcPr>
          <w:p w14:paraId="73C3A93F" w14:textId="69CC108A" w:rsidR="00ED48BA" w:rsidRPr="00424CF9" w:rsidRDefault="00ED48BA" w:rsidP="00ED48BA">
            <w:pPr>
              <w:pStyle w:val="Tablelistbullet"/>
            </w:pPr>
            <w:r w:rsidRPr="00424CF9">
              <w:t>Strengthen PHNs’ local knowledge, lead the local health agenda and drive reforms tailored to local problems</w:t>
            </w:r>
            <w:r w:rsidR="007A69E6">
              <w:t>.</w:t>
            </w:r>
          </w:p>
          <w:p w14:paraId="4DBFA273" w14:textId="54A3744B" w:rsidR="000D001F" w:rsidRDefault="00ED48BA" w:rsidP="00ED48BA">
            <w:pPr>
              <w:pStyle w:val="Tablelistbullet"/>
            </w:pPr>
            <w:r w:rsidRPr="00424CF9">
              <w:t>Build strong relationships with stakeholders and continually identify service gaps and at-risk populations</w:t>
            </w:r>
            <w:r w:rsidR="007A69E6">
              <w:t>.</w:t>
            </w:r>
          </w:p>
          <w:p w14:paraId="534E2EE5" w14:textId="1DB14C3F" w:rsidR="000D001F" w:rsidRDefault="00ED48BA" w:rsidP="00ED48BA">
            <w:pPr>
              <w:pStyle w:val="Tablelistbullet"/>
            </w:pPr>
            <w:r w:rsidRPr="00424CF9">
              <w:t>Identify areas for upskilling and promoting professional development of health professionals, as well as approaches to upscaling general practices to reduce pressures on the secondary care system and improve the efficiency of services</w:t>
            </w:r>
            <w:r w:rsidR="007A69E6">
              <w:t>.</w:t>
            </w:r>
          </w:p>
          <w:p w14:paraId="6320D6A2" w14:textId="35C6CF0D" w:rsidR="00ED48BA" w:rsidRPr="00424CF9" w:rsidRDefault="00ED48BA" w:rsidP="00ED48BA">
            <w:pPr>
              <w:pStyle w:val="Tablelistbullet"/>
            </w:pPr>
            <w:r w:rsidRPr="00424CF9">
              <w:t xml:space="preserve">Communicate what commissioning is, </w:t>
            </w:r>
            <w:r>
              <w:t xml:space="preserve">the </w:t>
            </w:r>
            <w:r w:rsidRPr="00424CF9">
              <w:t>PHN’s vision and other key missions, including targeted preventative health campaigns</w:t>
            </w:r>
            <w:r w:rsidR="007A69E6">
              <w:t>.</w:t>
            </w:r>
          </w:p>
        </w:tc>
      </w:tr>
      <w:tr w:rsidR="00ED48BA" w:rsidRPr="00424CF9" w14:paraId="559159D9" w14:textId="77777777" w:rsidTr="00AE4799">
        <w:tc>
          <w:tcPr>
            <w:tcW w:w="2155" w:type="dxa"/>
          </w:tcPr>
          <w:p w14:paraId="38C22B9C" w14:textId="77777777" w:rsidR="00ED48BA" w:rsidRPr="00424CF9" w:rsidRDefault="00ED48BA" w:rsidP="00ED48BA">
            <w:pPr>
              <w:pStyle w:val="Tabletextnormal"/>
            </w:pPr>
            <w:r w:rsidRPr="00424CF9">
              <w:t>Impartiality (as PHNs’ focus is commissioning, rather than being the provider of choice)</w:t>
            </w:r>
          </w:p>
        </w:tc>
        <w:tc>
          <w:tcPr>
            <w:tcW w:w="7385" w:type="dxa"/>
          </w:tcPr>
          <w:p w14:paraId="0C0FCF53" w14:textId="2701E81C" w:rsidR="00ED48BA" w:rsidRPr="00424CF9" w:rsidRDefault="00ED48BA" w:rsidP="00ED48BA">
            <w:pPr>
              <w:pStyle w:val="Tablelistbullet"/>
            </w:pPr>
            <w:r w:rsidRPr="00424CF9">
              <w:t>Ability to be an effective convenor, providing a platform to bring together and influence a range of stakeholders, promote coordination and jointly advocate for system reform</w:t>
            </w:r>
            <w:r w:rsidR="007A69E6">
              <w:t>.</w:t>
            </w:r>
          </w:p>
        </w:tc>
      </w:tr>
      <w:tr w:rsidR="00ED48BA" w:rsidRPr="00424CF9" w14:paraId="0E362D78" w14:textId="77777777" w:rsidTr="00AE4799">
        <w:tc>
          <w:tcPr>
            <w:tcW w:w="2155" w:type="dxa"/>
          </w:tcPr>
          <w:p w14:paraId="4430CA99" w14:textId="77777777" w:rsidR="00ED48BA" w:rsidRPr="00424CF9" w:rsidRDefault="00ED48BA" w:rsidP="00ED48BA">
            <w:pPr>
              <w:pStyle w:val="Tabletextnormal"/>
            </w:pPr>
            <w:r w:rsidRPr="00424CF9">
              <w:t>Evidence and advocacy</w:t>
            </w:r>
          </w:p>
        </w:tc>
        <w:tc>
          <w:tcPr>
            <w:tcW w:w="7385" w:type="dxa"/>
          </w:tcPr>
          <w:p w14:paraId="1ED93796" w14:textId="0F325177" w:rsidR="00ED48BA" w:rsidRPr="00424CF9" w:rsidRDefault="00ED48BA" w:rsidP="00ED48BA">
            <w:pPr>
              <w:pStyle w:val="Tablelistbullet"/>
            </w:pPr>
            <w:r w:rsidRPr="00424CF9">
              <w:t>Increasing skill and expertise in the collection, analysis and interpretation of data to improve services. The more insight that commissioners have regarding the needs of the population the more evidence and advocacy they can apply</w:t>
            </w:r>
            <w:r w:rsidR="007A69E6">
              <w:t>.</w:t>
            </w:r>
          </w:p>
        </w:tc>
      </w:tr>
      <w:tr w:rsidR="00ED48BA" w:rsidRPr="00424CF9" w14:paraId="1788949D" w14:textId="77777777" w:rsidTr="00AE4799">
        <w:tc>
          <w:tcPr>
            <w:tcW w:w="2155" w:type="dxa"/>
          </w:tcPr>
          <w:p w14:paraId="4F7AFC01" w14:textId="77777777" w:rsidR="00ED48BA" w:rsidRPr="00424CF9" w:rsidRDefault="00ED48BA" w:rsidP="00ED48BA">
            <w:pPr>
              <w:pStyle w:val="Tabletextnormal"/>
            </w:pPr>
            <w:r w:rsidRPr="00424CF9">
              <w:t>Promoting contemporary practice</w:t>
            </w:r>
          </w:p>
        </w:tc>
        <w:tc>
          <w:tcPr>
            <w:tcW w:w="7385" w:type="dxa"/>
          </w:tcPr>
          <w:p w14:paraId="3C22A108" w14:textId="186C0D29" w:rsidR="00ED48BA" w:rsidRPr="00424CF9" w:rsidRDefault="00ED48BA" w:rsidP="00ED48BA">
            <w:pPr>
              <w:pStyle w:val="Tablelistbullet"/>
            </w:pPr>
            <w:r w:rsidRPr="00424CF9">
              <w:t>Quality improvement and developing cultural awareness, cultural competency and cultural safety provides significant opportunities for PHNs to support transformation</w:t>
            </w:r>
            <w:r w:rsidR="007A69E6">
              <w:t>.</w:t>
            </w:r>
          </w:p>
        </w:tc>
      </w:tr>
      <w:tr w:rsidR="00ED48BA" w:rsidRPr="00424CF9" w14:paraId="521B91E1" w14:textId="77777777" w:rsidTr="00AE4799">
        <w:tc>
          <w:tcPr>
            <w:tcW w:w="2155" w:type="dxa"/>
          </w:tcPr>
          <w:p w14:paraId="6DBA034E" w14:textId="77777777" w:rsidR="00ED48BA" w:rsidRPr="00424CF9" w:rsidRDefault="00ED48BA" w:rsidP="00ED48BA">
            <w:pPr>
              <w:pStyle w:val="Tabletextnormal"/>
            </w:pPr>
            <w:r w:rsidRPr="00424CF9">
              <w:t>Contracts and partnership arrangements</w:t>
            </w:r>
          </w:p>
        </w:tc>
        <w:tc>
          <w:tcPr>
            <w:tcW w:w="7385" w:type="dxa"/>
          </w:tcPr>
          <w:p w14:paraId="141DB0FD" w14:textId="0441A9F3" w:rsidR="00ED48BA" w:rsidRPr="00424CF9" w:rsidRDefault="00ED48BA" w:rsidP="00ED48BA">
            <w:pPr>
              <w:pStyle w:val="Tablelistbullet"/>
            </w:pPr>
            <w:r w:rsidRPr="00424CF9">
              <w:t>Drive improved service performance, integration of service delivery and a greater focus on improving patient choice and outcomes for the local population at better value for money</w:t>
            </w:r>
            <w:r w:rsidR="007A69E6">
              <w:t>.</w:t>
            </w:r>
          </w:p>
        </w:tc>
      </w:tr>
      <w:tr w:rsidR="00ED48BA" w:rsidRPr="00424CF9" w14:paraId="69A822B3" w14:textId="77777777" w:rsidTr="00AE4799">
        <w:tc>
          <w:tcPr>
            <w:tcW w:w="2155" w:type="dxa"/>
          </w:tcPr>
          <w:p w14:paraId="06B858E2" w14:textId="77777777" w:rsidR="00ED48BA" w:rsidRPr="00424CF9" w:rsidRDefault="00ED48BA" w:rsidP="00ED48BA">
            <w:pPr>
              <w:pStyle w:val="Tabletextnormal"/>
            </w:pPr>
            <w:r w:rsidRPr="00424CF9">
              <w:lastRenderedPageBreak/>
              <w:t>More flexible funding (with certain constraints)</w:t>
            </w:r>
          </w:p>
        </w:tc>
        <w:tc>
          <w:tcPr>
            <w:tcW w:w="7385" w:type="dxa"/>
          </w:tcPr>
          <w:p w14:paraId="6936780B" w14:textId="662190C3" w:rsidR="00ED48BA" w:rsidRPr="00424CF9" w:rsidRDefault="00ED48BA" w:rsidP="00ED48BA">
            <w:pPr>
              <w:pStyle w:val="Tablelistbullet"/>
            </w:pPr>
            <w:r w:rsidRPr="00424CF9">
              <w:t>Targeted use of funding to encourage more appropriate risk sharing, integration and innovation amongst providers</w:t>
            </w:r>
            <w:r w:rsidR="007A69E6">
              <w:t>.</w:t>
            </w:r>
          </w:p>
        </w:tc>
      </w:tr>
      <w:tr w:rsidR="00ED48BA" w:rsidRPr="00424CF9" w14:paraId="44B05055" w14:textId="77777777" w:rsidTr="00AE4799">
        <w:tc>
          <w:tcPr>
            <w:tcW w:w="2155" w:type="dxa"/>
          </w:tcPr>
          <w:p w14:paraId="72480BA9" w14:textId="77777777" w:rsidR="00ED48BA" w:rsidRPr="00424CF9" w:rsidRDefault="00ED48BA" w:rsidP="00ED48BA">
            <w:pPr>
              <w:pStyle w:val="Tabletextnormal"/>
            </w:pPr>
            <w:r w:rsidRPr="00424CF9">
              <w:t>Funds pooling</w:t>
            </w:r>
          </w:p>
        </w:tc>
        <w:tc>
          <w:tcPr>
            <w:tcW w:w="7385" w:type="dxa"/>
          </w:tcPr>
          <w:p w14:paraId="50F43C0B" w14:textId="77777777" w:rsidR="00ED48BA" w:rsidRPr="00424CF9" w:rsidRDefault="00ED48BA" w:rsidP="00ED48BA">
            <w:pPr>
              <w:pStyle w:val="Tablelistbullet"/>
            </w:pPr>
            <w:r w:rsidRPr="00424CF9">
              <w:t>Influencing other commissioners and agencies to pool funds to achieve bigger and better outcomes for the population</w:t>
            </w:r>
            <w:r>
              <w:t>.</w:t>
            </w:r>
          </w:p>
        </w:tc>
      </w:tr>
    </w:tbl>
    <w:p w14:paraId="6C9790D6" w14:textId="77777777" w:rsidR="000D001F" w:rsidRDefault="00ED48BA" w:rsidP="00D97FAF">
      <w:pPr>
        <w:pStyle w:val="Heading3"/>
      </w:pPr>
      <w:bookmarkStart w:id="48" w:name="_Toc519689563"/>
      <w:r>
        <w:t>Approaches to change management</w:t>
      </w:r>
      <w:bookmarkEnd w:id="48"/>
    </w:p>
    <w:p w14:paraId="3822B2F2" w14:textId="7969D830" w:rsidR="00ED48BA" w:rsidRDefault="00ED48BA" w:rsidP="00ED48BA">
      <w:pPr>
        <w:pStyle w:val="Paragraphtext"/>
      </w:pPr>
      <w:r>
        <w:t>Taking into account these levers, some approaches that can help support and enable change in a PHN setting include:</w:t>
      </w:r>
    </w:p>
    <w:p w14:paraId="4177E8E8" w14:textId="34C009A9" w:rsidR="000D001F" w:rsidRDefault="00ED48BA" w:rsidP="00ED48BA">
      <w:pPr>
        <w:pStyle w:val="ListBullet"/>
      </w:pPr>
      <w:r>
        <w:t>Developing an evidence base and case for change by understanding the current problems in the sector / outcomes not being achieved and the benefits to the community and stakeholders</w:t>
      </w:r>
      <w:r w:rsidR="00545B0A">
        <w:t>.</w:t>
      </w:r>
    </w:p>
    <w:p w14:paraId="45AF0082" w14:textId="463F6A11" w:rsidR="00ED48BA" w:rsidRDefault="00ED48BA" w:rsidP="00ED48BA">
      <w:pPr>
        <w:pStyle w:val="ListBullet"/>
      </w:pPr>
      <w:r>
        <w:t>Strong communication skills that create a common language for change across the system and facilitate engagement with communities in a culturally safe manner which brings them on the journey</w:t>
      </w:r>
      <w:r w:rsidR="00545B0A">
        <w:t>.</w:t>
      </w:r>
    </w:p>
    <w:p w14:paraId="65B35969" w14:textId="09D4E792" w:rsidR="00ED48BA" w:rsidRDefault="00ED48BA" w:rsidP="00ED48BA">
      <w:pPr>
        <w:pStyle w:val="ListBullet"/>
      </w:pPr>
      <w:r>
        <w:t>Developing influencing skills to build key relationships and gain the support and advocacy for change from well-respected people in primary health care professions, organisations and the community</w:t>
      </w:r>
      <w:r w:rsidR="00545B0A">
        <w:t>.</w:t>
      </w:r>
    </w:p>
    <w:p w14:paraId="2C79F759" w14:textId="47C473E7" w:rsidR="00ED48BA" w:rsidRDefault="00ED48BA" w:rsidP="00ED48BA">
      <w:pPr>
        <w:pStyle w:val="ListBullet"/>
      </w:pPr>
      <w:r>
        <w:t xml:space="preserve">Adopting a single </w:t>
      </w:r>
      <w:r w:rsidRPr="00874A99">
        <w:t xml:space="preserve">best practice </w:t>
      </w:r>
      <w:r>
        <w:t xml:space="preserve">change management </w:t>
      </w:r>
      <w:r w:rsidRPr="00874A99">
        <w:t>methodolog</w:t>
      </w:r>
      <w:r>
        <w:t xml:space="preserve">y to provide structure (refer to those </w:t>
      </w:r>
      <w:r w:rsidRPr="00874A99">
        <w:t xml:space="preserve">identified in the </w:t>
      </w:r>
      <w:r w:rsidRPr="009460FE">
        <w:t>2018</w:t>
      </w:r>
      <w:r w:rsidRPr="000E6047">
        <w:rPr>
          <w:i/>
        </w:rPr>
        <w:t xml:space="preserve"> Change Management and Commissioning Competencies Resources Toolkit</w:t>
      </w:r>
      <w:r w:rsidRPr="00D24FAE">
        <w:rPr>
          <w:rStyle w:val="FootnoteReference"/>
        </w:rPr>
        <w:footnoteReference w:id="19"/>
      </w:r>
      <w:r>
        <w:t>)</w:t>
      </w:r>
      <w:r w:rsidRPr="00874A99">
        <w:t xml:space="preserve">. PHNs should use </w:t>
      </w:r>
      <w:r>
        <w:t xml:space="preserve">a single </w:t>
      </w:r>
      <w:r w:rsidRPr="00874A99">
        <w:t>methodology that is best</w:t>
      </w:r>
      <w:r>
        <w:t xml:space="preserve"> suited to their local circumstances</w:t>
      </w:r>
      <w:r w:rsidR="00545B0A">
        <w:t>.</w:t>
      </w:r>
    </w:p>
    <w:p w14:paraId="5E12E1E1" w14:textId="569F30AB" w:rsidR="00ED48BA" w:rsidRDefault="00ED48BA" w:rsidP="00ED48BA">
      <w:pPr>
        <w:pStyle w:val="ListBullet"/>
      </w:pPr>
      <w:r>
        <w:t>Fostering an adaptive and innovative culture that encourages new ways of working</w:t>
      </w:r>
      <w:r w:rsidR="00545B0A">
        <w:t>.</w:t>
      </w:r>
    </w:p>
    <w:p w14:paraId="1036BC58" w14:textId="341B0276" w:rsidR="000D001F" w:rsidRDefault="00ED48BA" w:rsidP="00ED48BA">
      <w:pPr>
        <w:pStyle w:val="ListBullet"/>
      </w:pPr>
      <w:r>
        <w:t>Developing guidance and tools to build the capability, capacity and confidence of the PHN, market and community</w:t>
      </w:r>
      <w:r w:rsidR="00545B0A">
        <w:t>.</w:t>
      </w:r>
    </w:p>
    <w:p w14:paraId="120763FB" w14:textId="0B3A49C1" w:rsidR="00ED48BA" w:rsidRDefault="00ED48BA" w:rsidP="00ED48BA">
      <w:pPr>
        <w:pStyle w:val="ListBullet"/>
      </w:pPr>
      <w:r>
        <w:t>Building the negotiation and stakeholder management skills to the level needed to effectively deal with those who are most impacted or resistant to change</w:t>
      </w:r>
      <w:r w:rsidR="00545B0A">
        <w:t>.</w:t>
      </w:r>
    </w:p>
    <w:p w14:paraId="35783D81" w14:textId="562C1F45" w:rsidR="000D001F" w:rsidRDefault="00ED48BA" w:rsidP="00ED48BA">
      <w:pPr>
        <w:pStyle w:val="ListBullet"/>
      </w:pPr>
      <w:r>
        <w:t>Providing opportunities and the bandwidth for the market to propose system solutions that are outcomes based and following through with these solutions where they can be tested and implemented</w:t>
      </w:r>
      <w:r w:rsidR="00545B0A">
        <w:t>.</w:t>
      </w:r>
    </w:p>
    <w:p w14:paraId="018A75A4" w14:textId="75B86FB5" w:rsidR="000D001F" w:rsidRDefault="00ED48BA" w:rsidP="00ED48BA">
      <w:pPr>
        <w:pStyle w:val="ListBullet"/>
      </w:pPr>
      <w:r>
        <w:t>Strategically position the PHN by initially focusing on ‘quick win’ changes to build momentum and confidence</w:t>
      </w:r>
      <w:r w:rsidR="00545B0A">
        <w:t>.</w:t>
      </w:r>
    </w:p>
    <w:p w14:paraId="3B375BDE" w14:textId="77777777" w:rsidR="000D001F" w:rsidRDefault="00ED48BA" w:rsidP="00ED48BA">
      <w:pPr>
        <w:pStyle w:val="ListBullet"/>
      </w:pPr>
      <w:r>
        <w:t>Invest in system capability and capacity to form the architecture that can deliver long term and large scale change.</w:t>
      </w:r>
    </w:p>
    <w:p w14:paraId="5A8EAC8A" w14:textId="37CFD551" w:rsidR="00ED48BA" w:rsidRPr="00A31AB1" w:rsidRDefault="00ED48BA" w:rsidP="00A31AB1">
      <w:pPr>
        <w:pStyle w:val="Paragraphtext"/>
      </w:pPr>
      <w:r w:rsidRPr="00A31AB1">
        <w:br w:type="page"/>
      </w:r>
    </w:p>
    <w:p w14:paraId="2E7E094B" w14:textId="77777777" w:rsidR="00ED48BA" w:rsidRDefault="00ED48BA" w:rsidP="00D97FAF">
      <w:pPr>
        <w:pStyle w:val="Heading3"/>
      </w:pPr>
      <w:bookmarkStart w:id="49" w:name="_Toc519689564"/>
      <w:r>
        <w:lastRenderedPageBreak/>
        <w:t>Practical tips and skills for change management</w:t>
      </w:r>
      <w:bookmarkEnd w:id="49"/>
    </w:p>
    <w:p w14:paraId="34374FF3" w14:textId="06758437" w:rsidR="00ED48BA" w:rsidRDefault="00ED48BA" w:rsidP="00ED48BA">
      <w:pPr>
        <w:pStyle w:val="Paragraphtext"/>
      </w:pPr>
      <w:r>
        <w:t>To undertake effective change management, PHNs should consider the tips in Table 5.</w:t>
      </w:r>
    </w:p>
    <w:p w14:paraId="4902DE9D" w14:textId="77777777" w:rsidR="00ED48BA" w:rsidRPr="007A69E6" w:rsidRDefault="00ED48BA" w:rsidP="00ED48BA">
      <w:pPr>
        <w:pStyle w:val="Caption"/>
      </w:pPr>
      <w:bookmarkStart w:id="50" w:name="_Toc515288584"/>
      <w:bookmarkStart w:id="51" w:name="_Toc516150690"/>
      <w:r w:rsidRPr="007A69E6">
        <w:t xml:space="preserve">Table </w:t>
      </w:r>
      <w:fldSimple w:instr=" SEQ Table \* ARABIC ">
        <w:r w:rsidR="00374AF2">
          <w:rPr>
            <w:noProof/>
          </w:rPr>
          <w:t>5</w:t>
        </w:r>
      </w:fldSimple>
      <w:r w:rsidRPr="007A69E6">
        <w:rPr>
          <w:noProof/>
        </w:rPr>
        <w:t>:</w:t>
      </w:r>
      <w:r w:rsidRPr="007A69E6">
        <w:t xml:space="preserve"> Practical tips and skills for change management</w:t>
      </w:r>
      <w:bookmarkEnd w:id="50"/>
      <w:bookmarkEnd w:id="51"/>
    </w:p>
    <w:tbl>
      <w:tblPr>
        <w:tblStyle w:val="PHNBlueTable"/>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Practical tips and skills for change management"/>
        <w:tblDescription w:val="This table features three columns and two rows. Each column identifies practical tips that PHNs could use to develop the change management competency at a system, organisational or individual/team level. "/>
      </w:tblPr>
      <w:tblGrid>
        <w:gridCol w:w="3227"/>
        <w:gridCol w:w="2977"/>
        <w:gridCol w:w="3118"/>
      </w:tblGrid>
      <w:tr w:rsidR="00A943B3" w:rsidRPr="007A69E6" w14:paraId="3743616E" w14:textId="77777777" w:rsidTr="007A69E6">
        <w:trPr>
          <w:cnfStyle w:val="100000000000" w:firstRow="1" w:lastRow="0" w:firstColumn="0" w:lastColumn="0" w:oddVBand="0" w:evenVBand="0" w:oddHBand="0" w:evenHBand="0" w:firstRowFirstColumn="0" w:firstRowLastColumn="0" w:lastRowFirstColumn="0" w:lastRowLastColumn="0"/>
        </w:trPr>
        <w:tc>
          <w:tcPr>
            <w:tcW w:w="3227" w:type="dxa"/>
            <w:shd w:val="clear" w:color="auto" w:fill="8D188D"/>
          </w:tcPr>
          <w:p w14:paraId="0E2315DD" w14:textId="77777777" w:rsidR="00A943B3" w:rsidRPr="007A69E6" w:rsidRDefault="00A943B3" w:rsidP="00A943B3">
            <w:pPr>
              <w:pStyle w:val="TableHeaderWhite"/>
            </w:pPr>
            <w:r w:rsidRPr="007A69E6">
              <w:t xml:space="preserve">System </w:t>
            </w:r>
          </w:p>
        </w:tc>
        <w:tc>
          <w:tcPr>
            <w:tcW w:w="2977" w:type="dxa"/>
            <w:shd w:val="clear" w:color="auto" w:fill="8D188D"/>
          </w:tcPr>
          <w:p w14:paraId="738B0CE1" w14:textId="1A1B8CCA" w:rsidR="00A943B3" w:rsidRPr="007A69E6" w:rsidRDefault="00A943B3" w:rsidP="003E5977">
            <w:pPr>
              <w:pStyle w:val="TableHeaderWhite"/>
              <w:tabs>
                <w:tab w:val="right" w:pos="2670"/>
              </w:tabs>
            </w:pPr>
            <w:r w:rsidRPr="007A69E6">
              <w:t>Organisation</w:t>
            </w:r>
            <w:r w:rsidR="003E5977" w:rsidRPr="007A69E6">
              <w:tab/>
            </w:r>
          </w:p>
        </w:tc>
        <w:tc>
          <w:tcPr>
            <w:tcW w:w="3118" w:type="dxa"/>
            <w:shd w:val="clear" w:color="auto" w:fill="8D188D"/>
          </w:tcPr>
          <w:p w14:paraId="3C5C2D51" w14:textId="77777777" w:rsidR="00A943B3" w:rsidRPr="007A69E6" w:rsidRDefault="00A943B3" w:rsidP="00A943B3">
            <w:pPr>
              <w:pStyle w:val="TableHeaderWhite"/>
            </w:pPr>
            <w:r w:rsidRPr="007A69E6">
              <w:t>Individual / team</w:t>
            </w:r>
          </w:p>
        </w:tc>
      </w:tr>
      <w:tr w:rsidR="00A943B3" w:rsidRPr="006D4549" w14:paraId="0B15DB43" w14:textId="77777777" w:rsidTr="007A69E6">
        <w:tc>
          <w:tcPr>
            <w:tcW w:w="3227" w:type="dxa"/>
          </w:tcPr>
          <w:p w14:paraId="2EFD8D1B" w14:textId="31E10797" w:rsidR="00A943B3" w:rsidRPr="007A69E6" w:rsidRDefault="00A943B3" w:rsidP="00A943B3">
            <w:pPr>
              <w:pStyle w:val="Tablenumberedtextnormal"/>
              <w:numPr>
                <w:ilvl w:val="0"/>
                <w:numId w:val="27"/>
              </w:numPr>
            </w:pPr>
            <w:r w:rsidRPr="007A69E6">
              <w:t>Achieve a shared understanding of the existing problems faced by the sector, i.e. case for change, and commitment to solve these problems</w:t>
            </w:r>
            <w:r w:rsidR="00262B8C" w:rsidRPr="007A69E6">
              <w:t>.</w:t>
            </w:r>
          </w:p>
          <w:p w14:paraId="501B1DF9" w14:textId="20ECEBB2" w:rsidR="00A943B3" w:rsidRPr="007A69E6" w:rsidRDefault="00A943B3" w:rsidP="00A943B3">
            <w:pPr>
              <w:pStyle w:val="Tablenumberedtextnormal"/>
            </w:pPr>
            <w:r w:rsidRPr="007A69E6">
              <w:t>Build relationships with other commissioners and the market to leverage opportunities (e.g. utilise their capacity and capability to support a shared agenda)</w:t>
            </w:r>
            <w:r w:rsidR="00262B8C" w:rsidRPr="007A69E6">
              <w:t>.</w:t>
            </w:r>
          </w:p>
          <w:p w14:paraId="30BB7F9A" w14:textId="50E4EC2F" w:rsidR="007A69E6" w:rsidRDefault="007A69E6" w:rsidP="00A943B3">
            <w:pPr>
              <w:pStyle w:val="Tablenumberedtextnormal"/>
            </w:pPr>
            <w:r>
              <w:t>Collaborate and share change management strategies, approaches and experiences across the PHN network.</w:t>
            </w:r>
          </w:p>
          <w:p w14:paraId="168C53FB" w14:textId="3C1ADC36" w:rsidR="000D001F" w:rsidRPr="007A69E6" w:rsidRDefault="00A943B3" w:rsidP="00A943B3">
            <w:pPr>
              <w:pStyle w:val="Tablenumberedtextnormal"/>
            </w:pPr>
            <w:r w:rsidRPr="007A69E6">
              <w:t>Form strong relationships with community and representative groups, including ACCHS to agree and communicate what the change is, what has been achieved and what is neede</w:t>
            </w:r>
            <w:r w:rsidR="00AE4799" w:rsidRPr="007A69E6">
              <w:t>d to fully realise the benefits</w:t>
            </w:r>
            <w:r w:rsidR="00262B8C" w:rsidRPr="007A69E6">
              <w:t>.</w:t>
            </w:r>
          </w:p>
          <w:p w14:paraId="2E76A36E" w14:textId="6D7EE792" w:rsidR="000D001F" w:rsidRPr="007A69E6" w:rsidRDefault="00A943B3" w:rsidP="00A943B3">
            <w:pPr>
              <w:pStyle w:val="Tablenumberedtextnormal"/>
            </w:pPr>
            <w:r w:rsidRPr="007A69E6">
              <w:t>Communicate evidence specific to the PHN region to support the change. This may include investments or partnerships with research providers to obtain this data, link it and communicate it in a clear and transparent manner</w:t>
            </w:r>
            <w:r w:rsidR="00262B8C" w:rsidRPr="007A69E6">
              <w:t>.</w:t>
            </w:r>
          </w:p>
          <w:p w14:paraId="03C9B305" w14:textId="207E75B7" w:rsidR="00A943B3" w:rsidRPr="007A69E6" w:rsidRDefault="00A943B3" w:rsidP="00A943B3">
            <w:pPr>
              <w:pStyle w:val="Tablenumberedtextnormal"/>
            </w:pPr>
            <w:r w:rsidRPr="007A69E6">
              <w:t>Negotiate with key decision makers across the system to influence their agenda to support local change.</w:t>
            </w:r>
          </w:p>
        </w:tc>
        <w:tc>
          <w:tcPr>
            <w:tcW w:w="2977" w:type="dxa"/>
          </w:tcPr>
          <w:p w14:paraId="7CAC74A0" w14:textId="52307EE4" w:rsidR="000D001F" w:rsidRPr="007A69E6" w:rsidRDefault="00A943B3" w:rsidP="00A943B3">
            <w:pPr>
              <w:pStyle w:val="Tablenumberedtextnormal"/>
              <w:numPr>
                <w:ilvl w:val="0"/>
                <w:numId w:val="28"/>
              </w:numPr>
            </w:pPr>
            <w:r w:rsidRPr="007A69E6">
              <w:t>Implement a single, clear and best practice change management methodology such as ADKAR (Awareness, Desire, Knowledge, Ability, Reinforcement)</w:t>
            </w:r>
            <w:r w:rsidRPr="007A69E6">
              <w:rPr>
                <w:rStyle w:val="FootnoteReference"/>
              </w:rPr>
              <w:footnoteReference w:id="20"/>
            </w:r>
            <w:r w:rsidRPr="007A69E6">
              <w:t xml:space="preserve"> as the basis for a change implementation plan, with cultural safety embedded at a grass roots level</w:t>
            </w:r>
            <w:r w:rsidR="00262B8C" w:rsidRPr="007A69E6">
              <w:t>.</w:t>
            </w:r>
          </w:p>
          <w:p w14:paraId="35CC0CF8" w14:textId="2980E4E5" w:rsidR="000D001F" w:rsidRPr="007A69E6" w:rsidRDefault="00A943B3" w:rsidP="00A943B3">
            <w:pPr>
              <w:pStyle w:val="Tablenumberedtextnormal"/>
            </w:pPr>
            <w:r w:rsidRPr="007A69E6">
              <w:t>Measure and report on key change objectives, celebrating successes and assessing the PHN’s development of cultural safety and other competencies in commissioning</w:t>
            </w:r>
            <w:r w:rsidR="00262B8C" w:rsidRPr="007A69E6">
              <w:t>.</w:t>
            </w:r>
          </w:p>
          <w:p w14:paraId="1363E6AA" w14:textId="50D9E687" w:rsidR="00A943B3" w:rsidRPr="007A69E6" w:rsidRDefault="00A943B3" w:rsidP="00A943B3">
            <w:pPr>
              <w:pStyle w:val="Tablenumberedtextnormal"/>
            </w:pPr>
            <w:r w:rsidRPr="007A69E6">
              <w:t>Build the PHN’s cultural competency to build trust and respect to co-design, communicate and achieve buy-in (in particular, work more closely with Aboriginal and Torres Strait Islander people an</w:t>
            </w:r>
            <w:r w:rsidR="00AE4799" w:rsidRPr="007A69E6">
              <w:t>d communities to effect change)</w:t>
            </w:r>
            <w:r w:rsidR="00262B8C" w:rsidRPr="007A69E6">
              <w:t>.</w:t>
            </w:r>
          </w:p>
          <w:p w14:paraId="7A94B1CA" w14:textId="77777777" w:rsidR="00A943B3" w:rsidRPr="007A69E6" w:rsidRDefault="00A943B3" w:rsidP="00A943B3">
            <w:pPr>
              <w:pStyle w:val="Tablenumberedtextnormal"/>
            </w:pPr>
            <w:r w:rsidRPr="007A69E6">
              <w:t>Communicate clear and consistent messages about the benefits of change, and the PHN’s actions to support change across the system.</w:t>
            </w:r>
          </w:p>
        </w:tc>
        <w:tc>
          <w:tcPr>
            <w:tcW w:w="3118" w:type="dxa"/>
          </w:tcPr>
          <w:p w14:paraId="79F2BCC2" w14:textId="5E392AEC" w:rsidR="00A943B3" w:rsidRPr="007A69E6" w:rsidRDefault="00A943B3" w:rsidP="00A943B3">
            <w:pPr>
              <w:pStyle w:val="Tablenumberedtextnormal"/>
              <w:numPr>
                <w:ilvl w:val="0"/>
                <w:numId w:val="29"/>
              </w:numPr>
            </w:pPr>
            <w:r w:rsidRPr="007A69E6">
              <w:t>Provide staff with the time and training to develop their commissioning competencies and embed new practices into business-as-usual activities as part of their performance plans</w:t>
            </w:r>
            <w:r w:rsidR="00262B8C" w:rsidRPr="007A69E6">
              <w:t>.</w:t>
            </w:r>
          </w:p>
          <w:p w14:paraId="70404A39" w14:textId="575B2221" w:rsidR="00A943B3" w:rsidRPr="007A69E6" w:rsidRDefault="00A943B3" w:rsidP="00A943B3">
            <w:pPr>
              <w:pStyle w:val="Tablenumberedtextnormal"/>
            </w:pPr>
            <w:r w:rsidRPr="007A69E6">
              <w:t>Consider quality improvement methodologies to assist i</w:t>
            </w:r>
            <w:r w:rsidR="00AE4799" w:rsidRPr="007A69E6">
              <w:t>n driving contemporary practice</w:t>
            </w:r>
            <w:r w:rsidR="00262B8C" w:rsidRPr="007A69E6">
              <w:t>.</w:t>
            </w:r>
          </w:p>
          <w:p w14:paraId="6D6C4E56" w14:textId="225CA60E" w:rsidR="00A943B3" w:rsidRPr="007A69E6" w:rsidRDefault="00A943B3" w:rsidP="00A943B3">
            <w:pPr>
              <w:pStyle w:val="Tablenumberedtextnormal"/>
            </w:pPr>
            <w:r w:rsidRPr="007A69E6">
              <w:t>Develop leadership skills to motivate teams to implement the change and leverage passionate individuals t</w:t>
            </w:r>
            <w:r w:rsidR="00AE4799" w:rsidRPr="007A69E6">
              <w:t>o be community change champions</w:t>
            </w:r>
            <w:r w:rsidR="00262B8C" w:rsidRPr="007A69E6">
              <w:t>.</w:t>
            </w:r>
          </w:p>
          <w:p w14:paraId="6F062D27" w14:textId="37A0AD89" w:rsidR="00A943B3" w:rsidRPr="007A69E6" w:rsidRDefault="00A943B3" w:rsidP="00A943B3">
            <w:pPr>
              <w:pStyle w:val="Tablenumberedtextnormal"/>
            </w:pPr>
            <w:r w:rsidRPr="007A69E6">
              <w:t xml:space="preserve">Co-develop contracts and manage performance </w:t>
            </w:r>
            <w:r w:rsidR="004B780B" w:rsidRPr="007A69E6">
              <w:t xml:space="preserve">to </w:t>
            </w:r>
            <w:r w:rsidRPr="007A69E6">
              <w:t xml:space="preserve">provide </w:t>
            </w:r>
            <w:r w:rsidR="004B780B" w:rsidRPr="007A69E6">
              <w:t>scope</w:t>
            </w:r>
            <w:r w:rsidRPr="007A69E6">
              <w:t xml:space="preserve"> for partners to transform themselves and achieve change</w:t>
            </w:r>
            <w:r w:rsidR="004B780B" w:rsidRPr="007A69E6">
              <w:t xml:space="preserve">, while still ensuring continuity of services during transition. (Contracts of appropriate length, and </w:t>
            </w:r>
            <w:r w:rsidR="00B402AE">
              <w:t xml:space="preserve">which include </w:t>
            </w:r>
            <w:r w:rsidR="004B780B" w:rsidRPr="007A69E6">
              <w:t>appropriate transition and service continuity requirements are important here</w:t>
            </w:r>
            <w:r w:rsidR="00262B8C" w:rsidRPr="007A69E6">
              <w:t>.</w:t>
            </w:r>
            <w:r w:rsidR="004B780B" w:rsidRPr="007A69E6">
              <w:t>)</w:t>
            </w:r>
          </w:p>
          <w:p w14:paraId="5AFF315E" w14:textId="77777777" w:rsidR="00A943B3" w:rsidRPr="007A69E6" w:rsidRDefault="00A943B3" w:rsidP="00A943B3">
            <w:pPr>
              <w:pStyle w:val="Tablenumberedtextnormal"/>
            </w:pPr>
            <w:r w:rsidRPr="007A69E6">
              <w:t>Constructively challenge behaviour that does not support collaboration or build the desired culture.</w:t>
            </w:r>
          </w:p>
        </w:tc>
      </w:tr>
    </w:tbl>
    <w:p w14:paraId="0F4ED459" w14:textId="578F9140" w:rsidR="00ED48BA" w:rsidRPr="00231B71" w:rsidRDefault="00ED48BA" w:rsidP="00231B71">
      <w:pPr>
        <w:pStyle w:val="Heading2"/>
      </w:pPr>
      <w:bookmarkStart w:id="52" w:name="_Toc515288562"/>
      <w:bookmarkStart w:id="53" w:name="_Toc519689565"/>
      <w:r w:rsidRPr="00231B71">
        <w:lastRenderedPageBreak/>
        <w:t>Co-design and community engagement</w:t>
      </w:r>
      <w:bookmarkEnd w:id="52"/>
      <w:bookmarkEnd w:id="53"/>
    </w:p>
    <w:p w14:paraId="5E352675" w14:textId="77777777" w:rsidR="00ED48BA" w:rsidRDefault="00ED48BA" w:rsidP="00ED48BA">
      <w:pPr>
        <w:pStyle w:val="Paragraphtext"/>
      </w:pPr>
      <w:r>
        <w:t>This competency involves:</w:t>
      </w:r>
    </w:p>
    <w:p w14:paraId="38114553" w14:textId="3FA26432" w:rsidR="00ED48BA" w:rsidRPr="00A62273" w:rsidRDefault="00ED48BA" w:rsidP="00ED48BA">
      <w:pPr>
        <w:pStyle w:val="ListBullet"/>
        <w:rPr>
          <w:b/>
        </w:rPr>
      </w:pPr>
      <w:r>
        <w:t>E</w:t>
      </w:r>
      <w:r w:rsidRPr="009313E5">
        <w:t xml:space="preserve">ngaging with a diverse range of stakeholders </w:t>
      </w:r>
      <w:r>
        <w:t>for</w:t>
      </w:r>
      <w:r w:rsidRPr="009313E5">
        <w:t xml:space="preserve"> their perspectives and input to better inform and support the commissioning </w:t>
      </w:r>
      <w:r>
        <w:t>process</w:t>
      </w:r>
      <w:r w:rsidR="00545B0A">
        <w:t>.</w:t>
      </w:r>
    </w:p>
    <w:p w14:paraId="3F6EDF08" w14:textId="53EAAC27" w:rsidR="000D001F" w:rsidRDefault="00ED48BA" w:rsidP="00ED48BA">
      <w:pPr>
        <w:pStyle w:val="ListBullet"/>
      </w:pPr>
      <w:r>
        <w:t>Encouraging a</w:t>
      </w:r>
      <w:r w:rsidRPr="009313E5">
        <w:t>ctive participation</w:t>
      </w:r>
      <w:r>
        <w:t xml:space="preserve"> and provider innovation</w:t>
      </w:r>
      <w:r w:rsidRPr="009313E5">
        <w:t xml:space="preserve"> in </w:t>
      </w:r>
      <w:r>
        <w:t xml:space="preserve">identifying </w:t>
      </w:r>
      <w:r w:rsidRPr="009313E5">
        <w:t>needs</w:t>
      </w:r>
      <w:r>
        <w:t>, developing solutions,</w:t>
      </w:r>
      <w:r w:rsidRPr="009313E5">
        <w:t xml:space="preserve"> and </w:t>
      </w:r>
      <w:r>
        <w:t>achieving outcomes</w:t>
      </w:r>
      <w:r w:rsidR="00545B0A">
        <w:t>.</w:t>
      </w:r>
    </w:p>
    <w:p w14:paraId="72B04B5A" w14:textId="701A63AD" w:rsidR="00ED48BA" w:rsidRDefault="00ED48BA" w:rsidP="00ED48BA">
      <w:pPr>
        <w:pStyle w:val="ListBullet"/>
        <w:rPr>
          <w:b/>
        </w:rPr>
      </w:pPr>
      <w:r>
        <w:t>Leveraging</w:t>
      </w:r>
      <w:r w:rsidRPr="009313E5">
        <w:t xml:space="preserve"> the collective knowledge </w:t>
      </w:r>
      <w:r>
        <w:t>to foster innovative, patient centred services focused on achieving outcomes.</w:t>
      </w:r>
    </w:p>
    <w:p w14:paraId="7047A617" w14:textId="77777777" w:rsidR="00ED48BA" w:rsidRDefault="00ED48BA" w:rsidP="00D97FAF">
      <w:pPr>
        <w:pStyle w:val="Heading3"/>
      </w:pPr>
      <w:bookmarkStart w:id="54" w:name="_Toc519689566"/>
      <w:r>
        <w:t>Co-design and community engagement context for PHNs</w:t>
      </w:r>
      <w:bookmarkEnd w:id="54"/>
    </w:p>
    <w:p w14:paraId="0C887D69" w14:textId="77777777" w:rsidR="000D001F" w:rsidRDefault="00ED48BA" w:rsidP="00ED48BA">
      <w:pPr>
        <w:pStyle w:val="Paragraphtext"/>
      </w:pPr>
      <w:r w:rsidRPr="00434F92">
        <w:t xml:space="preserve">Commissioning relies on working collaboratively with various stakeholders </w:t>
      </w:r>
      <w:r w:rsidRPr="00875C50">
        <w:rPr>
          <w:szCs w:val="22"/>
        </w:rPr>
        <w:t xml:space="preserve">to collectively contribute to </w:t>
      </w:r>
      <w:r>
        <w:rPr>
          <w:szCs w:val="22"/>
        </w:rPr>
        <w:t>commissioning processes</w:t>
      </w:r>
      <w:r w:rsidRPr="00434F92">
        <w:t xml:space="preserve">. </w:t>
      </w:r>
      <w:r w:rsidRPr="00B42F75">
        <w:t xml:space="preserve">PHNs </w:t>
      </w:r>
      <w:r>
        <w:t>can</w:t>
      </w:r>
      <w:r w:rsidRPr="00B42F75">
        <w:t xml:space="preserve"> draw on the</w:t>
      </w:r>
      <w:r>
        <w:t>ir</w:t>
      </w:r>
      <w:r w:rsidRPr="00B42F75">
        <w:t xml:space="preserve"> collective views to</w:t>
      </w:r>
      <w:r>
        <w:t xml:space="preserve"> better inform and</w:t>
      </w:r>
      <w:r w:rsidRPr="00B42F75">
        <w:t xml:space="preserve"> </w:t>
      </w:r>
      <w:r>
        <w:t>support the commissioning of services. This is particularly relevant given that the c</w:t>
      </w:r>
      <w:r w:rsidRPr="003D48EE">
        <w:t>ontext,</w:t>
      </w:r>
      <w:r>
        <w:t xml:space="preserve"> </w:t>
      </w:r>
      <w:r w:rsidRPr="003D48EE">
        <w:t xml:space="preserve">needs, expectations, challenges and </w:t>
      </w:r>
      <w:r>
        <w:t xml:space="preserve">outcomes sought by individuals are constantly changing, and PHNs require collaborative practices to ensure they are well informed and can address need. </w:t>
      </w:r>
      <w:r w:rsidRPr="00A17F2D">
        <w:t>Community engagement and co-design</w:t>
      </w:r>
      <w:r>
        <w:t xml:space="preserve"> are therefore key tasks that are critical to the overall success of commissioning</w:t>
      </w:r>
      <w:r w:rsidRPr="003D48EE">
        <w:t>.</w:t>
      </w:r>
    </w:p>
    <w:p w14:paraId="0BA55A98" w14:textId="77777777" w:rsidR="000D001F" w:rsidRDefault="00ED48BA" w:rsidP="00ED48BA">
      <w:pPr>
        <w:pStyle w:val="Paragraphtext"/>
      </w:pPr>
      <w:r>
        <w:t>Community engagement can be depicted as a spectrum</w:t>
      </w:r>
      <w:r w:rsidRPr="00D24FAE">
        <w:rPr>
          <w:rStyle w:val="FootnoteReference"/>
        </w:rPr>
        <w:footnoteReference w:id="21"/>
      </w:r>
      <w:r>
        <w:t>. Where low level engagement involves PHNs telling / informing the community about an issue (e.g. via consultation), to high level engagement, where PHNs collaborate and empower the community (e.g. co-design). Community engagement can vary depending on what the PHN is trying to achieve and the ability of the specific group to participate in the engagement. PHNs should also keep in mind what form of engagement will be most effective in targeting communities.</w:t>
      </w:r>
    </w:p>
    <w:p w14:paraId="79354BF4" w14:textId="21F752FA" w:rsidR="00ED48BA" w:rsidRPr="003D48EE" w:rsidRDefault="00ED48BA" w:rsidP="00ED48BA">
      <w:pPr>
        <w:pStyle w:val="Paragraphtext"/>
      </w:pPr>
      <w:r w:rsidRPr="00434F92">
        <w:t>Co-design</w:t>
      </w:r>
      <w:r w:rsidRPr="00F642B1">
        <w:t xml:space="preserve"> goes beyond consultation, by PHNs working with providers, communities, other stakeholders and potentially other co-commissioners who are affected by or attempting to address health needs.</w:t>
      </w:r>
      <w:r>
        <w:t xml:space="preserve"> It is a </w:t>
      </w:r>
      <w:r w:rsidRPr="00434F92">
        <w:t>key approach to bringing various stakeholders together to collectively contribute to</w:t>
      </w:r>
      <w:r>
        <w:t xml:space="preserve"> designing or developing</w:t>
      </w:r>
      <w:r w:rsidRPr="00434F92">
        <w:t xml:space="preserve"> </w:t>
      </w:r>
      <w:r>
        <w:t>solutions, and it incorporates the following benefits:</w:t>
      </w:r>
    </w:p>
    <w:p w14:paraId="1744932B" w14:textId="77777777" w:rsidR="000D001F" w:rsidRDefault="00ED48BA" w:rsidP="00ED48BA">
      <w:pPr>
        <w:pStyle w:val="ListBullet"/>
      </w:pPr>
      <w:r>
        <w:t>Brings together the expertise of a range of</w:t>
      </w:r>
      <w:r w:rsidRPr="00B61263">
        <w:t xml:space="preserve"> stakeholder</w:t>
      </w:r>
      <w:r>
        <w:t>s.</w:t>
      </w:r>
    </w:p>
    <w:p w14:paraId="51241370" w14:textId="61911E4E" w:rsidR="00ED48BA" w:rsidRDefault="00ED48BA" w:rsidP="00ED48BA">
      <w:pPr>
        <w:pStyle w:val="ListBullet"/>
      </w:pPr>
      <w:r>
        <w:t>Enables PHNs to understand patient</w:t>
      </w:r>
      <w:r w:rsidRPr="003D48EE">
        <w:t xml:space="preserve"> experiences, rather than relying on attitudes or opinions</w:t>
      </w:r>
      <w:r>
        <w:t>.</w:t>
      </w:r>
      <w:r>
        <w:rPr>
          <w:rStyle w:val="FootnoteReference"/>
        </w:rPr>
        <w:footnoteReference w:id="22"/>
      </w:r>
    </w:p>
    <w:p w14:paraId="700A8BFF" w14:textId="77777777" w:rsidR="00ED48BA" w:rsidRDefault="00ED48BA" w:rsidP="00ED48BA">
      <w:pPr>
        <w:pStyle w:val="ListBullet"/>
      </w:pPr>
      <w:r>
        <w:t>Brings together</w:t>
      </w:r>
      <w:r w:rsidRPr="003D48EE">
        <w:t xml:space="preserve"> co-commissioners and other agencies to set a vision and to identify the potential for</w:t>
      </w:r>
      <w:r>
        <w:t xml:space="preserve"> collaborative arrangements, such as</w:t>
      </w:r>
      <w:r w:rsidRPr="003D48EE">
        <w:t xml:space="preserve"> </w:t>
      </w:r>
      <w:r>
        <w:t xml:space="preserve">the </w:t>
      </w:r>
      <w:r w:rsidRPr="003D48EE">
        <w:t>pooling</w:t>
      </w:r>
      <w:r>
        <w:t xml:space="preserve"> of funds.</w:t>
      </w:r>
    </w:p>
    <w:p w14:paraId="5FA9AD72" w14:textId="77777777" w:rsidR="00ED48BA" w:rsidRDefault="00ED48BA" w:rsidP="00ED48BA">
      <w:pPr>
        <w:pStyle w:val="ListBullet"/>
      </w:pPr>
      <w:r>
        <w:t>E</w:t>
      </w:r>
      <w:r w:rsidRPr="003D48EE">
        <w:t>nsures diverse needs and views</w:t>
      </w:r>
      <w:r>
        <w:t>, including the needs of Aboriginal and Torres Strait Islander people and communities and those at risk of poor health outcomes, a</w:t>
      </w:r>
      <w:r w:rsidRPr="003D48EE">
        <w:t>re reflected in PHN’s commissioning decisions to optimise service design early on</w:t>
      </w:r>
      <w:r>
        <w:t xml:space="preserve">, </w:t>
      </w:r>
      <w:r w:rsidRPr="003D48EE">
        <w:t>achieve buy-in for n</w:t>
      </w:r>
      <w:r>
        <w:t>ew models of care and avoid marginalising people in the community.</w:t>
      </w:r>
    </w:p>
    <w:p w14:paraId="0B6FD957" w14:textId="77777777" w:rsidR="00ED48BA" w:rsidRDefault="00ED48BA" w:rsidP="00ED48BA">
      <w:pPr>
        <w:pStyle w:val="ListBullet"/>
      </w:pPr>
      <w:r>
        <w:t>Brings stakeholders on the commissioning journey, which builds capacity and creates collective leadership and ownership in achieving the intended outcomes.</w:t>
      </w:r>
    </w:p>
    <w:p w14:paraId="4347548D" w14:textId="77777777" w:rsidR="00013C52" w:rsidRDefault="00013C52">
      <w:pPr>
        <w:rPr>
          <w:color w:val="000000" w:themeColor="text1"/>
        </w:rPr>
      </w:pPr>
      <w:r>
        <w:br w:type="page"/>
      </w:r>
    </w:p>
    <w:p w14:paraId="5CF199CC" w14:textId="2C61E97E" w:rsidR="00ED48BA" w:rsidRPr="004F3F53" w:rsidRDefault="00ED48BA" w:rsidP="00ED48BA">
      <w:pPr>
        <w:pStyle w:val="ListBullet"/>
      </w:pPr>
      <w:r>
        <w:lastRenderedPageBreak/>
        <w:t xml:space="preserve">Accesses insights from </w:t>
      </w:r>
      <w:r w:rsidRPr="003D48EE">
        <w:t xml:space="preserve">the provider market </w:t>
      </w:r>
      <w:r>
        <w:t xml:space="preserve">relating to </w:t>
      </w:r>
      <w:r w:rsidRPr="003D48EE">
        <w:t>operational thinking, best practices and an understanding of the latest technological advancements that impact service delivery</w:t>
      </w:r>
      <w:r>
        <w:t xml:space="preserve"> at an earlier stage than other approaches. This can help foster innovation and better service delivery approaches.</w:t>
      </w:r>
    </w:p>
    <w:p w14:paraId="3BA613FB" w14:textId="77777777" w:rsidR="00ED48BA" w:rsidRPr="0035417C" w:rsidRDefault="00ED48BA" w:rsidP="00D97FAF">
      <w:pPr>
        <w:pStyle w:val="Heading3"/>
      </w:pPr>
      <w:bookmarkStart w:id="55" w:name="_Toc519689567"/>
      <w:r>
        <w:t>Considerations</w:t>
      </w:r>
      <w:r w:rsidRPr="0035417C">
        <w:t xml:space="preserve"> </w:t>
      </w:r>
      <w:r>
        <w:t>for co-design and community engagement</w:t>
      </w:r>
      <w:bookmarkEnd w:id="55"/>
    </w:p>
    <w:p w14:paraId="6D595B19" w14:textId="77777777" w:rsidR="00ED48BA" w:rsidRDefault="00ED48BA" w:rsidP="00ED48BA">
      <w:pPr>
        <w:pStyle w:val="Paragraphtext"/>
      </w:pPr>
      <w:r w:rsidRPr="00434F92">
        <w:t>Key to effective co-design is active contribution from a diverse mix of stakeholders and ensuring</w:t>
      </w:r>
      <w:r>
        <w:t xml:space="preserve"> </w:t>
      </w:r>
      <w:r w:rsidRPr="00434F92">
        <w:t>the service user</w:t>
      </w:r>
      <w:r>
        <w:t>s’</w:t>
      </w:r>
      <w:r w:rsidRPr="00434F92">
        <w:t xml:space="preserve"> experience</w:t>
      </w:r>
      <w:r>
        <w:t>s</w:t>
      </w:r>
      <w:r w:rsidRPr="00434F92">
        <w:t xml:space="preserve"> and needs are central to the design process.</w:t>
      </w:r>
      <w:r>
        <w:t xml:space="preserve"> Key considerations across pre-engagement, engagement and post-engagement for PHNs include:</w:t>
      </w:r>
    </w:p>
    <w:p w14:paraId="1808C2E6" w14:textId="77777777" w:rsidR="00ED48BA" w:rsidRPr="00F4475A" w:rsidRDefault="00ED48BA" w:rsidP="00D97FAF">
      <w:pPr>
        <w:pStyle w:val="Heading3"/>
      </w:pPr>
      <w:bookmarkStart w:id="56" w:name="_Toc519689568"/>
      <w:r>
        <w:t>Pre-engagement</w:t>
      </w:r>
      <w:bookmarkEnd w:id="56"/>
    </w:p>
    <w:p w14:paraId="2329ABED" w14:textId="77777777" w:rsidR="00ED48BA" w:rsidRDefault="00ED48BA" w:rsidP="00ED48BA">
      <w:pPr>
        <w:pStyle w:val="ListBullet"/>
      </w:pPr>
      <w:r>
        <w:t>Design the engagement approach based on the purpose and target audience, which may involve bringing together or segmenting stakeholders. (Case study 1 in this guidance provides an example of how engagement with segmented groups of stakeholders can bring value determining needs and outcomes).</w:t>
      </w:r>
    </w:p>
    <w:p w14:paraId="5E680425" w14:textId="77777777" w:rsidR="000D001F" w:rsidRDefault="00ED48BA" w:rsidP="00ED48BA">
      <w:pPr>
        <w:pStyle w:val="ListBullet"/>
      </w:pPr>
      <w:r>
        <w:t>Leverage</w:t>
      </w:r>
      <w:r w:rsidRPr="00277B66">
        <w:t xml:space="preserve"> past engagements and existing </w:t>
      </w:r>
      <w:r>
        <w:t>governance structures, networks and communication channels, such as Clinical Councils, Community Advisory Committees, and ACCHS, to minimise engagement</w:t>
      </w:r>
      <w:r w:rsidRPr="00277B66">
        <w:t xml:space="preserve"> fatigue</w:t>
      </w:r>
      <w:r>
        <w:t xml:space="preserve"> and to build on existing ways of working.</w:t>
      </w:r>
    </w:p>
    <w:p w14:paraId="1AA41619" w14:textId="61C2C601" w:rsidR="00ED48BA" w:rsidRDefault="00ED48BA" w:rsidP="00ED48BA">
      <w:pPr>
        <w:pStyle w:val="ListBullet"/>
      </w:pPr>
      <w:r w:rsidRPr="00F42E8D">
        <w:t xml:space="preserve">Invest in understanding </w:t>
      </w:r>
      <w:r w:rsidR="008A34EA">
        <w:t>the PHN’s</w:t>
      </w:r>
      <w:r w:rsidRPr="00F42E8D">
        <w:t xml:space="preserve"> communities prior to engagement </w:t>
      </w:r>
      <w:r>
        <w:t xml:space="preserve">through </w:t>
      </w:r>
      <w:r w:rsidRPr="00F42E8D">
        <w:t>research</w:t>
      </w:r>
      <w:r>
        <w:t xml:space="preserve"> and relationship building</w:t>
      </w:r>
      <w:r>
        <w:rPr>
          <w:rStyle w:val="FootnoteReference"/>
        </w:rPr>
        <w:footnoteReference w:id="23"/>
      </w:r>
      <w:r>
        <w:t xml:space="preserve">. This is particularly important for engaging </w:t>
      </w:r>
      <w:r w:rsidRPr="00F42E8D">
        <w:t>with Aboriginal</w:t>
      </w:r>
      <w:r>
        <w:t xml:space="preserve"> and Torres Strait Islander people and communities and those at risk of poor health outcomes to understand their </w:t>
      </w:r>
      <w:r w:rsidRPr="00F42E8D">
        <w:t>experiences</w:t>
      </w:r>
      <w:r>
        <w:t xml:space="preserve"> (this helps minimise clouding </w:t>
      </w:r>
      <w:r w:rsidRPr="00F42E8D">
        <w:t xml:space="preserve">the design process with </w:t>
      </w:r>
      <w:r>
        <w:t xml:space="preserve">false </w:t>
      </w:r>
      <w:r w:rsidRPr="00F42E8D">
        <w:t>assumptions</w:t>
      </w:r>
      <w:r>
        <w:t xml:space="preserve"> particularly where those communities assist in co-designing how the engagement occurs).</w:t>
      </w:r>
    </w:p>
    <w:p w14:paraId="23F0876A" w14:textId="77777777" w:rsidR="00ED48BA" w:rsidRDefault="00ED48BA" w:rsidP="00ED48BA">
      <w:pPr>
        <w:pStyle w:val="ListBullet"/>
      </w:pPr>
      <w:r>
        <w:t>Understand stakeholder interests, motivation and principles and tailor the engagement to suit this to minimise potential conflicts of interests / biases, particularly when co-designing with influential local providers in less competitive or rural and remote markets.</w:t>
      </w:r>
    </w:p>
    <w:p w14:paraId="5D87A82D" w14:textId="77777777" w:rsidR="00ED48BA" w:rsidRPr="00F4475A" w:rsidRDefault="00ED48BA" w:rsidP="00ED48BA">
      <w:pPr>
        <w:pStyle w:val="ListBullet"/>
      </w:pPr>
      <w:r>
        <w:t>Identify and build relationships with key stakeholders to ensure that co-design activities are representative of a variety of groups.</w:t>
      </w:r>
    </w:p>
    <w:p w14:paraId="13DEDFC3" w14:textId="77777777" w:rsidR="000D001F" w:rsidRDefault="00ED48BA" w:rsidP="00D97FAF">
      <w:pPr>
        <w:pStyle w:val="Heading3"/>
      </w:pPr>
      <w:bookmarkStart w:id="57" w:name="_Toc519689569"/>
      <w:r w:rsidRPr="00F4475A">
        <w:t>Engagement</w:t>
      </w:r>
      <w:bookmarkEnd w:id="57"/>
    </w:p>
    <w:p w14:paraId="36E214C6" w14:textId="77777777" w:rsidR="000D001F" w:rsidRDefault="00ED48BA" w:rsidP="00ED48BA">
      <w:pPr>
        <w:pStyle w:val="ListBullet"/>
      </w:pPr>
      <w:r>
        <w:t>Provide clarity on the aims, scope and role of co-design, including whether co-design sits within or outside of formal procurement, as part of expectation management as well as to address probity or intellectual property concerns.</w:t>
      </w:r>
    </w:p>
    <w:p w14:paraId="32D77C50" w14:textId="23F66ADA" w:rsidR="000D001F" w:rsidRDefault="00ED48BA" w:rsidP="00ED48BA">
      <w:pPr>
        <w:pStyle w:val="ListBullet"/>
      </w:pPr>
      <w:r>
        <w:t xml:space="preserve">Consider how </w:t>
      </w:r>
      <w:r w:rsidR="008A34EA">
        <w:t>to</w:t>
      </w:r>
      <w:r>
        <w:t xml:space="preserve"> set expectations on the co-design process (i.e. how long it will take to co-design, and identify that a range of stakeholders will be involved, with a diversity of views).</w:t>
      </w:r>
    </w:p>
    <w:p w14:paraId="47A4E3DB" w14:textId="1A43B730" w:rsidR="00ED48BA" w:rsidRDefault="00ED48BA" w:rsidP="00ED48BA">
      <w:pPr>
        <w:pStyle w:val="ListBullet"/>
      </w:pPr>
      <w:r>
        <w:t>Consider patient motivations</w:t>
      </w:r>
      <w:r>
        <w:rPr>
          <w:rStyle w:val="FootnoteReference"/>
        </w:rPr>
        <w:footnoteReference w:id="24"/>
      </w:r>
      <w:r>
        <w:t xml:space="preserve"> to ensure the service design encourages patients to participate and ‘self-care’</w:t>
      </w:r>
      <w:r>
        <w:rPr>
          <w:rStyle w:val="FootnoteReference"/>
        </w:rPr>
        <w:footnoteReference w:id="25"/>
      </w:r>
      <w:r>
        <w:t>.</w:t>
      </w:r>
    </w:p>
    <w:p w14:paraId="2693622A" w14:textId="2D65C3B5" w:rsidR="000D001F" w:rsidRDefault="00ED48BA" w:rsidP="00ED48BA">
      <w:pPr>
        <w:pStyle w:val="ListBullet"/>
      </w:pPr>
      <w:r>
        <w:t xml:space="preserve">Consider how </w:t>
      </w:r>
      <w:r w:rsidR="008A34EA">
        <w:t xml:space="preserve">to </w:t>
      </w:r>
      <w:r>
        <w:t>provide an appropriate space for all stakeholder groups, to ensure co</w:t>
      </w:r>
      <w:r w:rsidR="008A34EA">
        <w:noBreakHyphen/>
      </w:r>
      <w:r>
        <w:t>design activities are accessible to all groups.</w:t>
      </w:r>
    </w:p>
    <w:p w14:paraId="1B928FAF" w14:textId="0FC8D4AB" w:rsidR="00ED48BA" w:rsidRDefault="00ED48BA" w:rsidP="00ED48BA">
      <w:pPr>
        <w:pStyle w:val="ListBullet"/>
      </w:pPr>
      <w:r>
        <w:lastRenderedPageBreak/>
        <w:t>Expand engagement to non-traditional / broader stakeholders to gain alternate views and insights from other sectors.</w:t>
      </w:r>
    </w:p>
    <w:p w14:paraId="609EFEB2" w14:textId="63B36653" w:rsidR="00ED48BA" w:rsidRDefault="00ED48BA" w:rsidP="00ED48BA">
      <w:pPr>
        <w:pStyle w:val="ListBullet"/>
      </w:pPr>
      <w:r>
        <w:t>Consider preferences of affordability and rurality in determining the engagement method (for example, engaging with rural stakeholders face to face rather than through videoconference. The latter may be preferred due to cost and time if there is a pre</w:t>
      </w:r>
      <w:r w:rsidR="00A45506">
        <w:noBreakHyphen/>
      </w:r>
      <w:r>
        <w:t>existing relationship between the PHN and the participants, or if the engagement is not with a key stakeholder).</w:t>
      </w:r>
    </w:p>
    <w:p w14:paraId="4E9DCF80" w14:textId="77777777" w:rsidR="00ED48BA" w:rsidRDefault="00ED48BA" w:rsidP="00ED48BA">
      <w:pPr>
        <w:pStyle w:val="ListBullet"/>
      </w:pPr>
      <w:r>
        <w:t>Consider how to balance and choose between opposing views of importance.</w:t>
      </w:r>
    </w:p>
    <w:p w14:paraId="172E3D5D" w14:textId="77777777" w:rsidR="00ED48BA" w:rsidRPr="00705A0A" w:rsidRDefault="00ED48BA" w:rsidP="00ED48BA">
      <w:pPr>
        <w:pStyle w:val="ListBullet"/>
      </w:pPr>
      <w:r>
        <w:t xml:space="preserve">Consider engaging with </w:t>
      </w:r>
      <w:r w:rsidRPr="00F42E8D">
        <w:t xml:space="preserve">Aboriginal </w:t>
      </w:r>
      <w:r>
        <w:t xml:space="preserve">and Torres Strait Islander people and </w:t>
      </w:r>
      <w:r w:rsidRPr="00F42E8D">
        <w:t xml:space="preserve">communities </w:t>
      </w:r>
      <w:r>
        <w:t>through local community members to facilitate open engagement, as it is likely that they have already built trust between each other.</w:t>
      </w:r>
    </w:p>
    <w:p w14:paraId="63F4E6C9" w14:textId="77777777" w:rsidR="00ED48BA" w:rsidRDefault="00ED48BA" w:rsidP="00ED48BA">
      <w:pPr>
        <w:pStyle w:val="ListBullet"/>
      </w:pPr>
      <w:r>
        <w:t>Ensure that engagement is underpinned by cultural awareness, cultural competency and cultural safety. When engaging with Aboriginal and Torres Strait Islander people and communities, language should be</w:t>
      </w:r>
      <w:r w:rsidRPr="00F42E8D">
        <w:t xml:space="preserve"> framed from an experience perspective</w:t>
      </w:r>
      <w:r>
        <w:t>.</w:t>
      </w:r>
    </w:p>
    <w:p w14:paraId="7C1F9B95" w14:textId="77777777" w:rsidR="000D001F" w:rsidRDefault="00ED48BA" w:rsidP="00D97FAF">
      <w:pPr>
        <w:pStyle w:val="Heading3"/>
      </w:pPr>
      <w:bookmarkStart w:id="58" w:name="_Toc519689570"/>
      <w:r>
        <w:t>Post-e</w:t>
      </w:r>
      <w:r w:rsidRPr="00F4475A">
        <w:t>ngagement</w:t>
      </w:r>
      <w:bookmarkEnd w:id="58"/>
    </w:p>
    <w:p w14:paraId="3E31D1C6" w14:textId="7F29A804" w:rsidR="00ED48BA" w:rsidRDefault="00ED48BA" w:rsidP="00ED48BA">
      <w:pPr>
        <w:pStyle w:val="ListBullet"/>
      </w:pPr>
      <w:r>
        <w:t>Follow up with participants to build on relationships and provide outcomes and next steps of co-design.</w:t>
      </w:r>
    </w:p>
    <w:p w14:paraId="2519C074" w14:textId="77777777" w:rsidR="000D001F" w:rsidRDefault="00ED48BA" w:rsidP="00ED48BA">
      <w:pPr>
        <w:pStyle w:val="ListBullet"/>
      </w:pPr>
      <w:r>
        <w:t>Seek feedback on the experience of stakeholders with the engagement in a timely and simple manner.</w:t>
      </w:r>
    </w:p>
    <w:p w14:paraId="55A7D705" w14:textId="63A0A654" w:rsidR="00ED48BA" w:rsidRDefault="00ED48BA" w:rsidP="00ED48BA">
      <w:pPr>
        <w:pStyle w:val="ListBullet"/>
      </w:pPr>
      <w:r w:rsidRPr="00B61263">
        <w:t>Consider ways to establish real time engagement and</w:t>
      </w:r>
      <w:r>
        <w:t xml:space="preserve"> further build on</w:t>
      </w:r>
      <w:r w:rsidRPr="00B61263">
        <w:t xml:space="preserve"> co-design</w:t>
      </w:r>
      <w:r>
        <w:t>.</w:t>
      </w:r>
    </w:p>
    <w:p w14:paraId="22F0C7EA" w14:textId="77777777" w:rsidR="00ED48BA" w:rsidRPr="00231B71" w:rsidRDefault="00ED48BA" w:rsidP="00ED48BA">
      <w:r w:rsidRPr="00231B71">
        <w:br w:type="page"/>
      </w:r>
    </w:p>
    <w:p w14:paraId="21A8011A" w14:textId="77777777" w:rsidR="00670F18" w:rsidRPr="00231B71" w:rsidRDefault="00670F18" w:rsidP="003E5977">
      <w:pPr>
        <w:pStyle w:val="CaseStudyHeading"/>
        <w:pBdr>
          <w:bottom w:val="single" w:sz="4" w:space="3" w:color="auto"/>
        </w:pBdr>
        <w:shd w:val="clear" w:color="auto" w:fill="8D188D"/>
      </w:pPr>
      <w:r w:rsidRPr="00231B71">
        <w:lastRenderedPageBreak/>
        <w:t>Case study 1: Co-design in working towards an outcomes based contract on the Gold Coast</w:t>
      </w:r>
    </w:p>
    <w:p w14:paraId="453F09A1" w14:textId="77777777" w:rsidR="00670F18" w:rsidRPr="00152332" w:rsidRDefault="00670F18" w:rsidP="003E5977">
      <w:pPr>
        <w:pStyle w:val="CaseStudyText"/>
        <w:pBdr>
          <w:bottom w:val="single" w:sz="4" w:space="3" w:color="auto"/>
        </w:pBdr>
      </w:pPr>
      <w:r w:rsidRPr="00152332">
        <w:rPr>
          <w:b/>
        </w:rPr>
        <w:t>Situation</w:t>
      </w:r>
      <w:r w:rsidRPr="00152332">
        <w:t>: Gold Coast PHN (GCPHN) identified a need for additional services to be available for people with severe and complex mental illness</w:t>
      </w:r>
      <w:r>
        <w:t>. D</w:t>
      </w:r>
      <w:r w:rsidRPr="00152332">
        <w:t xml:space="preserve">ata sources </w:t>
      </w:r>
      <w:r>
        <w:t xml:space="preserve">indicated </w:t>
      </w:r>
      <w:r w:rsidRPr="00152332">
        <w:t>9,000-12,000 people who ha</w:t>
      </w:r>
      <w:r>
        <w:t>d</w:t>
      </w:r>
      <w:r w:rsidRPr="00152332">
        <w:t xml:space="preserve"> the potential to benefit </w:t>
      </w:r>
      <w:r>
        <w:t xml:space="preserve">from </w:t>
      </w:r>
      <w:r w:rsidRPr="00152332">
        <w:t>improved clinical mental health service</w:t>
      </w:r>
      <w:r>
        <w:t xml:space="preserve">s in the primary care setting. </w:t>
      </w:r>
      <w:r w:rsidRPr="00152332">
        <w:t xml:space="preserve">A redesign of current services </w:t>
      </w:r>
      <w:r>
        <w:t xml:space="preserve">would therefore create the </w:t>
      </w:r>
      <w:r w:rsidRPr="00152332">
        <w:t xml:space="preserve">opportunity to address </w:t>
      </w:r>
      <w:r>
        <w:t xml:space="preserve">a currently </w:t>
      </w:r>
      <w:r w:rsidRPr="00152332">
        <w:t>fragment</w:t>
      </w:r>
      <w:r>
        <w:t>ed</w:t>
      </w:r>
      <w:r w:rsidRPr="00152332">
        <w:t xml:space="preserve"> system and move towards </w:t>
      </w:r>
      <w:r>
        <w:t xml:space="preserve">more </w:t>
      </w:r>
      <w:r w:rsidRPr="00152332">
        <w:t xml:space="preserve">integrated and coordinated </w:t>
      </w:r>
      <w:r>
        <w:t>care</w:t>
      </w:r>
      <w:r w:rsidRPr="00152332">
        <w:t>.</w:t>
      </w:r>
    </w:p>
    <w:p w14:paraId="552CC643" w14:textId="77777777" w:rsidR="000D001F" w:rsidRDefault="00670F18" w:rsidP="003E5977">
      <w:pPr>
        <w:pStyle w:val="CaseStudyText"/>
        <w:pBdr>
          <w:bottom w:val="single" w:sz="4" w:space="3" w:color="auto"/>
        </w:pBdr>
      </w:pPr>
      <w:r w:rsidRPr="00152332">
        <w:rPr>
          <w:b/>
        </w:rPr>
        <w:t>Task</w:t>
      </w:r>
      <w:r w:rsidRPr="00152332">
        <w:t>: GCPHN used this redesign opportunity to move towards a more outcomes based commissioning approach which enhances the potential to move towards a more integrated and co</w:t>
      </w:r>
      <w:r>
        <w:t>ordinated system of provision.</w:t>
      </w:r>
    </w:p>
    <w:p w14:paraId="113DA86B" w14:textId="67F8F71B" w:rsidR="00670F18" w:rsidRPr="00152332" w:rsidRDefault="00670F18" w:rsidP="003E5977">
      <w:pPr>
        <w:pStyle w:val="CaseStudyText"/>
        <w:pBdr>
          <w:bottom w:val="single" w:sz="4" w:space="3" w:color="auto"/>
        </w:pBdr>
      </w:pPr>
      <w:r>
        <w:t>The team involved</w:t>
      </w:r>
      <w:r w:rsidRPr="00152332">
        <w:t xml:space="preserve"> a wide range of stakeholders in a considered way to build consensus on the outcomes that matter to recipients</w:t>
      </w:r>
      <w:r>
        <w:t>,</w:t>
      </w:r>
      <w:r w:rsidRPr="00152332">
        <w:t xml:space="preserve"> underpinned by the data available in both the needs assessment and through stakeholder involvement over the past 2 years. The task included mapping these needs to the Triple Aim</w:t>
      </w:r>
      <w:r w:rsidRPr="00D24FAE">
        <w:rPr>
          <w:rStyle w:val="FootnoteReference"/>
        </w:rPr>
        <w:footnoteReference w:id="26"/>
      </w:r>
      <w:r w:rsidRPr="00152332">
        <w:t xml:space="preserve"> </w:t>
      </w:r>
      <w:r>
        <w:t>to articulate the benefits,</w:t>
      </w:r>
      <w:r w:rsidRPr="00152332">
        <w:t xml:space="preserve"> using a populat</w:t>
      </w:r>
      <w:r>
        <w:t>ion health approach.</w:t>
      </w:r>
    </w:p>
    <w:p w14:paraId="0066E254" w14:textId="77777777" w:rsidR="000D001F" w:rsidRDefault="00670F18" w:rsidP="003E5977">
      <w:pPr>
        <w:pStyle w:val="CaseStudyText"/>
        <w:pBdr>
          <w:bottom w:val="single" w:sz="4" w:space="3" w:color="auto"/>
        </w:pBdr>
      </w:pPr>
      <w:r w:rsidRPr="00152332">
        <w:rPr>
          <w:b/>
        </w:rPr>
        <w:t>Action</w:t>
      </w:r>
      <w:r w:rsidRPr="00152332">
        <w:t>: Over a 4 month period the planning and consul</w:t>
      </w:r>
      <w:r>
        <w:t xml:space="preserve">tation process was undertaken. </w:t>
      </w:r>
      <w:r w:rsidRPr="00152332">
        <w:t>What made this co-design process different was the segmentation then consolidation of the constituent groups</w:t>
      </w:r>
      <w:r>
        <w:t>. This</w:t>
      </w:r>
      <w:r w:rsidRPr="00152332">
        <w:t xml:space="preserve"> enabled the PHN</w:t>
      </w:r>
      <w:r>
        <w:t>,</w:t>
      </w:r>
      <w:r w:rsidRPr="00152332">
        <w:t xml:space="preserve"> along with its health system</w:t>
      </w:r>
      <w:r>
        <w:t>,</w:t>
      </w:r>
      <w:r w:rsidRPr="00152332">
        <w:t xml:space="preserve"> to build a broader and deeper understanding of needs plus the opportunity to construct a new approach to longer term planning</w:t>
      </w:r>
      <w:r>
        <w:t xml:space="preserve"> across the Gold Coast region.</w:t>
      </w:r>
    </w:p>
    <w:p w14:paraId="206A4A6B" w14:textId="31BED10E" w:rsidR="00670F18" w:rsidRDefault="00670F18" w:rsidP="003E5977">
      <w:pPr>
        <w:pStyle w:val="CaseStudyText"/>
        <w:pBdr>
          <w:bottom w:val="single" w:sz="4" w:space="3" w:color="auto"/>
        </w:pBdr>
      </w:pPr>
      <w:r w:rsidRPr="00152332">
        <w:t>T</w:t>
      </w:r>
      <w:r>
        <w:t xml:space="preserve">he stakeholder segmentation included: commissioners, </w:t>
      </w:r>
      <w:r w:rsidRPr="00152332">
        <w:t>potential co-commissioners and payers who have a role in the system to create architecture and solutions</w:t>
      </w:r>
      <w:r>
        <w:t xml:space="preserve">. These stakeholders were from the </w:t>
      </w:r>
      <w:r w:rsidRPr="00152332">
        <w:t xml:space="preserve">justice system, schools and youth, police, disability, housing and human services, ambulance and health services; </w:t>
      </w:r>
      <w:r>
        <w:t>the community and p</w:t>
      </w:r>
      <w:r w:rsidRPr="00152332">
        <w:t>roviders from primary, community and hospital settings</w:t>
      </w:r>
      <w:r>
        <w:t>; consumers, carers, consumer organisations; and providers from a range of sectors and backgrounds that supported consumers in this specific area of need.</w:t>
      </w:r>
    </w:p>
    <w:p w14:paraId="28B5ACE2" w14:textId="77777777" w:rsidR="00670F18" w:rsidRPr="00152332" w:rsidRDefault="00670F18" w:rsidP="003E5977">
      <w:pPr>
        <w:pStyle w:val="CaseStudyText"/>
        <w:pBdr>
          <w:bottom w:val="single" w:sz="4" w:space="3" w:color="auto"/>
        </w:pBdr>
      </w:pPr>
      <w:r w:rsidRPr="00152332">
        <w:t>The stakeholder events were all different in nature and designed to fit the purpose of that particular group and included interviews and coaching to support stakeholder preparations, lived experience capture and global</w:t>
      </w:r>
      <w:r>
        <w:t xml:space="preserve"> contemporary practice review. </w:t>
      </w:r>
      <w:r w:rsidRPr="00152332">
        <w:t>A synthesis of the outputs was undertaken and a consolidation event took place which encouraged all groups to participate and provided an open and transparent feedback mechanism to all audiences. This was followed up with a market event so providers could build a picture of needs prior to a fo</w:t>
      </w:r>
      <w:r>
        <w:t>rmal tender process.</w:t>
      </w:r>
    </w:p>
    <w:p w14:paraId="158C9376" w14:textId="77777777" w:rsidR="000D001F" w:rsidRDefault="00670F18" w:rsidP="003E5977">
      <w:pPr>
        <w:pStyle w:val="CaseStudyText"/>
        <w:pBdr>
          <w:bottom w:val="single" w:sz="4" w:space="3" w:color="auto"/>
        </w:pBdr>
      </w:pPr>
      <w:r w:rsidRPr="00152332">
        <w:rPr>
          <w:b/>
        </w:rPr>
        <w:t>Result</w:t>
      </w:r>
      <w:r w:rsidRPr="00152332">
        <w:t xml:space="preserve"> (in the context of this case study): As a result of this co-design approach the PHN has a deep and rich understanding of the needs of the population in respect of severe and complex mental </w:t>
      </w:r>
      <w:r>
        <w:t>illness</w:t>
      </w:r>
      <w:r w:rsidRPr="00152332">
        <w:t>.</w:t>
      </w:r>
      <w:r>
        <w:t xml:space="preserve"> </w:t>
      </w:r>
      <w:r w:rsidRPr="00152332">
        <w:t>The outputs of the engagement along with the data from the health needs assessment were developed into a specific</w:t>
      </w:r>
      <w:r>
        <w:t>ation that has gone to market.</w:t>
      </w:r>
    </w:p>
    <w:p w14:paraId="5ACBC32F" w14:textId="77777777" w:rsidR="000D001F" w:rsidRDefault="00670F18" w:rsidP="003E5977">
      <w:pPr>
        <w:pStyle w:val="CaseStudyText"/>
        <w:pBdr>
          <w:bottom w:val="single" w:sz="4" w:space="3" w:color="auto"/>
        </w:pBdr>
      </w:pPr>
      <w:r w:rsidRPr="00152332">
        <w:t xml:space="preserve">The outcomes </w:t>
      </w:r>
      <w:r>
        <w:t>for</w:t>
      </w:r>
      <w:r w:rsidRPr="00152332">
        <w:t xml:space="preserve"> the recipients have been included in the specification and the contractual arrangements describe a journey towards o</w:t>
      </w:r>
      <w:r>
        <w:t>utcomes. A</w:t>
      </w:r>
      <w:r w:rsidRPr="00152332">
        <w:t>s a result of the co-design work</w:t>
      </w:r>
      <w:r>
        <w:t>,</w:t>
      </w:r>
      <w:r w:rsidRPr="00152332">
        <w:t xml:space="preserve"> one of the three areas described in the specification is entirely new and had not been </w:t>
      </w:r>
      <w:r>
        <w:t>previously identified. T</w:t>
      </w:r>
      <w:r w:rsidRPr="00152332">
        <w:t>he co-design approach itself was key to developing the outcomes that matter to recipients.</w:t>
      </w:r>
    </w:p>
    <w:p w14:paraId="349EA2AD" w14:textId="4D01D817" w:rsidR="00670F18" w:rsidRPr="00AA0200" w:rsidRDefault="00670F18" w:rsidP="003E5977">
      <w:pPr>
        <w:pStyle w:val="CaseStudyText"/>
        <w:pBdr>
          <w:bottom w:val="single" w:sz="4" w:space="3" w:color="auto"/>
        </w:pBdr>
        <w:rPr>
          <w:b/>
          <w:color w:val="1F497D" w:themeColor="text2"/>
        </w:rPr>
      </w:pPr>
      <w:r w:rsidRPr="00AA0200">
        <w:rPr>
          <w:b/>
          <w:color w:val="1F497D" w:themeColor="text2"/>
        </w:rPr>
        <w:t>Contact for further information:</w:t>
      </w:r>
    </w:p>
    <w:p w14:paraId="1A407CAD" w14:textId="77777777" w:rsidR="000D001F" w:rsidRDefault="00670F18" w:rsidP="003E5977">
      <w:pPr>
        <w:pStyle w:val="CaseStudyBullet"/>
        <w:pBdr>
          <w:bottom w:val="single" w:sz="4" w:space="3" w:color="auto"/>
        </w:pBdr>
      </w:pPr>
      <w:r w:rsidRPr="00152332">
        <w:t>Libby Carr, Director of Commissioning (Programs), libbyc@gcphn.com.au</w:t>
      </w:r>
    </w:p>
    <w:p w14:paraId="70BE15EF" w14:textId="77777777" w:rsidR="000D001F" w:rsidRDefault="00ED48BA" w:rsidP="00D97FAF">
      <w:pPr>
        <w:pStyle w:val="Heading3"/>
      </w:pPr>
      <w:bookmarkStart w:id="59" w:name="_Toc519689571"/>
      <w:r>
        <w:lastRenderedPageBreak/>
        <w:t>Practical tips and skills for co-design and community engagement</w:t>
      </w:r>
      <w:bookmarkEnd w:id="59"/>
    </w:p>
    <w:p w14:paraId="1DB01F0E" w14:textId="5CE55A6F" w:rsidR="00ED48BA" w:rsidRDefault="00ED48BA" w:rsidP="00C033E5">
      <w:pPr>
        <w:pStyle w:val="Paragraphtext"/>
        <w:spacing w:after="120"/>
      </w:pPr>
      <w:r>
        <w:t>Table 6 provides some practical tips that PHNs could consider in undertaking co-design and community engagement.</w:t>
      </w:r>
    </w:p>
    <w:p w14:paraId="08A418DB" w14:textId="77777777" w:rsidR="00ED48BA" w:rsidRPr="0019647E" w:rsidRDefault="00ED48BA" w:rsidP="00ED48BA">
      <w:pPr>
        <w:pStyle w:val="Caption"/>
      </w:pPr>
      <w:bookmarkStart w:id="60" w:name="_Toc515288585"/>
      <w:bookmarkStart w:id="61" w:name="_Toc516150691"/>
      <w:r w:rsidRPr="0019647E">
        <w:t xml:space="preserve">Table </w:t>
      </w:r>
      <w:fldSimple w:instr=" SEQ Table \* ARABIC ">
        <w:r w:rsidR="00374AF2">
          <w:rPr>
            <w:noProof/>
          </w:rPr>
          <w:t>6</w:t>
        </w:r>
      </w:fldSimple>
      <w:r w:rsidRPr="0019647E">
        <w:t>: Practical tips and skills for co-design and community engagement</w:t>
      </w:r>
      <w:bookmarkEnd w:id="60"/>
      <w:bookmarkEnd w:id="61"/>
    </w:p>
    <w:tbl>
      <w:tblPr>
        <w:tblStyle w:val="PHNBlueTable"/>
        <w:tblW w:w="9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Practical tips and skills for co-design and community engagement"/>
        <w:tblDescription w:val="This table features three columns and two rows. Each column identifies practical tips that PHNs could use to develop the change management competency at a system, organisational or individual/team level. "/>
      </w:tblPr>
      <w:tblGrid>
        <w:gridCol w:w="3103"/>
        <w:gridCol w:w="3103"/>
        <w:gridCol w:w="3103"/>
      </w:tblGrid>
      <w:tr w:rsidR="00A31AB1" w:rsidRPr="0019647E" w14:paraId="445AA076" w14:textId="77777777" w:rsidTr="00AE4799">
        <w:trPr>
          <w:cnfStyle w:val="100000000000" w:firstRow="1" w:lastRow="0" w:firstColumn="0" w:lastColumn="0" w:oddVBand="0" w:evenVBand="0" w:oddHBand="0" w:evenHBand="0" w:firstRowFirstColumn="0" w:firstRowLastColumn="0" w:lastRowFirstColumn="0" w:lastRowLastColumn="0"/>
        </w:trPr>
        <w:tc>
          <w:tcPr>
            <w:tcW w:w="3103" w:type="dxa"/>
            <w:shd w:val="clear" w:color="auto" w:fill="8D188D"/>
          </w:tcPr>
          <w:p w14:paraId="1A5A48F3" w14:textId="2E32EB93" w:rsidR="00A31AB1" w:rsidRPr="0019647E" w:rsidRDefault="00A31AB1" w:rsidP="00A31AB1">
            <w:pPr>
              <w:pStyle w:val="TableHeaderWhite"/>
            </w:pPr>
            <w:r w:rsidRPr="0019647E">
              <w:t>System</w:t>
            </w:r>
          </w:p>
        </w:tc>
        <w:tc>
          <w:tcPr>
            <w:tcW w:w="3103" w:type="dxa"/>
            <w:shd w:val="clear" w:color="auto" w:fill="8D188D"/>
          </w:tcPr>
          <w:p w14:paraId="5A30E28E" w14:textId="77777777" w:rsidR="00A31AB1" w:rsidRPr="0019647E" w:rsidRDefault="00A31AB1" w:rsidP="00A31AB1">
            <w:pPr>
              <w:pStyle w:val="TableHeaderWhite"/>
            </w:pPr>
            <w:r w:rsidRPr="0019647E">
              <w:t>Organisation</w:t>
            </w:r>
          </w:p>
        </w:tc>
        <w:tc>
          <w:tcPr>
            <w:tcW w:w="3103" w:type="dxa"/>
            <w:shd w:val="clear" w:color="auto" w:fill="8D188D"/>
          </w:tcPr>
          <w:p w14:paraId="0E1485B8" w14:textId="77777777" w:rsidR="00A31AB1" w:rsidRPr="0019647E" w:rsidRDefault="00A31AB1" w:rsidP="00A31AB1">
            <w:pPr>
              <w:pStyle w:val="TableHeaderWhite"/>
            </w:pPr>
            <w:r w:rsidRPr="0019647E">
              <w:t>Individual / team</w:t>
            </w:r>
          </w:p>
        </w:tc>
      </w:tr>
      <w:tr w:rsidR="00A31AB1" w:rsidRPr="00424CF9" w14:paraId="574D51F3" w14:textId="77777777" w:rsidTr="00AE4799">
        <w:tc>
          <w:tcPr>
            <w:tcW w:w="3103" w:type="dxa"/>
          </w:tcPr>
          <w:p w14:paraId="3D508DBE" w14:textId="0F1303A2" w:rsidR="000D001F" w:rsidRPr="0019647E" w:rsidRDefault="00A31AB1" w:rsidP="00C033E5">
            <w:pPr>
              <w:pStyle w:val="Tablenumberedtextnormal"/>
              <w:numPr>
                <w:ilvl w:val="0"/>
                <w:numId w:val="39"/>
              </w:numPr>
              <w:spacing w:before="20" w:after="20"/>
            </w:pPr>
            <w:r w:rsidRPr="0019647E">
              <w:t>Build the co-design process together across the system, to leverage the expertise and resources of other commissioners/agencies</w:t>
            </w:r>
            <w:r w:rsidR="008A34EA" w:rsidRPr="0019647E">
              <w:t>.</w:t>
            </w:r>
          </w:p>
          <w:p w14:paraId="74FEA6A5" w14:textId="629FCD16" w:rsidR="0019647E" w:rsidRDefault="0019647E" w:rsidP="00C033E5">
            <w:pPr>
              <w:pStyle w:val="Tablenumberedtextnormal"/>
              <w:spacing w:before="20" w:after="20"/>
            </w:pPr>
            <w:r>
              <w:t>Collaborate and share co-design</w:t>
            </w:r>
            <w:r w:rsidR="00747F90">
              <w:t xml:space="preserve"> </w:t>
            </w:r>
            <w:r>
              <w:t>approaches</w:t>
            </w:r>
            <w:r w:rsidR="00747F90">
              <w:t>,</w:t>
            </w:r>
            <w:r>
              <w:t xml:space="preserve"> experiences </w:t>
            </w:r>
            <w:r w:rsidR="00747F90">
              <w:t xml:space="preserve">and lessons learned </w:t>
            </w:r>
            <w:r>
              <w:t>across the PHN network</w:t>
            </w:r>
            <w:r w:rsidR="00747F90">
              <w:t xml:space="preserve">. </w:t>
            </w:r>
          </w:p>
          <w:p w14:paraId="70695CEA" w14:textId="404C206F" w:rsidR="00A31AB1" w:rsidRPr="0019647E" w:rsidRDefault="00A31AB1" w:rsidP="00C033E5">
            <w:pPr>
              <w:pStyle w:val="Tablenumberedtextnormal"/>
              <w:spacing w:before="20" w:after="20"/>
            </w:pPr>
            <w:r w:rsidRPr="0019647E">
              <w:t>Use data to inform stakeholder</w:t>
            </w:r>
            <w:r w:rsidR="0098758D" w:rsidRPr="0019647E">
              <w:t>s. (T</w:t>
            </w:r>
            <w:r w:rsidRPr="0019647E">
              <w:t>his data should be accessible and open</w:t>
            </w:r>
            <w:r w:rsidR="0098758D" w:rsidRPr="0019647E">
              <w:t>, where possible)</w:t>
            </w:r>
            <w:r w:rsidRPr="0019647E">
              <w:rPr>
                <w:rStyle w:val="FootnoteReference"/>
              </w:rPr>
              <w:footnoteReference w:id="27"/>
            </w:r>
            <w:r w:rsidR="008A34EA" w:rsidRPr="0019647E">
              <w:t>.</w:t>
            </w:r>
          </w:p>
          <w:p w14:paraId="151E78F1" w14:textId="1191CC23" w:rsidR="00A31AB1" w:rsidRPr="0019647E" w:rsidRDefault="00A31AB1" w:rsidP="00C033E5">
            <w:pPr>
              <w:pStyle w:val="Tablenumberedtextnormal"/>
              <w:spacing w:before="20" w:after="20"/>
            </w:pPr>
            <w:r w:rsidRPr="0019647E">
              <w:t>Apply a ‘no door is closed’ mindset by expanding engagement to non-traditional partners from a variety of sectors to gain additional insights</w:t>
            </w:r>
            <w:r w:rsidR="008A34EA" w:rsidRPr="0019647E">
              <w:t>.</w:t>
            </w:r>
          </w:p>
          <w:p w14:paraId="4D1279CF" w14:textId="4385241B" w:rsidR="00A31AB1" w:rsidRPr="0019647E" w:rsidRDefault="00A31AB1" w:rsidP="00C033E5">
            <w:pPr>
              <w:pStyle w:val="Tablenumberedtextnormal"/>
              <w:spacing w:before="20" w:after="20"/>
            </w:pPr>
            <w:r w:rsidRPr="0019647E">
              <w:t>Utilise relationship management skills to leverage existing networks, such as ACCHS, to create partnerships that e</w:t>
            </w:r>
            <w:r w:rsidR="00AE4799" w:rsidRPr="0019647E">
              <w:t>ncourage two-way engagement</w:t>
            </w:r>
            <w:r w:rsidR="008A34EA" w:rsidRPr="0019647E">
              <w:t>.</w:t>
            </w:r>
          </w:p>
          <w:p w14:paraId="58D7E63F" w14:textId="4AE24622" w:rsidR="00A31AB1" w:rsidRPr="0019647E" w:rsidRDefault="00A31AB1" w:rsidP="00C033E5">
            <w:pPr>
              <w:pStyle w:val="Tablenumberedtextnormal"/>
              <w:spacing w:before="20" w:after="20"/>
            </w:pPr>
            <w:r w:rsidRPr="0019647E">
              <w:t>Engage with stakeholders and understand their perspective and input into the design of services.</w:t>
            </w:r>
          </w:p>
        </w:tc>
        <w:tc>
          <w:tcPr>
            <w:tcW w:w="3103" w:type="dxa"/>
          </w:tcPr>
          <w:p w14:paraId="673C36EB" w14:textId="1DA08443" w:rsidR="000D001F" w:rsidRPr="0019647E" w:rsidRDefault="00A31AB1" w:rsidP="00C033E5">
            <w:pPr>
              <w:pStyle w:val="Tablenumberedtextnormal"/>
              <w:numPr>
                <w:ilvl w:val="0"/>
                <w:numId w:val="40"/>
              </w:numPr>
              <w:spacing w:before="20" w:after="20"/>
            </w:pPr>
            <w:r w:rsidRPr="0019647E">
              <w:t>Foster experimental design and evaluation skills and tools that allow the PHN to test and prototype (implement at a small scale)</w:t>
            </w:r>
            <w:r w:rsidRPr="0019647E">
              <w:rPr>
                <w:rStyle w:val="FootnoteReference"/>
              </w:rPr>
              <w:footnoteReference w:id="28"/>
            </w:r>
            <w:r w:rsidRPr="0019647E">
              <w:t xml:space="preserve"> that allows for iterative design</w:t>
            </w:r>
            <w:r w:rsidR="008A34EA" w:rsidRPr="0019647E">
              <w:t>.</w:t>
            </w:r>
          </w:p>
          <w:p w14:paraId="0DBA5112" w14:textId="565A74B5" w:rsidR="00A31AB1" w:rsidRPr="0019647E" w:rsidRDefault="00A31AB1" w:rsidP="00C033E5">
            <w:pPr>
              <w:pStyle w:val="Tablenumberedtextnormal"/>
              <w:spacing w:before="20" w:after="20"/>
            </w:pPr>
            <w:r w:rsidRPr="0019647E">
              <w:t>Promote a variety of communication channels, (such as social media and face to face), based on affordability, population and location</w:t>
            </w:r>
          </w:p>
          <w:p w14:paraId="3FC4DF88" w14:textId="65C6FB38" w:rsidR="00A31AB1" w:rsidRPr="0019647E" w:rsidRDefault="00A31AB1" w:rsidP="00C033E5">
            <w:pPr>
              <w:pStyle w:val="Tablenumberedtextnormal"/>
              <w:spacing w:before="20" w:after="20"/>
            </w:pPr>
            <w:r w:rsidRPr="0019647E">
              <w:t>Design an engagement plan that appropriately separates out and/or brings together communities and populations based on primary research/data</w:t>
            </w:r>
            <w:r w:rsidR="008A34EA" w:rsidRPr="0019647E">
              <w:t>.</w:t>
            </w:r>
          </w:p>
          <w:p w14:paraId="7EC02807" w14:textId="65A95566" w:rsidR="00A31AB1" w:rsidRPr="0019647E" w:rsidRDefault="00A31AB1" w:rsidP="00C033E5">
            <w:pPr>
              <w:pStyle w:val="Tablenumberedtextnormal"/>
              <w:spacing w:before="20" w:after="20"/>
            </w:pPr>
            <w:r w:rsidRPr="0019647E">
              <w:t>When involving providers consider the co-design approach in the context of the procurement stage so there is transparency, which encourages openness and full involvement</w:t>
            </w:r>
            <w:r w:rsidRPr="0019647E">
              <w:rPr>
                <w:rStyle w:val="FootnoteReference"/>
              </w:rPr>
              <w:footnoteReference w:id="29"/>
            </w:r>
            <w:r w:rsidRPr="0019647E">
              <w:t>.</w:t>
            </w:r>
          </w:p>
        </w:tc>
        <w:tc>
          <w:tcPr>
            <w:tcW w:w="3103" w:type="dxa"/>
          </w:tcPr>
          <w:p w14:paraId="3C2EBAB1" w14:textId="31FECDEA" w:rsidR="00A31AB1" w:rsidRPr="0019647E" w:rsidRDefault="00A31AB1" w:rsidP="00C033E5">
            <w:pPr>
              <w:pStyle w:val="Tablenumberedtextnormal"/>
              <w:numPr>
                <w:ilvl w:val="0"/>
                <w:numId w:val="41"/>
              </w:numPr>
              <w:spacing w:before="20" w:after="20"/>
            </w:pPr>
            <w:r w:rsidRPr="0019647E">
              <w:t>Be open to generating new ideas and changing the engagement approach over time to get the most out of the engagement</w:t>
            </w:r>
            <w:r w:rsidR="008A34EA" w:rsidRPr="0019647E">
              <w:t>.</w:t>
            </w:r>
          </w:p>
          <w:p w14:paraId="67BCFBA7" w14:textId="172E601A" w:rsidR="00A31AB1" w:rsidRPr="0019647E" w:rsidRDefault="00A31AB1" w:rsidP="00C033E5">
            <w:pPr>
              <w:pStyle w:val="Tablenumberedtextnormal"/>
              <w:spacing w:before="20" w:after="20"/>
            </w:pPr>
            <w:r w:rsidRPr="0019647E">
              <w:t>Create cultural competency and safety to engage with all populations (including Aboriginal and Torres Strait Islander people and communities and those at risk of poor health outcomes)</w:t>
            </w:r>
            <w:r w:rsidR="008A34EA" w:rsidRPr="0019647E">
              <w:t>.</w:t>
            </w:r>
          </w:p>
          <w:p w14:paraId="6B40D042" w14:textId="692993F8" w:rsidR="000D001F" w:rsidRPr="0019647E" w:rsidRDefault="00A31AB1" w:rsidP="00C033E5">
            <w:pPr>
              <w:pStyle w:val="Tablenumberedtextnormal"/>
              <w:spacing w:before="20" w:after="20"/>
            </w:pPr>
            <w:r w:rsidRPr="0019647E">
              <w:t>Be appreciative of participants’ involvement to encourage more extensive participat</w:t>
            </w:r>
            <w:r w:rsidR="00AE4799" w:rsidRPr="0019647E">
              <w:t>ion and build community respect</w:t>
            </w:r>
            <w:r w:rsidR="008A34EA" w:rsidRPr="0019647E">
              <w:t>.</w:t>
            </w:r>
          </w:p>
          <w:p w14:paraId="17ACFAAA" w14:textId="7B1E78B7" w:rsidR="000D001F" w:rsidRPr="0019647E" w:rsidRDefault="00A31AB1" w:rsidP="00C033E5">
            <w:pPr>
              <w:pStyle w:val="Tablenumberedtextnormal"/>
              <w:spacing w:before="20" w:after="20"/>
            </w:pPr>
            <w:r w:rsidRPr="0019647E">
              <w:t>Use communication and facilitation skills to host engagement sessions that encourage equal and active participation and e</w:t>
            </w:r>
            <w:r w:rsidR="00AE4799" w:rsidRPr="0019647E">
              <w:t>ffectively inform the community</w:t>
            </w:r>
            <w:r w:rsidR="008A34EA" w:rsidRPr="0019647E">
              <w:t>.</w:t>
            </w:r>
          </w:p>
          <w:p w14:paraId="6091E00E" w14:textId="3082741B" w:rsidR="00A31AB1" w:rsidRPr="0019647E" w:rsidRDefault="00A31AB1" w:rsidP="00C033E5">
            <w:pPr>
              <w:pStyle w:val="Tablenumberedtextnormal"/>
              <w:spacing w:before="20" w:after="20"/>
            </w:pPr>
            <w:r w:rsidRPr="0019647E">
              <w:t>Expand PHN’s procurement skills to build co-design into procurement, such as through interaction with bidders, which focuses on innovation and refining key performance drivers.</w:t>
            </w:r>
          </w:p>
        </w:tc>
      </w:tr>
    </w:tbl>
    <w:p w14:paraId="5E034160" w14:textId="517A9E2D" w:rsidR="00ED48BA" w:rsidRPr="00231B71" w:rsidRDefault="00ED48BA" w:rsidP="00231B71">
      <w:pPr>
        <w:pStyle w:val="Heading2"/>
      </w:pPr>
      <w:bookmarkStart w:id="62" w:name="_Toc515288563"/>
      <w:bookmarkStart w:id="63" w:name="_Toc519689572"/>
      <w:r w:rsidRPr="00231B71">
        <w:lastRenderedPageBreak/>
        <w:t>Applying a population health approach</w:t>
      </w:r>
      <w:bookmarkEnd w:id="62"/>
      <w:bookmarkEnd w:id="63"/>
    </w:p>
    <w:p w14:paraId="3DEFEF98" w14:textId="77777777" w:rsidR="00ED48BA" w:rsidRPr="002D5313" w:rsidRDefault="00ED48BA" w:rsidP="00ED48BA">
      <w:pPr>
        <w:pStyle w:val="Paragraphtext"/>
      </w:pPr>
      <w:r>
        <w:t xml:space="preserve">This </w:t>
      </w:r>
      <w:r w:rsidRPr="006707F4">
        <w:t>competency involves:</w:t>
      </w:r>
    </w:p>
    <w:p w14:paraId="38C76D64" w14:textId="305E2A71" w:rsidR="00ED48BA" w:rsidRPr="00D863E2" w:rsidRDefault="00ED48BA" w:rsidP="00ED48BA">
      <w:pPr>
        <w:pStyle w:val="ListBullet"/>
      </w:pPr>
      <w:r>
        <w:t>B</w:t>
      </w:r>
      <w:r w:rsidRPr="00D863E2">
        <w:t>a</w:t>
      </w:r>
      <w:r>
        <w:t>lancing</w:t>
      </w:r>
      <w:r w:rsidRPr="00D863E2">
        <w:t xml:space="preserve"> the different aims of a health system</w:t>
      </w:r>
      <w:r>
        <w:t>,</w:t>
      </w:r>
      <w:r w:rsidRPr="00D863E2">
        <w:t xml:space="preserve"> including delivering: </w:t>
      </w:r>
      <w:r>
        <w:t xml:space="preserve">improved </w:t>
      </w:r>
      <w:r w:rsidRPr="00D863E2">
        <w:t xml:space="preserve">clinical outcomes; </w:t>
      </w:r>
      <w:r>
        <w:t xml:space="preserve">improved </w:t>
      </w:r>
      <w:r w:rsidRPr="00D863E2">
        <w:t xml:space="preserve">patient experience; </w:t>
      </w:r>
      <w:r>
        <w:t xml:space="preserve">improved </w:t>
      </w:r>
      <w:r w:rsidRPr="00D863E2">
        <w:t xml:space="preserve">provider and workforce experience; and </w:t>
      </w:r>
      <w:r>
        <w:t xml:space="preserve">reducing the </w:t>
      </w:r>
      <w:r w:rsidRPr="00D863E2">
        <w:t>cost of health care</w:t>
      </w:r>
      <w:r w:rsidR="00545B0A">
        <w:t>.</w:t>
      </w:r>
    </w:p>
    <w:p w14:paraId="76A7F413" w14:textId="278F001A" w:rsidR="000D001F" w:rsidRDefault="00ED48BA" w:rsidP="00ED48BA">
      <w:pPr>
        <w:pStyle w:val="ListBullet"/>
      </w:pPr>
      <w:r>
        <w:t>Utilising</w:t>
      </w:r>
      <w:r w:rsidRPr="00D863E2">
        <w:t xml:space="preserve"> population-level data to</w:t>
      </w:r>
      <w:r>
        <w:t xml:space="preserve"> help demonstrate the evidence base for what the PHN is seeking to address, and</w:t>
      </w:r>
      <w:r w:rsidRPr="00D863E2">
        <w:t xml:space="preserve"> identify where best to intervene </w:t>
      </w:r>
      <w:r>
        <w:t xml:space="preserve">in order </w:t>
      </w:r>
      <w:r w:rsidRPr="00D863E2">
        <w:t>to improve population health</w:t>
      </w:r>
      <w:r w:rsidR="00545B0A">
        <w:t>.</w:t>
      </w:r>
    </w:p>
    <w:p w14:paraId="36D3EF62" w14:textId="3403B120" w:rsidR="00ED48BA" w:rsidRPr="00D863E2" w:rsidRDefault="00ED48BA" w:rsidP="00ED48BA">
      <w:pPr>
        <w:pStyle w:val="ListBullet"/>
      </w:pPr>
      <w:r>
        <w:t>B</w:t>
      </w:r>
      <w:r w:rsidRPr="00D863E2">
        <w:t>uild</w:t>
      </w:r>
      <w:r>
        <w:t>ing</w:t>
      </w:r>
      <w:r w:rsidRPr="00D863E2">
        <w:t xml:space="preserve"> strategies that target population cohorts based on needs assessments, predictive analytics and evidence based interventions</w:t>
      </w:r>
      <w:r w:rsidR="00545B0A">
        <w:t>.</w:t>
      </w:r>
    </w:p>
    <w:p w14:paraId="7B9355D8" w14:textId="77777777" w:rsidR="00ED48BA" w:rsidRDefault="00ED48BA" w:rsidP="00ED48BA">
      <w:pPr>
        <w:pStyle w:val="ListBullet"/>
      </w:pPr>
      <w:r>
        <w:t>W</w:t>
      </w:r>
      <w:r w:rsidRPr="00D863E2">
        <w:t>ork</w:t>
      </w:r>
      <w:r>
        <w:t>ing</w:t>
      </w:r>
      <w:r w:rsidRPr="00D863E2">
        <w:t xml:space="preserve"> with partners</w:t>
      </w:r>
      <w:r>
        <w:t xml:space="preserve"> in other parts of the health system, and</w:t>
      </w:r>
      <w:r w:rsidRPr="00D863E2">
        <w:t xml:space="preserve"> connect</w:t>
      </w:r>
      <w:r>
        <w:t>ing</w:t>
      </w:r>
      <w:r w:rsidRPr="00D863E2">
        <w:t xml:space="preserve"> interventions across communities and</w:t>
      </w:r>
      <w:r>
        <w:t xml:space="preserve"> other</w:t>
      </w:r>
      <w:r w:rsidRPr="00D863E2">
        <w:t xml:space="preserve"> sectors that addresses the wider determinants of health, including housing, education and </w:t>
      </w:r>
      <w:r>
        <w:t>human services.</w:t>
      </w:r>
    </w:p>
    <w:p w14:paraId="7D92B76B" w14:textId="77777777" w:rsidR="000D001F" w:rsidRDefault="00ED48BA" w:rsidP="00C23DE5">
      <w:pPr>
        <w:pStyle w:val="Heading3"/>
      </w:pPr>
      <w:bookmarkStart w:id="64" w:name="_Toc519689573"/>
      <w:r w:rsidRPr="00BB3580">
        <w:t>Additional resources available to PHNs for this competency</w:t>
      </w:r>
      <w:bookmarkEnd w:id="64"/>
    </w:p>
    <w:p w14:paraId="3697BAB7" w14:textId="77777777" w:rsidR="000D001F" w:rsidRDefault="00ED48BA" w:rsidP="00ED48BA">
      <w:pPr>
        <w:pStyle w:val="Paragraphtext"/>
      </w:pPr>
      <w:r w:rsidRPr="009B1BB2">
        <w:t>A key reading on the context for population health systems is from The King’s Fund</w:t>
      </w:r>
      <w:r w:rsidRPr="00D24FAE">
        <w:rPr>
          <w:rStyle w:val="FootnoteReference"/>
        </w:rPr>
        <w:footnoteReference w:id="30"/>
      </w:r>
      <w:r w:rsidRPr="009B1BB2">
        <w:t>. This provides guidance</w:t>
      </w:r>
      <w:r>
        <w:t xml:space="preserve"> on using population health to ‘</w:t>
      </w:r>
      <w:r w:rsidRPr="009B1BB2">
        <w:t>join up the dots</w:t>
      </w:r>
      <w:r>
        <w:t>’</w:t>
      </w:r>
      <w:r w:rsidRPr="009B1BB2">
        <w:t xml:space="preserve"> where integrated care encompasses a range of health, social and wider interventions to target outcomes for the local population.</w:t>
      </w:r>
    </w:p>
    <w:p w14:paraId="3B337FB5" w14:textId="7F804466" w:rsidR="00ED48BA" w:rsidRDefault="00ED48BA" w:rsidP="00ED48BA">
      <w:pPr>
        <w:pStyle w:val="Paragraphtext"/>
      </w:pPr>
      <w:r w:rsidRPr="009B1BB2">
        <w:t>Population Health Approaches to Planning by the Victorian HealthCare Association</w:t>
      </w:r>
      <w:r w:rsidRPr="00D24FAE">
        <w:rPr>
          <w:rStyle w:val="FootnoteReference"/>
        </w:rPr>
        <w:footnoteReference w:id="31"/>
      </w:r>
      <w:r>
        <w:t xml:space="preserve"> also </w:t>
      </w:r>
      <w:r w:rsidRPr="005F0B3D">
        <w:t xml:space="preserve">provides a clear and simple Population Health Planning Framework. Other resources specifically </w:t>
      </w:r>
      <w:r>
        <w:t xml:space="preserve">written </w:t>
      </w:r>
      <w:r w:rsidRPr="005F0B3D">
        <w:t xml:space="preserve">for PHNs </w:t>
      </w:r>
      <w:r>
        <w:t>include</w:t>
      </w:r>
      <w:r w:rsidRPr="005F0B3D">
        <w:t xml:space="preserve"> 201</w:t>
      </w:r>
      <w:r w:rsidR="0046538A">
        <w:t>5</w:t>
      </w:r>
      <w:r w:rsidRPr="005F0B3D">
        <w:t xml:space="preserve"> </w:t>
      </w:r>
      <w:r w:rsidRPr="005F0B3D">
        <w:rPr>
          <w:i/>
        </w:rPr>
        <w:t>PHN Needs Assessment Guide</w:t>
      </w:r>
      <w:r w:rsidR="00871BC5">
        <w:rPr>
          <w:rStyle w:val="FootnoteReference"/>
          <w:i/>
        </w:rPr>
        <w:footnoteReference w:id="32"/>
      </w:r>
      <w:r w:rsidRPr="005F0B3D">
        <w:t xml:space="preserve">, </w:t>
      </w:r>
      <w:r>
        <w:t>2018</w:t>
      </w:r>
      <w:r w:rsidR="00846F00">
        <w:t> </w:t>
      </w:r>
      <w:r w:rsidRPr="005F0B3D">
        <w:rPr>
          <w:i/>
        </w:rPr>
        <w:t>Monitoring</w:t>
      </w:r>
      <w:r w:rsidR="00846F00">
        <w:rPr>
          <w:i/>
        </w:rPr>
        <w:t> </w:t>
      </w:r>
      <w:r w:rsidRPr="005F0B3D">
        <w:rPr>
          <w:i/>
        </w:rPr>
        <w:t>and Evaluation Guidance</w:t>
      </w:r>
      <w:r w:rsidR="00871BC5">
        <w:rPr>
          <w:rStyle w:val="FootnoteReference"/>
          <w:i/>
        </w:rPr>
        <w:footnoteReference w:id="33"/>
      </w:r>
      <w:r w:rsidRPr="005F0B3D">
        <w:t>, and</w:t>
      </w:r>
      <w:r w:rsidRPr="00821667">
        <w:t xml:space="preserve"> </w:t>
      </w:r>
      <w:r w:rsidRPr="0065377B">
        <w:t>the</w:t>
      </w:r>
      <w:r w:rsidRPr="005F0B3D">
        <w:rPr>
          <w:i/>
        </w:rPr>
        <w:t xml:space="preserve"> </w:t>
      </w:r>
      <w:r w:rsidRPr="0065377B">
        <w:t>2018</w:t>
      </w:r>
      <w:r>
        <w:rPr>
          <w:i/>
        </w:rPr>
        <w:t xml:space="preserve"> </w:t>
      </w:r>
      <w:r w:rsidR="00F65C0B">
        <w:rPr>
          <w:i/>
        </w:rPr>
        <w:t xml:space="preserve">PHN </w:t>
      </w:r>
      <w:r w:rsidR="00067B5C">
        <w:rPr>
          <w:i/>
        </w:rPr>
        <w:t xml:space="preserve">Commissioning Competencies </w:t>
      </w:r>
      <w:r w:rsidRPr="005F0B3D">
        <w:rPr>
          <w:i/>
        </w:rPr>
        <w:t>Self-Assessment To</w:t>
      </w:r>
      <w:r w:rsidRPr="003E3129">
        <w:rPr>
          <w:i/>
        </w:rPr>
        <w:t>o</w:t>
      </w:r>
      <w:r w:rsidRPr="0065377B">
        <w:rPr>
          <w:i/>
        </w:rPr>
        <w:t>l</w:t>
      </w:r>
      <w:r w:rsidR="00871BC5">
        <w:rPr>
          <w:rStyle w:val="FootnoteReference"/>
          <w:i/>
        </w:rPr>
        <w:footnoteReference w:id="34"/>
      </w:r>
      <w:r w:rsidRPr="005F0B3D">
        <w:t xml:space="preserve"> that accompanies this guidance.</w:t>
      </w:r>
    </w:p>
    <w:p w14:paraId="4425FD57" w14:textId="77777777" w:rsidR="00545B0A" w:rsidRDefault="00545B0A">
      <w:pPr>
        <w:rPr>
          <w:rFonts w:cs="Arial"/>
          <w:b/>
          <w:iCs/>
          <w:color w:val="153A6E"/>
          <w:sz w:val="28"/>
          <w:szCs w:val="28"/>
        </w:rPr>
      </w:pPr>
      <w:bookmarkStart w:id="65" w:name="_Toc519689574"/>
      <w:r>
        <w:br w:type="page"/>
      </w:r>
    </w:p>
    <w:p w14:paraId="41B70969" w14:textId="2897019F" w:rsidR="00ED48BA" w:rsidRDefault="00ED48BA" w:rsidP="00D97FAF">
      <w:pPr>
        <w:pStyle w:val="Heading3"/>
      </w:pPr>
      <w:r>
        <w:lastRenderedPageBreak/>
        <w:t>Practical tips and skills for population health</w:t>
      </w:r>
      <w:bookmarkEnd w:id="65"/>
    </w:p>
    <w:p w14:paraId="25F0E600" w14:textId="65CB47A3" w:rsidR="00ED48BA" w:rsidRDefault="00ED48BA" w:rsidP="00ED48BA">
      <w:pPr>
        <w:pStyle w:val="Paragraphtext"/>
      </w:pPr>
      <w:r>
        <w:t>Table 7 provides some practical tips that PHNs should consider in developing this competency.</w:t>
      </w:r>
    </w:p>
    <w:p w14:paraId="25B45436" w14:textId="1AD2F74F" w:rsidR="00ED48BA" w:rsidRPr="00A2158C" w:rsidRDefault="00ED48BA" w:rsidP="00ED48BA">
      <w:pPr>
        <w:pStyle w:val="Caption"/>
      </w:pPr>
      <w:bookmarkStart w:id="66" w:name="_Toc515288586"/>
      <w:bookmarkStart w:id="67" w:name="_Toc516150692"/>
      <w:r w:rsidRPr="00A2158C">
        <w:t xml:space="preserve">Table </w:t>
      </w:r>
      <w:fldSimple w:instr=" SEQ Table \* ARABIC ">
        <w:r w:rsidR="00374AF2">
          <w:rPr>
            <w:noProof/>
          </w:rPr>
          <w:t>7</w:t>
        </w:r>
      </w:fldSimple>
      <w:r w:rsidRPr="00A2158C">
        <w:t>: Practical tips and skills for population health</w:t>
      </w:r>
      <w:bookmarkEnd w:id="66"/>
      <w:bookmarkEnd w:id="67"/>
    </w:p>
    <w:tbl>
      <w:tblPr>
        <w:tblStyle w:val="PHNBlueTable"/>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Practical tips and skills for population health"/>
        <w:tblDescription w:val="This table features three columns and two rows. Each column identifies practical tips that PHNs could use to develop the population health competency at a system, organisational or individual/team level. "/>
      </w:tblPr>
      <w:tblGrid>
        <w:gridCol w:w="3227"/>
        <w:gridCol w:w="3118"/>
        <w:gridCol w:w="2977"/>
      </w:tblGrid>
      <w:tr w:rsidR="00D24FAE" w:rsidRPr="00A2158C" w14:paraId="1AD3078F" w14:textId="77777777" w:rsidTr="00C23DE5">
        <w:trPr>
          <w:cnfStyle w:val="100000000000" w:firstRow="1" w:lastRow="0" w:firstColumn="0" w:lastColumn="0" w:oddVBand="0" w:evenVBand="0" w:oddHBand="0" w:evenHBand="0" w:firstRowFirstColumn="0" w:firstRowLastColumn="0" w:lastRowFirstColumn="0" w:lastRowLastColumn="0"/>
        </w:trPr>
        <w:tc>
          <w:tcPr>
            <w:tcW w:w="3227" w:type="dxa"/>
            <w:shd w:val="clear" w:color="auto" w:fill="8D188D"/>
          </w:tcPr>
          <w:p w14:paraId="120F56AA" w14:textId="77777777" w:rsidR="00D24FAE" w:rsidRPr="00A2158C" w:rsidRDefault="00D24FAE" w:rsidP="00D24FAE">
            <w:pPr>
              <w:pStyle w:val="TableHeaderWhite"/>
            </w:pPr>
            <w:r w:rsidRPr="00A2158C">
              <w:t xml:space="preserve">System </w:t>
            </w:r>
          </w:p>
        </w:tc>
        <w:tc>
          <w:tcPr>
            <w:tcW w:w="3118" w:type="dxa"/>
            <w:shd w:val="clear" w:color="auto" w:fill="8D188D"/>
          </w:tcPr>
          <w:p w14:paraId="4DEE25AD" w14:textId="77777777" w:rsidR="00D24FAE" w:rsidRPr="00A2158C" w:rsidRDefault="00D24FAE" w:rsidP="00D24FAE">
            <w:pPr>
              <w:pStyle w:val="TableHeaderWhite"/>
            </w:pPr>
            <w:r w:rsidRPr="00A2158C">
              <w:t>Organisation</w:t>
            </w:r>
          </w:p>
        </w:tc>
        <w:tc>
          <w:tcPr>
            <w:tcW w:w="2977" w:type="dxa"/>
            <w:shd w:val="clear" w:color="auto" w:fill="8D188D"/>
          </w:tcPr>
          <w:p w14:paraId="5421414D" w14:textId="77777777" w:rsidR="00D24FAE" w:rsidRPr="00A2158C" w:rsidRDefault="00D24FAE" w:rsidP="00D24FAE">
            <w:pPr>
              <w:pStyle w:val="TableHeaderWhite"/>
            </w:pPr>
            <w:r w:rsidRPr="00A2158C">
              <w:t>Individual / team</w:t>
            </w:r>
          </w:p>
        </w:tc>
      </w:tr>
      <w:tr w:rsidR="00D24FAE" w:rsidRPr="00424CF9" w14:paraId="4ABDE687" w14:textId="77777777" w:rsidTr="00C23DE5">
        <w:tc>
          <w:tcPr>
            <w:tcW w:w="3227" w:type="dxa"/>
          </w:tcPr>
          <w:p w14:paraId="2CD5B199" w14:textId="19DE70C2" w:rsidR="00D24FAE" w:rsidRPr="00A2158C" w:rsidRDefault="00D24FAE" w:rsidP="00D24FAE">
            <w:pPr>
              <w:pStyle w:val="Tablenumberedtextnormal"/>
              <w:numPr>
                <w:ilvl w:val="0"/>
                <w:numId w:val="36"/>
              </w:numPr>
            </w:pPr>
            <w:r w:rsidRPr="00A2158C">
              <w:t>Be open with providers to identify existing and new sources of qualitative and quantitative data on the wider determinants of health, to obtain a more holistic unders</w:t>
            </w:r>
            <w:r w:rsidR="00AE4799" w:rsidRPr="00A2158C">
              <w:t>tanding of the local population</w:t>
            </w:r>
            <w:r w:rsidR="00C23DE5" w:rsidRPr="00A2158C">
              <w:t>.</w:t>
            </w:r>
          </w:p>
          <w:p w14:paraId="1AB13D81" w14:textId="7E8362BA" w:rsidR="000D001F" w:rsidRPr="00A2158C" w:rsidRDefault="00D24FAE" w:rsidP="00D24FAE">
            <w:pPr>
              <w:pStyle w:val="Tablenumberedtextnormal"/>
            </w:pPr>
            <w:r w:rsidRPr="00A2158C">
              <w:t>Identify leading General Practitioners who have a good understanding of population health needs and the data that supports improvement</w:t>
            </w:r>
            <w:r w:rsidR="00C23DE5" w:rsidRPr="00A2158C">
              <w:t>.</w:t>
            </w:r>
          </w:p>
          <w:p w14:paraId="0C086C33" w14:textId="4B711F42" w:rsidR="00A2158C" w:rsidRDefault="00A2158C" w:rsidP="00D24FAE">
            <w:pPr>
              <w:pStyle w:val="Tablenumberedtextnormal"/>
            </w:pPr>
            <w:r>
              <w:t xml:space="preserve">Utilise the expertise of other PHNs in relation to data analysis. </w:t>
            </w:r>
          </w:p>
          <w:p w14:paraId="781D5F50" w14:textId="77777777" w:rsidR="00C57FC7" w:rsidRPr="00A2158C" w:rsidRDefault="00D24FAE" w:rsidP="00D24FAE">
            <w:pPr>
              <w:pStyle w:val="Tablenumberedtextnormal"/>
            </w:pPr>
            <w:r w:rsidRPr="00A2158C">
              <w:t>Look beyond the obvious partners</w:t>
            </w:r>
            <w:r w:rsidR="00C57FC7" w:rsidRPr="00A2158C">
              <w:t>;</w:t>
            </w:r>
            <w:r w:rsidRPr="00A2158C">
              <w:t xml:space="preserve"> keep looking for new connections and build on existing connections to co-commissioners and link providers together</w:t>
            </w:r>
            <w:r w:rsidR="00C57FC7" w:rsidRPr="00A2158C">
              <w:t>.</w:t>
            </w:r>
          </w:p>
          <w:p w14:paraId="4932F1E9" w14:textId="134BB453" w:rsidR="00D24FAE" w:rsidRPr="00A2158C" w:rsidRDefault="00C57FC7" w:rsidP="00D24FAE">
            <w:pPr>
              <w:pStyle w:val="Tablenumberedtextnormal"/>
            </w:pPr>
            <w:r w:rsidRPr="00A2158C">
              <w:t>Communicate with a variety of sectors (not just health) in a way that resonates with these sectors and better targets different populations</w:t>
            </w:r>
            <w:r w:rsidR="00C23DE5" w:rsidRPr="00A2158C">
              <w:t>.</w:t>
            </w:r>
          </w:p>
          <w:p w14:paraId="42775FB8" w14:textId="0CA1EF29" w:rsidR="00D24FAE" w:rsidRPr="00A2158C" w:rsidRDefault="00D24FAE" w:rsidP="00C23DE5">
            <w:pPr>
              <w:pStyle w:val="Tablenumberedtextnormal"/>
              <w:numPr>
                <w:ilvl w:val="0"/>
                <w:numId w:val="0"/>
              </w:numPr>
            </w:pPr>
          </w:p>
        </w:tc>
        <w:tc>
          <w:tcPr>
            <w:tcW w:w="3118" w:type="dxa"/>
          </w:tcPr>
          <w:p w14:paraId="2C72AA76" w14:textId="2D577FAE" w:rsidR="00D24FAE" w:rsidRPr="00A2158C" w:rsidRDefault="00D24FAE" w:rsidP="00D24FAE">
            <w:pPr>
              <w:pStyle w:val="Tablenumberedtextnormal"/>
              <w:numPr>
                <w:ilvl w:val="0"/>
                <w:numId w:val="37"/>
              </w:numPr>
            </w:pPr>
            <w:r w:rsidRPr="00A2158C">
              <w:t>Utilise a population health framework that clearly defines outcomes based on a balanced score card, such as the Quadruple Aims (health of the population, patient experience, cost</w:t>
            </w:r>
            <w:r w:rsidR="00C23DE5" w:rsidRPr="00A2158C">
              <w:t>,</w:t>
            </w:r>
            <w:r w:rsidRPr="00A2158C">
              <w:t xml:space="preserve"> and workforce experience)</w:t>
            </w:r>
            <w:r w:rsidR="00C23DE5" w:rsidRPr="00A2158C">
              <w:t>.</w:t>
            </w:r>
          </w:p>
          <w:p w14:paraId="32919780" w14:textId="3B60AF91" w:rsidR="00C23DE5" w:rsidRPr="00A2158C" w:rsidRDefault="00C23DE5" w:rsidP="00D24FAE">
            <w:pPr>
              <w:pStyle w:val="Tablenumberedtextnormal"/>
            </w:pPr>
            <w:r w:rsidRPr="00A2158C">
              <w:t>PHN leaders to support the organisation to move out of its comfort zone and from single organisation to integrated and inter-sectoral planning to better target different populations, particularly Aboriginal and Torres Strait Islander people and communities and those at risk of poor health outcomes.</w:t>
            </w:r>
          </w:p>
          <w:p w14:paraId="5E6970E9" w14:textId="5D0E782D" w:rsidR="00D24FAE" w:rsidRPr="00A2158C" w:rsidRDefault="00D24FAE" w:rsidP="00C57FC7">
            <w:pPr>
              <w:pStyle w:val="Tablenumberedtextnormal"/>
            </w:pPr>
            <w:r w:rsidRPr="00A2158C">
              <w:t>Use techniques to better connect with different cultures, and follow and plot the patient journey</w:t>
            </w:r>
            <w:r w:rsidR="00C23DE5" w:rsidRPr="00A2158C">
              <w:t>.</w:t>
            </w:r>
          </w:p>
          <w:p w14:paraId="0E1D86EB" w14:textId="5313CDDE" w:rsidR="00D24FAE" w:rsidRPr="00A2158C" w:rsidRDefault="00D24FAE" w:rsidP="00D24FAE">
            <w:pPr>
              <w:pStyle w:val="Tablenumberedtextnormal"/>
            </w:pPr>
            <w:r w:rsidRPr="00A2158C">
              <w:t>Improve the analytics capabilities of the PHN to collect, access and analyse multiple data that accurately presents a holistic picture of the health of the population now and in the future, including inequities in population groups, and to effectively illustrate change.</w:t>
            </w:r>
          </w:p>
        </w:tc>
        <w:tc>
          <w:tcPr>
            <w:tcW w:w="2977" w:type="dxa"/>
          </w:tcPr>
          <w:p w14:paraId="76224F55" w14:textId="4ADE5613" w:rsidR="00D24FAE" w:rsidRPr="00A2158C" w:rsidRDefault="00D24FAE" w:rsidP="00D24FAE">
            <w:pPr>
              <w:pStyle w:val="Tablenumberedtextnormal"/>
              <w:numPr>
                <w:ilvl w:val="0"/>
                <w:numId w:val="38"/>
              </w:numPr>
            </w:pPr>
            <w:r w:rsidRPr="00A2158C">
              <w:t>Consider whether certain aims have greater importance or may require greater focus for particular population groups e.g. Aboriginal and Torres Strait Islander people and communities or those at risk of poor health outcomes, where access to care from improving trust may be particularly important</w:t>
            </w:r>
            <w:r w:rsidR="00C23DE5" w:rsidRPr="00A2158C">
              <w:t>.</w:t>
            </w:r>
          </w:p>
          <w:p w14:paraId="1D4A73E8" w14:textId="5A980EDE" w:rsidR="00D24FAE" w:rsidRPr="00A2158C" w:rsidRDefault="00D24FAE" w:rsidP="00D24FAE">
            <w:pPr>
              <w:pStyle w:val="Tablenumberedtextnormal"/>
            </w:pPr>
            <w:r w:rsidRPr="00A2158C">
              <w:t>Better connect with local communities in a way that the population/</w:t>
            </w:r>
            <w:r w:rsidR="00C23DE5" w:rsidRPr="00A2158C">
              <w:t xml:space="preserve"> </w:t>
            </w:r>
            <w:r w:rsidRPr="00A2158C">
              <w:t>patients are comfortable with</w:t>
            </w:r>
            <w:r w:rsidR="00C23DE5" w:rsidRPr="00A2158C">
              <w:t>.</w:t>
            </w:r>
          </w:p>
          <w:p w14:paraId="4C4D40DB" w14:textId="6FBC6145" w:rsidR="00D24FAE" w:rsidRPr="00A2158C" w:rsidRDefault="00D24FAE" w:rsidP="00892A9B">
            <w:pPr>
              <w:pStyle w:val="Tablenumberedtextnormal"/>
            </w:pPr>
            <w:r w:rsidRPr="00A2158C">
              <w:t>Use contract management and evaluation skills to effectively monitor and evaluate provider performance, identifying inequities that impact on the health of the whole population.</w:t>
            </w:r>
          </w:p>
        </w:tc>
      </w:tr>
    </w:tbl>
    <w:p w14:paraId="5AF5CB11" w14:textId="77777777" w:rsidR="00ED48BA" w:rsidRPr="00ED48BA" w:rsidRDefault="00ED48BA" w:rsidP="00ED48BA">
      <w:pPr>
        <w:pStyle w:val="Paragraphtext"/>
      </w:pPr>
      <w:bookmarkStart w:id="68" w:name="_Toc504039868"/>
      <w:bookmarkStart w:id="69" w:name="_Toc504039869"/>
      <w:bookmarkStart w:id="70" w:name="_Toc515288564"/>
      <w:bookmarkEnd w:id="68"/>
      <w:bookmarkEnd w:id="69"/>
      <w:r w:rsidRPr="00ED48BA">
        <w:br w:type="page"/>
      </w:r>
    </w:p>
    <w:p w14:paraId="227C276A" w14:textId="78E0814F" w:rsidR="00ED48BA" w:rsidRPr="00231B71" w:rsidRDefault="00ED48BA" w:rsidP="00231B71">
      <w:pPr>
        <w:pStyle w:val="Heading2"/>
      </w:pPr>
      <w:bookmarkStart w:id="71" w:name="_Toc519689575"/>
      <w:r w:rsidRPr="00231B71">
        <w:lastRenderedPageBreak/>
        <w:t>Collaborative arrangements</w:t>
      </w:r>
      <w:bookmarkEnd w:id="70"/>
      <w:bookmarkEnd w:id="71"/>
    </w:p>
    <w:p w14:paraId="1000D7FD" w14:textId="77777777" w:rsidR="00ED48BA" w:rsidRDefault="00ED48BA" w:rsidP="00ED48BA">
      <w:pPr>
        <w:pStyle w:val="Paragraphtext"/>
      </w:pPr>
      <w:r>
        <w:t>This competency involves:</w:t>
      </w:r>
    </w:p>
    <w:p w14:paraId="0B6ACD85" w14:textId="0CAEDDA3" w:rsidR="00ED48BA" w:rsidRPr="00745181" w:rsidRDefault="00ED48BA" w:rsidP="00ED48BA">
      <w:pPr>
        <w:pStyle w:val="ListBullet"/>
      </w:pPr>
      <w:r w:rsidRPr="00745181">
        <w:t>Strong partnerships and robust working arrangements with other commissioners to help PHNs achieve more effective outcomes</w:t>
      </w:r>
      <w:r w:rsidR="00545B0A">
        <w:t>.</w:t>
      </w:r>
    </w:p>
    <w:p w14:paraId="0A14A8C1" w14:textId="77777777" w:rsidR="000D001F" w:rsidRDefault="00ED48BA" w:rsidP="00ED48BA">
      <w:pPr>
        <w:pStyle w:val="ListBullet"/>
      </w:pPr>
      <w:r>
        <w:t xml:space="preserve">Building </w:t>
      </w:r>
      <w:r w:rsidRPr="00745181">
        <w:t>bridges across organisations and creating formal arrangements to work collaboratively with partners and stakeholders</w:t>
      </w:r>
      <w:r>
        <w:t>.</w:t>
      </w:r>
    </w:p>
    <w:p w14:paraId="112E0EC6" w14:textId="24E1EB82" w:rsidR="00ED48BA" w:rsidRPr="00DE7BA8" w:rsidRDefault="00ED48BA" w:rsidP="00D97FAF">
      <w:pPr>
        <w:pStyle w:val="Heading3"/>
      </w:pPr>
      <w:bookmarkStart w:id="72" w:name="_Toc519689576"/>
      <w:r>
        <w:t>Collaborative arrangements context for PHNs</w:t>
      </w:r>
      <w:bookmarkEnd w:id="72"/>
    </w:p>
    <w:p w14:paraId="2EF986B7" w14:textId="77777777" w:rsidR="00ED48BA" w:rsidRPr="005E6E86" w:rsidRDefault="00ED48BA" w:rsidP="00ED48BA">
      <w:pPr>
        <w:pStyle w:val="Paragraphtext"/>
      </w:pPr>
      <w:r w:rsidRPr="00DB6698">
        <w:t xml:space="preserve">Designing and delivering the changes needed to transform the primary health </w:t>
      </w:r>
      <w:r>
        <w:t xml:space="preserve">care </w:t>
      </w:r>
      <w:r w:rsidRPr="00DB6698">
        <w:t>system involves collaborative efforts by PHNs, partner organisations, clinicians and providers.</w:t>
      </w:r>
      <w:r>
        <w:t xml:space="preserve"> </w:t>
      </w:r>
      <w:r w:rsidRPr="00DE7BA8">
        <w:t xml:space="preserve">As </w:t>
      </w:r>
      <w:r w:rsidRPr="005E6E86">
        <w:t xml:space="preserve">highlighted in </w:t>
      </w:r>
      <w:r>
        <w:t xml:space="preserve">the </w:t>
      </w:r>
      <w:r w:rsidRPr="005E6E86">
        <w:t>PHN Grant Programme Guidelines</w:t>
      </w:r>
      <w:r w:rsidRPr="00D24FAE">
        <w:rPr>
          <w:rStyle w:val="FootnoteReference"/>
        </w:rPr>
        <w:footnoteReference w:id="35"/>
      </w:r>
      <w:r w:rsidRPr="005E6E86">
        <w:t xml:space="preserve"> </w:t>
      </w:r>
      <w:r w:rsidRPr="0028569F">
        <w:t>PHNs are expected to</w:t>
      </w:r>
      <w:r w:rsidRPr="005E6E86">
        <w:t>:</w:t>
      </w:r>
    </w:p>
    <w:p w14:paraId="35B1EA94" w14:textId="48E44ADD" w:rsidR="00ED48BA" w:rsidRPr="0028569F" w:rsidRDefault="00ED48BA" w:rsidP="00ED48BA">
      <w:pPr>
        <w:pStyle w:val="ListBullet"/>
      </w:pPr>
      <w:r>
        <w:t>D</w:t>
      </w:r>
      <w:r w:rsidRPr="0028569F">
        <w:t>evelop collaborative working relationships with Local H</w:t>
      </w:r>
      <w:r>
        <w:t xml:space="preserve">ospital Networks (LHNs) and public and </w:t>
      </w:r>
      <w:r w:rsidRPr="0028569F">
        <w:t xml:space="preserve">private hospitals to reduce duplication and increase the PHN’s ability to commission </w:t>
      </w:r>
      <w:r>
        <w:t>services</w:t>
      </w:r>
      <w:r w:rsidR="00545B0A">
        <w:t>.</w:t>
      </w:r>
    </w:p>
    <w:p w14:paraId="05811047" w14:textId="7918D301" w:rsidR="00ED48BA" w:rsidRDefault="00545B0A" w:rsidP="00ED48BA">
      <w:pPr>
        <w:pStyle w:val="ListBullet"/>
      </w:pPr>
      <w:r>
        <w:t>A</w:t>
      </w:r>
      <w:r w:rsidR="00ED48BA" w:rsidRPr="0028569F">
        <w:t>ct as regional champions for locally relevant clinical care pathways</w:t>
      </w:r>
      <w:r>
        <w:t>.</w:t>
      </w:r>
    </w:p>
    <w:p w14:paraId="2B2D05BC" w14:textId="77777777" w:rsidR="000D001F" w:rsidRDefault="00ED48BA" w:rsidP="00ED48BA">
      <w:pPr>
        <w:pStyle w:val="ListBullet"/>
      </w:pPr>
      <w:r>
        <w:t>Develop cross-border cooperative arrangements where patient flows cross jurisdictions.</w:t>
      </w:r>
    </w:p>
    <w:p w14:paraId="5C1A5BC0" w14:textId="7C0CDDBD" w:rsidR="00282C64" w:rsidRDefault="00282C64" w:rsidP="00ED48BA">
      <w:pPr>
        <w:pStyle w:val="Paragraphtext"/>
      </w:pPr>
      <w:r w:rsidRPr="00242BD4">
        <w:rPr>
          <w:color w:val="auto"/>
        </w:rPr>
        <w:t xml:space="preserve">It is important that PHNs work collaboratively with each other, and that they share </w:t>
      </w:r>
      <w:r w:rsidR="00661F6F" w:rsidRPr="00242BD4">
        <w:rPr>
          <w:color w:val="auto"/>
        </w:rPr>
        <w:t>their</w:t>
      </w:r>
      <w:r w:rsidRPr="00242BD4">
        <w:rPr>
          <w:color w:val="auto"/>
        </w:rPr>
        <w:t xml:space="preserve"> </w:t>
      </w:r>
      <w:r w:rsidR="00661F6F" w:rsidRPr="00242BD4">
        <w:rPr>
          <w:color w:val="auto"/>
        </w:rPr>
        <w:t xml:space="preserve">experiences in </w:t>
      </w:r>
      <w:r w:rsidRPr="00242BD4">
        <w:rPr>
          <w:color w:val="auto"/>
        </w:rPr>
        <w:t xml:space="preserve">commissioning, </w:t>
      </w:r>
      <w:r w:rsidR="00661F6F" w:rsidRPr="00242BD4">
        <w:rPr>
          <w:color w:val="auto"/>
        </w:rPr>
        <w:t xml:space="preserve">including </w:t>
      </w:r>
      <w:r w:rsidRPr="00242BD4">
        <w:rPr>
          <w:color w:val="auto"/>
        </w:rPr>
        <w:t xml:space="preserve">strategies and approaches that they have used to tackle problems, and lessons learned. These processes are important in further supporting commissioning capability building across the PHN network. </w:t>
      </w:r>
    </w:p>
    <w:p w14:paraId="696F1EDB" w14:textId="77777777" w:rsidR="000D001F" w:rsidRDefault="00ED48BA" w:rsidP="00ED48BA">
      <w:pPr>
        <w:pStyle w:val="Paragraphtext"/>
      </w:pPr>
      <w:r w:rsidRPr="00B52569">
        <w:t>To achieve better health outcomes for patients in commissioning services, PHNs could consider the direct and wider determinants of health. Often a multitude of interventions are required to target high risk populations and those with complex chronic conditions. It is important for PHNs to establish collaborative arrangements with partners from other sectors (such as secondary health care, community care, housing, education and justice) who can influence, plan, provide or commission for the provision of the relevant services.</w:t>
      </w:r>
    </w:p>
    <w:p w14:paraId="157C65AD" w14:textId="7941B950" w:rsidR="00ED48BA" w:rsidRDefault="00ED48BA" w:rsidP="00ED48BA">
      <w:pPr>
        <w:pStyle w:val="Paragraphtext"/>
      </w:pPr>
      <w:r>
        <w:t>Mutual benefits can be derived from doing this.</w:t>
      </w:r>
      <w:r w:rsidRPr="002E6F54">
        <w:t xml:space="preserve"> </w:t>
      </w:r>
      <w:r>
        <w:t>Together PHNs and these organisations could commission integrated programs that provide a multitude of interventions, and thereby better target improved outcomes for people with complex chronic conditions and high risk populations.</w:t>
      </w:r>
    </w:p>
    <w:p w14:paraId="60556328" w14:textId="77777777" w:rsidR="00ED48BA" w:rsidRDefault="00ED48BA" w:rsidP="00D97FAF">
      <w:pPr>
        <w:pStyle w:val="Heading3"/>
      </w:pPr>
      <w:bookmarkStart w:id="73" w:name="_Toc519689577"/>
      <w:r>
        <w:t>Considerations for PHNs</w:t>
      </w:r>
      <w:bookmarkEnd w:id="73"/>
    </w:p>
    <w:p w14:paraId="79BE1694" w14:textId="59CE7B2B" w:rsidR="000D001F" w:rsidRDefault="00ED48BA" w:rsidP="00ED48BA">
      <w:pPr>
        <w:pStyle w:val="Paragraphtext"/>
      </w:pPr>
      <w:r>
        <w:t>It can be difficult to bring together</w:t>
      </w:r>
      <w:r w:rsidRPr="00DE7BA8">
        <w:t xml:space="preserve"> different sectors and organisations</w:t>
      </w:r>
      <w:r>
        <w:t>, which</w:t>
      </w:r>
      <w:r w:rsidRPr="00DE7BA8">
        <w:t xml:space="preserve"> may have conflicting goals and are used to operating only in their own </w:t>
      </w:r>
      <w:r>
        <w:t xml:space="preserve">regions and </w:t>
      </w:r>
      <w:r w:rsidRPr="00DE7BA8">
        <w:t xml:space="preserve">domains. </w:t>
      </w:r>
      <w:r>
        <w:t>For PHNs, t</w:t>
      </w:r>
      <w:r w:rsidRPr="00DE7BA8">
        <w:t xml:space="preserve">his </w:t>
      </w:r>
      <w:r>
        <w:t>can be</w:t>
      </w:r>
      <w:r w:rsidRPr="00DE7BA8">
        <w:t xml:space="preserve"> exacerbated by the </w:t>
      </w:r>
      <w:r>
        <w:t xml:space="preserve">separate </w:t>
      </w:r>
      <w:r w:rsidRPr="00DE7BA8">
        <w:t>funding regimes, with state</w:t>
      </w:r>
      <w:r>
        <w:t>/territory</w:t>
      </w:r>
      <w:r w:rsidRPr="00DE7BA8">
        <w:t xml:space="preserve"> governments </w:t>
      </w:r>
      <w:r>
        <w:t xml:space="preserve">operating (and partially </w:t>
      </w:r>
      <w:r w:rsidRPr="00DE7BA8">
        <w:t xml:space="preserve">funding </w:t>
      </w:r>
      <w:r>
        <w:t>acute</w:t>
      </w:r>
      <w:r w:rsidRPr="00DE7BA8">
        <w:t xml:space="preserve"> health services</w:t>
      </w:r>
      <w:r>
        <w:t>, community health,</w:t>
      </w:r>
      <w:r w:rsidRPr="00DE7BA8">
        <w:t xml:space="preserve"> and some human services</w:t>
      </w:r>
      <w:r w:rsidR="00B25B9A">
        <w:t>)</w:t>
      </w:r>
      <w:r w:rsidRPr="00DE7BA8">
        <w:t xml:space="preserve">, and the federal government funding primary health </w:t>
      </w:r>
      <w:r>
        <w:t xml:space="preserve">care </w:t>
      </w:r>
      <w:r w:rsidRPr="00DE7BA8">
        <w:t>services and other human services</w:t>
      </w:r>
      <w:r>
        <w:t xml:space="preserve">. Consequently, </w:t>
      </w:r>
      <w:r w:rsidRPr="00DE7BA8">
        <w:t xml:space="preserve">organisations </w:t>
      </w:r>
      <w:r>
        <w:t xml:space="preserve">are not necessarily incentivised </w:t>
      </w:r>
      <w:r w:rsidRPr="00DE7BA8">
        <w:t xml:space="preserve">to work together to solve </w:t>
      </w:r>
      <w:r>
        <w:t xml:space="preserve">the more </w:t>
      </w:r>
      <w:r w:rsidRPr="00DE7BA8">
        <w:t xml:space="preserve">systematic </w:t>
      </w:r>
      <w:r>
        <w:t>issues (or address other issues).</w:t>
      </w:r>
    </w:p>
    <w:p w14:paraId="636D155B" w14:textId="77777777" w:rsidR="00021B10" w:rsidRDefault="00021B10">
      <w:pPr>
        <w:rPr>
          <w:color w:val="000000" w:themeColor="text1"/>
        </w:rPr>
      </w:pPr>
      <w:r>
        <w:br w:type="page"/>
      </w:r>
    </w:p>
    <w:p w14:paraId="473F2005" w14:textId="736421AE" w:rsidR="00ED48BA" w:rsidRDefault="00ED48BA" w:rsidP="00ED48BA">
      <w:pPr>
        <w:pStyle w:val="Paragraphtext"/>
      </w:pPr>
      <w:r>
        <w:lastRenderedPageBreak/>
        <w:t>Collaborative arrangements help break down these barriers and are</w:t>
      </w:r>
      <w:r w:rsidRPr="00DE7BA8">
        <w:t xml:space="preserve"> particularly </w:t>
      </w:r>
      <w:r>
        <w:t>relevant to overcome barriers to market entry. The collective knowledge and insight of a variety of partners help PHNs:</w:t>
      </w:r>
    </w:p>
    <w:p w14:paraId="071BCFB9" w14:textId="77777777" w:rsidR="000D001F" w:rsidRDefault="00ED48BA" w:rsidP="00ED48BA">
      <w:pPr>
        <w:pStyle w:val="ListBullet"/>
      </w:pPr>
      <w:r>
        <w:t>Design more appropriate service(s)</w:t>
      </w:r>
    </w:p>
    <w:p w14:paraId="5F1C5247" w14:textId="0C75326A" w:rsidR="00ED48BA" w:rsidRDefault="00ED48BA" w:rsidP="00ED48BA">
      <w:pPr>
        <w:pStyle w:val="ListBullet"/>
      </w:pPr>
      <w:r>
        <w:t>Commission effective delivery models and s</w:t>
      </w:r>
      <w:r w:rsidRPr="002E6F54">
        <w:t>timulat</w:t>
      </w:r>
      <w:r>
        <w:t>e innovative practices</w:t>
      </w:r>
    </w:p>
    <w:p w14:paraId="5C8D6693" w14:textId="77777777" w:rsidR="00ED48BA" w:rsidRDefault="00ED48BA" w:rsidP="00ED48BA">
      <w:pPr>
        <w:pStyle w:val="ListBullet"/>
      </w:pPr>
      <w:r>
        <w:t>Scale up supply, as appropriate</w:t>
      </w:r>
    </w:p>
    <w:p w14:paraId="37A50E1D" w14:textId="77777777" w:rsidR="00ED48BA" w:rsidRDefault="00ED48BA" w:rsidP="00ED48BA">
      <w:pPr>
        <w:pStyle w:val="ListBullet"/>
      </w:pPr>
      <w:r>
        <w:t>Deliver services that better meet the needs of a diverse population</w:t>
      </w:r>
    </w:p>
    <w:p w14:paraId="062232C7" w14:textId="77777777" w:rsidR="000D001F" w:rsidRDefault="00ED48BA" w:rsidP="00ED48BA">
      <w:pPr>
        <w:pStyle w:val="ListBullet"/>
      </w:pPr>
      <w:r>
        <w:t>Achieve better health outcomes.</w:t>
      </w:r>
    </w:p>
    <w:p w14:paraId="79899581" w14:textId="50FC9D0F" w:rsidR="00ED48BA" w:rsidRDefault="00ED48BA" w:rsidP="00ED48BA">
      <w:pPr>
        <w:pStyle w:val="Paragraphtext"/>
      </w:pPr>
      <w:r>
        <w:t>In building collaborative arrangements PHNs can consider the benefits of collaborative decision making with stakeholders, particularly with Aboriginal and Torres Strait Islander people and communities, through A</w:t>
      </w:r>
      <w:r w:rsidRPr="00101753">
        <w:t>boriginal Advisory Boards, Steering Commit</w:t>
      </w:r>
      <w:r>
        <w:t>tees and at program level utilis</w:t>
      </w:r>
      <w:r w:rsidRPr="00101753">
        <w:t xml:space="preserve">ing existing structures </w:t>
      </w:r>
      <w:r>
        <w:t>in communities.</w:t>
      </w:r>
    </w:p>
    <w:p w14:paraId="2E396B5A" w14:textId="77777777" w:rsidR="00ED48BA" w:rsidRDefault="00ED48BA" w:rsidP="00ED48BA">
      <w:pPr>
        <w:pStyle w:val="Paragraphtext"/>
      </w:pPr>
      <w:r>
        <w:t>PHNs should be aware of the potential for these arrangements to become ‘talking shops’. To help avoid this, PHNs can establish a clear focus through shared objectives, a work program, a clearly defined approach to manage consultation, and review and improvement arrangements.</w:t>
      </w:r>
    </w:p>
    <w:p w14:paraId="6BD82E57" w14:textId="77777777" w:rsidR="00ED48BA" w:rsidRDefault="00ED48BA" w:rsidP="00ED48BA">
      <w:pPr>
        <w:pStyle w:val="Paragraphtext"/>
      </w:pPr>
      <w:r>
        <w:t>The Collective Impact framework</w:t>
      </w:r>
      <w:r w:rsidRPr="00D24FAE">
        <w:rPr>
          <w:rStyle w:val="FootnoteReference"/>
        </w:rPr>
        <w:footnoteReference w:id="36"/>
      </w:r>
      <w:r>
        <w:t xml:space="preserve"> and Partnership Model</w:t>
      </w:r>
      <w:r w:rsidRPr="00D24FAE">
        <w:rPr>
          <w:rStyle w:val="FootnoteReference"/>
        </w:rPr>
        <w:footnoteReference w:id="37"/>
      </w:r>
      <w:r>
        <w:t xml:space="preserve"> applied by Brisbane North PHN are approaches that PHNs could consider for collaborative arrangements. The Partnership Model can also be used in managing contracts, and includes:</w:t>
      </w:r>
    </w:p>
    <w:p w14:paraId="5F76A6DB" w14:textId="6632938F" w:rsidR="00ED48BA" w:rsidRPr="00331405" w:rsidRDefault="00ED48BA" w:rsidP="00ED48BA">
      <w:pPr>
        <w:pStyle w:val="ListBullet"/>
      </w:pPr>
      <w:r w:rsidRPr="00331405">
        <w:t>Underlying principles for working together, objectives and indicators of success to maintain a clear focus</w:t>
      </w:r>
      <w:r w:rsidR="006D5EDF">
        <w:t>.</w:t>
      </w:r>
    </w:p>
    <w:p w14:paraId="25AB1AEC" w14:textId="3D53BB14" w:rsidR="000D001F" w:rsidRDefault="00ED48BA" w:rsidP="00ED48BA">
      <w:pPr>
        <w:pStyle w:val="ListBullet"/>
      </w:pPr>
      <w:r w:rsidRPr="00331405">
        <w:t xml:space="preserve">Governance structures and frameworks, such as </w:t>
      </w:r>
      <w:r>
        <w:t xml:space="preserve">an </w:t>
      </w:r>
      <w:r w:rsidRPr="00331405">
        <w:t xml:space="preserve">MoU and </w:t>
      </w:r>
      <w:r>
        <w:t>other agreements and work programs</w:t>
      </w:r>
      <w:r w:rsidR="006D5EDF">
        <w:t>.</w:t>
      </w:r>
    </w:p>
    <w:p w14:paraId="2A8BFB8E" w14:textId="503CB7D8" w:rsidR="00ED48BA" w:rsidRPr="00331405" w:rsidRDefault="00ED48BA" w:rsidP="00ED48BA">
      <w:pPr>
        <w:pStyle w:val="ListBullet"/>
      </w:pPr>
      <w:r>
        <w:t xml:space="preserve">Business rules, </w:t>
      </w:r>
      <w:r w:rsidRPr="00331405">
        <w:t>such as performance measurement and service integration</w:t>
      </w:r>
      <w:r w:rsidR="006D5EDF">
        <w:t>.</w:t>
      </w:r>
    </w:p>
    <w:p w14:paraId="6E77284A" w14:textId="77777777" w:rsidR="000D001F" w:rsidRDefault="00ED48BA" w:rsidP="00ED48BA">
      <w:pPr>
        <w:pStyle w:val="ListBullet"/>
      </w:pPr>
      <w:r w:rsidRPr="00331405">
        <w:t>Monitoring and evaluation</w:t>
      </w:r>
      <w:r>
        <w:t>, such as performance reporting on services provided and service satisfaction measures.</w:t>
      </w:r>
    </w:p>
    <w:p w14:paraId="0F4BA39B" w14:textId="69DBA70F" w:rsidR="00C41AB8" w:rsidRDefault="00ED48BA" w:rsidP="00231B71">
      <w:pPr>
        <w:pStyle w:val="Paragraphtext"/>
      </w:pPr>
      <w:r>
        <w:t>Case study 2 provides an example of collaborative arrangements to target chronic conditions and achieve better outcomes.</w:t>
      </w:r>
    </w:p>
    <w:p w14:paraId="2AA4DFDD" w14:textId="77777777" w:rsidR="00C41AB8" w:rsidRDefault="00C41AB8">
      <w:pPr>
        <w:rPr>
          <w:color w:val="000000" w:themeColor="text1"/>
        </w:rPr>
      </w:pPr>
      <w:r>
        <w:br w:type="page"/>
      </w:r>
    </w:p>
    <w:p w14:paraId="7E71ABE0" w14:textId="77777777" w:rsidR="000D001F" w:rsidRDefault="000D001F" w:rsidP="00231B71">
      <w:pPr>
        <w:pStyle w:val="Paragraphtext"/>
      </w:pPr>
    </w:p>
    <w:p w14:paraId="6BAD2ABF" w14:textId="6C518AED" w:rsidR="00D97FAF" w:rsidRPr="00D97FAF" w:rsidRDefault="00D97FAF" w:rsidP="003E5977">
      <w:pPr>
        <w:pStyle w:val="CaseStudyHeading"/>
        <w:shd w:val="clear" w:color="auto" w:fill="8D188D"/>
      </w:pPr>
      <w:r w:rsidRPr="00D97FAF">
        <w:t>Case study 2: Collaborative arrangements in Western Sydney</w:t>
      </w:r>
    </w:p>
    <w:p w14:paraId="448FF423" w14:textId="77777777" w:rsidR="000D001F" w:rsidRDefault="00D97FAF" w:rsidP="00D97FAF">
      <w:pPr>
        <w:pStyle w:val="CaseStudyText"/>
      </w:pPr>
      <w:r w:rsidRPr="00424CF9">
        <w:rPr>
          <w:b/>
        </w:rPr>
        <w:t>Situation</w:t>
      </w:r>
      <w:r w:rsidRPr="00424CF9">
        <w:t xml:space="preserve">: Diabetes is one of the most significant health challenges for Western Sydney PHN (WSPHN). The region is now a diabetes hotspot with rates more than double that of Sydney’s eastern and northern suburbs. Unless action is taken, the problems will continue to worsen with more than 60% of the </w:t>
      </w:r>
      <w:r>
        <w:t>W</w:t>
      </w:r>
      <w:r w:rsidRPr="00424CF9">
        <w:t>estern Sydney population being overweight and at risk of developing type 2 diabetes. If unaddressed, by 2028 there will be a substantial economic and societal burden on the state’s health</w:t>
      </w:r>
      <w:r>
        <w:t xml:space="preserve"> </w:t>
      </w:r>
      <w:r w:rsidRPr="00424CF9">
        <w:t>care system.</w:t>
      </w:r>
    </w:p>
    <w:p w14:paraId="49CE157B" w14:textId="77777777" w:rsidR="000D001F" w:rsidRDefault="00D97FAF" w:rsidP="00D97FAF">
      <w:pPr>
        <w:pStyle w:val="CaseStudyText"/>
      </w:pPr>
      <w:r w:rsidRPr="00424CF9">
        <w:rPr>
          <w:b/>
        </w:rPr>
        <w:t>Task</w:t>
      </w:r>
      <w:r w:rsidRPr="00424CF9">
        <w:t>: The decision was made in 2015 that the normal ways of tackling chronic conditions through existing funding mechanisms and health care interventions in primary care and hospital settings would not succeed against the rise of diabetes in Western Sydney. New contemporary practice and innovations were required, not only in clinical practice but also in the way in which the system works to resolve the complex determinants that manifest together.</w:t>
      </w:r>
    </w:p>
    <w:p w14:paraId="5CD1131C" w14:textId="77777777" w:rsidR="000D001F" w:rsidRDefault="00D97FAF" w:rsidP="00D97FAF">
      <w:pPr>
        <w:pStyle w:val="CaseStudyText"/>
      </w:pPr>
      <w:r w:rsidRPr="00424CF9">
        <w:rPr>
          <w:b/>
        </w:rPr>
        <w:t>Action</w:t>
      </w:r>
      <w:r w:rsidRPr="00424CF9">
        <w:t>: In 2015 WSPHN</w:t>
      </w:r>
      <w:r>
        <w:t>,</w:t>
      </w:r>
      <w:r w:rsidRPr="00424CF9">
        <w:t xml:space="preserve"> in partnership with Western Sydney Local Health District (LHD) and Diabetes NSW and ACT, commenced a program of development to:</w:t>
      </w:r>
    </w:p>
    <w:p w14:paraId="1C8260A4" w14:textId="021AE508" w:rsidR="00D97FAF" w:rsidRPr="00424CF9" w:rsidRDefault="00D97FAF" w:rsidP="00D97FAF">
      <w:pPr>
        <w:pStyle w:val="CaseStudyBullet"/>
      </w:pPr>
      <w:r w:rsidRPr="00424CF9">
        <w:t>Heighten the awareness of the issues in the Western Sydney community</w:t>
      </w:r>
    </w:p>
    <w:p w14:paraId="50C22302" w14:textId="77777777" w:rsidR="00D97FAF" w:rsidRPr="00424CF9" w:rsidRDefault="00D97FAF" w:rsidP="00D97FAF">
      <w:pPr>
        <w:pStyle w:val="CaseStudyBullet"/>
      </w:pPr>
      <w:r w:rsidRPr="00424CF9">
        <w:t>Build an alliance of sectors and agencies to address the complex determinants</w:t>
      </w:r>
    </w:p>
    <w:p w14:paraId="42C5DCBE" w14:textId="77777777" w:rsidR="00D97FAF" w:rsidRPr="00424CF9" w:rsidRDefault="00D97FAF" w:rsidP="00D97FAF">
      <w:pPr>
        <w:pStyle w:val="CaseStudyBullet"/>
      </w:pPr>
      <w:r w:rsidRPr="00424CF9">
        <w:t>Introduce more integrated and contemporary practices for primary and secondary prevention</w:t>
      </w:r>
    </w:p>
    <w:p w14:paraId="3BB236C5" w14:textId="77777777" w:rsidR="00D97FAF" w:rsidRPr="00424CF9" w:rsidRDefault="00D97FAF" w:rsidP="00D97FAF">
      <w:pPr>
        <w:pStyle w:val="CaseStudyBullet"/>
      </w:pPr>
      <w:r w:rsidRPr="00424CF9">
        <w:t>Consider the case for change through an economic lens that could articulate the impact of shifting how care is determined and delivered in terms of its value to the health system in particular, and society more broadly.</w:t>
      </w:r>
    </w:p>
    <w:p w14:paraId="62B3C60D" w14:textId="77777777" w:rsidR="000D001F" w:rsidRDefault="00D97FAF" w:rsidP="00D97FAF">
      <w:pPr>
        <w:pStyle w:val="CaseStudyText"/>
      </w:pPr>
      <w:r w:rsidRPr="00424CF9">
        <w:rPr>
          <w:b/>
        </w:rPr>
        <w:t xml:space="preserve">Result </w:t>
      </w:r>
      <w:r w:rsidRPr="00424CF9">
        <w:t>(in the context of this case study): The Western Sydney diabetes strategy is now a multifaceted program of cross sector and agency effort that has built interventions that are far more interconnected and focused towards primary and secondary prevention. It has also built</w:t>
      </w:r>
      <w:r>
        <w:t>,</w:t>
      </w:r>
      <w:r w:rsidRPr="00424CF9">
        <w:t xml:space="preserve"> and continues to mature</w:t>
      </w:r>
      <w:r>
        <w:t>,</w:t>
      </w:r>
      <w:r w:rsidRPr="00424CF9">
        <w:t xml:space="preserve"> a unique collaboration and alliance of organisations that are working together to identify root causes and design interventions. This collaborative arrangement is one element that forms part of this broader project to achieve the </w:t>
      </w:r>
      <w:r>
        <w:t>intended</w:t>
      </w:r>
      <w:r w:rsidRPr="00424CF9">
        <w:t xml:space="preserve"> outcomes.</w:t>
      </w:r>
    </w:p>
    <w:p w14:paraId="1951DC1C" w14:textId="4B9D5481" w:rsidR="000D001F" w:rsidRDefault="00D97FAF" w:rsidP="00D97FAF">
      <w:pPr>
        <w:pStyle w:val="CaseStudyText"/>
      </w:pPr>
      <w:r w:rsidRPr="00424CF9">
        <w:t xml:space="preserve">The Western Sydney diabetes alliance has over 80 members with leadership from the PHN, LHD, NSW Government (Premier and Cabinet), </w:t>
      </w:r>
      <w:r w:rsidR="000B1FC8">
        <w:t xml:space="preserve">and </w:t>
      </w:r>
      <w:r w:rsidRPr="00424CF9">
        <w:t>Diabetes NSW &amp; ACT.</w:t>
      </w:r>
      <w:r w:rsidRPr="00D24FAE">
        <w:rPr>
          <w:rStyle w:val="FootnoteReference"/>
        </w:rPr>
        <w:footnoteReference w:id="38"/>
      </w:r>
      <w:r w:rsidRPr="00424CF9">
        <w:t xml:space="preserve"> This alliance has an extensive range of Government agencies and departments including councils, universities and research institutions, primary health care organisations, NGOs, Peak bodies, local clubs and societies, food production and supply industry and retailers. The governance, communication and collaborative arrangements are reviewed on an annual basis and adapted to meet the needs of the growing alliance.</w:t>
      </w:r>
    </w:p>
    <w:p w14:paraId="52E20FF7" w14:textId="25C1DD41" w:rsidR="00ED48BA" w:rsidRPr="00A31AB1" w:rsidRDefault="00ED48BA" w:rsidP="00ED48BA">
      <w:pPr>
        <w:pStyle w:val="Paragraphtext"/>
      </w:pPr>
      <w:r w:rsidRPr="00A31AB1">
        <w:br w:type="page"/>
      </w:r>
    </w:p>
    <w:p w14:paraId="458B5A9C" w14:textId="77777777" w:rsidR="00ED48BA" w:rsidRDefault="00ED48BA" w:rsidP="00D97FAF">
      <w:pPr>
        <w:pStyle w:val="Heading3"/>
      </w:pPr>
      <w:bookmarkStart w:id="74" w:name="_Toc519689578"/>
      <w:r>
        <w:lastRenderedPageBreak/>
        <w:t>Practical tips and skills for collaborative arrangements</w:t>
      </w:r>
      <w:bookmarkEnd w:id="74"/>
    </w:p>
    <w:p w14:paraId="0E1FF162" w14:textId="77777777" w:rsidR="00ED48BA" w:rsidRPr="002B1D73" w:rsidRDefault="00ED48BA" w:rsidP="00ED48BA">
      <w:pPr>
        <w:pStyle w:val="Paragraphtext"/>
      </w:pPr>
      <w:r>
        <w:t>Table 8 provides some practical tips that PHNs should consider in developing this competency.</w:t>
      </w:r>
    </w:p>
    <w:p w14:paraId="7A7C06DA" w14:textId="77777777" w:rsidR="00ED48BA" w:rsidRPr="0072528F" w:rsidRDefault="00ED48BA" w:rsidP="00ED48BA">
      <w:pPr>
        <w:pStyle w:val="Caption"/>
      </w:pPr>
      <w:bookmarkStart w:id="75" w:name="_Toc515288587"/>
      <w:bookmarkStart w:id="76" w:name="_Toc516150693"/>
      <w:r w:rsidRPr="0072528F">
        <w:t xml:space="preserve">Table </w:t>
      </w:r>
      <w:fldSimple w:instr=" SEQ Table \* ARABIC ">
        <w:r w:rsidR="00374AF2">
          <w:rPr>
            <w:noProof/>
          </w:rPr>
          <w:t>8</w:t>
        </w:r>
      </w:fldSimple>
      <w:r w:rsidRPr="0072528F">
        <w:rPr>
          <w:noProof/>
        </w:rPr>
        <w:t>:</w:t>
      </w:r>
      <w:r w:rsidRPr="0072528F">
        <w:t xml:space="preserve"> Practical tips and skills for collaborative arrangements</w:t>
      </w:r>
      <w:bookmarkEnd w:id="75"/>
      <w:bookmarkEnd w:id="76"/>
    </w:p>
    <w:tbl>
      <w:tblPr>
        <w:tblStyle w:val="PHNBlueTable"/>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Practical tips and skills for collaborative arrangements"/>
        <w:tblDescription w:val="This table features three columns and two rows. Each column identifies practical tips that PHNs could use to develop the collaborative arrangements competency at a system, organisational or individual/team level. "/>
      </w:tblPr>
      <w:tblGrid>
        <w:gridCol w:w="3227"/>
        <w:gridCol w:w="3260"/>
        <w:gridCol w:w="2835"/>
      </w:tblGrid>
      <w:tr w:rsidR="00D24FAE" w:rsidRPr="0072528F" w14:paraId="61FEFE37" w14:textId="77777777" w:rsidTr="00C41AB8">
        <w:trPr>
          <w:cnfStyle w:val="100000000000" w:firstRow="1" w:lastRow="0" w:firstColumn="0" w:lastColumn="0" w:oddVBand="0" w:evenVBand="0" w:oddHBand="0" w:evenHBand="0" w:firstRowFirstColumn="0" w:firstRowLastColumn="0" w:lastRowFirstColumn="0" w:lastRowLastColumn="0"/>
        </w:trPr>
        <w:tc>
          <w:tcPr>
            <w:tcW w:w="3227" w:type="dxa"/>
            <w:shd w:val="clear" w:color="auto" w:fill="8D188D"/>
          </w:tcPr>
          <w:p w14:paraId="031FD9A0" w14:textId="77777777" w:rsidR="00D24FAE" w:rsidRPr="0072528F" w:rsidRDefault="00D24FAE" w:rsidP="00D24FAE">
            <w:pPr>
              <w:pStyle w:val="TableHeaderWhite"/>
            </w:pPr>
            <w:r w:rsidRPr="0072528F">
              <w:t xml:space="preserve">System </w:t>
            </w:r>
          </w:p>
        </w:tc>
        <w:tc>
          <w:tcPr>
            <w:tcW w:w="3260" w:type="dxa"/>
            <w:shd w:val="clear" w:color="auto" w:fill="8D188D"/>
          </w:tcPr>
          <w:p w14:paraId="49498960" w14:textId="77777777" w:rsidR="00D24FAE" w:rsidRPr="0072528F" w:rsidRDefault="00D24FAE" w:rsidP="00D24FAE">
            <w:pPr>
              <w:pStyle w:val="TableHeaderWhite"/>
            </w:pPr>
            <w:r w:rsidRPr="0072528F">
              <w:t>Organisation</w:t>
            </w:r>
          </w:p>
        </w:tc>
        <w:tc>
          <w:tcPr>
            <w:tcW w:w="2835" w:type="dxa"/>
            <w:shd w:val="clear" w:color="auto" w:fill="8D188D"/>
          </w:tcPr>
          <w:p w14:paraId="0B7D53A8" w14:textId="77777777" w:rsidR="00D24FAE" w:rsidRPr="0072528F" w:rsidRDefault="00D24FAE" w:rsidP="00D24FAE">
            <w:pPr>
              <w:pStyle w:val="TableHeaderWhite"/>
            </w:pPr>
            <w:r w:rsidRPr="0072528F">
              <w:t>Individual / team</w:t>
            </w:r>
          </w:p>
        </w:tc>
      </w:tr>
      <w:tr w:rsidR="00D24FAE" w:rsidRPr="00424CF9" w14:paraId="4E7A147B" w14:textId="77777777" w:rsidTr="00C41AB8">
        <w:tc>
          <w:tcPr>
            <w:tcW w:w="3227" w:type="dxa"/>
          </w:tcPr>
          <w:p w14:paraId="0E6B67F0" w14:textId="6DBFB732" w:rsidR="00D24FAE" w:rsidRPr="0072528F" w:rsidRDefault="00D24FAE" w:rsidP="00D24FAE">
            <w:pPr>
              <w:pStyle w:val="Tablenumberedtextnormal"/>
              <w:numPr>
                <w:ilvl w:val="0"/>
                <w:numId w:val="33"/>
              </w:numPr>
            </w:pPr>
            <w:r w:rsidRPr="0072528F">
              <w:t>Identify organisations that carry out similar activities, face similar problems or with valuable networks, to determine whether there would be mutual benefit in collaborating or forming strategic partnerships</w:t>
            </w:r>
            <w:r w:rsidR="000B1FC8" w:rsidRPr="0072528F">
              <w:t>.</w:t>
            </w:r>
          </w:p>
          <w:p w14:paraId="0FE38F33" w14:textId="27F94EFA" w:rsidR="0072528F" w:rsidRDefault="0072528F" w:rsidP="00D24FAE">
            <w:pPr>
              <w:pStyle w:val="Tablenumberedtextnormal"/>
            </w:pPr>
            <w:r>
              <w:t>Network with other PHNs to identify successful collaboration processes.</w:t>
            </w:r>
          </w:p>
          <w:p w14:paraId="686B6E4B" w14:textId="6EE3ED4D" w:rsidR="000D001F" w:rsidRPr="0072528F" w:rsidRDefault="00D24FAE" w:rsidP="00D24FAE">
            <w:pPr>
              <w:pStyle w:val="Tablenumberedtextnormal"/>
            </w:pPr>
            <w:r w:rsidRPr="0072528F">
              <w:t>Consider risk sharing arrangements to incentivise joint working</w:t>
            </w:r>
            <w:r w:rsidR="000B1FC8" w:rsidRPr="0072528F">
              <w:t>.</w:t>
            </w:r>
          </w:p>
          <w:p w14:paraId="2D3517FF" w14:textId="391391A4" w:rsidR="00D24FAE" w:rsidRPr="0072528F" w:rsidRDefault="00D24FAE" w:rsidP="00D24FAE">
            <w:pPr>
              <w:pStyle w:val="Tablenumberedtextnormal"/>
            </w:pPr>
            <w:r w:rsidRPr="0072528F">
              <w:t>Build on the PHN’s strategic planning skills to form joint planning arrangements</w:t>
            </w:r>
            <w:r w:rsidR="000B1FC8" w:rsidRPr="0072528F">
              <w:t>.</w:t>
            </w:r>
          </w:p>
          <w:p w14:paraId="658D4DDE" w14:textId="3EC7255B" w:rsidR="000D001F" w:rsidRPr="0072528F" w:rsidRDefault="00D24FAE" w:rsidP="00D24FAE">
            <w:pPr>
              <w:pStyle w:val="Tablenumberedtextnormal"/>
            </w:pPr>
            <w:r w:rsidRPr="0072528F">
              <w:t>Regularly demonstrate progress to all partners in a way that aids their understanding, motivation and focus</w:t>
            </w:r>
            <w:r w:rsidR="000B1FC8" w:rsidRPr="0072528F">
              <w:t>.</w:t>
            </w:r>
          </w:p>
          <w:p w14:paraId="5812BA8F" w14:textId="78F0F9A9" w:rsidR="000D001F" w:rsidRPr="0072528F" w:rsidRDefault="00D24FAE" w:rsidP="00D24FAE">
            <w:pPr>
              <w:pStyle w:val="Tablenumberedtextnormal"/>
            </w:pPr>
            <w:r w:rsidRPr="0072528F">
              <w:t>Network and negotiate with stakeholders to form arrangements th</w:t>
            </w:r>
            <w:r w:rsidR="00E0184E" w:rsidRPr="0072528F">
              <w:t>at will create a mutual benefit</w:t>
            </w:r>
            <w:r w:rsidR="000B1FC8" w:rsidRPr="0072528F">
              <w:t>.</w:t>
            </w:r>
          </w:p>
          <w:p w14:paraId="545150CA" w14:textId="78F131DC" w:rsidR="00D24FAE" w:rsidRPr="0072528F" w:rsidRDefault="00D24FAE" w:rsidP="00D24FAE">
            <w:pPr>
              <w:pStyle w:val="Tablenumberedtextnormal"/>
            </w:pPr>
            <w:r w:rsidRPr="0072528F">
              <w:t>Work collaboratively with ACCHS and other community representative bodies, through ‘convening’ rather than ‘leading’.</w:t>
            </w:r>
          </w:p>
        </w:tc>
        <w:tc>
          <w:tcPr>
            <w:tcW w:w="3260" w:type="dxa"/>
          </w:tcPr>
          <w:p w14:paraId="4AF9BE1F" w14:textId="4F1FA0CC" w:rsidR="00D24FAE" w:rsidRPr="0072528F" w:rsidRDefault="00D24FAE" w:rsidP="00D24FAE">
            <w:pPr>
              <w:pStyle w:val="Tablenumberedtextnormal"/>
              <w:numPr>
                <w:ilvl w:val="0"/>
                <w:numId w:val="34"/>
              </w:numPr>
            </w:pPr>
            <w:r w:rsidRPr="0072528F">
              <w:t>Consider the use of tools that will help to build collaboration and alliances, for example, a memorandum of understanding</w:t>
            </w:r>
            <w:r w:rsidRPr="0072528F">
              <w:rPr>
                <w:rStyle w:val="FootnoteReference"/>
              </w:rPr>
              <w:footnoteReference w:id="39"/>
            </w:r>
            <w:r w:rsidR="000B1FC8" w:rsidRPr="0072528F">
              <w:t>.</w:t>
            </w:r>
          </w:p>
          <w:p w14:paraId="4E376028" w14:textId="486B155E" w:rsidR="000D001F" w:rsidRPr="0072528F" w:rsidRDefault="00D24FAE" w:rsidP="00D24FAE">
            <w:pPr>
              <w:pStyle w:val="Tablenumberedtextnormal"/>
            </w:pPr>
            <w:r w:rsidRPr="0072528F">
              <w:t>Identify potential conflicts of interest prior to forming collaborative arrangements to determine what safeguards can be put in place and manage probity considerations</w:t>
            </w:r>
            <w:r w:rsidR="000B1FC8" w:rsidRPr="0072528F">
              <w:t>.</w:t>
            </w:r>
          </w:p>
          <w:p w14:paraId="28F91F34" w14:textId="4FA6ADEC" w:rsidR="000D001F" w:rsidRPr="0072528F" w:rsidRDefault="00D24FAE" w:rsidP="00D24FAE">
            <w:pPr>
              <w:pStyle w:val="Tablenumberedtextnormal"/>
            </w:pPr>
            <w:r w:rsidRPr="0072528F">
              <w:t>Convene forums with potential partners and share data and information (as appropriate) to build trust and encourage collaboration</w:t>
            </w:r>
            <w:r w:rsidR="000B1FC8" w:rsidRPr="0072528F">
              <w:t>.</w:t>
            </w:r>
          </w:p>
          <w:p w14:paraId="361FE32B" w14:textId="3D70BC6B" w:rsidR="00D24FAE" w:rsidRPr="0072528F" w:rsidRDefault="00D24FAE" w:rsidP="00D24FAE">
            <w:pPr>
              <w:pStyle w:val="Tablenumberedtextnormal"/>
            </w:pPr>
            <w:r w:rsidRPr="0072528F">
              <w:t>Establish formal agreements where practical to document accountabilities, including clear and transparent governance arrangements to regularly and jointly monitor and review the partnerships to ensure they are achieving the objectives.</w:t>
            </w:r>
          </w:p>
        </w:tc>
        <w:tc>
          <w:tcPr>
            <w:tcW w:w="2835" w:type="dxa"/>
          </w:tcPr>
          <w:p w14:paraId="34226334" w14:textId="0B68904C" w:rsidR="00D24FAE" w:rsidRPr="0072528F" w:rsidRDefault="00D24FAE" w:rsidP="00D24FAE">
            <w:pPr>
              <w:pStyle w:val="Tablenumberedtextnormal"/>
              <w:numPr>
                <w:ilvl w:val="0"/>
                <w:numId w:val="35"/>
              </w:numPr>
            </w:pPr>
            <w:r w:rsidRPr="0072528F">
              <w:t>Design processes with market soundings and interactions and less prescriptive requirements to encourage</w:t>
            </w:r>
            <w:r w:rsidR="00E0184E" w:rsidRPr="0072528F">
              <w:t xml:space="preserve"> partnerships and collaboration</w:t>
            </w:r>
            <w:r w:rsidR="000B1FC8" w:rsidRPr="0072528F">
              <w:t>.</w:t>
            </w:r>
          </w:p>
          <w:p w14:paraId="322848B5" w14:textId="60BAEDF3" w:rsidR="00D24FAE" w:rsidRPr="0072528F" w:rsidRDefault="00D24FAE" w:rsidP="00D24FAE">
            <w:pPr>
              <w:pStyle w:val="Tablenumberedtextnormal"/>
            </w:pPr>
            <w:r w:rsidRPr="0072528F">
              <w:t>Encourage and reward ownership of partnerships across all levels of the PHN.</w:t>
            </w:r>
          </w:p>
        </w:tc>
      </w:tr>
    </w:tbl>
    <w:p w14:paraId="44CBC25A" w14:textId="77777777" w:rsidR="00ED48BA" w:rsidRPr="00D24FAE" w:rsidRDefault="00ED48BA" w:rsidP="00ED48BA">
      <w:pPr>
        <w:pStyle w:val="Paragraphtext"/>
      </w:pPr>
      <w:bookmarkStart w:id="77" w:name="_Toc515288565"/>
      <w:r>
        <w:br w:type="page"/>
      </w:r>
    </w:p>
    <w:p w14:paraId="57EBD015" w14:textId="2BBC8E39" w:rsidR="00ED48BA" w:rsidRPr="00231B71" w:rsidRDefault="00ED48BA" w:rsidP="00231B71">
      <w:pPr>
        <w:pStyle w:val="Heading2"/>
      </w:pPr>
      <w:bookmarkStart w:id="78" w:name="_Toc519689579"/>
      <w:r w:rsidRPr="00231B71">
        <w:lastRenderedPageBreak/>
        <w:t>Market management</w:t>
      </w:r>
      <w:bookmarkEnd w:id="77"/>
      <w:bookmarkEnd w:id="78"/>
    </w:p>
    <w:p w14:paraId="0C9AAA39" w14:textId="77777777" w:rsidR="00ED48BA" w:rsidRDefault="00ED48BA" w:rsidP="00ED48BA">
      <w:pPr>
        <w:pStyle w:val="Paragraphtext"/>
      </w:pPr>
      <w:r>
        <w:t>This competency involves:</w:t>
      </w:r>
    </w:p>
    <w:p w14:paraId="35D0F868" w14:textId="2B7974DB" w:rsidR="000D001F" w:rsidRDefault="00ED48BA" w:rsidP="00ED48BA">
      <w:pPr>
        <w:pStyle w:val="ListBullet"/>
      </w:pPr>
      <w:r>
        <w:t>Gaining a strong understanding of the market (to help address gaps or deficiencies, or market failures)</w:t>
      </w:r>
      <w:r w:rsidR="00545B0A">
        <w:t>.</w:t>
      </w:r>
    </w:p>
    <w:p w14:paraId="3B4645A5" w14:textId="6D84C9B3" w:rsidR="000D001F" w:rsidRDefault="00ED48BA" w:rsidP="00ED48BA">
      <w:pPr>
        <w:pStyle w:val="ListBullet"/>
      </w:pPr>
      <w:r>
        <w:t>Encouraging provider participation in minimising service gaps and fostering healthy competition</w:t>
      </w:r>
      <w:r w:rsidR="00545B0A">
        <w:t>.</w:t>
      </w:r>
    </w:p>
    <w:p w14:paraId="4E9BA155" w14:textId="1A3AD78F" w:rsidR="00ED48BA" w:rsidRPr="00FC627A" w:rsidRDefault="00ED48BA" w:rsidP="00ED48BA">
      <w:pPr>
        <w:pStyle w:val="ListBullet"/>
      </w:pPr>
      <w:r w:rsidRPr="00FC627A">
        <w:t xml:space="preserve">Monitoring the </w:t>
      </w:r>
      <w:r>
        <w:t>performance of the market</w:t>
      </w:r>
      <w:r w:rsidRPr="00FC627A">
        <w:t xml:space="preserve"> and being a collaborative partner</w:t>
      </w:r>
      <w:r w:rsidR="00545B0A">
        <w:t>.</w:t>
      </w:r>
    </w:p>
    <w:p w14:paraId="6F7BB873" w14:textId="08641176" w:rsidR="000D001F" w:rsidRDefault="00ED48BA" w:rsidP="00ED48BA">
      <w:pPr>
        <w:pStyle w:val="ListBullet"/>
      </w:pPr>
      <w:r>
        <w:t xml:space="preserve">Creating new and/or </w:t>
      </w:r>
      <w:r w:rsidRPr="00FC627A">
        <w:t xml:space="preserve">shaping existing markets </w:t>
      </w:r>
      <w:r>
        <w:t>and s</w:t>
      </w:r>
      <w:r w:rsidRPr="00FC627A">
        <w:t xml:space="preserve">upporting their development to </w:t>
      </w:r>
      <w:r w:rsidR="00206B3A">
        <w:t xml:space="preserve">be sustainable </w:t>
      </w:r>
      <w:r>
        <w:t>and support moving towards</w:t>
      </w:r>
      <w:r w:rsidR="0078316F">
        <w:t xml:space="preserve"> incorporating</w:t>
      </w:r>
      <w:r>
        <w:t xml:space="preserve"> outcomes based commissioning</w:t>
      </w:r>
      <w:r w:rsidRPr="00FC627A">
        <w:t>.</w:t>
      </w:r>
    </w:p>
    <w:p w14:paraId="7BFA4BB3" w14:textId="11EA95A6" w:rsidR="00ED48BA" w:rsidRDefault="00ED48BA" w:rsidP="00D97FAF">
      <w:pPr>
        <w:pStyle w:val="Heading3"/>
      </w:pPr>
      <w:bookmarkStart w:id="79" w:name="_Toc519689580"/>
      <w:r>
        <w:t>Context for market management</w:t>
      </w:r>
      <w:bookmarkEnd w:id="79"/>
    </w:p>
    <w:p w14:paraId="4C36FA67" w14:textId="77777777" w:rsidR="00ED48BA" w:rsidRPr="00EA526A" w:rsidRDefault="00ED48BA" w:rsidP="00ED48BA">
      <w:pPr>
        <w:pStyle w:val="Paragraphtext"/>
      </w:pPr>
      <w:r w:rsidRPr="00EA526A">
        <w:t xml:space="preserve">To successfully </w:t>
      </w:r>
      <w:r>
        <w:t>commission</w:t>
      </w:r>
      <w:r w:rsidRPr="00EA526A">
        <w:t xml:space="preserve"> the primary health care services and outcomes that PHNs identify as priorities based on their needs assessments and planning, the market</w:t>
      </w:r>
      <w:r>
        <w:t xml:space="preserve"> needs to</w:t>
      </w:r>
      <w:r w:rsidRPr="00EA526A">
        <w:t xml:space="preserve"> understand, interpret, respond and deliver effectively. Therefore, it is critical that PHNs are able to understand, influence, support, develop and work collaboratively with markets.</w:t>
      </w:r>
    </w:p>
    <w:p w14:paraId="171F6AA0" w14:textId="77777777" w:rsidR="000D001F" w:rsidRDefault="00ED48BA" w:rsidP="00ED48BA">
      <w:pPr>
        <w:pStyle w:val="Paragraphtext"/>
      </w:pPr>
      <w:r>
        <w:t>PHNs are required to understand the structure of the market in their regions, where the market may require development, and the root causes of gaps or deficiencies. It also requires PHNs to develop an awareness of the tools that they can use to improve markets and to put these levers into practice. PHNs will also need to think differently about how they interact with the market, building on previous methods and approaches. Likewise, providers will also need to evolve their approaches to working with PHNs, operating more collaboratively and in a more flexible way.</w:t>
      </w:r>
    </w:p>
    <w:p w14:paraId="1B17C2D7" w14:textId="786007FD" w:rsidR="00ED48BA" w:rsidRPr="00A82021" w:rsidRDefault="00ED48BA" w:rsidP="00ED48BA">
      <w:pPr>
        <w:pStyle w:val="Paragraphtext"/>
      </w:pPr>
      <w:r w:rsidRPr="00A82021">
        <w:t>In a commissioning context, PHNs will be looking to work with the market in three key areas, as described below.</w:t>
      </w:r>
    </w:p>
    <w:p w14:paraId="799A7829" w14:textId="60968370" w:rsidR="00ED48BA" w:rsidRPr="00A82021" w:rsidRDefault="001103AA" w:rsidP="00ED48BA">
      <w:pPr>
        <w:pStyle w:val="ListBullet"/>
      </w:pPr>
      <w:r>
        <w:rPr>
          <w:b/>
        </w:rPr>
        <w:t xml:space="preserve">Obtaining </w:t>
      </w:r>
      <w:r w:rsidR="00ED48BA" w:rsidRPr="00A82021">
        <w:rPr>
          <w:b/>
        </w:rPr>
        <w:t>insight:</w:t>
      </w:r>
      <w:r w:rsidR="00ED48BA" w:rsidRPr="00A82021">
        <w:t xml:space="preserve"> PHNs will seek to work with the market to capture and use their insights and knowledge in a range of areas. This may include providers sharing information, being involved in agreeing key priorities, or providing feedback on how a procurement process might enable maximum participation</w:t>
      </w:r>
      <w:r w:rsidR="00ED48BA">
        <w:t>.</w:t>
      </w:r>
    </w:p>
    <w:p w14:paraId="3600B6BB" w14:textId="2D531027" w:rsidR="00ED48BA" w:rsidRPr="0078316F" w:rsidRDefault="001103AA" w:rsidP="00ED48BA">
      <w:pPr>
        <w:pStyle w:val="ListBullet"/>
      </w:pPr>
      <w:r>
        <w:rPr>
          <w:b/>
        </w:rPr>
        <w:t xml:space="preserve">Securing the </w:t>
      </w:r>
      <w:r w:rsidR="00ED48BA" w:rsidRPr="0078316F">
        <w:rPr>
          <w:b/>
        </w:rPr>
        <w:t xml:space="preserve">delivery </w:t>
      </w:r>
      <w:r>
        <w:rPr>
          <w:b/>
        </w:rPr>
        <w:t xml:space="preserve">of services with </w:t>
      </w:r>
      <w:r w:rsidR="00ED48BA" w:rsidRPr="0078316F">
        <w:rPr>
          <w:b/>
        </w:rPr>
        <w:t>a greater focus on outcomes:</w:t>
      </w:r>
      <w:r w:rsidR="00ED48BA" w:rsidRPr="0078316F">
        <w:t xml:space="preserve"> PHNs need markets to provide a range of primary health care services that meet the needs of the communities in their regions, including services that are culturally safe and culturally appropriate. Within a commissioning context, PHNs will take a close interest in the health of markets to ensure that providers are supplying the services that are required, and to identify and support opportunities to transition to </w:t>
      </w:r>
      <w:r>
        <w:t>a greater focus on</w:t>
      </w:r>
      <w:r w:rsidR="0078316F" w:rsidRPr="0078316F">
        <w:t xml:space="preserve"> </w:t>
      </w:r>
      <w:r w:rsidR="00ED48BA" w:rsidRPr="0078316F">
        <w:t>outcomes based commissioning, where appropriate.</w:t>
      </w:r>
    </w:p>
    <w:p w14:paraId="546EE4E5" w14:textId="0B891EB2" w:rsidR="00ED48BA" w:rsidRPr="000E6047" w:rsidRDefault="001103AA" w:rsidP="00ED48BA">
      <w:pPr>
        <w:pStyle w:val="ListBullet"/>
      </w:pPr>
      <w:r>
        <w:rPr>
          <w:b/>
        </w:rPr>
        <w:t>Generating</w:t>
      </w:r>
      <w:r w:rsidR="00ED48BA" w:rsidRPr="000E6047">
        <w:rPr>
          <w:b/>
        </w:rPr>
        <w:t xml:space="preserve"> innovat</w:t>
      </w:r>
      <w:r>
        <w:rPr>
          <w:b/>
        </w:rPr>
        <w:t>ion</w:t>
      </w:r>
      <w:r w:rsidR="00ED48BA" w:rsidRPr="000E6047">
        <w:rPr>
          <w:b/>
        </w:rPr>
        <w:t>:</w:t>
      </w:r>
      <w:r w:rsidR="00ED48BA" w:rsidRPr="000E6047">
        <w:t xml:space="preserve"> In a commissioning context, PHNs will want to increasingly work with the market to develop innovative ideas and new ways of working, as well as looking to national good practice.</w:t>
      </w:r>
      <w:r w:rsidR="00ED48BA">
        <w:t xml:space="preserve"> </w:t>
      </w:r>
      <w:r w:rsidR="00ED48BA" w:rsidRPr="000E6047">
        <w:t>Accordingly, PHNs will be looking for the market to be more actively involved in generating innovation.</w:t>
      </w:r>
    </w:p>
    <w:p w14:paraId="5A21E0D2" w14:textId="77777777" w:rsidR="000D001F" w:rsidRDefault="00ED48BA" w:rsidP="00A31AB1">
      <w:pPr>
        <w:pStyle w:val="Paragraphtext"/>
        <w:rPr>
          <w:i/>
        </w:rPr>
      </w:pPr>
      <w:r>
        <w:t xml:space="preserve">More information about markets in the PHN context can be found in the </w:t>
      </w:r>
      <w:r w:rsidRPr="00206B3A">
        <w:t>2018</w:t>
      </w:r>
      <w:r>
        <w:rPr>
          <w:i/>
        </w:rPr>
        <w:t xml:space="preserve"> Market Making and Development Guidance</w:t>
      </w:r>
      <w:r w:rsidRPr="00D24FAE">
        <w:rPr>
          <w:rStyle w:val="FootnoteReference"/>
        </w:rPr>
        <w:footnoteReference w:id="40"/>
      </w:r>
      <w:r>
        <w:rPr>
          <w:i/>
        </w:rPr>
        <w:t xml:space="preserve"> </w:t>
      </w:r>
      <w:r>
        <w:t xml:space="preserve">and the </w:t>
      </w:r>
      <w:r w:rsidRPr="00206B3A">
        <w:t>2018</w:t>
      </w:r>
      <w:r>
        <w:rPr>
          <w:i/>
        </w:rPr>
        <w:t xml:space="preserve"> Market Making and Development Toolkit</w:t>
      </w:r>
      <w:r w:rsidRPr="00D24FAE">
        <w:rPr>
          <w:rStyle w:val="FootnoteReference"/>
        </w:rPr>
        <w:footnoteReference w:id="41"/>
      </w:r>
      <w:r>
        <w:rPr>
          <w:i/>
        </w:rPr>
        <w:t>.</w:t>
      </w:r>
    </w:p>
    <w:p w14:paraId="43BDA7A2" w14:textId="2B4A3D64" w:rsidR="00ED48BA" w:rsidRDefault="00ED48BA" w:rsidP="00D97FAF">
      <w:pPr>
        <w:pStyle w:val="Heading3"/>
      </w:pPr>
      <w:bookmarkStart w:id="80" w:name="_Toc519689581"/>
      <w:r>
        <w:lastRenderedPageBreak/>
        <w:t>Practical tips and skills for market management</w:t>
      </w:r>
      <w:bookmarkEnd w:id="80"/>
    </w:p>
    <w:p w14:paraId="5DD4DD26" w14:textId="7C4B70AC" w:rsidR="00ED48BA" w:rsidRDefault="00ED48BA" w:rsidP="00ED48BA">
      <w:pPr>
        <w:pStyle w:val="Paragraphtext"/>
      </w:pPr>
      <w:r>
        <w:t>Table 9 provides some practical tips that PHNs can consider in developing the market management competency.</w:t>
      </w:r>
    </w:p>
    <w:p w14:paraId="4A34D8D7" w14:textId="77777777" w:rsidR="00ED48BA" w:rsidRPr="00ED48BA" w:rsidRDefault="00ED48BA" w:rsidP="00ED48BA">
      <w:pPr>
        <w:pStyle w:val="Caption"/>
      </w:pPr>
      <w:bookmarkStart w:id="81" w:name="_Toc515288588"/>
      <w:bookmarkStart w:id="82" w:name="_Toc516150694"/>
      <w:r w:rsidRPr="00ED48BA">
        <w:t xml:space="preserve">Table </w:t>
      </w:r>
      <w:fldSimple w:instr=" SEQ Table \* ARABIC ">
        <w:r w:rsidR="00374AF2">
          <w:rPr>
            <w:noProof/>
          </w:rPr>
          <w:t>9</w:t>
        </w:r>
      </w:fldSimple>
      <w:r w:rsidRPr="00ED48BA">
        <w:t>: Practical tips and skills for market management</w:t>
      </w:r>
      <w:bookmarkEnd w:id="81"/>
      <w:bookmarkEnd w:id="82"/>
    </w:p>
    <w:tbl>
      <w:tblPr>
        <w:tblStyle w:val="PHNBlueTable"/>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Practical tips and skills for market management"/>
        <w:tblDescription w:val="This table features three columns and two rows. Each column identifies practical tips that PHNs could use to develop the market management competency at a system, organisational or individual/team level. "/>
      </w:tblPr>
      <w:tblGrid>
        <w:gridCol w:w="3066"/>
        <w:gridCol w:w="3131"/>
        <w:gridCol w:w="3090"/>
      </w:tblGrid>
      <w:tr w:rsidR="00A31AB1" w:rsidRPr="00424CF9" w14:paraId="3A04E502" w14:textId="77777777" w:rsidTr="00E0184E">
        <w:trPr>
          <w:cnfStyle w:val="100000000000" w:firstRow="1" w:lastRow="0" w:firstColumn="0" w:lastColumn="0" w:oddVBand="0" w:evenVBand="0" w:oddHBand="0" w:evenHBand="0" w:firstRowFirstColumn="0" w:firstRowLastColumn="0" w:lastRowFirstColumn="0" w:lastRowLastColumn="0"/>
        </w:trPr>
        <w:tc>
          <w:tcPr>
            <w:tcW w:w="2875" w:type="dxa"/>
            <w:shd w:val="clear" w:color="auto" w:fill="8D188D"/>
          </w:tcPr>
          <w:p w14:paraId="686F885E" w14:textId="77777777" w:rsidR="00A31AB1" w:rsidRPr="00424CF9" w:rsidRDefault="00A31AB1" w:rsidP="00A31AB1">
            <w:pPr>
              <w:pStyle w:val="TableHeaderWhite"/>
            </w:pPr>
            <w:r w:rsidRPr="00424CF9">
              <w:t xml:space="preserve">System </w:t>
            </w:r>
          </w:p>
        </w:tc>
        <w:tc>
          <w:tcPr>
            <w:tcW w:w="2936" w:type="dxa"/>
            <w:shd w:val="clear" w:color="auto" w:fill="8D188D"/>
          </w:tcPr>
          <w:p w14:paraId="4806D62D" w14:textId="77777777" w:rsidR="00A31AB1" w:rsidRPr="00424CF9" w:rsidRDefault="00A31AB1" w:rsidP="00A31AB1">
            <w:pPr>
              <w:pStyle w:val="TableHeaderWhite"/>
            </w:pPr>
            <w:r w:rsidRPr="00424CF9">
              <w:t>Organisation</w:t>
            </w:r>
          </w:p>
        </w:tc>
        <w:tc>
          <w:tcPr>
            <w:tcW w:w="2898" w:type="dxa"/>
            <w:shd w:val="clear" w:color="auto" w:fill="8D188D"/>
          </w:tcPr>
          <w:p w14:paraId="1FF2A086" w14:textId="77777777" w:rsidR="00A31AB1" w:rsidRPr="00424CF9" w:rsidRDefault="00A31AB1" w:rsidP="00A31AB1">
            <w:pPr>
              <w:pStyle w:val="TableHeaderWhite"/>
            </w:pPr>
            <w:r w:rsidRPr="00424CF9">
              <w:t>Individual / team</w:t>
            </w:r>
          </w:p>
        </w:tc>
      </w:tr>
      <w:tr w:rsidR="00A31AB1" w:rsidRPr="00424CF9" w14:paraId="09FBDD2C" w14:textId="77777777" w:rsidTr="00E0184E">
        <w:tc>
          <w:tcPr>
            <w:tcW w:w="2875" w:type="dxa"/>
          </w:tcPr>
          <w:p w14:paraId="68D25DA2" w14:textId="135BB425" w:rsidR="00A31AB1" w:rsidRPr="0078794C" w:rsidRDefault="00A31AB1" w:rsidP="00A943B3">
            <w:pPr>
              <w:pStyle w:val="Tablenumberedtextnormal"/>
              <w:numPr>
                <w:ilvl w:val="0"/>
                <w:numId w:val="24"/>
              </w:numPr>
            </w:pPr>
            <w:r w:rsidRPr="0078794C">
              <w:t>Utilise strategic skills to develop a clear sense of the desired outcomes the PHN is seeking to achieve and ensure that activities to change the structure of markets are targeted and aligned to the desired outcomes</w:t>
            </w:r>
            <w:r w:rsidR="00727DDE">
              <w:t>.</w:t>
            </w:r>
          </w:p>
          <w:p w14:paraId="695EFCDF" w14:textId="28F672C6" w:rsidR="00A31AB1" w:rsidRPr="00424CF9" w:rsidRDefault="00A31AB1" w:rsidP="00A943B3">
            <w:pPr>
              <w:pStyle w:val="Tablenumberedtextnormal"/>
            </w:pPr>
            <w:r>
              <w:t xml:space="preserve">Expand </w:t>
            </w:r>
            <w:r w:rsidRPr="00424CF9">
              <w:t>data capabilities by considering what data can be gathered from government bodies both at a federal and state level</w:t>
            </w:r>
            <w:r>
              <w:t xml:space="preserve"> and other data sources</w:t>
            </w:r>
            <w:r w:rsidR="00727DDE">
              <w:t>.</w:t>
            </w:r>
          </w:p>
          <w:p w14:paraId="7C17DBDD" w14:textId="119DE728" w:rsidR="00A31AB1" w:rsidRPr="00424CF9" w:rsidRDefault="00A31AB1" w:rsidP="00A943B3">
            <w:pPr>
              <w:pStyle w:val="Tablenumberedtextnormal"/>
            </w:pPr>
            <w:r w:rsidRPr="00424CF9">
              <w:t>Collaborate and co-commission with other funders to create additional scale as a means of attracting innovative providers from other locations / areas to enter the market</w:t>
            </w:r>
            <w:r w:rsidR="00727DDE">
              <w:t>.</w:t>
            </w:r>
          </w:p>
          <w:p w14:paraId="31EAAF81" w14:textId="77777777" w:rsidR="00727DDE" w:rsidRDefault="00A31AB1" w:rsidP="0078794C">
            <w:pPr>
              <w:pStyle w:val="Tablenumberedtextnormal"/>
            </w:pPr>
            <w:r>
              <w:t>N</w:t>
            </w:r>
            <w:r w:rsidRPr="00424CF9">
              <w:t>etwork with state</w:t>
            </w:r>
            <w:r>
              <w:t>/territory</w:t>
            </w:r>
            <w:r w:rsidRPr="00424CF9">
              <w:t xml:space="preserve"> and local agencies to hold industry wide capability development programs </w:t>
            </w:r>
            <w:r>
              <w:t xml:space="preserve">and </w:t>
            </w:r>
            <w:r w:rsidRPr="00424CF9">
              <w:t>events to support individuals to get the required skills to enter the market, including partnerships with local TAFE or private education providers</w:t>
            </w:r>
            <w:r w:rsidR="00727DDE">
              <w:t>.</w:t>
            </w:r>
          </w:p>
          <w:p w14:paraId="3A5A99DB" w14:textId="401A9F79" w:rsidR="00A31AB1" w:rsidRPr="00424CF9" w:rsidRDefault="00727DDE" w:rsidP="0078794C">
            <w:pPr>
              <w:pStyle w:val="Tablenumberedtextnormal"/>
            </w:pPr>
            <w:r>
              <w:t>Network with other PHNs to identify innovative ways to manage markets</w:t>
            </w:r>
            <w:r w:rsidR="00A31AB1">
              <w:t>.</w:t>
            </w:r>
          </w:p>
        </w:tc>
        <w:tc>
          <w:tcPr>
            <w:tcW w:w="2936" w:type="dxa"/>
          </w:tcPr>
          <w:p w14:paraId="1E518D8A" w14:textId="7833AE1F" w:rsidR="00A31AB1" w:rsidRPr="00424CF9" w:rsidRDefault="00A31AB1" w:rsidP="00A943B3">
            <w:pPr>
              <w:pStyle w:val="Tablenumberedtextnormal"/>
              <w:numPr>
                <w:ilvl w:val="0"/>
                <w:numId w:val="25"/>
              </w:numPr>
            </w:pPr>
            <w:r w:rsidRPr="00424CF9">
              <w:t>De</w:t>
            </w:r>
            <w:r>
              <w:t xml:space="preserve">sign </w:t>
            </w:r>
            <w:r w:rsidRPr="00424CF9">
              <w:t>system</w:t>
            </w:r>
            <w:r>
              <w:t xml:space="preserve">s </w:t>
            </w:r>
            <w:r w:rsidRPr="00424CF9">
              <w:t>to record insights and market analysis from informal (once validated) and formal market engagement</w:t>
            </w:r>
            <w:r w:rsidR="00727DDE">
              <w:t>.</w:t>
            </w:r>
          </w:p>
          <w:p w14:paraId="76981EEA" w14:textId="71B9991C" w:rsidR="000D001F" w:rsidRDefault="00A31AB1" w:rsidP="0078794C">
            <w:pPr>
              <w:pStyle w:val="Tablenumberedtextnormal"/>
            </w:pPr>
            <w:r>
              <w:t>Use</w:t>
            </w:r>
            <w:r w:rsidRPr="00424CF9">
              <w:t xml:space="preserve"> analytics to present market analysis in a meaningful way, such as by market segmentation and using geographical information systems that identif</w:t>
            </w:r>
            <w:r>
              <w:t>y</w:t>
            </w:r>
            <w:r w:rsidRPr="00424CF9">
              <w:t xml:space="preserve"> service gaps</w:t>
            </w:r>
            <w:r w:rsidR="00727DDE">
              <w:t>.</w:t>
            </w:r>
          </w:p>
          <w:p w14:paraId="20F92247" w14:textId="60BABAAB" w:rsidR="00A31AB1" w:rsidRPr="00424CF9" w:rsidRDefault="00A31AB1" w:rsidP="0078794C">
            <w:pPr>
              <w:pStyle w:val="Tablenumberedtextnormal"/>
            </w:pPr>
            <w:r>
              <w:t>Build</w:t>
            </w:r>
            <w:r w:rsidRPr="00424CF9">
              <w:t xml:space="preserve"> a communications strategy to raise awareness of the market opportunity</w:t>
            </w:r>
            <w:r>
              <w:t>,</w:t>
            </w:r>
            <w:r w:rsidRPr="00424CF9">
              <w:t xml:space="preserve"> focus</w:t>
            </w:r>
            <w:r>
              <w:t>ing</w:t>
            </w:r>
            <w:r w:rsidRPr="00424CF9">
              <w:t xml:space="preserve"> on both traditional and non-traditional providers who could provide services</w:t>
            </w:r>
            <w:r>
              <w:t>,</w:t>
            </w:r>
            <w:r w:rsidRPr="00424CF9">
              <w:t xml:space="preserve"> and present the PHN as attractive to work with</w:t>
            </w:r>
            <w:r>
              <w:t>.</w:t>
            </w:r>
          </w:p>
        </w:tc>
        <w:tc>
          <w:tcPr>
            <w:tcW w:w="2898" w:type="dxa"/>
          </w:tcPr>
          <w:p w14:paraId="1ABE23E5" w14:textId="71ABCB21" w:rsidR="00A31AB1" w:rsidRPr="00424CF9" w:rsidRDefault="00A31AB1" w:rsidP="00A943B3">
            <w:pPr>
              <w:pStyle w:val="Tablenumberedtextnormal"/>
              <w:numPr>
                <w:ilvl w:val="0"/>
                <w:numId w:val="26"/>
              </w:numPr>
            </w:pPr>
            <w:r>
              <w:t>C</w:t>
            </w:r>
            <w:r w:rsidRPr="00424CF9">
              <w:t>ommunicat</w:t>
            </w:r>
            <w:r>
              <w:t>e and</w:t>
            </w:r>
            <w:r w:rsidRPr="00424CF9">
              <w:t xml:space="preserve"> engag</w:t>
            </w:r>
            <w:r>
              <w:t>e</w:t>
            </w:r>
            <w:r w:rsidRPr="00424CF9">
              <w:t xml:space="preserve"> with the market (such as through market forums or soundings) to ensure a detailed understanding of underlying issues and test remedy approaches</w:t>
            </w:r>
            <w:r w:rsidR="00727DDE">
              <w:t>.</w:t>
            </w:r>
          </w:p>
          <w:p w14:paraId="0B73C1F7" w14:textId="669C922B" w:rsidR="00A31AB1" w:rsidRPr="00424CF9" w:rsidRDefault="00A31AB1" w:rsidP="0078794C">
            <w:pPr>
              <w:pStyle w:val="Tablenumberedtextnormal"/>
            </w:pPr>
            <w:r>
              <w:t>S</w:t>
            </w:r>
            <w:r w:rsidRPr="00424CF9">
              <w:t>tructure arrangements to stimulate market interest whilst achieving outcomes, such as bundling or breaking-up of contract packages as well as appropriate risk allocations</w:t>
            </w:r>
            <w:r w:rsidR="00727DDE">
              <w:t>.</w:t>
            </w:r>
          </w:p>
          <w:p w14:paraId="72E4D5ED" w14:textId="1FA06C17" w:rsidR="00A31AB1" w:rsidRPr="00424CF9" w:rsidRDefault="00A31AB1" w:rsidP="0078794C">
            <w:pPr>
              <w:pStyle w:val="Tablenumberedtextnormal"/>
            </w:pPr>
            <w:r w:rsidRPr="00424CF9">
              <w:t xml:space="preserve"> </w:t>
            </w:r>
            <w:r>
              <w:t>C</w:t>
            </w:r>
            <w:r w:rsidRPr="00424CF9">
              <w:t>onsider seed funding or initial financial performance waivers to allow small providers to transition and establish in markets with limited competition</w:t>
            </w:r>
            <w:r w:rsidR="00727DDE">
              <w:t>.</w:t>
            </w:r>
          </w:p>
          <w:p w14:paraId="4FEFE3F3" w14:textId="685F7A7B" w:rsidR="00A31AB1" w:rsidRPr="00424CF9" w:rsidRDefault="00A31AB1" w:rsidP="0078794C">
            <w:pPr>
              <w:pStyle w:val="Tablenumberedtextnormal"/>
            </w:pPr>
            <w:r w:rsidRPr="00424CF9">
              <w:t>Improve facilitation skills for hosting knowledge shar</w:t>
            </w:r>
            <w:r>
              <w:t>ing</w:t>
            </w:r>
            <w:r w:rsidRPr="00424CF9">
              <w:t xml:space="preserve"> and brainstorming events with diverse stakeholder groups to develop innovative ideas around specific service areas</w:t>
            </w:r>
            <w:r w:rsidR="00727DDE">
              <w:t>.</w:t>
            </w:r>
          </w:p>
          <w:p w14:paraId="4108CF0C" w14:textId="77777777" w:rsidR="00A31AB1" w:rsidRPr="00424CF9" w:rsidRDefault="00A31AB1" w:rsidP="0078794C">
            <w:pPr>
              <w:pStyle w:val="Tablenumberedtextnormal"/>
            </w:pPr>
            <w:r w:rsidRPr="00424CF9">
              <w:t>Engage with providers and develop standardised engagement material throughout the commissioning framework to evolve the relationship with providers, minimise inefficiencies and improve consistency.</w:t>
            </w:r>
          </w:p>
        </w:tc>
      </w:tr>
    </w:tbl>
    <w:p w14:paraId="1E60A459" w14:textId="7E111F05" w:rsidR="00ED48BA" w:rsidRPr="00231B71" w:rsidRDefault="00ED48BA" w:rsidP="00D24FAE">
      <w:pPr>
        <w:pStyle w:val="Heading2"/>
      </w:pPr>
      <w:bookmarkStart w:id="83" w:name="_Toc515288566"/>
      <w:bookmarkStart w:id="84" w:name="_Toc519689582"/>
      <w:r w:rsidRPr="00231B71">
        <w:lastRenderedPageBreak/>
        <w:t>Organisational capability</w:t>
      </w:r>
      <w:bookmarkEnd w:id="83"/>
      <w:bookmarkEnd w:id="84"/>
    </w:p>
    <w:p w14:paraId="7C8DA91E" w14:textId="77777777" w:rsidR="00ED48BA" w:rsidRDefault="00ED48BA" w:rsidP="00ED48BA">
      <w:pPr>
        <w:pStyle w:val="Paragraphtext"/>
      </w:pPr>
      <w:r>
        <w:t>This competency involves:</w:t>
      </w:r>
    </w:p>
    <w:p w14:paraId="619DEC57" w14:textId="5E6C4245" w:rsidR="00ED48BA" w:rsidRPr="00A51D57" w:rsidRDefault="00ED48BA" w:rsidP="00ED48BA">
      <w:pPr>
        <w:pStyle w:val="ListBullet"/>
        <w:rPr>
          <w:b/>
        </w:rPr>
      </w:pPr>
      <w:r w:rsidRPr="00BB1E73">
        <w:rPr>
          <w:b/>
        </w:rPr>
        <w:t>Governance</w:t>
      </w:r>
      <w:r>
        <w:t xml:space="preserve"> - Clear accountability and timely decision making, including proactively managing risk and probity considerations</w:t>
      </w:r>
      <w:r w:rsidR="00545B0A">
        <w:t>.</w:t>
      </w:r>
    </w:p>
    <w:p w14:paraId="6A2B356F" w14:textId="7A37292E" w:rsidR="000D001F" w:rsidRDefault="00ED48BA" w:rsidP="00ED48BA">
      <w:pPr>
        <w:pStyle w:val="ListBullet"/>
      </w:pPr>
      <w:r>
        <w:rPr>
          <w:b/>
        </w:rPr>
        <w:t xml:space="preserve">Operational management – </w:t>
      </w:r>
      <w:r w:rsidRPr="00BB1E73">
        <w:t xml:space="preserve">Establishing effective systems, process and ways of working to maximise efficiency and effectiveness </w:t>
      </w:r>
      <w:r>
        <w:t xml:space="preserve">to </w:t>
      </w:r>
      <w:r w:rsidRPr="00BB1E73">
        <w:t xml:space="preserve">deliver </w:t>
      </w:r>
      <w:r>
        <w:t>outcomes, including effective contract and financial management</w:t>
      </w:r>
      <w:r w:rsidR="00545B0A">
        <w:t>.</w:t>
      </w:r>
    </w:p>
    <w:p w14:paraId="1FDE3722" w14:textId="44E6ED52" w:rsidR="00ED48BA" w:rsidRDefault="00ED48BA" w:rsidP="00ED48BA">
      <w:pPr>
        <w:pStyle w:val="ListBullet"/>
        <w:rPr>
          <w:b/>
        </w:rPr>
      </w:pPr>
      <w:r w:rsidRPr="00BB1E73">
        <w:rPr>
          <w:b/>
        </w:rPr>
        <w:t>People management</w:t>
      </w:r>
      <w:r>
        <w:t xml:space="preserve"> - Developing the PHN’s workforce and encouraging behaviours that support effective commissioning.</w:t>
      </w:r>
    </w:p>
    <w:p w14:paraId="24414EC8" w14:textId="77777777" w:rsidR="000D001F" w:rsidRDefault="00ED48BA" w:rsidP="00D97FAF">
      <w:pPr>
        <w:pStyle w:val="Heading3"/>
      </w:pPr>
      <w:bookmarkStart w:id="85" w:name="_Toc519689583"/>
      <w:r w:rsidRPr="00FE5D83">
        <w:t>Organisational capability context for PHNs:</w:t>
      </w:r>
      <w:bookmarkEnd w:id="85"/>
    </w:p>
    <w:p w14:paraId="3354D1B7" w14:textId="77777777" w:rsidR="000D001F" w:rsidRDefault="00ED48BA" w:rsidP="00ED48BA">
      <w:pPr>
        <w:pStyle w:val="Paragraphtext"/>
      </w:pPr>
      <w:r w:rsidRPr="00F240A7">
        <w:t xml:space="preserve">High quality commissioning organisations have robust governance, operational </w:t>
      </w:r>
      <w:r>
        <w:t>management</w:t>
      </w:r>
      <w:r w:rsidRPr="00F240A7">
        <w:t xml:space="preserve"> and high quality staff to deliver transformation</w:t>
      </w:r>
      <w:r>
        <w:t>al</w:t>
      </w:r>
      <w:r w:rsidRPr="00F240A7">
        <w:t xml:space="preserve"> and cultur</w:t>
      </w:r>
      <w:r>
        <w:t>al</w:t>
      </w:r>
      <w:r w:rsidRPr="00F240A7">
        <w:t xml:space="preserve"> change.</w:t>
      </w:r>
      <w:r>
        <w:t xml:space="preserve"> As with other</w:t>
      </w:r>
      <w:r w:rsidRPr="00C64C80">
        <w:t xml:space="preserve"> organisation</w:t>
      </w:r>
      <w:r>
        <w:t>s</w:t>
      </w:r>
      <w:r w:rsidRPr="00C64C80">
        <w:t>, the right systems, processes and corporate capabilities are needed to function day to day. To drive continuous quality improvement internally and externally across the primary health care system</w:t>
      </w:r>
      <w:r>
        <w:t>,</w:t>
      </w:r>
      <w:r w:rsidRPr="00C64C80">
        <w:t xml:space="preserve"> PHNs should consider building the below organisational capabilities.</w:t>
      </w:r>
    </w:p>
    <w:p w14:paraId="79BB4872" w14:textId="78781F47" w:rsidR="00ED48BA" w:rsidRPr="00FE5D83" w:rsidRDefault="00ED48BA" w:rsidP="00D97FAF">
      <w:pPr>
        <w:pStyle w:val="Heading3"/>
      </w:pPr>
      <w:bookmarkStart w:id="86" w:name="_Toc519689584"/>
      <w:r w:rsidRPr="00FE5D83">
        <w:t>Considerations for building the organisational capability:</w:t>
      </w:r>
      <w:bookmarkEnd w:id="86"/>
    </w:p>
    <w:p w14:paraId="20D73F1E" w14:textId="77777777" w:rsidR="00ED48BA" w:rsidRPr="00D24FAE" w:rsidRDefault="00ED48BA" w:rsidP="00D97FAF">
      <w:pPr>
        <w:pStyle w:val="Heading4"/>
      </w:pPr>
      <w:r w:rsidRPr="00D24FAE">
        <w:t>Governance</w:t>
      </w:r>
    </w:p>
    <w:p w14:paraId="4F2E9503" w14:textId="77777777" w:rsidR="000D001F" w:rsidRDefault="00ED48BA" w:rsidP="00ED48BA">
      <w:pPr>
        <w:pStyle w:val="ListBullet"/>
      </w:pPr>
      <w:r w:rsidRPr="00AB6036">
        <w:t xml:space="preserve">PHN boards </w:t>
      </w:r>
      <w:r>
        <w:t xml:space="preserve">have a role in </w:t>
      </w:r>
      <w:r w:rsidRPr="00AB6036">
        <w:t>set</w:t>
      </w:r>
      <w:r>
        <w:t>ting</w:t>
      </w:r>
      <w:r w:rsidRPr="00AB6036">
        <w:t xml:space="preserve"> the organisation’s</w:t>
      </w:r>
      <w:r>
        <w:t xml:space="preserve"> strategy,</w:t>
      </w:r>
      <w:r w:rsidRPr="00AB6036">
        <w:t xml:space="preserve"> risk appetite, manag</w:t>
      </w:r>
      <w:r>
        <w:t>ing</w:t>
      </w:r>
      <w:r w:rsidRPr="00AB6036">
        <w:t xml:space="preserve"> this risk and </w:t>
      </w:r>
      <w:r>
        <w:t>taking</w:t>
      </w:r>
      <w:r w:rsidRPr="00AB6036">
        <w:t xml:space="preserve"> difficult decisions, such as decommissioning services and testing new integrated approaches, to meet </w:t>
      </w:r>
      <w:r>
        <w:t>their</w:t>
      </w:r>
      <w:r w:rsidRPr="00AB6036">
        <w:t xml:space="preserve"> strategic priorities. The Australian Institute of Company Directors outlines governance principles that are highly relevant to PHN boards</w:t>
      </w:r>
      <w:r>
        <w:t>.</w:t>
      </w:r>
      <w:r w:rsidRPr="00D24FAE">
        <w:rPr>
          <w:rStyle w:val="FootnoteReference"/>
        </w:rPr>
        <w:footnoteReference w:id="42"/>
      </w:r>
      <w:r>
        <w:t xml:space="preserve"> </w:t>
      </w:r>
      <w:r w:rsidRPr="00A51D57">
        <w:t xml:space="preserve">PHNs should regularly review whether they are </w:t>
      </w:r>
      <w:r>
        <w:t>effectively carrying out their roles,</w:t>
      </w:r>
      <w:r w:rsidRPr="00A51D57">
        <w:t xml:space="preserve"> </w:t>
      </w:r>
      <w:r>
        <w:t>demonstrating</w:t>
      </w:r>
      <w:r w:rsidRPr="00A51D57">
        <w:t xml:space="preserve"> </w:t>
      </w:r>
      <w:r>
        <w:t>requirements in the PHN Program Performance and Quality Framework, best practice governance principles and achieving their objectives.</w:t>
      </w:r>
    </w:p>
    <w:p w14:paraId="33B6B99D" w14:textId="57FE3B1C" w:rsidR="00ED48BA" w:rsidRPr="00A51D57" w:rsidRDefault="00ED48BA" w:rsidP="00ED48BA">
      <w:pPr>
        <w:pStyle w:val="ListBullet"/>
      </w:pPr>
      <w:r w:rsidRPr="00A51D57">
        <w:t>Working with other parties on joint or coordinated commissioning is a complex area. Establishing joint governance arrangements early on, such as a shared vision, joint accountabilities and diversity in leadership can help reduce this compl</w:t>
      </w:r>
      <w:r>
        <w:t>exity and ensure robust arrangements. This is particularly important for Aboriginal and Torres Strait Islander people and communities, where PHNs can consider where co-design and joint working could be practically connected with governance through joint forums, steering groups, committees etc. Any joint governance and decision making should reflect the values of the PHN and its constitution.</w:t>
      </w:r>
    </w:p>
    <w:p w14:paraId="03FB8DC9" w14:textId="77777777" w:rsidR="00ED48BA" w:rsidRDefault="00ED48BA" w:rsidP="00ED48BA">
      <w:pPr>
        <w:pStyle w:val="ListBullet"/>
      </w:pPr>
      <w:r w:rsidRPr="00AB6036">
        <w:t xml:space="preserve">A challenge for PHNs is managing </w:t>
      </w:r>
      <w:r>
        <w:t>potential confidentiality issues (including</w:t>
      </w:r>
      <w:r w:rsidRPr="00AB6036">
        <w:t xml:space="preserve"> intellectual property</w:t>
      </w:r>
      <w:r>
        <w:t xml:space="preserve">), </w:t>
      </w:r>
      <w:r w:rsidRPr="00AB6036">
        <w:t>conflicts of interest</w:t>
      </w:r>
      <w:r>
        <w:t xml:space="preserve"> and potential p</w:t>
      </w:r>
      <w:r w:rsidRPr="00AB6036">
        <w:t>erception</w:t>
      </w:r>
      <w:r>
        <w:t>s that PHNs favour certain</w:t>
      </w:r>
      <w:r w:rsidRPr="00AB6036">
        <w:t xml:space="preserve"> providers</w:t>
      </w:r>
      <w:r>
        <w:t>. (This is particularly relevant for markets with limited competition where the same providers continually</w:t>
      </w:r>
      <w:r w:rsidRPr="00AB6036">
        <w:t xml:space="preserve"> input into the design and procurement processes</w:t>
      </w:r>
      <w:r>
        <w:t>).</w:t>
      </w:r>
    </w:p>
    <w:p w14:paraId="647B1203" w14:textId="77777777" w:rsidR="00ED48BA" w:rsidRDefault="00ED48BA" w:rsidP="00ED48BA">
      <w:pPr>
        <w:pStyle w:val="ListBullet"/>
      </w:pPr>
      <w:r>
        <w:t>In such circumstance, PHNs should consider engaging current, previous and new providers, when undertaking a co-design approach.</w:t>
      </w:r>
    </w:p>
    <w:p w14:paraId="606EED8E" w14:textId="77777777" w:rsidR="00ED48BA" w:rsidRPr="00AB6036" w:rsidRDefault="00ED48BA" w:rsidP="00ED48BA">
      <w:pPr>
        <w:pStyle w:val="ListBullet"/>
      </w:pPr>
      <w:r>
        <w:t xml:space="preserve">It is important that PHNs are able to manage </w:t>
      </w:r>
      <w:r w:rsidRPr="00AB6036">
        <w:t>probity</w:t>
      </w:r>
      <w:r>
        <w:t xml:space="preserve"> considerations while also gaining </w:t>
      </w:r>
      <w:r w:rsidRPr="00AB6036">
        <w:t>expert input</w:t>
      </w:r>
      <w:r>
        <w:t xml:space="preserve">. </w:t>
      </w:r>
      <w:r w:rsidRPr="00AB6036">
        <w:t>Maintaining a fair and transparent process will protect the PHN’s reputation and encourage</w:t>
      </w:r>
      <w:r>
        <w:t xml:space="preserve"> providers to openly participate in the commissioning process.</w:t>
      </w:r>
    </w:p>
    <w:p w14:paraId="1A9C5314" w14:textId="77777777" w:rsidR="00ED48BA" w:rsidRPr="00D24FAE" w:rsidRDefault="00ED48BA" w:rsidP="00D97FAF">
      <w:pPr>
        <w:pStyle w:val="Heading4"/>
      </w:pPr>
      <w:r w:rsidRPr="00D24FAE">
        <w:lastRenderedPageBreak/>
        <w:t>Operational management</w:t>
      </w:r>
    </w:p>
    <w:p w14:paraId="7A2BEEB8" w14:textId="6DB23E85" w:rsidR="00ED48BA" w:rsidRDefault="002B4A4F" w:rsidP="00ED48BA">
      <w:pPr>
        <w:pStyle w:val="Paragraphtext"/>
      </w:pPr>
      <w:r>
        <w:t>A capable organisation</w:t>
      </w:r>
      <w:r w:rsidR="00ED48BA" w:rsidRPr="005F0B3D">
        <w:t xml:space="preserve"> should have policies and processes which support the effective and efficient delivery of the</w:t>
      </w:r>
      <w:r w:rsidR="00ED48BA">
        <w:t>ir</w:t>
      </w:r>
      <w:r w:rsidR="00ED48BA" w:rsidRPr="005F0B3D">
        <w:t xml:space="preserve"> objectives. This involves implementing the systems and processes </w:t>
      </w:r>
      <w:r w:rsidR="00ED48BA">
        <w:t>to help them to function efficiently and effectively day-to-day and focus more on strategic system wide issues. These systems and process include:</w:t>
      </w:r>
    </w:p>
    <w:p w14:paraId="21D2E14B" w14:textId="09C8A15E" w:rsidR="000D001F" w:rsidRDefault="00ED48BA" w:rsidP="00ED48BA">
      <w:pPr>
        <w:pStyle w:val="ListBullet"/>
      </w:pPr>
      <w:r w:rsidRPr="00DF300D">
        <w:rPr>
          <w:b/>
        </w:rPr>
        <w:t>Customer relationship management</w:t>
      </w:r>
      <w:r>
        <w:rPr>
          <w:b/>
        </w:rPr>
        <w:t xml:space="preserve"> (CRM)</w:t>
      </w:r>
      <w:r w:rsidRPr="00DF300D">
        <w:rPr>
          <w:b/>
        </w:rPr>
        <w:t xml:space="preserve"> system</w:t>
      </w:r>
      <w:r>
        <w:rPr>
          <w:b/>
        </w:rPr>
        <w:t>:</w:t>
      </w:r>
      <w:r w:rsidRPr="00DF300D">
        <w:t xml:space="preserve"> enables the PHN to </w:t>
      </w:r>
      <w:r>
        <w:t>maintain</w:t>
      </w:r>
      <w:r w:rsidRPr="008E2863">
        <w:t xml:space="preserve"> relationships that facilitate the improvement of the health care s</w:t>
      </w:r>
      <w:r>
        <w:t>ystem</w:t>
      </w:r>
      <w:r w:rsidRPr="008E2863">
        <w:t xml:space="preserve"> within their region</w:t>
      </w:r>
      <w:r>
        <w:t>. Key aspects of CRM for PHNs include the ability to</w:t>
      </w:r>
      <w:r w:rsidRPr="00DF300D">
        <w:t xml:space="preserve"> share engagement insights with other parts of the organisation</w:t>
      </w:r>
      <w:r>
        <w:t xml:space="preserve"> and stakeholders</w:t>
      </w:r>
      <w:r w:rsidRPr="00DF300D">
        <w:t>,</w:t>
      </w:r>
      <w:r>
        <w:t xml:space="preserve"> receive timely feedback</w:t>
      </w:r>
      <w:r w:rsidRPr="00DF300D">
        <w:t xml:space="preserve"> and </w:t>
      </w:r>
      <w:r>
        <w:t>develop more targeted engagement</w:t>
      </w:r>
      <w:r w:rsidR="006D5EDF">
        <w:t>.</w:t>
      </w:r>
    </w:p>
    <w:p w14:paraId="69C99A96" w14:textId="70E3584E" w:rsidR="00ED48BA" w:rsidRDefault="00ED48BA" w:rsidP="00ED48BA">
      <w:pPr>
        <w:pStyle w:val="ListBullet"/>
      </w:pPr>
      <w:r w:rsidRPr="00AA068F">
        <w:rPr>
          <w:b/>
        </w:rPr>
        <w:t>Program and project management</w:t>
      </w:r>
      <w:r>
        <w:t xml:space="preserve"> </w:t>
      </w:r>
      <w:r w:rsidRPr="00AA068F">
        <w:rPr>
          <w:b/>
        </w:rPr>
        <w:t>processes:</w:t>
      </w:r>
      <w:r>
        <w:t xml:space="preserve"> including project planning and reporting on progress to manage key risks and meet deliverables. Standardised agreements and tender documents that the market is familiar and comfortable with can be used to reduce procurement costs and focus effort on generating greater value and innovation for all parties</w:t>
      </w:r>
      <w:r w:rsidR="006D5EDF">
        <w:t>.</w:t>
      </w:r>
    </w:p>
    <w:p w14:paraId="763C64D4" w14:textId="5CBF9B46" w:rsidR="00ED48BA" w:rsidRDefault="00ED48BA" w:rsidP="00ED48BA">
      <w:pPr>
        <w:pStyle w:val="ListBullet"/>
      </w:pPr>
      <w:r w:rsidRPr="00DF300D">
        <w:rPr>
          <w:b/>
        </w:rPr>
        <w:t>Contract management systems and processes</w:t>
      </w:r>
      <w:r>
        <w:t>:</w:t>
      </w:r>
      <w:r w:rsidRPr="00DF300D">
        <w:t xml:space="preserve"> that </w:t>
      </w:r>
      <w:r>
        <w:t xml:space="preserve">allow the contract manager and governance groups to </w:t>
      </w:r>
      <w:r w:rsidRPr="00DF300D">
        <w:t xml:space="preserve">track </w:t>
      </w:r>
      <w:r>
        <w:t>contracts (including variations), report on and monitor the performance of</w:t>
      </w:r>
      <w:r w:rsidRPr="00DF300D">
        <w:t xml:space="preserve"> p</w:t>
      </w:r>
      <w:r>
        <w:t xml:space="preserve">roviders and key risks. It enables better monitoring of contracts and greater focus on managing and improving </w:t>
      </w:r>
      <w:r w:rsidRPr="00DF300D">
        <w:t>the relationship and performance of partners</w:t>
      </w:r>
      <w:r>
        <w:t>, as well as knowledge being retained within the system</w:t>
      </w:r>
      <w:r w:rsidR="006D5EDF">
        <w:t>.</w:t>
      </w:r>
    </w:p>
    <w:p w14:paraId="05F4FEEC" w14:textId="77777777" w:rsidR="00ED48BA" w:rsidRDefault="00ED48BA" w:rsidP="00ED48BA">
      <w:pPr>
        <w:pStyle w:val="ListBullet"/>
      </w:pPr>
      <w:r w:rsidRPr="00F85CE3">
        <w:rPr>
          <w:b/>
        </w:rPr>
        <w:t>Relationship management</w:t>
      </w:r>
      <w:r>
        <w:rPr>
          <w:b/>
        </w:rPr>
        <w:t xml:space="preserve">: </w:t>
      </w:r>
      <w:r w:rsidRPr="0065377B">
        <w:t>this</w:t>
      </w:r>
      <w:r>
        <w:t xml:space="preserve"> is just as, if not more, important than the systems for effective contract management. Contracts cannot be future proofed and cannot always be relied upon. Key principles for effective relationship management that PHNs could consider include:</w:t>
      </w:r>
    </w:p>
    <w:p w14:paraId="22E45869" w14:textId="3DB4BEB2" w:rsidR="00ED48BA" w:rsidRDefault="00ED48BA" w:rsidP="00D24FAE">
      <w:pPr>
        <w:pStyle w:val="ListBullet2"/>
      </w:pPr>
      <w:r>
        <w:t>Lay the foundations for success prior to the contract commencing (governance framework, identifying success, skilled resources, contract management tools, change controls, risk management, approach to dispute resolution)</w:t>
      </w:r>
      <w:r w:rsidR="006D5EDF">
        <w:t>.</w:t>
      </w:r>
    </w:p>
    <w:p w14:paraId="1EA8DE31" w14:textId="5A048C94" w:rsidR="000D001F" w:rsidRDefault="00ED48BA" w:rsidP="00D24FAE">
      <w:pPr>
        <w:pStyle w:val="ListBullet2"/>
      </w:pPr>
      <w:r>
        <w:t>Agree to principles of how to work together</w:t>
      </w:r>
      <w:r w:rsidR="006D5EDF">
        <w:t>.</w:t>
      </w:r>
    </w:p>
    <w:p w14:paraId="53308286" w14:textId="7B91E267" w:rsidR="00ED48BA" w:rsidRDefault="00ED48BA" w:rsidP="00D24FAE">
      <w:pPr>
        <w:pStyle w:val="ListBullet2"/>
      </w:pPr>
      <w:r>
        <w:t>Understand the objectives and focus on managing the big issues (such as achievement of significant milestones) rather than focusing on details that may not be as critical to the relationship</w:t>
      </w:r>
      <w:r w:rsidR="006D5EDF">
        <w:t>.</w:t>
      </w:r>
    </w:p>
    <w:p w14:paraId="070C22E7" w14:textId="26A7850D" w:rsidR="00ED48BA" w:rsidRDefault="00ED48BA" w:rsidP="00D24FAE">
      <w:pPr>
        <w:pStyle w:val="ListBullet2"/>
      </w:pPr>
      <w:r>
        <w:t>Utilise the contract management tools and stick to project timeframes and communicate delays</w:t>
      </w:r>
      <w:r w:rsidR="006D5EDF">
        <w:t>.</w:t>
      </w:r>
    </w:p>
    <w:p w14:paraId="4CFEF122" w14:textId="03A81254" w:rsidR="000D001F" w:rsidRDefault="00F45798" w:rsidP="00D24FAE">
      <w:pPr>
        <w:pStyle w:val="ListBullet2"/>
      </w:pPr>
      <w:r>
        <w:t>Ensure t</w:t>
      </w:r>
      <w:r w:rsidR="00ED48BA">
        <w:t>imely decision making and documenting of agreed decisions</w:t>
      </w:r>
      <w:r w:rsidR="006D5EDF">
        <w:t>.</w:t>
      </w:r>
    </w:p>
    <w:p w14:paraId="19072529" w14:textId="61D3C262" w:rsidR="000D001F" w:rsidRDefault="00ED48BA" w:rsidP="00D24FAE">
      <w:pPr>
        <w:pStyle w:val="ListBullet2"/>
      </w:pPr>
      <w:r>
        <w:t>Encourage a culture of quality improvement</w:t>
      </w:r>
      <w:r w:rsidR="006D5EDF">
        <w:t>.</w:t>
      </w:r>
    </w:p>
    <w:p w14:paraId="23556F24" w14:textId="13D50757" w:rsidR="00ED48BA" w:rsidRDefault="00ED48BA" w:rsidP="00D24FAE">
      <w:pPr>
        <w:pStyle w:val="ListBullet2"/>
      </w:pPr>
      <w:r>
        <w:t>Collaborate on solving minor issues and escalating major issues</w:t>
      </w:r>
      <w:r w:rsidR="006D5EDF">
        <w:t>.</w:t>
      </w:r>
    </w:p>
    <w:p w14:paraId="1F958D59" w14:textId="6E8750FF" w:rsidR="00ED48BA" w:rsidRDefault="00ED48BA" w:rsidP="00D24FAE">
      <w:pPr>
        <w:pStyle w:val="ListBullet2"/>
      </w:pPr>
      <w:r>
        <w:t>Recognise success and c</w:t>
      </w:r>
      <w:r w:rsidRPr="00AE1F2D">
        <w:t>ontinually invest in building skills and relationships</w:t>
      </w:r>
      <w:r w:rsidR="006D5EDF">
        <w:t>.</w:t>
      </w:r>
    </w:p>
    <w:p w14:paraId="475C5DEF" w14:textId="77777777" w:rsidR="00ED48BA" w:rsidRDefault="00ED48BA" w:rsidP="00ED48BA">
      <w:pPr>
        <w:pStyle w:val="ListBullet"/>
      </w:pPr>
      <w:r w:rsidRPr="00821667">
        <w:rPr>
          <w:b/>
        </w:rPr>
        <w:t xml:space="preserve">Quality management systems: </w:t>
      </w:r>
      <w:r>
        <w:t>PHNs could consider implementing quality management systems that are in line with international standards (ISO 9001:2015). Particularly in relation to data, internal processes, and customer feedback and improvement opportunities to meet policy/regulatory requirements and improve its effectiveness and efficiency on a continuous basis.</w:t>
      </w:r>
    </w:p>
    <w:p w14:paraId="71A9DF6C" w14:textId="77777777" w:rsidR="006D5EDF" w:rsidRDefault="006D5EDF">
      <w:pPr>
        <w:rPr>
          <w:b/>
          <w:color w:val="000000" w:themeColor="text1"/>
        </w:rPr>
      </w:pPr>
      <w:r>
        <w:rPr>
          <w:b/>
        </w:rPr>
        <w:br w:type="page"/>
      </w:r>
    </w:p>
    <w:p w14:paraId="3D8C620E" w14:textId="583B2FE9" w:rsidR="00ED48BA" w:rsidRPr="00821667" w:rsidRDefault="00ED48BA" w:rsidP="00ED48BA">
      <w:pPr>
        <w:pStyle w:val="ListBullet"/>
      </w:pPr>
      <w:r w:rsidRPr="0065377B">
        <w:rPr>
          <w:b/>
        </w:rPr>
        <w:lastRenderedPageBreak/>
        <w:t>Organisation structure:</w:t>
      </w:r>
      <w:r>
        <w:t xml:space="preserve"> </w:t>
      </w:r>
      <w:r w:rsidRPr="00821667">
        <w:t>PHN should consider, as part of their organisational structures, how to best reflect their commissioning responsibilities. PHNs may seek to establish a commissioning team (dedicated to delivering some of the more technical and procedural aspects of commissioning) or ensure the whole organisations develops the full commissioning competencies. The benefits and disadvantages of these different structu</w:t>
      </w:r>
      <w:r>
        <w:t>res are summarised in Table 10</w:t>
      </w:r>
      <w:r w:rsidR="00231B71">
        <w:t>.</w:t>
      </w:r>
    </w:p>
    <w:p w14:paraId="7487F8FF" w14:textId="129D41F9" w:rsidR="00892A9B" w:rsidRPr="00892A9B" w:rsidRDefault="00ED48BA" w:rsidP="00892A9B">
      <w:pPr>
        <w:pStyle w:val="ListBullet"/>
      </w:pPr>
      <w:r>
        <w:rPr>
          <w:b/>
        </w:rPr>
        <w:t xml:space="preserve">Financial management: </w:t>
      </w:r>
      <w:r>
        <w:t>Establishing systems and processes that support effective contract and financial management</w:t>
      </w:r>
      <w:r w:rsidR="00892A9B">
        <w:t xml:space="preserve"> (which could include d</w:t>
      </w:r>
      <w:r w:rsidR="00892A9B" w:rsidRPr="00892A9B">
        <w:t>esigning and managing contractual and financial structures that are linked to</w:t>
      </w:r>
      <w:r w:rsidR="00892A9B">
        <w:t xml:space="preserve"> the achievement of</w:t>
      </w:r>
      <w:r w:rsidR="00892A9B" w:rsidRPr="00892A9B">
        <w:t xml:space="preserve"> outcome</w:t>
      </w:r>
      <w:r w:rsidR="00892A9B">
        <w:t>s).</w:t>
      </w:r>
    </w:p>
    <w:p w14:paraId="06E0C556" w14:textId="77777777" w:rsidR="000D001F" w:rsidRDefault="00ED48BA" w:rsidP="00D97FAF">
      <w:pPr>
        <w:pStyle w:val="Heading4"/>
      </w:pPr>
      <w:r w:rsidRPr="00D24FAE">
        <w:t>People management - workforce</w:t>
      </w:r>
    </w:p>
    <w:p w14:paraId="11BD99DD" w14:textId="77777777" w:rsidR="000D001F" w:rsidRDefault="00ED48BA" w:rsidP="00ED48BA">
      <w:pPr>
        <w:pStyle w:val="Paragraphtext"/>
      </w:pPr>
      <w:r w:rsidRPr="00F85CE3">
        <w:t xml:space="preserve">As </w:t>
      </w:r>
      <w:r>
        <w:t>identified in</w:t>
      </w:r>
      <w:r w:rsidRPr="00F85CE3">
        <w:t xml:space="preserve"> the PHN Program Performance and Quality Framework, PHNs </w:t>
      </w:r>
      <w:r>
        <w:t>will need</w:t>
      </w:r>
      <w:r w:rsidRPr="00F85CE3">
        <w:t xml:space="preserve"> a well-trained and supported workforce that is able to deliver to a high standard to meet the needs of the organisation, stakeholders and region.</w:t>
      </w:r>
    </w:p>
    <w:p w14:paraId="07226EC7" w14:textId="77FF21B8" w:rsidR="00ED48BA" w:rsidRPr="00A943B3" w:rsidRDefault="00ED48BA" w:rsidP="00ED48BA">
      <w:pPr>
        <w:pStyle w:val="Paragraphtext"/>
      </w:pPr>
      <w:r w:rsidRPr="00613656">
        <w:t>Strategic workforce pl</w:t>
      </w:r>
      <w:r>
        <w:t xml:space="preserve">anning that focuses on both internal and external </w:t>
      </w:r>
      <w:r w:rsidRPr="00613656">
        <w:t>skills development and recruiting from adjacent sectors in commissioning will help supplement th</w:t>
      </w:r>
      <w:r>
        <w:t>e</w:t>
      </w:r>
      <w:r w:rsidRPr="00613656">
        <w:t xml:space="preserve"> pool</w:t>
      </w:r>
      <w:r>
        <w:t xml:space="preserve"> of available experience</w:t>
      </w:r>
      <w:r w:rsidRPr="00A943B3">
        <w:t>.</w:t>
      </w:r>
    </w:p>
    <w:p w14:paraId="4F007660" w14:textId="77777777" w:rsidR="00ED48BA" w:rsidRPr="00A943B3" w:rsidRDefault="00ED48BA" w:rsidP="00ED48BA">
      <w:pPr>
        <w:pStyle w:val="Paragraphtext"/>
      </w:pPr>
      <w:r>
        <w:t>Development for all staff could incorporate a minimum level of training and support in the key commissioning competencies and cultural awareness, cultural competency and cultural safety.</w:t>
      </w:r>
    </w:p>
    <w:p w14:paraId="52F121A5" w14:textId="77777777" w:rsidR="006D5EDF" w:rsidRDefault="006D5EDF">
      <w:pPr>
        <w:rPr>
          <w:b/>
          <w:bCs/>
          <w:color w:val="000000" w:themeColor="text1"/>
          <w:szCs w:val="18"/>
        </w:rPr>
      </w:pPr>
      <w:bookmarkStart w:id="87" w:name="_Toc504125968"/>
      <w:bookmarkStart w:id="88" w:name="_Toc504141113"/>
      <w:bookmarkStart w:id="89" w:name="_Toc515288589"/>
      <w:bookmarkStart w:id="90" w:name="_Toc516150695"/>
      <w:r>
        <w:br w:type="page"/>
      </w:r>
    </w:p>
    <w:p w14:paraId="5FCA0F8C" w14:textId="1CED3403" w:rsidR="00ED48BA" w:rsidRDefault="00ED48BA" w:rsidP="00ED48BA">
      <w:pPr>
        <w:pStyle w:val="Caption"/>
      </w:pPr>
      <w:r>
        <w:lastRenderedPageBreak/>
        <w:t xml:space="preserve">Table </w:t>
      </w:r>
      <w:fldSimple w:instr=" SEQ Table \* ARABIC ">
        <w:r w:rsidR="00374AF2">
          <w:rPr>
            <w:noProof/>
          </w:rPr>
          <w:t>10</w:t>
        </w:r>
      </w:fldSimple>
      <w:r>
        <w:rPr>
          <w:noProof/>
        </w:rPr>
        <w:t>:</w:t>
      </w:r>
      <w:r>
        <w:t xml:space="preserve"> </w:t>
      </w:r>
      <w:bookmarkEnd w:id="87"/>
      <w:bookmarkEnd w:id="88"/>
      <w:r>
        <w:t>Comparison of commissioning organisation structures</w:t>
      </w:r>
      <w:bookmarkEnd w:id="89"/>
      <w:bookmarkEnd w:id="90"/>
    </w:p>
    <w:tbl>
      <w:tblPr>
        <w:tblStyle w:val="PHNBlueTable"/>
        <w:tblW w:w="95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Comparison of commissioning organisation structures"/>
        <w:tblDescription w:val="This table features three columns and three rows. The first column lists types of organisational approaches to commissioning. The second column lists the potential benefits of each approach to commissioning. The third column lists potential implications of each approach to commissioning. "/>
      </w:tblPr>
      <w:tblGrid>
        <w:gridCol w:w="1720"/>
        <w:gridCol w:w="3491"/>
        <w:gridCol w:w="4329"/>
      </w:tblGrid>
      <w:tr w:rsidR="00ED48BA" w:rsidRPr="007D56E0" w14:paraId="23D6651F" w14:textId="77777777" w:rsidTr="004367F3">
        <w:trPr>
          <w:cnfStyle w:val="100000000000" w:firstRow="1" w:lastRow="0" w:firstColumn="0" w:lastColumn="0" w:oddVBand="0" w:evenVBand="0" w:oddHBand="0" w:evenHBand="0" w:firstRowFirstColumn="0" w:firstRowLastColumn="0" w:lastRowFirstColumn="0" w:lastRowLastColumn="0"/>
        </w:trPr>
        <w:tc>
          <w:tcPr>
            <w:tcW w:w="1720" w:type="dxa"/>
            <w:shd w:val="clear" w:color="auto" w:fill="8D188D"/>
          </w:tcPr>
          <w:p w14:paraId="65C3636B" w14:textId="77777777" w:rsidR="00ED48BA" w:rsidRPr="00E25CED" w:rsidRDefault="00ED48BA" w:rsidP="00ED48BA">
            <w:pPr>
              <w:pStyle w:val="TableHeaderWhite"/>
              <w:rPr>
                <w:b w:val="0"/>
              </w:rPr>
            </w:pPr>
            <w:r w:rsidRPr="00E25CED">
              <w:t>Approach</w:t>
            </w:r>
          </w:p>
        </w:tc>
        <w:tc>
          <w:tcPr>
            <w:tcW w:w="3491" w:type="dxa"/>
            <w:shd w:val="clear" w:color="auto" w:fill="8D188D"/>
          </w:tcPr>
          <w:p w14:paraId="13C9FFDA" w14:textId="77777777" w:rsidR="00ED48BA" w:rsidRPr="00E25CED" w:rsidRDefault="00ED48BA" w:rsidP="00ED48BA">
            <w:pPr>
              <w:pStyle w:val="TableHeaderWhite"/>
              <w:rPr>
                <w:b w:val="0"/>
              </w:rPr>
            </w:pPr>
            <w:r w:rsidRPr="00E25CED">
              <w:t xml:space="preserve">Potential benefits </w:t>
            </w:r>
          </w:p>
        </w:tc>
        <w:tc>
          <w:tcPr>
            <w:tcW w:w="4329" w:type="dxa"/>
            <w:shd w:val="clear" w:color="auto" w:fill="8D188D"/>
          </w:tcPr>
          <w:p w14:paraId="47690AF6" w14:textId="77777777" w:rsidR="00ED48BA" w:rsidRPr="00E25CED" w:rsidRDefault="00ED48BA" w:rsidP="00ED48BA">
            <w:pPr>
              <w:pStyle w:val="TableHeaderWhite"/>
              <w:rPr>
                <w:b w:val="0"/>
              </w:rPr>
            </w:pPr>
            <w:r w:rsidRPr="00E25CED">
              <w:t xml:space="preserve">Potential implications </w:t>
            </w:r>
          </w:p>
        </w:tc>
      </w:tr>
      <w:tr w:rsidR="00ED48BA" w:rsidRPr="007D56E0" w14:paraId="3FE3099D" w14:textId="77777777" w:rsidTr="004367F3">
        <w:tc>
          <w:tcPr>
            <w:tcW w:w="1720" w:type="dxa"/>
          </w:tcPr>
          <w:p w14:paraId="72F2235C" w14:textId="77777777" w:rsidR="00ED48BA" w:rsidRPr="007D56E0" w:rsidRDefault="00ED48BA" w:rsidP="00ED48BA">
            <w:pPr>
              <w:pStyle w:val="Tabletextnormal"/>
            </w:pPr>
            <w:r w:rsidRPr="007D56E0">
              <w:t>Commissioning team approach</w:t>
            </w:r>
          </w:p>
        </w:tc>
        <w:tc>
          <w:tcPr>
            <w:tcW w:w="3491" w:type="dxa"/>
          </w:tcPr>
          <w:p w14:paraId="5A0571B6" w14:textId="70433784" w:rsidR="000D001F" w:rsidRDefault="00ED48BA" w:rsidP="00ED48BA">
            <w:pPr>
              <w:pStyle w:val="Tablelistbullet"/>
            </w:pPr>
            <w:r w:rsidRPr="007D56E0">
              <w:t>Allows for greater specialisation</w:t>
            </w:r>
            <w:r w:rsidR="00F45798">
              <w:t>.</w:t>
            </w:r>
          </w:p>
          <w:p w14:paraId="0E2331E1" w14:textId="5DB5ABA0" w:rsidR="00ED48BA" w:rsidRDefault="00ED48BA" w:rsidP="00ED48BA">
            <w:pPr>
              <w:pStyle w:val="Tablelistbullet"/>
            </w:pPr>
            <w:r w:rsidRPr="007D56E0">
              <w:t>Contact with the market is streamlined through the one team, minimising multiple contact points for the market</w:t>
            </w:r>
            <w:r w:rsidR="00F45798">
              <w:t>.</w:t>
            </w:r>
          </w:p>
          <w:p w14:paraId="02D90533" w14:textId="1D860FE4" w:rsidR="00ED48BA" w:rsidRPr="007D56E0" w:rsidRDefault="00ED48BA" w:rsidP="00ED48BA">
            <w:pPr>
              <w:pStyle w:val="Tablelistbullet"/>
            </w:pPr>
            <w:r w:rsidRPr="007D56E0">
              <w:t>Less need for whole of organisation commissioning capability building</w:t>
            </w:r>
            <w:r w:rsidR="00F45798">
              <w:t>.</w:t>
            </w:r>
          </w:p>
        </w:tc>
        <w:tc>
          <w:tcPr>
            <w:tcW w:w="4329" w:type="dxa"/>
          </w:tcPr>
          <w:p w14:paraId="5AA9270E" w14:textId="3B1C4D7C" w:rsidR="00ED48BA" w:rsidRPr="007D56E0" w:rsidRDefault="00ED48BA" w:rsidP="00ED48BA">
            <w:pPr>
              <w:pStyle w:val="Tablelistbullet"/>
            </w:pPr>
            <w:r w:rsidRPr="007D56E0">
              <w:t>More difficult to embed a commissioning mindset</w:t>
            </w:r>
            <w:r>
              <w:t xml:space="preserve"> across the PHN and discourages a holistic organisational approach to commissioning</w:t>
            </w:r>
            <w:r w:rsidR="00F45798">
              <w:t>.</w:t>
            </w:r>
          </w:p>
          <w:p w14:paraId="264C2067" w14:textId="47D5559A" w:rsidR="00ED48BA" w:rsidRPr="007D56E0" w:rsidRDefault="00ED48BA" w:rsidP="00ED48BA">
            <w:pPr>
              <w:pStyle w:val="Tablelistbullet"/>
            </w:pPr>
            <w:r>
              <w:t>Other staff (outside commissioning team)</w:t>
            </w:r>
            <w:r w:rsidRPr="007D56E0">
              <w:t xml:space="preserve"> may not properly understand commissioning requirements</w:t>
            </w:r>
            <w:r w:rsidR="00F45798">
              <w:t>.</w:t>
            </w:r>
          </w:p>
          <w:p w14:paraId="5183D181" w14:textId="5E41E0B1" w:rsidR="00ED48BA" w:rsidRPr="007D56E0" w:rsidRDefault="00ED48BA" w:rsidP="00ED48BA">
            <w:pPr>
              <w:pStyle w:val="Tablelistbullet"/>
            </w:pPr>
            <w:r w:rsidRPr="007D56E0">
              <w:t>Commissioning team may not always be familiar with broader agendas</w:t>
            </w:r>
            <w:r w:rsidR="00F45798">
              <w:t>.</w:t>
            </w:r>
          </w:p>
          <w:p w14:paraId="490923A5" w14:textId="2055C7C9" w:rsidR="00ED48BA" w:rsidRPr="007D56E0" w:rsidRDefault="00ED48BA" w:rsidP="00ED48BA">
            <w:pPr>
              <w:pStyle w:val="Tablelistbullet"/>
            </w:pPr>
            <w:r w:rsidRPr="007D56E0">
              <w:t>Less capacity and flexibility of commissioning resources during busy periods</w:t>
            </w:r>
            <w:r w:rsidR="00F45798">
              <w:t>.</w:t>
            </w:r>
          </w:p>
          <w:p w14:paraId="7EA94C5A" w14:textId="15DE2990" w:rsidR="00ED48BA" w:rsidRPr="007D56E0" w:rsidRDefault="00ED48BA" w:rsidP="00ED48BA">
            <w:pPr>
              <w:pStyle w:val="Tablelistbullet"/>
            </w:pPr>
            <w:r w:rsidRPr="007D56E0">
              <w:t>Opportunity for career development and advancement may be more limited</w:t>
            </w:r>
            <w:r w:rsidR="00F45798">
              <w:t>.</w:t>
            </w:r>
          </w:p>
        </w:tc>
      </w:tr>
      <w:tr w:rsidR="00ED48BA" w:rsidRPr="007D56E0" w14:paraId="5D19681E" w14:textId="77777777" w:rsidTr="004367F3">
        <w:trPr>
          <w:trHeight w:val="122"/>
        </w:trPr>
        <w:tc>
          <w:tcPr>
            <w:tcW w:w="1720" w:type="dxa"/>
          </w:tcPr>
          <w:p w14:paraId="03F49BB0" w14:textId="77777777" w:rsidR="00ED48BA" w:rsidRPr="007D56E0" w:rsidRDefault="00ED48BA" w:rsidP="00ED48BA">
            <w:pPr>
              <w:pStyle w:val="Tabletextnormal"/>
            </w:pPr>
            <w:r w:rsidRPr="007D56E0">
              <w:t>Commissioning organisation approach</w:t>
            </w:r>
          </w:p>
        </w:tc>
        <w:tc>
          <w:tcPr>
            <w:tcW w:w="3491" w:type="dxa"/>
          </w:tcPr>
          <w:p w14:paraId="5A0565A2" w14:textId="213A77BA" w:rsidR="00ED48BA" w:rsidRPr="007D56E0" w:rsidRDefault="00ED48BA" w:rsidP="00ED48BA">
            <w:pPr>
              <w:pStyle w:val="Tablelistbullet"/>
            </w:pPr>
            <w:r w:rsidRPr="007D56E0">
              <w:t>Encourages a broader ‘whole of organisation’ approach</w:t>
            </w:r>
            <w:r w:rsidR="00F45798">
              <w:t>.</w:t>
            </w:r>
          </w:p>
          <w:p w14:paraId="1C18E89F" w14:textId="5B0FEECA" w:rsidR="00ED48BA" w:rsidRPr="007D56E0" w:rsidRDefault="00ED48BA" w:rsidP="00ED48BA">
            <w:pPr>
              <w:pStyle w:val="Tablelistbullet"/>
            </w:pPr>
            <w:r w:rsidRPr="007D56E0">
              <w:t>All PHN and board members are more aligned with all commissioning ambitions</w:t>
            </w:r>
            <w:r w:rsidR="00F45798">
              <w:t>.</w:t>
            </w:r>
          </w:p>
          <w:p w14:paraId="02A0DD67" w14:textId="0D489B85" w:rsidR="00ED48BA" w:rsidRPr="007D56E0" w:rsidRDefault="00ED48BA" w:rsidP="00ED48BA">
            <w:pPr>
              <w:pStyle w:val="Tablelistbullet"/>
            </w:pPr>
            <w:r w:rsidRPr="007D56E0">
              <w:t xml:space="preserve">Encourages more consistent communications and </w:t>
            </w:r>
            <w:r>
              <w:t>inclusiveness</w:t>
            </w:r>
            <w:r w:rsidR="00F45798">
              <w:t>.</w:t>
            </w:r>
          </w:p>
          <w:p w14:paraId="705A7063" w14:textId="77777777" w:rsidR="00ED48BA" w:rsidRPr="007D56E0" w:rsidRDefault="00ED48BA" w:rsidP="00ED48BA">
            <w:pPr>
              <w:pStyle w:val="Tablelistbullet"/>
            </w:pPr>
            <w:r w:rsidRPr="007D56E0">
              <w:t>Encourages all to consider the implications of their commissioning activities</w:t>
            </w:r>
            <w:r>
              <w:t>.</w:t>
            </w:r>
          </w:p>
        </w:tc>
        <w:tc>
          <w:tcPr>
            <w:tcW w:w="4329" w:type="dxa"/>
          </w:tcPr>
          <w:p w14:paraId="58967A1B" w14:textId="06ED2DFE" w:rsidR="00ED48BA" w:rsidRPr="007D56E0" w:rsidRDefault="00ED48BA" w:rsidP="00ED48BA">
            <w:pPr>
              <w:pStyle w:val="Tablelistbullet"/>
            </w:pPr>
            <w:r>
              <w:t>Can limit</w:t>
            </w:r>
            <w:r w:rsidRPr="007D56E0">
              <w:t xml:space="preserve"> specialist capacity/capability</w:t>
            </w:r>
            <w:r w:rsidR="00F45798">
              <w:t>.</w:t>
            </w:r>
          </w:p>
          <w:p w14:paraId="1FD73D32" w14:textId="540A10FC" w:rsidR="00ED48BA" w:rsidRPr="007D56E0" w:rsidRDefault="00ED48BA" w:rsidP="00ED48BA">
            <w:pPr>
              <w:pStyle w:val="Tablelistbullet"/>
            </w:pPr>
            <w:r w:rsidRPr="007D56E0">
              <w:t>Burdens some staff who do</w:t>
            </w:r>
            <w:r>
              <w:t xml:space="preserve"> </w:t>
            </w:r>
            <w:r w:rsidRPr="007D56E0">
              <w:t>n</w:t>
            </w:r>
            <w:r>
              <w:t>o</w:t>
            </w:r>
            <w:r w:rsidRPr="007D56E0">
              <w:t>t need to be familiar with the commissioning details</w:t>
            </w:r>
            <w:r w:rsidR="00F45798">
              <w:t>.</w:t>
            </w:r>
          </w:p>
          <w:p w14:paraId="1F536369" w14:textId="77777777" w:rsidR="00ED48BA" w:rsidRPr="007D56E0" w:rsidRDefault="00ED48BA" w:rsidP="00ED48BA">
            <w:pPr>
              <w:pStyle w:val="Tablelistbullet"/>
            </w:pPr>
            <w:r w:rsidRPr="007D56E0">
              <w:t>Less regular contact with the same team for the market</w:t>
            </w:r>
            <w:r>
              <w:t>.</w:t>
            </w:r>
          </w:p>
        </w:tc>
      </w:tr>
    </w:tbl>
    <w:p w14:paraId="78AAC886" w14:textId="77777777" w:rsidR="00ED48BA" w:rsidRDefault="00ED48BA" w:rsidP="00ED48BA">
      <w:pPr>
        <w:pStyle w:val="Paragraphtext"/>
      </w:pPr>
      <w:r>
        <w:t>Both approaches have their advantages and disadvantages and PHNs should consider their organisational approach carefully.</w:t>
      </w:r>
    </w:p>
    <w:p w14:paraId="7372923C" w14:textId="77777777" w:rsidR="000D001F" w:rsidRDefault="00ED48BA" w:rsidP="00ED48BA">
      <w:pPr>
        <w:pStyle w:val="Paragraphtext"/>
      </w:pPr>
      <w:r>
        <w:t>One analogy in thinking this through is the delivery of workplace health and safety in Australian companies. Whilst companies may have specialist teams focussing on health and safety, it is the responsibility of all employees and have regard for workplace health and safety needs and requirements.</w:t>
      </w:r>
    </w:p>
    <w:p w14:paraId="6A4BE2E2" w14:textId="1DE84A2E" w:rsidR="00ED48BA" w:rsidRDefault="00ED48BA" w:rsidP="00ED48BA">
      <w:pPr>
        <w:pStyle w:val="Paragraphtext"/>
      </w:pPr>
      <w:r>
        <w:t>In commissioning terms, PHNs can establish specialist commissioning teams if preferred, but they should also embed a commissioning mindset across the whole organisation, so that all parts of the PHN are familiar with the implications of commissioning and what they can do to support it.</w:t>
      </w:r>
    </w:p>
    <w:p w14:paraId="4DC94C0C" w14:textId="77777777" w:rsidR="006D5EDF" w:rsidRDefault="006D5EDF">
      <w:pPr>
        <w:rPr>
          <w:rFonts w:cs="Arial"/>
          <w:b/>
          <w:iCs/>
          <w:color w:val="153A6E"/>
          <w:sz w:val="28"/>
          <w:szCs w:val="28"/>
        </w:rPr>
      </w:pPr>
      <w:bookmarkStart w:id="91" w:name="_Toc519689585"/>
      <w:r>
        <w:br w:type="page"/>
      </w:r>
    </w:p>
    <w:p w14:paraId="5F06B38A" w14:textId="07A48685" w:rsidR="000D001F" w:rsidRDefault="00ED48BA" w:rsidP="00D97FAF">
      <w:pPr>
        <w:pStyle w:val="Heading3"/>
      </w:pPr>
      <w:r w:rsidRPr="00FE5D83">
        <w:lastRenderedPageBreak/>
        <w:t xml:space="preserve">Practical tips and </w:t>
      </w:r>
      <w:r>
        <w:t>skills for organisational capability</w:t>
      </w:r>
      <w:bookmarkEnd w:id="91"/>
    </w:p>
    <w:p w14:paraId="776A2BFC" w14:textId="5FCC58B9" w:rsidR="00ED48BA" w:rsidRPr="00EE023B" w:rsidRDefault="00ED48BA" w:rsidP="00ED48BA">
      <w:pPr>
        <w:pStyle w:val="Paragraphtext"/>
        <w:rPr>
          <w:iCs/>
          <w:szCs w:val="18"/>
        </w:rPr>
      </w:pPr>
      <w:r>
        <w:t xml:space="preserve">Table 11 provides some practical tips that PHNs could consider in developing the </w:t>
      </w:r>
      <w:r w:rsidRPr="00EE023B">
        <w:t>organisational capacity competency.</w:t>
      </w:r>
      <w:bookmarkStart w:id="92" w:name="_Toc515288590"/>
    </w:p>
    <w:p w14:paraId="3F264A3F" w14:textId="3A820E6D" w:rsidR="00ED48BA" w:rsidRPr="00EE023B" w:rsidRDefault="00ED48BA" w:rsidP="00A943B3">
      <w:pPr>
        <w:pStyle w:val="Caption"/>
      </w:pPr>
      <w:bookmarkStart w:id="93" w:name="_Toc516150696"/>
      <w:r w:rsidRPr="00EE023B">
        <w:t xml:space="preserve">Table </w:t>
      </w:r>
      <w:fldSimple w:instr=" SEQ Table \* ARABIC ">
        <w:r w:rsidR="00374AF2">
          <w:rPr>
            <w:noProof/>
          </w:rPr>
          <w:t>11</w:t>
        </w:r>
      </w:fldSimple>
      <w:r w:rsidRPr="00EE023B">
        <w:t>: Practical tips and skills for organisational capability</w:t>
      </w:r>
      <w:bookmarkEnd w:id="92"/>
      <w:bookmarkEnd w:id="93"/>
    </w:p>
    <w:tbl>
      <w:tblPr>
        <w:tblStyle w:val="PHNBlueTable"/>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Practical tips and skills for organisational capability"/>
        <w:tblDescription w:val="This table features three columns and two rows. Each column identifies practical tips that PHNs could use to develop the organisational capability competency at a system, organisational or individual/team level. "/>
      </w:tblPr>
      <w:tblGrid>
        <w:gridCol w:w="3510"/>
        <w:gridCol w:w="2977"/>
        <w:gridCol w:w="2835"/>
      </w:tblGrid>
      <w:tr w:rsidR="00A943B3" w:rsidRPr="00EE023B" w14:paraId="1D0D3A7E" w14:textId="77777777" w:rsidTr="006D5EDF">
        <w:trPr>
          <w:cnfStyle w:val="100000000000" w:firstRow="1" w:lastRow="0" w:firstColumn="0" w:lastColumn="0" w:oddVBand="0" w:evenVBand="0" w:oddHBand="0" w:evenHBand="0" w:firstRowFirstColumn="0" w:firstRowLastColumn="0" w:lastRowFirstColumn="0" w:lastRowLastColumn="0"/>
        </w:trPr>
        <w:tc>
          <w:tcPr>
            <w:tcW w:w="3510" w:type="dxa"/>
            <w:shd w:val="clear" w:color="auto" w:fill="8D188D"/>
          </w:tcPr>
          <w:p w14:paraId="3AFB3BB6" w14:textId="77777777" w:rsidR="00A943B3" w:rsidRPr="00EE023B" w:rsidRDefault="00A943B3" w:rsidP="00A943B3">
            <w:pPr>
              <w:pStyle w:val="TableHeaderWhite"/>
            </w:pPr>
            <w:r w:rsidRPr="00EE023B">
              <w:t xml:space="preserve">System </w:t>
            </w:r>
          </w:p>
        </w:tc>
        <w:tc>
          <w:tcPr>
            <w:tcW w:w="2977" w:type="dxa"/>
            <w:shd w:val="clear" w:color="auto" w:fill="8D188D"/>
          </w:tcPr>
          <w:p w14:paraId="3CD8B70C" w14:textId="77777777" w:rsidR="00A943B3" w:rsidRPr="00EE023B" w:rsidRDefault="00A943B3" w:rsidP="00A943B3">
            <w:pPr>
              <w:pStyle w:val="TableHeaderWhite"/>
            </w:pPr>
            <w:r w:rsidRPr="00EE023B">
              <w:t>Organisation</w:t>
            </w:r>
          </w:p>
        </w:tc>
        <w:tc>
          <w:tcPr>
            <w:tcW w:w="2835" w:type="dxa"/>
            <w:shd w:val="clear" w:color="auto" w:fill="8D188D"/>
          </w:tcPr>
          <w:p w14:paraId="684AEA59" w14:textId="77777777" w:rsidR="00A943B3" w:rsidRPr="00EE023B" w:rsidRDefault="00A943B3" w:rsidP="00A943B3">
            <w:pPr>
              <w:pStyle w:val="TableHeaderWhite"/>
            </w:pPr>
            <w:r w:rsidRPr="00EE023B">
              <w:t>Individual / team</w:t>
            </w:r>
          </w:p>
        </w:tc>
      </w:tr>
      <w:tr w:rsidR="00A943B3" w:rsidRPr="00E016AA" w14:paraId="2C9BFC3C" w14:textId="77777777" w:rsidTr="006D5EDF">
        <w:tc>
          <w:tcPr>
            <w:tcW w:w="3510" w:type="dxa"/>
          </w:tcPr>
          <w:p w14:paraId="0BE7D73A" w14:textId="58CE6112" w:rsidR="000D001F" w:rsidRPr="00EE023B" w:rsidRDefault="00A943B3" w:rsidP="00A943B3">
            <w:pPr>
              <w:pStyle w:val="Tablenumberedtextnormal"/>
              <w:numPr>
                <w:ilvl w:val="0"/>
                <w:numId w:val="30"/>
              </w:numPr>
            </w:pPr>
            <w:r w:rsidRPr="00EE023B">
              <w:t>Introduce standard templates and agreements that could be used as a basis for contracting with third parties, to reduce administrative and commercial inefficiencies from reconfirming and redrafting what is market practice</w:t>
            </w:r>
            <w:r w:rsidR="00F45798" w:rsidRPr="00EE023B">
              <w:t>.</w:t>
            </w:r>
          </w:p>
          <w:p w14:paraId="0BDDBFE3" w14:textId="08B1EFF0" w:rsidR="000D001F" w:rsidRPr="00EE023B" w:rsidRDefault="00A943B3" w:rsidP="00A943B3">
            <w:pPr>
              <w:pStyle w:val="Tablenumberedtextnormal"/>
            </w:pPr>
            <w:r w:rsidRPr="00EE023B">
              <w:t>Proactively manag</w:t>
            </w:r>
            <w:r w:rsidR="004D5714">
              <w:t>e</w:t>
            </w:r>
            <w:r w:rsidRPr="00EE023B">
              <w:t xml:space="preserve"> heightened bias that may occur in markets with limited competition, such as challenging provider opinions from a system lens and involving patients in the discussion, and address probity considerations</w:t>
            </w:r>
            <w:r w:rsidR="00F45798" w:rsidRPr="00EE023B">
              <w:t>.</w:t>
            </w:r>
          </w:p>
          <w:p w14:paraId="0EFC5CF8" w14:textId="1138BBCE" w:rsidR="00A943B3" w:rsidRPr="00EE023B" w:rsidRDefault="00A943B3" w:rsidP="00A943B3">
            <w:pPr>
              <w:pStyle w:val="Tablenumberedtextnormal"/>
            </w:pPr>
            <w:r w:rsidRPr="00EE023B">
              <w:t>Regularly review governance arrangements to ensure there are balanced discussions around past performance, current activities and future plans</w:t>
            </w:r>
            <w:r w:rsidR="00F45798" w:rsidRPr="00EE023B">
              <w:t>.</w:t>
            </w:r>
          </w:p>
          <w:p w14:paraId="0E0B0BBF" w14:textId="77777777" w:rsidR="00EE023B" w:rsidRDefault="00A943B3" w:rsidP="00A943B3">
            <w:pPr>
              <w:pStyle w:val="Tablenumberedtextnormal"/>
            </w:pPr>
            <w:r w:rsidRPr="00EE023B">
              <w:t>Regularly review the governance composition for the right mix of skills (clinical, transformational, strategic, risk and professional) and diversity that represent the local population, particularly for joint commissioning</w:t>
            </w:r>
            <w:r w:rsidRPr="00EE023B">
              <w:rPr>
                <w:rStyle w:val="FootnoteReference"/>
              </w:rPr>
              <w:footnoteReference w:id="43"/>
            </w:r>
            <w:r w:rsidR="00EE023B">
              <w:t>.</w:t>
            </w:r>
          </w:p>
          <w:p w14:paraId="02875AA8" w14:textId="18EAA84F" w:rsidR="00A943B3" w:rsidRPr="00EE023B" w:rsidRDefault="00FC2B7F" w:rsidP="00597AC0">
            <w:pPr>
              <w:pStyle w:val="Tablenumberedtextnormal"/>
            </w:pPr>
            <w:r>
              <w:t>W</w:t>
            </w:r>
            <w:r w:rsidR="00EE023B">
              <w:t xml:space="preserve">ork with other PHNs to identify </w:t>
            </w:r>
            <w:r>
              <w:t xml:space="preserve">successful </w:t>
            </w:r>
            <w:r w:rsidR="00EE023B">
              <w:t>organisational capability</w:t>
            </w:r>
            <w:r w:rsidR="004D5714">
              <w:t xml:space="preserve"> building approaches,</w:t>
            </w:r>
            <w:r>
              <w:t xml:space="preserve"> to benefit PHN</w:t>
            </w:r>
            <w:r w:rsidR="004D5714">
              <w:t>s</w:t>
            </w:r>
            <w:r>
              <w:t xml:space="preserve"> </w:t>
            </w:r>
            <w:r w:rsidR="004A4FBE">
              <w:t xml:space="preserve">individually, </w:t>
            </w:r>
            <w:r>
              <w:t xml:space="preserve">and </w:t>
            </w:r>
            <w:r w:rsidR="00597AC0">
              <w:t>strengthen the</w:t>
            </w:r>
            <w:r w:rsidR="004D5714">
              <w:t xml:space="preserve"> network</w:t>
            </w:r>
            <w:r w:rsidR="00A943B3" w:rsidRPr="00EE023B">
              <w:t>.</w:t>
            </w:r>
          </w:p>
        </w:tc>
        <w:tc>
          <w:tcPr>
            <w:tcW w:w="2977" w:type="dxa"/>
          </w:tcPr>
          <w:p w14:paraId="28026995" w14:textId="6F49B3BA" w:rsidR="00A943B3" w:rsidRPr="00EE023B" w:rsidRDefault="00A943B3" w:rsidP="00A943B3">
            <w:pPr>
              <w:pStyle w:val="Tablenumberedtextnormal"/>
              <w:numPr>
                <w:ilvl w:val="0"/>
                <w:numId w:val="31"/>
              </w:numPr>
            </w:pPr>
            <w:r w:rsidRPr="00EE023B">
              <w:t>Regularly conduct a skills audit at all levels (including the board) against the commissioning framework and key commissioning competencies to identify capability gaps and develop strategic workforce plans for improving capability</w:t>
            </w:r>
            <w:r w:rsidR="00F45798" w:rsidRPr="00EE023B">
              <w:t>.</w:t>
            </w:r>
          </w:p>
          <w:p w14:paraId="7F9940AF" w14:textId="3DD1BAFD" w:rsidR="00A943B3" w:rsidRPr="00EE023B" w:rsidRDefault="00A943B3" w:rsidP="00A943B3">
            <w:pPr>
              <w:pStyle w:val="Tablenumberedtextnormal"/>
            </w:pPr>
            <w:r w:rsidRPr="00EE023B">
              <w:t>Invest in robust systems and processes for contract management, risk management and quality improvement, that enable PHNs to automate some tasks (as appropriate), track progress and operate more strategically</w:t>
            </w:r>
            <w:r w:rsidR="00F45798" w:rsidRPr="00EE023B">
              <w:t>.</w:t>
            </w:r>
          </w:p>
          <w:p w14:paraId="726301DE" w14:textId="319E31E4" w:rsidR="000D001F" w:rsidRPr="00EE023B" w:rsidRDefault="00A943B3" w:rsidP="00A943B3">
            <w:pPr>
              <w:pStyle w:val="Tablenumberedtextnormal"/>
            </w:pPr>
            <w:r w:rsidRPr="00EE023B">
              <w:t>Establish and use effective technology that encourages and facilitates communication across organisational silos</w:t>
            </w:r>
            <w:r w:rsidR="00F45798" w:rsidRPr="00EE023B">
              <w:t>.</w:t>
            </w:r>
          </w:p>
          <w:p w14:paraId="7AAEE8B5" w14:textId="55171A91" w:rsidR="00A943B3" w:rsidRPr="00EE023B" w:rsidRDefault="00A943B3" w:rsidP="00A943B3">
            <w:pPr>
              <w:pStyle w:val="Tablenumberedtextnormal"/>
            </w:pPr>
            <w:r w:rsidRPr="00EE023B">
              <w:t>The whole organisation participates in developing commissioning competencies.</w:t>
            </w:r>
          </w:p>
        </w:tc>
        <w:tc>
          <w:tcPr>
            <w:tcW w:w="2835" w:type="dxa"/>
          </w:tcPr>
          <w:p w14:paraId="78ECBFE7" w14:textId="6DA6C232" w:rsidR="00A943B3" w:rsidRPr="00EE023B" w:rsidRDefault="00A943B3" w:rsidP="00A943B3">
            <w:pPr>
              <w:pStyle w:val="Tablenumberedtextnormal"/>
              <w:numPr>
                <w:ilvl w:val="0"/>
                <w:numId w:val="32"/>
              </w:numPr>
            </w:pPr>
            <w:r w:rsidRPr="00EE023B">
              <w:t>Build relational skills through training to increase the commissioning capability of the PHN</w:t>
            </w:r>
            <w:r w:rsidR="00F45798" w:rsidRPr="00EE023B">
              <w:t>.</w:t>
            </w:r>
          </w:p>
          <w:p w14:paraId="2D8B0B63" w14:textId="3F42A4A6" w:rsidR="00A943B3" w:rsidRPr="00EE023B" w:rsidRDefault="00A943B3" w:rsidP="00A943B3">
            <w:pPr>
              <w:pStyle w:val="Tablenumberedtextnormal"/>
            </w:pPr>
            <w:r w:rsidRPr="00EE023B">
              <w:t>Involve contract managers in new procurements and redesigns for similar services, to pass on their experience and to build on their relationships and understanding of the market</w:t>
            </w:r>
            <w:r w:rsidR="00F45798" w:rsidRPr="00EE023B">
              <w:t>.</w:t>
            </w:r>
          </w:p>
          <w:p w14:paraId="4A40A237" w14:textId="077EE1C9" w:rsidR="00A943B3" w:rsidRPr="00EE023B" w:rsidRDefault="00A943B3" w:rsidP="00A943B3">
            <w:pPr>
              <w:pStyle w:val="Tablenumberedtextnormal"/>
            </w:pPr>
            <w:r w:rsidRPr="00EE023B">
              <w:t>Collaborate and plan using tools such as a responsibility assignment matrix RACI (which defines who is responsible, accountable, should be consulted or informed) to manage projects and minimise over</w:t>
            </w:r>
            <w:r w:rsidR="00E0184E" w:rsidRPr="00EE023B">
              <w:t>laps/efficiencies across teams.</w:t>
            </w:r>
          </w:p>
        </w:tc>
      </w:tr>
      <w:bookmarkEnd w:id="23"/>
      <w:bookmarkEnd w:id="24"/>
      <w:bookmarkEnd w:id="25"/>
    </w:tbl>
    <w:p w14:paraId="2E8BD0A5" w14:textId="0AB9C2A8" w:rsidR="005F4043" w:rsidRPr="00A943B3" w:rsidRDefault="005F4043" w:rsidP="00E0184E">
      <w:pPr>
        <w:pStyle w:val="Paragraphtext"/>
      </w:pPr>
    </w:p>
    <w:sectPr w:rsidR="005F4043" w:rsidRPr="00A943B3" w:rsidSect="008A032C">
      <w:headerReference w:type="even" r:id="rId18"/>
      <w:headerReference w:type="default" r:id="rId19"/>
      <w:headerReference w:type="first" r:id="rId20"/>
      <w:endnotePr>
        <w:numFmt w:val="decimal"/>
      </w:endnotePr>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9E9BE" w14:textId="77777777" w:rsidR="002F60D5" w:rsidRDefault="002F60D5" w:rsidP="000A3256">
      <w:r>
        <w:separator/>
      </w:r>
    </w:p>
  </w:endnote>
  <w:endnote w:type="continuationSeparator" w:id="0">
    <w:p w14:paraId="28534DBB" w14:textId="77777777" w:rsidR="002F60D5" w:rsidRDefault="002F60D5" w:rsidP="000A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liss 2">
    <w:altName w:val="Calibri"/>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84451" w14:textId="77777777" w:rsidR="000401C8" w:rsidRDefault="00040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839444"/>
      <w:docPartObj>
        <w:docPartGallery w:val="Page Numbers (Bottom of Page)"/>
        <w:docPartUnique/>
      </w:docPartObj>
    </w:sdtPr>
    <w:sdtEndPr>
      <w:rPr>
        <w:noProof/>
      </w:rPr>
    </w:sdtEndPr>
    <w:sdtContent>
      <w:p w14:paraId="681B3BC3" w14:textId="0B349877" w:rsidR="002F60D5" w:rsidRPr="00C170A9" w:rsidRDefault="00846F00" w:rsidP="0023645F">
        <w:pPr>
          <w:pStyle w:val="Footer"/>
        </w:pPr>
        <w:fldSimple w:instr=" STYLEREF  Title  \* MERGEFORMAT ">
          <w:r w:rsidR="006128AA">
            <w:rPr>
              <w:noProof/>
            </w:rPr>
            <w:t>Change Management and Commissioning Competencies Guidance</w:t>
          </w:r>
        </w:fldSimple>
        <w:r w:rsidR="002F60D5">
          <w:ptab w:relativeTo="margin" w:alignment="right" w:leader="none"/>
        </w:r>
        <w:r w:rsidR="002F60D5" w:rsidRPr="00C170A9">
          <w:fldChar w:fldCharType="begin"/>
        </w:r>
        <w:r w:rsidR="002F60D5" w:rsidRPr="00C170A9">
          <w:instrText xml:space="preserve"> PAGE   \* MERGEFORMAT </w:instrText>
        </w:r>
        <w:r w:rsidR="002F60D5" w:rsidRPr="00C170A9">
          <w:fldChar w:fldCharType="separate"/>
        </w:r>
        <w:r w:rsidR="006128AA">
          <w:rPr>
            <w:noProof/>
          </w:rPr>
          <w:t>18</w:t>
        </w:r>
        <w:r w:rsidR="002F60D5" w:rsidRPr="00C170A9">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356821"/>
      <w:docPartObj>
        <w:docPartGallery w:val="Page Numbers (Bottom of Page)"/>
        <w:docPartUnique/>
      </w:docPartObj>
    </w:sdtPr>
    <w:sdtEndPr>
      <w:rPr>
        <w:noProof/>
      </w:rPr>
    </w:sdtEndPr>
    <w:sdtContent>
      <w:p w14:paraId="0EB60A38" w14:textId="1DAAE858" w:rsidR="002F60D5" w:rsidRDefault="002F60D5">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251C7" w14:textId="77777777" w:rsidR="002F60D5" w:rsidRDefault="002F60D5" w:rsidP="000A3256">
      <w:r>
        <w:separator/>
      </w:r>
    </w:p>
  </w:footnote>
  <w:footnote w:type="continuationSeparator" w:id="0">
    <w:p w14:paraId="6A2B15E5" w14:textId="77777777" w:rsidR="002F60D5" w:rsidRDefault="002F60D5" w:rsidP="000A3256">
      <w:r>
        <w:continuationSeparator/>
      </w:r>
    </w:p>
  </w:footnote>
  <w:footnote w:id="1">
    <w:p w14:paraId="5D182A15" w14:textId="15B62DB2" w:rsidR="002F60D5" w:rsidRPr="002A245C" w:rsidRDefault="002F60D5" w:rsidP="00564821">
      <w:pPr>
        <w:pStyle w:val="FootnoteText"/>
      </w:pPr>
      <w:r w:rsidRPr="00AE4799">
        <w:rPr>
          <w:rStyle w:val="FootnoteReference"/>
        </w:rPr>
        <w:footnoteRef/>
      </w:r>
      <w:hyperlink w:history="1"/>
      <w:r>
        <w:t xml:space="preserve"> </w:t>
      </w:r>
      <w:r w:rsidRPr="002A245C">
        <w:t>Australian Health Ministers</w:t>
      </w:r>
      <w:r>
        <w:t>’</w:t>
      </w:r>
      <w:r w:rsidRPr="002A245C">
        <w:t xml:space="preserve"> Advisory Council. (2016). Cultural Respect Framework 2016-2026 for Aboriginal and Torres Strait Islander Health. Available at: </w:t>
      </w:r>
      <w:r w:rsidRPr="0086259A">
        <w:t>http://www.coaghealthcouncil.gov.au/Publications/Reports</w:t>
      </w:r>
    </w:p>
  </w:footnote>
  <w:footnote w:id="2">
    <w:p w14:paraId="03135062" w14:textId="2F98D87E" w:rsidR="002F60D5" w:rsidRPr="00D6060C" w:rsidRDefault="002F60D5" w:rsidP="00564821">
      <w:pPr>
        <w:pStyle w:val="FootnoteText"/>
        <w:rPr>
          <w:i/>
        </w:rPr>
      </w:pPr>
      <w:r w:rsidRPr="00AE4799">
        <w:rPr>
          <w:rStyle w:val="FootnoteReference"/>
        </w:rPr>
        <w:footnoteRef/>
      </w:r>
      <w:r>
        <w:t xml:space="preserve"> Bainbridge R, McCalman J, Clifford A, and Tsey K. (July 2015). </w:t>
      </w:r>
      <w:r>
        <w:rPr>
          <w:i/>
        </w:rPr>
        <w:t>Cultural competency in the delivery of health services for Indigenous people.</w:t>
      </w:r>
      <w:r>
        <w:t xml:space="preserve"> </w:t>
      </w:r>
      <w:r>
        <w:rPr>
          <w:i/>
        </w:rPr>
        <w:t xml:space="preserve">Issues Paper No.13 produced for the </w:t>
      </w:r>
      <w:r w:rsidRPr="00D6060C">
        <w:rPr>
          <w:i/>
        </w:rPr>
        <w:t>Closing the Gap Clearing House</w:t>
      </w:r>
      <w:r>
        <w:rPr>
          <w:i/>
        </w:rPr>
        <w:t>.</w:t>
      </w:r>
      <w:r w:rsidRPr="00D6060C">
        <w:rPr>
          <w:i/>
        </w:rPr>
        <w:t xml:space="preserve"> </w:t>
      </w:r>
      <w:r>
        <w:t xml:space="preserve">Available at: </w:t>
      </w:r>
      <w:r w:rsidRPr="00E048A8">
        <w:t>https://aifs.gov.au/publications/cultural-competency-delivery-health-services-indigenous-people</w:t>
      </w:r>
    </w:p>
  </w:footnote>
  <w:footnote w:id="3">
    <w:p w14:paraId="16FF7088" w14:textId="19821CD5" w:rsidR="002F60D5" w:rsidRPr="002A245C" w:rsidRDefault="002F60D5" w:rsidP="00564821">
      <w:pPr>
        <w:pStyle w:val="FootnoteText"/>
      </w:pPr>
      <w:r w:rsidRPr="00AE4799">
        <w:rPr>
          <w:rStyle w:val="FootnoteReference"/>
        </w:rPr>
        <w:footnoteRef/>
      </w:r>
      <w:r w:rsidRPr="00AE4799">
        <w:rPr>
          <w:vertAlign w:val="superscript"/>
        </w:rPr>
        <w:t xml:space="preserve"> </w:t>
      </w:r>
      <w:r w:rsidRPr="002A245C">
        <w:t>Australian Health Ministers</w:t>
      </w:r>
      <w:r>
        <w:t>’</w:t>
      </w:r>
      <w:r w:rsidRPr="002A245C">
        <w:t xml:space="preserve"> Advisory Council. (2016). Cultural Respect Framework 2016-2026 for Aboriginal and Torres Strait Islander Health. Available at: </w:t>
      </w:r>
      <w:r w:rsidRPr="0086259A">
        <w:t>http://www.coaghealthcoun</w:t>
      </w:r>
      <w:r>
        <w:t>cil.gov.au/Publications/Reports</w:t>
      </w:r>
    </w:p>
  </w:footnote>
  <w:footnote w:id="4">
    <w:p w14:paraId="3685296F" w14:textId="74DE00FD" w:rsidR="002F60D5" w:rsidRPr="00AE4799" w:rsidRDefault="002F60D5" w:rsidP="00ED48BA">
      <w:pPr>
        <w:pStyle w:val="FootnoteText"/>
        <w:rPr>
          <w:szCs w:val="18"/>
        </w:rPr>
      </w:pPr>
      <w:r w:rsidRPr="00AE4799">
        <w:rPr>
          <w:rStyle w:val="FootnoteReference"/>
          <w:szCs w:val="18"/>
        </w:rPr>
        <w:footnoteRef/>
      </w:r>
      <w:r w:rsidRPr="00AE4799">
        <w:rPr>
          <w:szCs w:val="18"/>
        </w:rPr>
        <w:t xml:space="preserve"> Horvath J.</w:t>
      </w:r>
      <w:r>
        <w:rPr>
          <w:szCs w:val="18"/>
        </w:rPr>
        <w:t xml:space="preserve"> (2014).</w:t>
      </w:r>
      <w:r w:rsidRPr="00AE4799">
        <w:rPr>
          <w:szCs w:val="18"/>
        </w:rPr>
        <w:t xml:space="preserve"> </w:t>
      </w:r>
      <w:r w:rsidRPr="00AE4799">
        <w:rPr>
          <w:i/>
          <w:szCs w:val="18"/>
        </w:rPr>
        <w:t>Review of Medicare Locals</w:t>
      </w:r>
      <w:r w:rsidRPr="00AE4799">
        <w:rPr>
          <w:szCs w:val="18"/>
        </w:rPr>
        <w:t xml:space="preserve">. Recommendation 1. </w:t>
      </w:r>
      <w:r>
        <w:rPr>
          <w:szCs w:val="18"/>
        </w:rPr>
        <w:t xml:space="preserve">Available at: </w:t>
      </w:r>
      <w:r w:rsidRPr="00523354">
        <w:rPr>
          <w:szCs w:val="18"/>
        </w:rPr>
        <w:t>http://www.health.gov.au/internet/main/publishing.nsf/content/review-medicare-locals-final-report</w:t>
      </w:r>
    </w:p>
  </w:footnote>
  <w:footnote w:id="5">
    <w:p w14:paraId="18E46EB7" w14:textId="64C54998" w:rsidR="002F60D5" w:rsidRDefault="002F60D5">
      <w:pPr>
        <w:pStyle w:val="FootnoteText"/>
      </w:pPr>
      <w:r>
        <w:rPr>
          <w:rStyle w:val="FootnoteReference"/>
        </w:rPr>
        <w:footnoteRef/>
      </w:r>
      <w:r>
        <w:t xml:space="preserve"> </w:t>
      </w:r>
      <w:r w:rsidRPr="000450E6">
        <w:rPr>
          <w:szCs w:val="18"/>
        </w:rPr>
        <w:t>Australian Government Department of Health. (2018).</w:t>
      </w:r>
      <w:r w:rsidRPr="00264434">
        <w:t xml:space="preserve"> </w:t>
      </w:r>
      <w:r w:rsidRPr="00264434">
        <w:rPr>
          <w:i/>
          <w:szCs w:val="18"/>
        </w:rPr>
        <w:t>Monitoring and Evaluation Guidance.</w:t>
      </w:r>
      <w:r w:rsidRPr="00264434">
        <w:rPr>
          <w:szCs w:val="18"/>
        </w:rPr>
        <w:t xml:space="preserve"> </w:t>
      </w:r>
      <w:r w:rsidRPr="00AE4799">
        <w:rPr>
          <w:szCs w:val="18"/>
        </w:rPr>
        <w:t>Available at</w:t>
      </w:r>
      <w:r>
        <w:rPr>
          <w:szCs w:val="18"/>
        </w:rPr>
        <w:t>:</w:t>
      </w:r>
      <w:r w:rsidRPr="00AE4799">
        <w:rPr>
          <w:szCs w:val="18"/>
        </w:rPr>
        <w:t xml:space="preserve"> http://www.health.gov.au/internet/main/publishing.nsf/Content/PHNCommissioningResources</w:t>
      </w:r>
    </w:p>
  </w:footnote>
  <w:footnote w:id="6">
    <w:p w14:paraId="2C08F3EE" w14:textId="79F64908" w:rsidR="002F60D5" w:rsidRPr="00152332" w:rsidRDefault="002F60D5" w:rsidP="0014351C">
      <w:pPr>
        <w:pStyle w:val="FootnoteText"/>
        <w:rPr>
          <w:sz w:val="16"/>
          <w:szCs w:val="16"/>
        </w:rPr>
      </w:pPr>
      <w:r w:rsidRPr="00AE4799">
        <w:rPr>
          <w:rStyle w:val="FootnoteReference"/>
          <w:szCs w:val="18"/>
        </w:rPr>
        <w:footnoteRef/>
      </w:r>
      <w:r w:rsidRPr="00AE4799">
        <w:rPr>
          <w:szCs w:val="18"/>
        </w:rPr>
        <w:t>Australian Government Department of Health</w:t>
      </w:r>
      <w:r>
        <w:rPr>
          <w:szCs w:val="18"/>
        </w:rPr>
        <w:t>.</w:t>
      </w:r>
      <w:r w:rsidRPr="00AE4799">
        <w:rPr>
          <w:szCs w:val="18"/>
        </w:rPr>
        <w:t xml:space="preserve"> </w:t>
      </w:r>
      <w:r>
        <w:rPr>
          <w:szCs w:val="18"/>
        </w:rPr>
        <w:t>(</w:t>
      </w:r>
      <w:r w:rsidRPr="00AE4799">
        <w:rPr>
          <w:szCs w:val="18"/>
        </w:rPr>
        <w:t>2016</w:t>
      </w:r>
      <w:r>
        <w:rPr>
          <w:szCs w:val="18"/>
        </w:rPr>
        <w:t xml:space="preserve">). </w:t>
      </w:r>
      <w:r w:rsidRPr="00523354">
        <w:rPr>
          <w:i/>
          <w:szCs w:val="18"/>
        </w:rPr>
        <w:t>Primary Health Networks Grant Programme Guidelines</w:t>
      </w:r>
      <w:r>
        <w:rPr>
          <w:szCs w:val="18"/>
        </w:rPr>
        <w:t xml:space="preserve">. </w:t>
      </w:r>
      <w:r w:rsidRPr="00E0184E">
        <w:rPr>
          <w:szCs w:val="18"/>
        </w:rPr>
        <w:t>Available at: www.health.gov.au/internet/main/publishing.nsf/Content/PHN-Program_Guidelines</w:t>
      </w:r>
    </w:p>
  </w:footnote>
  <w:footnote w:id="7">
    <w:p w14:paraId="065DA88C" w14:textId="1400EAE5" w:rsidR="002F60D5" w:rsidRDefault="002F60D5" w:rsidP="00466AC2">
      <w:pPr>
        <w:pStyle w:val="FootnoteText"/>
      </w:pPr>
      <w:r w:rsidRPr="000A761A">
        <w:rPr>
          <w:rStyle w:val="FootnoteReference"/>
        </w:rPr>
        <w:footnoteRef/>
      </w:r>
      <w:r w:rsidRPr="000A761A">
        <w:t xml:space="preserve"> </w:t>
      </w:r>
      <w:r w:rsidRPr="005B1E25">
        <w:rPr>
          <w:szCs w:val="18"/>
        </w:rPr>
        <w:t>Australian Govern</w:t>
      </w:r>
      <w:r>
        <w:rPr>
          <w:szCs w:val="18"/>
        </w:rPr>
        <w:t>ment Department of Health. (2018</w:t>
      </w:r>
      <w:r w:rsidRPr="005B1E25">
        <w:rPr>
          <w:szCs w:val="18"/>
        </w:rPr>
        <w:t xml:space="preserve">). </w:t>
      </w:r>
      <w:r w:rsidRPr="00466AC2">
        <w:rPr>
          <w:i/>
          <w:szCs w:val="18"/>
        </w:rPr>
        <w:t xml:space="preserve">PHN </w:t>
      </w:r>
      <w:r w:rsidRPr="00067B5C">
        <w:rPr>
          <w:i/>
          <w:szCs w:val="18"/>
        </w:rPr>
        <w:t>Commissioning Competencies</w:t>
      </w:r>
      <w:r>
        <w:rPr>
          <w:szCs w:val="18"/>
        </w:rPr>
        <w:t xml:space="preserve"> </w:t>
      </w:r>
      <w:r w:rsidRPr="00466AC2">
        <w:rPr>
          <w:i/>
          <w:szCs w:val="18"/>
        </w:rPr>
        <w:t>Self-Assessment</w:t>
      </w:r>
      <w:r>
        <w:rPr>
          <w:i/>
          <w:szCs w:val="18"/>
        </w:rPr>
        <w:t xml:space="preserve"> </w:t>
      </w:r>
      <w:r w:rsidRPr="00466AC2">
        <w:rPr>
          <w:i/>
          <w:szCs w:val="18"/>
        </w:rPr>
        <w:t>Tool</w:t>
      </w:r>
      <w:r w:rsidRPr="005B1E25">
        <w:rPr>
          <w:szCs w:val="18"/>
        </w:rPr>
        <w:t xml:space="preserve">. </w:t>
      </w:r>
      <w:r>
        <w:rPr>
          <w:szCs w:val="18"/>
        </w:rPr>
        <w:t>(Unpublished).</w:t>
      </w:r>
    </w:p>
  </w:footnote>
  <w:footnote w:id="8">
    <w:p w14:paraId="752A96D9" w14:textId="2B52EE6A" w:rsidR="002F60D5" w:rsidRDefault="002F60D5">
      <w:pPr>
        <w:pStyle w:val="FootnoteText"/>
      </w:pPr>
      <w:r>
        <w:rPr>
          <w:rStyle w:val="FootnoteReference"/>
        </w:rPr>
        <w:footnoteRef/>
      </w:r>
      <w:r>
        <w:t xml:space="preserve"> </w:t>
      </w:r>
      <w:r w:rsidRPr="005B1E25">
        <w:rPr>
          <w:szCs w:val="18"/>
        </w:rPr>
        <w:t>Australian Govern</w:t>
      </w:r>
      <w:r>
        <w:rPr>
          <w:szCs w:val="18"/>
        </w:rPr>
        <w:t>ment Department of Health. (2018</w:t>
      </w:r>
      <w:r w:rsidRPr="005B1E25">
        <w:rPr>
          <w:szCs w:val="18"/>
        </w:rPr>
        <w:t xml:space="preserve">). </w:t>
      </w:r>
      <w:r>
        <w:rPr>
          <w:i/>
        </w:rPr>
        <w:t>Change Management and Commissioning Competencies Resources Toolkit</w:t>
      </w:r>
      <w:r w:rsidRPr="005B1E25">
        <w:rPr>
          <w:szCs w:val="18"/>
        </w:rPr>
        <w:t xml:space="preserve">. Available at: </w:t>
      </w:r>
      <w:r>
        <w:rPr>
          <w:szCs w:val="18"/>
        </w:rPr>
        <w:t>h</w:t>
      </w:r>
      <w:r w:rsidRPr="0025311D">
        <w:rPr>
          <w:szCs w:val="18"/>
        </w:rPr>
        <w:t>ttp://www.health.gov.au/internet/main/publishing.nsf/Content/PHNCommissioningResources</w:t>
      </w:r>
    </w:p>
  </w:footnote>
  <w:footnote w:id="9">
    <w:p w14:paraId="4B6A89BA" w14:textId="4C2A7FE6" w:rsidR="002F60D5" w:rsidRPr="00AE4799" w:rsidRDefault="002F60D5" w:rsidP="00ED48BA">
      <w:pPr>
        <w:pStyle w:val="FootnoteText"/>
        <w:rPr>
          <w:szCs w:val="18"/>
        </w:rPr>
      </w:pPr>
      <w:r w:rsidRPr="00AE4799">
        <w:rPr>
          <w:rStyle w:val="FootnoteReference"/>
          <w:szCs w:val="18"/>
        </w:rPr>
        <w:footnoteRef/>
      </w:r>
      <w:r w:rsidRPr="00AE4799">
        <w:rPr>
          <w:szCs w:val="18"/>
        </w:rPr>
        <w:t xml:space="preserve"> The King’s Fund. (2017). </w:t>
      </w:r>
      <w:r w:rsidRPr="00AE4799">
        <w:rPr>
          <w:i/>
          <w:szCs w:val="18"/>
        </w:rPr>
        <w:t>What is commissioning and how is it changing?</w:t>
      </w:r>
      <w:r w:rsidRPr="00AE4799">
        <w:rPr>
          <w:szCs w:val="18"/>
        </w:rPr>
        <w:t xml:space="preserve"> Available at: www.kingsfund.org.uk/publications/what-commissioning-and-how-it-changing</w:t>
      </w:r>
    </w:p>
  </w:footnote>
  <w:footnote w:id="10">
    <w:p w14:paraId="51326FCC" w14:textId="69484FD1" w:rsidR="002F60D5" w:rsidRPr="00AE4799" w:rsidRDefault="002F60D5" w:rsidP="00ED48BA">
      <w:pPr>
        <w:pStyle w:val="FootnoteText"/>
        <w:rPr>
          <w:szCs w:val="18"/>
        </w:rPr>
      </w:pPr>
      <w:r w:rsidRPr="00AE4799">
        <w:rPr>
          <w:rStyle w:val="FootnoteReference"/>
          <w:b/>
          <w:szCs w:val="18"/>
        </w:rPr>
        <w:footnoteRef/>
      </w:r>
      <w:r w:rsidRPr="00AE4799">
        <w:rPr>
          <w:szCs w:val="18"/>
        </w:rPr>
        <w:t xml:space="preserve"> Robinson S, Dickinson H and Durrington L. Australian Journal of Primary Health 22(1) 9-14. (2016). </w:t>
      </w:r>
      <w:r w:rsidRPr="00AE4799">
        <w:rPr>
          <w:i/>
          <w:szCs w:val="18"/>
        </w:rPr>
        <w:t xml:space="preserve">Something old, something new, something borrowed, something blue? Reviewing the evidence on commissioning and health services. </w:t>
      </w:r>
      <w:r w:rsidRPr="00AE4799">
        <w:rPr>
          <w:szCs w:val="18"/>
        </w:rPr>
        <w:t>Available at: www.publish.csiro.au/py/py15037</w:t>
      </w:r>
    </w:p>
  </w:footnote>
  <w:footnote w:id="11">
    <w:p w14:paraId="66032942" w14:textId="77777777" w:rsidR="002F60D5" w:rsidRPr="000A761A" w:rsidRDefault="002F60D5" w:rsidP="00C117E4">
      <w:pPr>
        <w:pStyle w:val="FootnoteText"/>
        <w:rPr>
          <w:rFonts w:asciiTheme="minorHAnsi" w:hAnsiTheme="minorHAnsi"/>
          <w:sz w:val="16"/>
          <w:szCs w:val="16"/>
        </w:rPr>
      </w:pPr>
      <w:r w:rsidRPr="00AE4799">
        <w:rPr>
          <w:rStyle w:val="FootnoteReference"/>
          <w:szCs w:val="18"/>
        </w:rPr>
        <w:footnoteRef/>
      </w:r>
      <w:r w:rsidRPr="00AE4799">
        <w:rPr>
          <w:szCs w:val="18"/>
        </w:rPr>
        <w:t xml:space="preserve"> Australian Government Department of Health. (2015). </w:t>
      </w:r>
      <w:r w:rsidRPr="00AE4799">
        <w:rPr>
          <w:i/>
          <w:szCs w:val="18"/>
        </w:rPr>
        <w:t>PHN and ACCHO Guiding Principles</w:t>
      </w:r>
      <w:r w:rsidRPr="00AE4799">
        <w:rPr>
          <w:szCs w:val="18"/>
        </w:rPr>
        <w:t>. Available at: www.health.gov.au/internet/main/publishing.nsf/Content/PHN-Accho</w:t>
      </w:r>
    </w:p>
  </w:footnote>
  <w:footnote w:id="12">
    <w:p w14:paraId="7855A41C" w14:textId="1F6180CB" w:rsidR="002F60D5" w:rsidRPr="00AE4799" w:rsidRDefault="002F60D5" w:rsidP="00091287">
      <w:pPr>
        <w:pStyle w:val="FootnoteText"/>
        <w:rPr>
          <w:szCs w:val="18"/>
        </w:rPr>
      </w:pPr>
      <w:r w:rsidRPr="00AE4799">
        <w:rPr>
          <w:rStyle w:val="FootnoteReference"/>
          <w:szCs w:val="18"/>
        </w:rPr>
        <w:footnoteRef/>
      </w:r>
      <w:r w:rsidRPr="00AE4799">
        <w:rPr>
          <w:szCs w:val="18"/>
        </w:rPr>
        <w:t>Australian</w:t>
      </w:r>
      <w:r>
        <w:rPr>
          <w:szCs w:val="18"/>
        </w:rPr>
        <w:t xml:space="preserve"> </w:t>
      </w:r>
      <w:r w:rsidRPr="00AE4799">
        <w:rPr>
          <w:szCs w:val="18"/>
        </w:rPr>
        <w:t xml:space="preserve">Government Department of Health. (2016). </w:t>
      </w:r>
      <w:r>
        <w:rPr>
          <w:i/>
          <w:szCs w:val="18"/>
        </w:rPr>
        <w:t>Monitoring and Evaluation Guidance</w:t>
      </w:r>
      <w:r w:rsidRPr="00AE4799">
        <w:rPr>
          <w:i/>
          <w:szCs w:val="18"/>
        </w:rPr>
        <w:t xml:space="preserve">. </w:t>
      </w:r>
      <w:r w:rsidRPr="00AE4799">
        <w:rPr>
          <w:szCs w:val="18"/>
        </w:rPr>
        <w:t>Available at: www.health.gov.au/internet/main/publishing.nsf/Content/PHNCommissioningResources</w:t>
      </w:r>
    </w:p>
  </w:footnote>
  <w:footnote w:id="13">
    <w:p w14:paraId="0885B478" w14:textId="77777777" w:rsidR="002F60D5" w:rsidRPr="00AE4799" w:rsidRDefault="002F60D5" w:rsidP="00ED48BA">
      <w:pPr>
        <w:pStyle w:val="FootnoteText"/>
        <w:rPr>
          <w:szCs w:val="18"/>
        </w:rPr>
      </w:pPr>
      <w:r w:rsidRPr="00AE4799">
        <w:rPr>
          <w:rStyle w:val="FootnoteReference"/>
          <w:szCs w:val="18"/>
        </w:rPr>
        <w:footnoteRef/>
      </w:r>
      <w:r w:rsidRPr="00AE4799">
        <w:rPr>
          <w:szCs w:val="18"/>
        </w:rPr>
        <w:t xml:space="preserve"> The King’s Fund. (2015). </w:t>
      </w:r>
      <w:r w:rsidRPr="00AE4799">
        <w:rPr>
          <w:i/>
          <w:szCs w:val="18"/>
        </w:rPr>
        <w:t xml:space="preserve">Place based systems of care. </w:t>
      </w:r>
      <w:r w:rsidRPr="00AE4799">
        <w:rPr>
          <w:szCs w:val="18"/>
        </w:rPr>
        <w:t xml:space="preserve">Available at: www.kingsfund.org.uk/sites/default/files/field/field_publication_file/Place-based-systems-of-care-Kings-Fund-Nov-2015_0.pdf </w:t>
      </w:r>
    </w:p>
  </w:footnote>
  <w:footnote w:id="14">
    <w:p w14:paraId="0C692176" w14:textId="77777777" w:rsidR="002F60D5" w:rsidRDefault="002F60D5" w:rsidP="00ED48BA">
      <w:pPr>
        <w:pStyle w:val="FootnoteText"/>
      </w:pPr>
      <w:r w:rsidRPr="00AE4799">
        <w:rPr>
          <w:rStyle w:val="FootnoteReference"/>
          <w:szCs w:val="18"/>
        </w:rPr>
        <w:footnoteRef/>
      </w:r>
      <w:r w:rsidRPr="00AE4799">
        <w:rPr>
          <w:szCs w:val="18"/>
        </w:rPr>
        <w:t xml:space="preserve"> Middleton J. Alchemy Assistant, </w:t>
      </w:r>
      <w:r w:rsidRPr="00AE4799">
        <w:rPr>
          <w:i/>
          <w:szCs w:val="18"/>
        </w:rPr>
        <w:t>Leading Beyond Authority</w:t>
      </w:r>
      <w:r w:rsidRPr="00AE4799">
        <w:rPr>
          <w:szCs w:val="18"/>
        </w:rPr>
        <w:t>. Available at: https://www.alchemyassistant.com/topics/DRcBuht2nn3R7Dib.html</w:t>
      </w:r>
    </w:p>
  </w:footnote>
  <w:footnote w:id="15">
    <w:p w14:paraId="38355262" w14:textId="514C4EF1" w:rsidR="002F60D5" w:rsidRPr="00AE4799" w:rsidRDefault="002F60D5" w:rsidP="00ED48BA">
      <w:pPr>
        <w:pStyle w:val="FootnoteText"/>
        <w:rPr>
          <w:i/>
          <w:szCs w:val="18"/>
        </w:rPr>
      </w:pPr>
      <w:r w:rsidRPr="00AE4799">
        <w:rPr>
          <w:rStyle w:val="FootnoteReference"/>
          <w:szCs w:val="18"/>
        </w:rPr>
        <w:footnoteRef/>
      </w:r>
      <w:r w:rsidRPr="00AE4799">
        <w:rPr>
          <w:szCs w:val="18"/>
        </w:rPr>
        <w:t xml:space="preserve"> Common Purpose. (2017). </w:t>
      </w:r>
      <w:r w:rsidRPr="00AE4799">
        <w:rPr>
          <w:i/>
          <w:szCs w:val="18"/>
        </w:rPr>
        <w:t>What is Leading Beyond Authority?</w:t>
      </w:r>
      <w:r w:rsidRPr="00AE4799">
        <w:rPr>
          <w:szCs w:val="18"/>
        </w:rPr>
        <w:t xml:space="preserve"> Available at www.commonpurpose.org/knowledge-hub/all-art</w:t>
      </w:r>
      <w:r>
        <w:rPr>
          <w:szCs w:val="18"/>
        </w:rPr>
        <w:t>icles/leading-beyond-authority/</w:t>
      </w:r>
    </w:p>
  </w:footnote>
  <w:footnote w:id="16">
    <w:p w14:paraId="70A63B03" w14:textId="77777777" w:rsidR="002F60D5" w:rsidRPr="00AE4799" w:rsidRDefault="002F60D5" w:rsidP="00ED48BA">
      <w:pPr>
        <w:pStyle w:val="FootnoteText"/>
        <w:rPr>
          <w:szCs w:val="18"/>
        </w:rPr>
      </w:pPr>
      <w:r w:rsidRPr="00AE4799">
        <w:rPr>
          <w:rStyle w:val="FootnoteReference"/>
          <w:szCs w:val="18"/>
        </w:rPr>
        <w:footnoteRef/>
      </w:r>
      <w:r w:rsidRPr="00AE4799">
        <w:rPr>
          <w:szCs w:val="18"/>
        </w:rPr>
        <w:t xml:space="preserve"> Guo, K L. (2009). The Health Care Manager Journal. </w:t>
      </w:r>
      <w:r w:rsidRPr="00AE4799">
        <w:rPr>
          <w:i/>
          <w:szCs w:val="18"/>
        </w:rPr>
        <w:t>Core Competencies of the Entrepreneurial Leader in Health Care Organisations</w:t>
      </w:r>
      <w:r w:rsidRPr="00AE4799">
        <w:rPr>
          <w:szCs w:val="18"/>
        </w:rPr>
        <w:t>. Available at: pdfs.semanticscholar.org/fcfb/54363bf4d03efabe48ae5cf589ae9702c3b2.pdf</w:t>
      </w:r>
    </w:p>
  </w:footnote>
  <w:footnote w:id="17">
    <w:p w14:paraId="3432D1E2" w14:textId="3D581FCE" w:rsidR="002F60D5" w:rsidRPr="00FC1720" w:rsidRDefault="002F60D5" w:rsidP="00ED48BA">
      <w:pPr>
        <w:pStyle w:val="FootnoteText"/>
        <w:rPr>
          <w:sz w:val="16"/>
          <w:szCs w:val="16"/>
        </w:rPr>
      </w:pPr>
      <w:r w:rsidRPr="00AE4799">
        <w:rPr>
          <w:rStyle w:val="FootnoteReference"/>
          <w:szCs w:val="18"/>
        </w:rPr>
        <w:footnoteRef/>
      </w:r>
      <w:r w:rsidRPr="00AE4799">
        <w:rPr>
          <w:szCs w:val="18"/>
        </w:rPr>
        <w:t xml:space="preserve"> Institute for Healthcare Improvement (2017). </w:t>
      </w:r>
      <w:r w:rsidRPr="00AE4799">
        <w:rPr>
          <w:i/>
          <w:szCs w:val="18"/>
        </w:rPr>
        <w:t>Leadership</w:t>
      </w:r>
      <w:r w:rsidRPr="00AE4799">
        <w:rPr>
          <w:szCs w:val="18"/>
        </w:rPr>
        <w:t>. Available at: www.ihi.org/Topics/Leadership/Pages/default.aspx</w:t>
      </w:r>
    </w:p>
  </w:footnote>
  <w:footnote w:id="18">
    <w:p w14:paraId="1CAAA53E" w14:textId="1E0BBB9F" w:rsidR="002F60D5" w:rsidRDefault="002F60D5" w:rsidP="00ED48BA">
      <w:pPr>
        <w:pStyle w:val="FootnoteText"/>
      </w:pPr>
      <w:r w:rsidRPr="000A761A">
        <w:rPr>
          <w:rStyle w:val="FootnoteReference"/>
        </w:rPr>
        <w:footnoteRef/>
      </w:r>
      <w:r w:rsidRPr="00F71E24">
        <w:rPr>
          <w:szCs w:val="18"/>
        </w:rPr>
        <w:t>Adapted from</w:t>
      </w:r>
      <w:r>
        <w:rPr>
          <w:szCs w:val="18"/>
        </w:rPr>
        <w:t>:</w:t>
      </w:r>
      <w:r w:rsidRPr="00F71E24">
        <w:rPr>
          <w:szCs w:val="18"/>
        </w:rPr>
        <w:t xml:space="preserve"> Duckett</w:t>
      </w:r>
      <w:r>
        <w:rPr>
          <w:szCs w:val="18"/>
        </w:rPr>
        <w:t xml:space="preserve"> S</w:t>
      </w:r>
      <w:r w:rsidRPr="00F71E24">
        <w:rPr>
          <w:szCs w:val="18"/>
        </w:rPr>
        <w:t>, Beaumont</w:t>
      </w:r>
      <w:r>
        <w:rPr>
          <w:szCs w:val="18"/>
        </w:rPr>
        <w:t xml:space="preserve"> M</w:t>
      </w:r>
      <w:r w:rsidRPr="00F71E24">
        <w:rPr>
          <w:szCs w:val="18"/>
        </w:rPr>
        <w:t>, Bell</w:t>
      </w:r>
      <w:r>
        <w:rPr>
          <w:szCs w:val="18"/>
        </w:rPr>
        <w:t xml:space="preserve"> G</w:t>
      </w:r>
      <w:r w:rsidRPr="00F71E24">
        <w:rPr>
          <w:szCs w:val="18"/>
        </w:rPr>
        <w:t>, Gunn</w:t>
      </w:r>
      <w:r>
        <w:rPr>
          <w:szCs w:val="18"/>
        </w:rPr>
        <w:t xml:space="preserve"> J</w:t>
      </w:r>
      <w:r w:rsidRPr="00F71E24">
        <w:rPr>
          <w:szCs w:val="18"/>
        </w:rPr>
        <w:t>, Murphy</w:t>
      </w:r>
      <w:r>
        <w:rPr>
          <w:szCs w:val="18"/>
        </w:rPr>
        <w:t xml:space="preserve"> A</w:t>
      </w:r>
      <w:r w:rsidRPr="00F71E24">
        <w:rPr>
          <w:szCs w:val="18"/>
        </w:rPr>
        <w:t>, Wilson</w:t>
      </w:r>
      <w:r>
        <w:rPr>
          <w:szCs w:val="18"/>
        </w:rPr>
        <w:t xml:space="preserve"> R</w:t>
      </w:r>
      <w:r w:rsidRPr="00F71E24">
        <w:rPr>
          <w:szCs w:val="18"/>
        </w:rPr>
        <w:t xml:space="preserve"> &amp; Crowley</w:t>
      </w:r>
      <w:r>
        <w:rPr>
          <w:szCs w:val="18"/>
        </w:rPr>
        <w:t xml:space="preserve"> T (2016). </w:t>
      </w:r>
      <w:r w:rsidRPr="00F71E24">
        <w:rPr>
          <w:szCs w:val="18"/>
        </w:rPr>
        <w:t xml:space="preserve">Australian Healthcare &amp; Hospital Association. </w:t>
      </w:r>
      <w:r w:rsidRPr="00F71E24">
        <w:rPr>
          <w:i/>
          <w:szCs w:val="18"/>
        </w:rPr>
        <w:t>Leading Change in Primary Care</w:t>
      </w:r>
      <w:r w:rsidRPr="00F71E24">
        <w:rPr>
          <w:szCs w:val="18"/>
        </w:rPr>
        <w:t>. Available at www.ahha.asn.au/sites/default/files/docs/policy-issue/leading_change_in_primary_care.pd</w:t>
      </w:r>
      <w:r>
        <w:rPr>
          <w:szCs w:val="18"/>
        </w:rPr>
        <w:t>f</w:t>
      </w:r>
      <w:hyperlink r:id="rId1" w:history="1"/>
    </w:p>
  </w:footnote>
  <w:footnote w:id="19">
    <w:p w14:paraId="599202B4" w14:textId="22D60C68" w:rsidR="002F60D5" w:rsidRDefault="002F60D5" w:rsidP="00ED48BA">
      <w:pPr>
        <w:pStyle w:val="FootnoteText"/>
      </w:pPr>
      <w:r>
        <w:rPr>
          <w:rStyle w:val="FootnoteReference"/>
        </w:rPr>
        <w:footnoteRef/>
      </w:r>
      <w:r>
        <w:t xml:space="preserve"> </w:t>
      </w:r>
      <w:r w:rsidRPr="005B1E25">
        <w:rPr>
          <w:szCs w:val="18"/>
        </w:rPr>
        <w:t>Australian Govern</w:t>
      </w:r>
      <w:r>
        <w:rPr>
          <w:szCs w:val="18"/>
        </w:rPr>
        <w:t>ment Department of Health. (2018</w:t>
      </w:r>
      <w:r w:rsidRPr="005B1E25">
        <w:rPr>
          <w:szCs w:val="18"/>
        </w:rPr>
        <w:t xml:space="preserve">). </w:t>
      </w:r>
      <w:r>
        <w:rPr>
          <w:i/>
          <w:szCs w:val="18"/>
        </w:rPr>
        <w:t>Change Management and Commissioning Competencies Resources Toolkit</w:t>
      </w:r>
      <w:r w:rsidRPr="005B1E25">
        <w:rPr>
          <w:szCs w:val="18"/>
        </w:rPr>
        <w:t xml:space="preserve">. Available at: </w:t>
      </w:r>
      <w:r w:rsidRPr="0025311D">
        <w:rPr>
          <w:szCs w:val="18"/>
        </w:rPr>
        <w:t>http://www.health.gov.au/internet/main/publishing.nsf/Content/PHNCommissioningResources</w:t>
      </w:r>
    </w:p>
  </w:footnote>
  <w:footnote w:id="20">
    <w:p w14:paraId="517EA2A9" w14:textId="07524594" w:rsidR="002F60D5" w:rsidRPr="00AE4799" w:rsidRDefault="002F60D5" w:rsidP="00ED48BA">
      <w:pPr>
        <w:pStyle w:val="FootnoteText"/>
        <w:rPr>
          <w:szCs w:val="18"/>
        </w:rPr>
      </w:pPr>
      <w:r w:rsidRPr="00AE4799">
        <w:rPr>
          <w:rStyle w:val="FootnoteReference"/>
          <w:szCs w:val="18"/>
        </w:rPr>
        <w:footnoteRef/>
      </w:r>
      <w:r w:rsidRPr="00AE4799">
        <w:rPr>
          <w:szCs w:val="18"/>
        </w:rPr>
        <w:t xml:space="preserve"> Prosci. (2018). </w:t>
      </w:r>
      <w:r w:rsidRPr="00AE4799">
        <w:rPr>
          <w:i/>
          <w:szCs w:val="18"/>
        </w:rPr>
        <w:t>ADKAR Model</w:t>
      </w:r>
      <w:r w:rsidRPr="00AE4799">
        <w:rPr>
          <w:szCs w:val="18"/>
        </w:rPr>
        <w:t>. Available at www.prosci.com/adkar</w:t>
      </w:r>
    </w:p>
  </w:footnote>
  <w:footnote w:id="21">
    <w:p w14:paraId="0232FD1F" w14:textId="1D8DC1D0" w:rsidR="002F60D5" w:rsidRPr="00AE4799" w:rsidRDefault="002F60D5" w:rsidP="00ED48BA">
      <w:pPr>
        <w:pStyle w:val="FootnoteText"/>
        <w:rPr>
          <w:szCs w:val="18"/>
        </w:rPr>
      </w:pPr>
      <w:r w:rsidRPr="00AE4799">
        <w:rPr>
          <w:rStyle w:val="FootnoteReference"/>
          <w:szCs w:val="18"/>
        </w:rPr>
        <w:footnoteRef/>
      </w:r>
      <w:r w:rsidRPr="00AE4799">
        <w:rPr>
          <w:szCs w:val="18"/>
        </w:rPr>
        <w:t xml:space="preserve"> Australian Institute of Family Studies. (2016). </w:t>
      </w:r>
      <w:r w:rsidRPr="00AE4799">
        <w:rPr>
          <w:i/>
          <w:szCs w:val="18"/>
        </w:rPr>
        <w:t>Community Engagement</w:t>
      </w:r>
      <w:r w:rsidRPr="00AE4799">
        <w:rPr>
          <w:szCs w:val="18"/>
        </w:rPr>
        <w:t>. Available at: aifs.gov.au/cfca/publications/community-engagement/what-communit</w:t>
      </w:r>
      <w:r>
        <w:rPr>
          <w:szCs w:val="18"/>
        </w:rPr>
        <w:t>y-engagement</w:t>
      </w:r>
    </w:p>
  </w:footnote>
  <w:footnote w:id="22">
    <w:p w14:paraId="79254BED" w14:textId="43298AC5" w:rsidR="002F60D5" w:rsidRPr="000A761A" w:rsidRDefault="002F60D5" w:rsidP="00ED48BA">
      <w:pPr>
        <w:pStyle w:val="FootnoteText"/>
        <w:rPr>
          <w:sz w:val="16"/>
          <w:szCs w:val="16"/>
        </w:rPr>
      </w:pPr>
      <w:r w:rsidRPr="00AE4799">
        <w:rPr>
          <w:rStyle w:val="FootnoteReference"/>
          <w:szCs w:val="18"/>
        </w:rPr>
        <w:footnoteRef/>
      </w:r>
      <w:r w:rsidRPr="00AE4799">
        <w:rPr>
          <w:szCs w:val="18"/>
        </w:rPr>
        <w:t xml:space="preserve"> Allat K. (2017). The King’s Fund. </w:t>
      </w:r>
      <w:r w:rsidRPr="00AE4799">
        <w:rPr>
          <w:i/>
          <w:szCs w:val="18"/>
        </w:rPr>
        <w:t>The reality of collaboration</w:t>
      </w:r>
      <w:r w:rsidRPr="00AE4799">
        <w:rPr>
          <w:szCs w:val="18"/>
        </w:rPr>
        <w:t>. Available at: www.kingsfund.org.uk/audio-video/kate-allatt-reality-collaboration</w:t>
      </w:r>
    </w:p>
  </w:footnote>
  <w:footnote w:id="23">
    <w:p w14:paraId="26DEAFBF" w14:textId="1D1D09FB" w:rsidR="002F60D5" w:rsidRPr="00AE4799" w:rsidRDefault="002F60D5" w:rsidP="00ED48BA">
      <w:pPr>
        <w:pStyle w:val="FootnoteText"/>
        <w:rPr>
          <w:szCs w:val="18"/>
        </w:rPr>
      </w:pPr>
      <w:r w:rsidRPr="00AE4799">
        <w:rPr>
          <w:rStyle w:val="FootnoteReference"/>
          <w:szCs w:val="18"/>
        </w:rPr>
        <w:footnoteRef/>
      </w:r>
      <w:r w:rsidRPr="00AE4799">
        <w:rPr>
          <w:szCs w:val="18"/>
        </w:rPr>
        <w:t xml:space="preserve"> Waitemata District Health Board. (2010).</w:t>
      </w:r>
      <w:r w:rsidRPr="00AE4799">
        <w:rPr>
          <w:i/>
          <w:szCs w:val="18"/>
        </w:rPr>
        <w:t xml:space="preserve"> Health service co-design. </w:t>
      </w:r>
      <w:r w:rsidRPr="00AE4799">
        <w:rPr>
          <w:szCs w:val="18"/>
        </w:rPr>
        <w:t>Available at: www.healt</w:t>
      </w:r>
      <w:r>
        <w:rPr>
          <w:szCs w:val="18"/>
        </w:rPr>
        <w:t>hcodesign.org.nz/01_engage.html</w:t>
      </w:r>
    </w:p>
  </w:footnote>
  <w:footnote w:id="24">
    <w:p w14:paraId="48090B7A" w14:textId="77777777" w:rsidR="002F60D5" w:rsidRPr="00AE4799" w:rsidRDefault="002F60D5" w:rsidP="00ED48BA">
      <w:pPr>
        <w:pStyle w:val="FootnoteText"/>
        <w:rPr>
          <w:szCs w:val="18"/>
        </w:rPr>
      </w:pPr>
      <w:r w:rsidRPr="00AE4799">
        <w:rPr>
          <w:rStyle w:val="FootnoteReference"/>
          <w:szCs w:val="18"/>
        </w:rPr>
        <w:footnoteRef/>
      </w:r>
      <w:r w:rsidRPr="00AE4799">
        <w:rPr>
          <w:szCs w:val="18"/>
        </w:rPr>
        <w:t xml:space="preserve"> Allat K (2017). The King’s Fund. </w:t>
      </w:r>
      <w:r w:rsidRPr="00AE4799">
        <w:rPr>
          <w:i/>
          <w:szCs w:val="18"/>
        </w:rPr>
        <w:t>The reality of collaboration</w:t>
      </w:r>
      <w:r w:rsidRPr="00AE4799">
        <w:rPr>
          <w:szCs w:val="18"/>
        </w:rPr>
        <w:t>. Available at: www.kingsfund.org.uk/audio-video/kate-allatt-reality-collaboration</w:t>
      </w:r>
    </w:p>
  </w:footnote>
  <w:footnote w:id="25">
    <w:p w14:paraId="1E0A200A" w14:textId="0AF2BCBC" w:rsidR="002F60D5" w:rsidRPr="00264FF8" w:rsidRDefault="002F60D5" w:rsidP="00ED48BA">
      <w:pPr>
        <w:pStyle w:val="FootnoteText"/>
        <w:rPr>
          <w:sz w:val="16"/>
          <w:szCs w:val="16"/>
        </w:rPr>
      </w:pPr>
      <w:r w:rsidRPr="00AE4799">
        <w:rPr>
          <w:rStyle w:val="FootnoteReference"/>
          <w:szCs w:val="18"/>
        </w:rPr>
        <w:footnoteRef/>
      </w:r>
      <w:r w:rsidRPr="00AE4799">
        <w:rPr>
          <w:szCs w:val="18"/>
        </w:rPr>
        <w:t xml:space="preserve"> Australian Health Policy Collaboration. (2018). </w:t>
      </w:r>
      <w:r w:rsidRPr="00AE4799">
        <w:rPr>
          <w:i/>
          <w:szCs w:val="18"/>
        </w:rPr>
        <w:t xml:space="preserve">The State of Self Care in Australia. </w:t>
      </w:r>
      <w:r w:rsidRPr="00AE4799">
        <w:rPr>
          <w:szCs w:val="18"/>
        </w:rPr>
        <w:t>Available at: www.vu.edu.au/sites/default/files/the-state-of-self-care-in-australia.pdf</w:t>
      </w:r>
    </w:p>
  </w:footnote>
  <w:footnote w:id="26">
    <w:p w14:paraId="04C59D41" w14:textId="724D53F8" w:rsidR="002F60D5" w:rsidRDefault="002F60D5" w:rsidP="00ED48BA">
      <w:pPr>
        <w:pStyle w:val="FootnoteText"/>
      </w:pPr>
      <w:r>
        <w:rPr>
          <w:rStyle w:val="FootnoteReference"/>
        </w:rPr>
        <w:footnoteRef/>
      </w:r>
      <w:r>
        <w:t xml:space="preserve"> </w:t>
      </w:r>
      <w:r w:rsidRPr="009E6C59">
        <w:rPr>
          <w:szCs w:val="18"/>
        </w:rPr>
        <w:t xml:space="preserve">Institute for Healthcare Improvement (2017). </w:t>
      </w:r>
      <w:r w:rsidRPr="009E6C59">
        <w:rPr>
          <w:i/>
          <w:szCs w:val="18"/>
        </w:rPr>
        <w:t>The IHI Triple Aim</w:t>
      </w:r>
      <w:r w:rsidRPr="009E6C59">
        <w:rPr>
          <w:szCs w:val="18"/>
        </w:rPr>
        <w:t xml:space="preserve">. [online] Available at: </w:t>
      </w:r>
      <w:r w:rsidRPr="002E0403">
        <w:rPr>
          <w:szCs w:val="18"/>
        </w:rPr>
        <w:t>www.ihi.org/Engage/Initiatives/TripleAim/Pages/defa</w:t>
      </w:r>
      <w:r>
        <w:rPr>
          <w:szCs w:val="18"/>
        </w:rPr>
        <w:t>ult.aspx [Accessed 1 Dec. 2017]</w:t>
      </w:r>
    </w:p>
  </w:footnote>
  <w:footnote w:id="27">
    <w:p w14:paraId="7ABAA6B4" w14:textId="3133BAEE" w:rsidR="002F60D5" w:rsidRPr="00AE4799" w:rsidRDefault="002F60D5" w:rsidP="00ED48BA">
      <w:pPr>
        <w:pStyle w:val="FootnoteText"/>
        <w:rPr>
          <w:szCs w:val="18"/>
        </w:rPr>
      </w:pPr>
      <w:r w:rsidRPr="00AE4799">
        <w:rPr>
          <w:rStyle w:val="FootnoteReference"/>
          <w:szCs w:val="18"/>
        </w:rPr>
        <w:footnoteRef/>
      </w:r>
      <w:r w:rsidR="00545B0A">
        <w:rPr>
          <w:szCs w:val="18"/>
        </w:rPr>
        <w:t xml:space="preserve"> </w:t>
      </w:r>
      <w:r w:rsidRPr="00AE4799">
        <w:rPr>
          <w:szCs w:val="18"/>
        </w:rPr>
        <w:t xml:space="preserve">NSW Treasury and NSW Department of Finance, Services &amp; Innovation. (2016). </w:t>
      </w:r>
      <w:r w:rsidRPr="00545B0A">
        <w:rPr>
          <w:i/>
          <w:szCs w:val="18"/>
        </w:rPr>
        <w:t>NSW Commissioning &amp; Contestability Practice Guide</w:t>
      </w:r>
      <w:r w:rsidRPr="00AE4799">
        <w:rPr>
          <w:szCs w:val="18"/>
        </w:rPr>
        <w:t>. Available at: www.treasury.nsw.gov.au/sites/default/files/pdf/NSW_Commissioning_and_Contestability_Practice_Guide_-pdf.pdf</w:t>
      </w:r>
    </w:p>
  </w:footnote>
  <w:footnote w:id="28">
    <w:p w14:paraId="659A365C" w14:textId="1EDA3EDF" w:rsidR="002F60D5" w:rsidRPr="00AE4799" w:rsidRDefault="002F60D5" w:rsidP="00ED48BA">
      <w:pPr>
        <w:pStyle w:val="FootnoteText"/>
        <w:rPr>
          <w:szCs w:val="18"/>
        </w:rPr>
      </w:pPr>
      <w:r w:rsidRPr="00AE4799">
        <w:rPr>
          <w:rStyle w:val="FootnoteReference"/>
          <w:szCs w:val="18"/>
        </w:rPr>
        <w:footnoteRef/>
      </w:r>
      <w:r w:rsidRPr="00AE4799">
        <w:rPr>
          <w:szCs w:val="18"/>
        </w:rPr>
        <w:t xml:space="preserve"> Baeck P. (2013</w:t>
      </w:r>
      <w:r w:rsidRPr="00AE4799">
        <w:rPr>
          <w:i/>
          <w:szCs w:val="18"/>
        </w:rPr>
        <w:t>). The Power of Co-design and Co-Delivery</w:t>
      </w:r>
      <w:r w:rsidRPr="00AE4799">
        <w:rPr>
          <w:szCs w:val="18"/>
        </w:rPr>
        <w:t xml:space="preserve">. Available at: </w:t>
      </w:r>
      <w:r w:rsidRPr="00A37FBA">
        <w:rPr>
          <w:szCs w:val="18"/>
        </w:rPr>
        <w:t>https://media.nesta.org.uk/documents/the_power_of_co-design_and_co-delivery.pdf</w:t>
      </w:r>
    </w:p>
  </w:footnote>
  <w:footnote w:id="29">
    <w:p w14:paraId="682441B5" w14:textId="2C3E1C19" w:rsidR="002F60D5" w:rsidRPr="001E501B" w:rsidRDefault="002F60D5" w:rsidP="00ED48BA">
      <w:pPr>
        <w:pStyle w:val="FootnoteText"/>
        <w:rPr>
          <w:sz w:val="16"/>
          <w:szCs w:val="16"/>
        </w:rPr>
      </w:pPr>
      <w:r w:rsidRPr="00AE4799">
        <w:rPr>
          <w:rStyle w:val="FootnoteReference"/>
          <w:szCs w:val="18"/>
        </w:rPr>
        <w:footnoteRef/>
      </w:r>
      <w:r w:rsidRPr="00AE4799">
        <w:rPr>
          <w:szCs w:val="18"/>
        </w:rPr>
        <w:t xml:space="preserve"> Australian Government Department of Health. (2016). </w:t>
      </w:r>
      <w:r w:rsidRPr="00AE4799">
        <w:rPr>
          <w:i/>
          <w:szCs w:val="18"/>
        </w:rPr>
        <w:t xml:space="preserve">Designing and Contracting Services Guidance. </w:t>
      </w:r>
      <w:r w:rsidRPr="00AE4799">
        <w:rPr>
          <w:szCs w:val="18"/>
        </w:rPr>
        <w:t>Available at http://www.health.gov.au/internet/main/publishing.nsf/Content/PHNCommissioningResources</w:t>
      </w:r>
    </w:p>
  </w:footnote>
  <w:footnote w:id="30">
    <w:p w14:paraId="51F9B83C" w14:textId="7B235724" w:rsidR="002F60D5" w:rsidRPr="00AE4799" w:rsidRDefault="002F60D5" w:rsidP="00ED48BA">
      <w:pPr>
        <w:pStyle w:val="FootnoteText"/>
        <w:rPr>
          <w:szCs w:val="18"/>
        </w:rPr>
      </w:pPr>
      <w:r w:rsidRPr="00AE4799">
        <w:rPr>
          <w:rStyle w:val="FootnoteReference"/>
          <w:szCs w:val="18"/>
        </w:rPr>
        <w:footnoteRef/>
      </w:r>
      <w:r w:rsidRPr="00AE4799">
        <w:rPr>
          <w:szCs w:val="18"/>
        </w:rPr>
        <w:t xml:space="preserve"> The King’s Fund. (2015). </w:t>
      </w:r>
      <w:r w:rsidRPr="00AE4799">
        <w:rPr>
          <w:i/>
          <w:szCs w:val="18"/>
        </w:rPr>
        <w:t>Population Health Systems</w:t>
      </w:r>
      <w:r w:rsidRPr="00AE4799">
        <w:rPr>
          <w:szCs w:val="18"/>
        </w:rPr>
        <w:t xml:space="preserve">. Available at: </w:t>
      </w:r>
      <w:r w:rsidRPr="00A922A1">
        <w:rPr>
          <w:szCs w:val="18"/>
        </w:rPr>
        <w:t>https://www.kingsfund.org.uk/sites/default/files/field/field_publication_file/population-health-systems-kingsfund-feb15.pdf</w:t>
      </w:r>
    </w:p>
  </w:footnote>
  <w:footnote w:id="31">
    <w:p w14:paraId="741DBCD2" w14:textId="123E2BD6" w:rsidR="002F60D5" w:rsidRPr="00AE4799" w:rsidRDefault="002F60D5" w:rsidP="00ED48BA">
      <w:pPr>
        <w:pStyle w:val="FootnoteText"/>
        <w:rPr>
          <w:szCs w:val="18"/>
        </w:rPr>
      </w:pPr>
      <w:r w:rsidRPr="00AE4799">
        <w:rPr>
          <w:rStyle w:val="FootnoteReference"/>
          <w:szCs w:val="18"/>
        </w:rPr>
        <w:footnoteRef/>
      </w:r>
      <w:r w:rsidRPr="00AE4799">
        <w:rPr>
          <w:szCs w:val="18"/>
        </w:rPr>
        <w:t xml:space="preserve">Victorian Healthcare Association. (2012). </w:t>
      </w:r>
      <w:r w:rsidRPr="00AE4799">
        <w:rPr>
          <w:i/>
          <w:szCs w:val="18"/>
        </w:rPr>
        <w:t>Population Health Approaches to Planning</w:t>
      </w:r>
      <w:r w:rsidRPr="00AE4799">
        <w:rPr>
          <w:szCs w:val="18"/>
        </w:rPr>
        <w:t>.</w:t>
      </w:r>
      <w:r w:rsidRPr="00AE4799">
        <w:rPr>
          <w:i/>
          <w:szCs w:val="18"/>
        </w:rPr>
        <w:t xml:space="preserve"> </w:t>
      </w:r>
      <w:r w:rsidRPr="00AE4799">
        <w:rPr>
          <w:szCs w:val="18"/>
        </w:rPr>
        <w:t>Available at: vha.org.au/docs/2012100</w:t>
      </w:r>
      <w:r>
        <w:rPr>
          <w:szCs w:val="18"/>
        </w:rPr>
        <w:t>3--position-statement--phap.pdf</w:t>
      </w:r>
    </w:p>
  </w:footnote>
  <w:footnote w:id="32">
    <w:p w14:paraId="2B754FD3" w14:textId="11850F8B" w:rsidR="002F60D5" w:rsidRDefault="002F60D5">
      <w:pPr>
        <w:pStyle w:val="FootnoteText"/>
      </w:pPr>
      <w:r>
        <w:rPr>
          <w:rStyle w:val="FootnoteReference"/>
        </w:rPr>
        <w:footnoteRef/>
      </w:r>
      <w:r>
        <w:t xml:space="preserve"> Australian Government Department of Health, (2015). </w:t>
      </w:r>
      <w:r w:rsidRPr="00264434">
        <w:rPr>
          <w:i/>
        </w:rPr>
        <w:t>PHN Needs Assessment Guide</w:t>
      </w:r>
      <w:r>
        <w:rPr>
          <w:i/>
        </w:rPr>
        <w:t>.</w:t>
      </w:r>
      <w:r>
        <w:t xml:space="preserve"> </w:t>
      </w:r>
      <w:r w:rsidRPr="00AE4799">
        <w:rPr>
          <w:szCs w:val="18"/>
        </w:rPr>
        <w:t>Available at</w:t>
      </w:r>
      <w:r>
        <w:rPr>
          <w:szCs w:val="18"/>
        </w:rPr>
        <w:t>:</w:t>
      </w:r>
      <w:r w:rsidRPr="00AE4799">
        <w:rPr>
          <w:szCs w:val="18"/>
        </w:rPr>
        <w:t xml:space="preserve"> http://www.health.gov.au/internet/main/publishing.nsf/Content/PHNCommissioningResources</w:t>
      </w:r>
    </w:p>
  </w:footnote>
  <w:footnote w:id="33">
    <w:p w14:paraId="17C730CA" w14:textId="3810361B" w:rsidR="002F60D5" w:rsidRDefault="002F60D5">
      <w:pPr>
        <w:pStyle w:val="FootnoteText"/>
      </w:pPr>
      <w:r>
        <w:rPr>
          <w:rStyle w:val="FootnoteReference"/>
        </w:rPr>
        <w:footnoteRef/>
      </w:r>
      <w:r>
        <w:t xml:space="preserve"> </w:t>
      </w:r>
      <w:r w:rsidRPr="000450E6">
        <w:rPr>
          <w:szCs w:val="18"/>
        </w:rPr>
        <w:t>Australian Government Department of Health. (2018).</w:t>
      </w:r>
      <w:r w:rsidRPr="00264434">
        <w:t xml:space="preserve"> </w:t>
      </w:r>
      <w:r w:rsidRPr="00264434">
        <w:rPr>
          <w:i/>
          <w:szCs w:val="18"/>
        </w:rPr>
        <w:t>Monitoring and Evaluation Guidance.</w:t>
      </w:r>
      <w:r w:rsidRPr="00264434">
        <w:rPr>
          <w:szCs w:val="18"/>
        </w:rPr>
        <w:t xml:space="preserve"> </w:t>
      </w:r>
      <w:r w:rsidRPr="00AE4799">
        <w:rPr>
          <w:szCs w:val="18"/>
        </w:rPr>
        <w:t>Available at</w:t>
      </w:r>
      <w:r>
        <w:rPr>
          <w:szCs w:val="18"/>
        </w:rPr>
        <w:t>:</w:t>
      </w:r>
      <w:r w:rsidRPr="00AE4799">
        <w:rPr>
          <w:szCs w:val="18"/>
        </w:rPr>
        <w:t xml:space="preserve"> http://www.health.gov.au/internet/main/publishing.nsf/Content/PHNCommissioningResources</w:t>
      </w:r>
    </w:p>
  </w:footnote>
  <w:footnote w:id="34">
    <w:p w14:paraId="2F14146F" w14:textId="02400566" w:rsidR="002F60D5" w:rsidRDefault="002F60D5">
      <w:pPr>
        <w:pStyle w:val="FootnoteText"/>
      </w:pPr>
      <w:r>
        <w:rPr>
          <w:rStyle w:val="FootnoteReference"/>
        </w:rPr>
        <w:footnoteRef/>
      </w:r>
      <w:r>
        <w:t xml:space="preserve"> </w:t>
      </w:r>
      <w:r w:rsidRPr="000450E6">
        <w:rPr>
          <w:szCs w:val="18"/>
        </w:rPr>
        <w:t>Australian Government Department of Health. (2018).</w:t>
      </w:r>
      <w:r>
        <w:rPr>
          <w:szCs w:val="18"/>
        </w:rPr>
        <w:t xml:space="preserve"> </w:t>
      </w:r>
      <w:r w:rsidRPr="007B5231">
        <w:rPr>
          <w:i/>
          <w:szCs w:val="18"/>
        </w:rPr>
        <w:t xml:space="preserve">PHN </w:t>
      </w:r>
      <w:r>
        <w:rPr>
          <w:i/>
          <w:szCs w:val="18"/>
        </w:rPr>
        <w:t xml:space="preserve">Commissioning Competencies </w:t>
      </w:r>
      <w:r w:rsidRPr="007B5231">
        <w:rPr>
          <w:i/>
          <w:szCs w:val="18"/>
        </w:rPr>
        <w:t>Self-Assessment Tool.</w:t>
      </w:r>
      <w:r>
        <w:rPr>
          <w:szCs w:val="18"/>
        </w:rPr>
        <w:t xml:space="preserve"> </w:t>
      </w:r>
      <w:r w:rsidRPr="000450E6">
        <w:rPr>
          <w:szCs w:val="18"/>
        </w:rPr>
        <w:t>(Unpublished).</w:t>
      </w:r>
    </w:p>
  </w:footnote>
  <w:footnote w:id="35">
    <w:p w14:paraId="75D497C2" w14:textId="77777777" w:rsidR="002F60D5" w:rsidRPr="00E0184E" w:rsidRDefault="002F60D5" w:rsidP="00ED48BA">
      <w:pPr>
        <w:pStyle w:val="FootnoteText"/>
        <w:rPr>
          <w:szCs w:val="18"/>
        </w:rPr>
      </w:pPr>
      <w:r w:rsidRPr="00E0184E">
        <w:rPr>
          <w:rStyle w:val="FootnoteReference"/>
          <w:szCs w:val="18"/>
        </w:rPr>
        <w:footnoteRef/>
      </w:r>
      <w:r w:rsidRPr="00E0184E">
        <w:rPr>
          <w:szCs w:val="18"/>
        </w:rPr>
        <w:t xml:space="preserve"> Australian Government Department of Health. (2016). </w:t>
      </w:r>
      <w:r w:rsidRPr="00E0184E">
        <w:rPr>
          <w:i/>
          <w:szCs w:val="18"/>
        </w:rPr>
        <w:t>Primary Health Networks Grant Programme Guidelines</w:t>
      </w:r>
      <w:r w:rsidRPr="00E0184E">
        <w:rPr>
          <w:szCs w:val="18"/>
        </w:rPr>
        <w:t>. Available at: www.health.gov.au/internet/main/publishing.nsf/Content/PHN-Program_Guidelines</w:t>
      </w:r>
    </w:p>
  </w:footnote>
  <w:footnote w:id="36">
    <w:p w14:paraId="77CEE535" w14:textId="7CC5263A" w:rsidR="002F60D5" w:rsidRPr="00E0184E" w:rsidRDefault="002F60D5" w:rsidP="00ED48BA">
      <w:pPr>
        <w:pStyle w:val="FootnoteText"/>
        <w:rPr>
          <w:szCs w:val="18"/>
        </w:rPr>
      </w:pPr>
      <w:r w:rsidRPr="00E0184E">
        <w:rPr>
          <w:rStyle w:val="FootnoteReference"/>
          <w:szCs w:val="18"/>
        </w:rPr>
        <w:footnoteRef/>
      </w:r>
      <w:r w:rsidRPr="00E0184E">
        <w:rPr>
          <w:szCs w:val="18"/>
        </w:rPr>
        <w:t xml:space="preserve">Kania J and Kramer M (2018). Collaboration for Impact. </w:t>
      </w:r>
      <w:r w:rsidRPr="00E0184E">
        <w:rPr>
          <w:i/>
          <w:szCs w:val="18"/>
        </w:rPr>
        <w:t>Collective Impact</w:t>
      </w:r>
      <w:r w:rsidRPr="00E0184E">
        <w:rPr>
          <w:szCs w:val="18"/>
        </w:rPr>
        <w:t>. Available at: www.collaborationforimpact.com/collective-impact/</w:t>
      </w:r>
    </w:p>
  </w:footnote>
  <w:footnote w:id="37">
    <w:p w14:paraId="573C2CA5" w14:textId="728F4133" w:rsidR="002F60D5" w:rsidRPr="00264FF8" w:rsidRDefault="002F60D5" w:rsidP="00ED48BA">
      <w:pPr>
        <w:pStyle w:val="FootnoteText"/>
        <w:rPr>
          <w:sz w:val="16"/>
          <w:szCs w:val="16"/>
        </w:rPr>
      </w:pPr>
      <w:r w:rsidRPr="00E0184E">
        <w:rPr>
          <w:rStyle w:val="FootnoteReference"/>
          <w:szCs w:val="18"/>
        </w:rPr>
        <w:footnoteRef/>
      </w:r>
      <w:r w:rsidRPr="00E0184E">
        <w:rPr>
          <w:szCs w:val="18"/>
        </w:rPr>
        <w:t xml:space="preserve">Brisbane North PHN. (2016). </w:t>
      </w:r>
      <w:r w:rsidRPr="00E0184E">
        <w:rPr>
          <w:i/>
          <w:szCs w:val="18"/>
        </w:rPr>
        <w:t>Steady, invested, strong: A Consortium and Commissioning Toolkit.</w:t>
      </w:r>
      <w:r w:rsidRPr="00E0184E">
        <w:rPr>
          <w:szCs w:val="18"/>
        </w:rPr>
        <w:t xml:space="preserve"> Available at: www.brisbanenorthphn.org.au/content/Document/PHN%20toolkit_web.pdf</w:t>
      </w:r>
    </w:p>
  </w:footnote>
  <w:footnote w:id="38">
    <w:p w14:paraId="09BA4805" w14:textId="1D0B88AB" w:rsidR="002F60D5" w:rsidRPr="00E0184E" w:rsidRDefault="002F60D5" w:rsidP="00ED48BA">
      <w:pPr>
        <w:pStyle w:val="FootnoteText"/>
        <w:rPr>
          <w:szCs w:val="18"/>
        </w:rPr>
      </w:pPr>
      <w:r w:rsidRPr="00E0184E">
        <w:rPr>
          <w:rStyle w:val="FootnoteReference"/>
          <w:szCs w:val="18"/>
        </w:rPr>
        <w:footnoteRef/>
      </w:r>
      <w:r w:rsidRPr="00E0184E">
        <w:rPr>
          <w:szCs w:val="18"/>
        </w:rPr>
        <w:t xml:space="preserve"> Western Sydney Diabetes. (2018). Available at: www.westernsydneydiabetes.com.au/about-us/the-core-team</w:t>
      </w:r>
    </w:p>
  </w:footnote>
  <w:footnote w:id="39">
    <w:p w14:paraId="4D321CBD" w14:textId="7E47674E" w:rsidR="002F60D5" w:rsidRPr="00E0184E" w:rsidRDefault="002F60D5" w:rsidP="00ED48BA">
      <w:pPr>
        <w:pStyle w:val="FootnoteText"/>
        <w:rPr>
          <w:szCs w:val="18"/>
        </w:rPr>
      </w:pPr>
      <w:r w:rsidRPr="00E0184E">
        <w:rPr>
          <w:rStyle w:val="FootnoteReference"/>
          <w:szCs w:val="18"/>
        </w:rPr>
        <w:footnoteRef/>
      </w:r>
      <w:r w:rsidRPr="00E0184E">
        <w:rPr>
          <w:szCs w:val="18"/>
        </w:rPr>
        <w:t xml:space="preserve"> NSW Department of Human Services (2010), </w:t>
      </w:r>
      <w:r w:rsidRPr="00E0184E">
        <w:rPr>
          <w:i/>
          <w:szCs w:val="18"/>
        </w:rPr>
        <w:t>Joint Practice Guidelines</w:t>
      </w:r>
      <w:r w:rsidRPr="00E0184E">
        <w:rPr>
          <w:szCs w:val="18"/>
        </w:rPr>
        <w:t>. Available at: www.community.nsw.gov.au/__data/assets/pdf_file/0017/322361/joint_practice_guidelines.pdf</w:t>
      </w:r>
    </w:p>
  </w:footnote>
  <w:footnote w:id="40">
    <w:p w14:paraId="1685555B" w14:textId="0C99AAB1" w:rsidR="002F60D5" w:rsidRDefault="002F60D5" w:rsidP="00A31AB1">
      <w:pPr>
        <w:pStyle w:val="FootnoteText"/>
      </w:pPr>
      <w:r w:rsidRPr="002F784D">
        <w:rPr>
          <w:rStyle w:val="FootnoteReference"/>
        </w:rPr>
        <w:footnoteRef/>
      </w:r>
      <w:r w:rsidRPr="002F784D">
        <w:t xml:space="preserve"> Australian</w:t>
      </w:r>
      <w:r w:rsidRPr="005B1E25">
        <w:t xml:space="preserve"> Govern</w:t>
      </w:r>
      <w:r>
        <w:t>ment Department of Health. (2018</w:t>
      </w:r>
      <w:r w:rsidRPr="005B1E25">
        <w:t xml:space="preserve">). </w:t>
      </w:r>
      <w:r w:rsidRPr="00C41AB8">
        <w:rPr>
          <w:i/>
        </w:rPr>
        <w:t>Market Making and Development Guidance</w:t>
      </w:r>
      <w:r w:rsidRPr="005B1E25">
        <w:t xml:space="preserve">. Available at: </w:t>
      </w:r>
      <w:r w:rsidRPr="00AE4799">
        <w:rPr>
          <w:szCs w:val="18"/>
        </w:rPr>
        <w:t>Available at</w:t>
      </w:r>
      <w:r>
        <w:rPr>
          <w:szCs w:val="18"/>
        </w:rPr>
        <w:t>:</w:t>
      </w:r>
      <w:r w:rsidRPr="00AE4799">
        <w:rPr>
          <w:szCs w:val="18"/>
        </w:rPr>
        <w:t xml:space="preserve"> http://www.health.gov.au/internet/main/publishing.nsf/Content/PHNCommissioningResources</w:t>
      </w:r>
    </w:p>
  </w:footnote>
  <w:footnote w:id="41">
    <w:p w14:paraId="14283D9B" w14:textId="7E3604FD" w:rsidR="002F60D5" w:rsidRDefault="002F60D5" w:rsidP="00ED48BA">
      <w:pPr>
        <w:pStyle w:val="FootnoteText"/>
      </w:pPr>
      <w:r w:rsidRPr="002F784D">
        <w:rPr>
          <w:rStyle w:val="FootnoteReference"/>
        </w:rPr>
        <w:footnoteRef/>
      </w:r>
      <w:r w:rsidRPr="002F784D">
        <w:t xml:space="preserve"> </w:t>
      </w:r>
      <w:r w:rsidRPr="002F784D">
        <w:rPr>
          <w:szCs w:val="18"/>
        </w:rPr>
        <w:t>Australian</w:t>
      </w:r>
      <w:r w:rsidRPr="005B1E25">
        <w:rPr>
          <w:szCs w:val="18"/>
        </w:rPr>
        <w:t xml:space="preserve"> Government Department of Health. (201</w:t>
      </w:r>
      <w:r>
        <w:rPr>
          <w:szCs w:val="18"/>
        </w:rPr>
        <w:t>8</w:t>
      </w:r>
      <w:r w:rsidRPr="005B1E25">
        <w:rPr>
          <w:szCs w:val="18"/>
        </w:rPr>
        <w:t xml:space="preserve">). </w:t>
      </w:r>
      <w:r>
        <w:rPr>
          <w:i/>
          <w:szCs w:val="18"/>
        </w:rPr>
        <w:t>Market Making and Development Toolkit</w:t>
      </w:r>
      <w:r w:rsidRPr="005B1E25">
        <w:rPr>
          <w:szCs w:val="18"/>
        </w:rPr>
        <w:t xml:space="preserve">. Available at: </w:t>
      </w:r>
      <w:r w:rsidRPr="00AE4799">
        <w:rPr>
          <w:szCs w:val="18"/>
        </w:rPr>
        <w:t>Available at</w:t>
      </w:r>
      <w:r>
        <w:rPr>
          <w:szCs w:val="18"/>
        </w:rPr>
        <w:t>:</w:t>
      </w:r>
      <w:r w:rsidRPr="00AE4799">
        <w:rPr>
          <w:szCs w:val="18"/>
        </w:rPr>
        <w:t xml:space="preserve"> http://www.health.gov.au/internet/main/publishing.nsf/Content/PHNCommissioningResources</w:t>
      </w:r>
    </w:p>
  </w:footnote>
  <w:footnote w:id="42">
    <w:p w14:paraId="66D029F7" w14:textId="77777777" w:rsidR="002F60D5" w:rsidRPr="00E0184E" w:rsidRDefault="002F60D5" w:rsidP="00ED48BA">
      <w:pPr>
        <w:pStyle w:val="FootnoteText"/>
        <w:rPr>
          <w:szCs w:val="18"/>
        </w:rPr>
      </w:pPr>
      <w:r w:rsidRPr="00E0184E">
        <w:rPr>
          <w:rStyle w:val="FootnoteReference"/>
          <w:szCs w:val="18"/>
        </w:rPr>
        <w:footnoteRef/>
      </w:r>
      <w:r w:rsidRPr="00E0184E">
        <w:rPr>
          <w:i/>
          <w:szCs w:val="18"/>
        </w:rPr>
        <w:t xml:space="preserve"> </w:t>
      </w:r>
      <w:r w:rsidRPr="00E0184E">
        <w:rPr>
          <w:szCs w:val="18"/>
        </w:rPr>
        <w:t xml:space="preserve">Australian Institute of Company Directors. (2013). </w:t>
      </w:r>
      <w:hyperlink r:id="rId2" w:history="1">
        <w:r w:rsidRPr="00E0184E">
          <w:rPr>
            <w:rStyle w:val="Hyperlink"/>
            <w:i/>
            <w:sz w:val="18"/>
            <w:szCs w:val="18"/>
          </w:rPr>
          <w:t>Good Governance Principles and Guidance for Not-for-Profit Organisations</w:t>
        </w:r>
      </w:hyperlink>
      <w:r w:rsidRPr="00E0184E">
        <w:rPr>
          <w:szCs w:val="18"/>
        </w:rPr>
        <w:t xml:space="preserve"> Available at: http://aicd.companydirectors.com.au/resources/not-for-profit-resources/good-governance-principles-and-guidance</w:t>
      </w:r>
    </w:p>
  </w:footnote>
  <w:footnote w:id="43">
    <w:p w14:paraId="5AE6CD95" w14:textId="33A8D592" w:rsidR="002F60D5" w:rsidRPr="00E0184E" w:rsidRDefault="002F60D5" w:rsidP="00ED48BA">
      <w:pPr>
        <w:pStyle w:val="FootnoteText"/>
        <w:rPr>
          <w:szCs w:val="18"/>
        </w:rPr>
      </w:pPr>
      <w:r w:rsidRPr="00E0184E">
        <w:rPr>
          <w:rStyle w:val="FootnoteReference"/>
          <w:szCs w:val="18"/>
        </w:rPr>
        <w:footnoteRef/>
      </w:r>
      <w:r w:rsidRPr="00E0184E">
        <w:rPr>
          <w:szCs w:val="18"/>
        </w:rPr>
        <w:t xml:space="preserve"> Duckett S, Beaumont M, Bell G, Gunn J, Murphy A, Wilson R &amp; Crowley T. (2016). Australian Healthcare &amp; Hospital</w:t>
      </w:r>
      <w:r w:rsidR="006D5EDF">
        <w:rPr>
          <w:szCs w:val="18"/>
        </w:rPr>
        <w:t>s</w:t>
      </w:r>
      <w:r w:rsidRPr="00E0184E">
        <w:rPr>
          <w:szCs w:val="18"/>
        </w:rPr>
        <w:t xml:space="preserve"> Association. </w:t>
      </w:r>
      <w:r w:rsidRPr="00E0184E">
        <w:rPr>
          <w:i/>
          <w:szCs w:val="18"/>
        </w:rPr>
        <w:t>Leading Change in Primary Care</w:t>
      </w:r>
      <w:r w:rsidRPr="00E0184E">
        <w:rPr>
          <w:szCs w:val="18"/>
        </w:rPr>
        <w:t>. Available at: www.ahha.asn.au/sites/default/files/docs/policy-issue/leading_change_in_primary_care.pdf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3287" w14:textId="77777777" w:rsidR="000401C8" w:rsidRDefault="00040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F15ED" w14:textId="77777777" w:rsidR="002F60D5" w:rsidRDefault="002F60D5" w:rsidP="00521C17">
    <w:pPr>
      <w:pStyle w:val="Header"/>
    </w:pPr>
    <w:r>
      <w:rPr>
        <w:noProof/>
        <w:lang w:eastAsia="en-AU"/>
      </w:rPr>
      <w:drawing>
        <wp:inline distT="0" distB="0" distL="0" distR="0" wp14:anchorId="422921F7" wp14:editId="520EE63E">
          <wp:extent cx="6188710" cy="1069340"/>
          <wp:effectExtent l="0" t="0" r="2540" b="0"/>
          <wp:docPr id="2" name="Picture 2" descr="The Australian Government Department of Health and PHN identifier. " title="PHN Commis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Document Banner.PNG"/>
                  <pic:cNvPicPr/>
                </pic:nvPicPr>
                <pic:blipFill>
                  <a:blip r:embed="rId1">
                    <a:extLst>
                      <a:ext uri="{28A0092B-C50C-407E-A947-70E740481C1C}">
                        <a14:useLocalDpi xmlns:a14="http://schemas.microsoft.com/office/drawing/2010/main" val="0"/>
                      </a:ext>
                    </a:extLst>
                  </a:blip>
                  <a:stretch>
                    <a:fillRect/>
                  </a:stretch>
                </pic:blipFill>
                <pic:spPr>
                  <a:xfrm>
                    <a:off x="0" y="0"/>
                    <a:ext cx="6188710" cy="10693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E5469" w14:textId="5EC03CFF" w:rsidR="002F60D5" w:rsidRDefault="002F60D5" w:rsidP="00564821">
    <w:pPr>
      <w:pStyle w:val="Header"/>
      <w:jc w:val="center"/>
    </w:pPr>
    <w:r>
      <w:rPr>
        <w:color w:val="FF0000"/>
      </w:rPr>
      <w:t>Consultation draft – NOT FOR FURTHER DISTRIBUTION</w:t>
    </w:r>
  </w:p>
  <w:p w14:paraId="5D5916E9" w14:textId="77777777" w:rsidR="002F60D5" w:rsidRDefault="002F60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E4176" w14:textId="57E82245" w:rsidR="002F60D5" w:rsidRPr="0023645F" w:rsidRDefault="002F60D5" w:rsidP="00C45EC5">
    <w:pPr>
      <w:pStyle w:val="Header"/>
    </w:pPr>
    <w:r w:rsidRPr="0023645F">
      <w:ptab w:relativeTo="margin" w:alignment="left" w:leader="none"/>
    </w:r>
    <w:r>
      <w:ptab w:relativeTo="margin" w:alignment="right" w:leader="none"/>
    </w:r>
    <w:fldSimple w:instr=" STYLEREF  &quot;Section Heading&quot;  \* MERGEFORMAT ">
      <w:r w:rsidR="006128AA" w:rsidRPr="006128AA">
        <w:rPr>
          <w:noProof/>
          <w:lang w:val="en-US"/>
        </w:rPr>
        <w:t>Definitions</w:t>
      </w:r>
      <w:r w:rsidR="006128AA">
        <w:rPr>
          <w:noProof/>
        </w:rPr>
        <w:t xml:space="preserve"> of some key terms used in this guidance</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0A841" w14:textId="3B1F9058" w:rsidR="002F60D5" w:rsidRDefault="002F60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ED7E" w14:textId="24E6F53C" w:rsidR="002F60D5" w:rsidRPr="0023645F" w:rsidRDefault="002F60D5" w:rsidP="00BD4E04">
    <w:pPr>
      <w:pStyle w:val="Header"/>
    </w:pPr>
    <w:r w:rsidRPr="0023645F">
      <w:ptab w:relativeTo="margin" w:alignment="left" w:leader="none"/>
    </w:r>
    <w:r>
      <w:ptab w:relativeTo="margin" w:alignment="right" w:leader="none"/>
    </w:r>
    <w:fldSimple w:instr=" STYLEREF  &quot;Heading 1&quot;  \* MERGEFORMAT ">
      <w:r w:rsidR="006128AA">
        <w:rPr>
          <w:noProof/>
        </w:rPr>
        <w:t>Key commissioning competencies and skills</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C07A9" w14:textId="184E4061" w:rsidR="002F60D5" w:rsidRDefault="002F6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526"/>
    <w:multiLevelType w:val="multilevel"/>
    <w:tmpl w:val="A03E09D4"/>
    <w:lvl w:ilvl="0">
      <w:start w:val="1"/>
      <w:numFmt w:val="decimal"/>
      <w:pStyle w:val="Tablelistnumber"/>
      <w:lvlText w:val="%1."/>
      <w:lvlJc w:val="left"/>
      <w:pPr>
        <w:ind w:left="360" w:hanging="360"/>
      </w:pPr>
      <w:rPr>
        <w:rFonts w:hint="default"/>
      </w:rPr>
    </w:lvl>
    <w:lvl w:ilvl="1">
      <w:start w:val="3"/>
      <w:numFmt w:val="decimal"/>
      <w:isLgl/>
      <w:lvlText w:val="%1.%2"/>
      <w:lvlJc w:val="left"/>
      <w:pPr>
        <w:ind w:left="930" w:hanging="930"/>
      </w:pPr>
      <w:rPr>
        <w:rFonts w:hint="default"/>
      </w:rPr>
    </w:lvl>
    <w:lvl w:ilvl="2">
      <w:start w:val="2"/>
      <w:numFmt w:val="decimal"/>
      <w:isLgl/>
      <w:lvlText w:val="%1.%2.%3"/>
      <w:lvlJc w:val="left"/>
      <w:pPr>
        <w:ind w:left="930" w:hanging="93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A505FDE"/>
    <w:multiLevelType w:val="hybridMultilevel"/>
    <w:tmpl w:val="DEDA04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B63F8B"/>
    <w:multiLevelType w:val="hybridMultilevel"/>
    <w:tmpl w:val="13FCE8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46660E"/>
    <w:multiLevelType w:val="multilevel"/>
    <w:tmpl w:val="0778FCDE"/>
    <w:styleLink w:val="List9"/>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4" w15:restartNumberingAfterBreak="0">
    <w:nsid w:val="119A7D37"/>
    <w:multiLevelType w:val="hybridMultilevel"/>
    <w:tmpl w:val="EFA64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0F0D8E"/>
    <w:multiLevelType w:val="hybridMultilevel"/>
    <w:tmpl w:val="49E2C100"/>
    <w:lvl w:ilvl="0" w:tplc="C18A542A">
      <w:start w:val="1"/>
      <w:numFmt w:val="bullet"/>
      <w:pStyle w:val="CaseStud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934D6"/>
    <w:multiLevelType w:val="hybridMultilevel"/>
    <w:tmpl w:val="6D96ACCC"/>
    <w:lvl w:ilvl="0" w:tplc="2B58585E">
      <w:start w:val="1"/>
      <w:numFmt w:val="decimal"/>
      <w:pStyle w:val="Tablenumberedtextnor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56702E"/>
    <w:multiLevelType w:val="hybridMultilevel"/>
    <w:tmpl w:val="13FCE8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2750A15"/>
    <w:multiLevelType w:val="multilevel"/>
    <w:tmpl w:val="03F4EC24"/>
    <w:styleLink w:val="List18"/>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9" w15:restartNumberingAfterBreak="0">
    <w:nsid w:val="2740019F"/>
    <w:multiLevelType w:val="hybridMultilevel"/>
    <w:tmpl w:val="CB529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1" w15:restartNumberingAfterBreak="0">
    <w:nsid w:val="3DE079B7"/>
    <w:multiLevelType w:val="multilevel"/>
    <w:tmpl w:val="5DA05784"/>
    <w:styleLink w:val="Bullet"/>
    <w:lvl w:ilvl="0">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2" w15:restartNumberingAfterBreak="0">
    <w:nsid w:val="434739B9"/>
    <w:multiLevelType w:val="hybridMultilevel"/>
    <w:tmpl w:val="8DC4431A"/>
    <w:lvl w:ilvl="0" w:tplc="A66268C6">
      <w:start w:val="1"/>
      <w:numFmt w:val="bullet"/>
      <w:pStyle w:val="BulletlistSkyBlue"/>
      <w:lvlText w:val=""/>
      <w:lvlJc w:val="left"/>
      <w:pPr>
        <w:ind w:left="720" w:hanging="360"/>
      </w:pPr>
      <w:rPr>
        <w:rFonts w:ascii="Symbol" w:hAnsi="Symbol" w:hint="default"/>
        <w:b w:val="0"/>
        <w:i w:val="0"/>
        <w:color w:val="000000" w:themeColor="text1"/>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8256D"/>
    <w:multiLevelType w:val="hybridMultilevel"/>
    <w:tmpl w:val="96FA6C9A"/>
    <w:lvl w:ilvl="0" w:tplc="55287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DCC2AA3"/>
    <w:multiLevelType w:val="hybridMultilevel"/>
    <w:tmpl w:val="C1EC02F8"/>
    <w:lvl w:ilvl="0" w:tplc="2104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D2C92"/>
    <w:multiLevelType w:val="hybridMultilevel"/>
    <w:tmpl w:val="DEDA04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3917BB9"/>
    <w:multiLevelType w:val="multilevel"/>
    <w:tmpl w:val="A77E06AE"/>
    <w:lvl w:ilvl="0">
      <w:start w:val="1"/>
      <w:numFmt w:val="none"/>
      <w:pStyle w:val="MLNormal"/>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D324CE"/>
    <w:multiLevelType w:val="hybridMultilevel"/>
    <w:tmpl w:val="6DFE156A"/>
    <w:lvl w:ilvl="0" w:tplc="2104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6C5C95"/>
    <w:multiLevelType w:val="hybridMultilevel"/>
    <w:tmpl w:val="607019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AA60A54"/>
    <w:multiLevelType w:val="hybridMultilevel"/>
    <w:tmpl w:val="607019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AC24635"/>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D5D1FBB"/>
    <w:multiLevelType w:val="multilevel"/>
    <w:tmpl w:val="4748FC70"/>
    <w:lvl w:ilvl="0">
      <w:start w:val="1"/>
      <w:numFmt w:val="bullet"/>
      <w:pStyle w:val="ListBullet"/>
      <w:lvlText w:val=""/>
      <w:lvlJc w:val="left"/>
      <w:pPr>
        <w:ind w:left="360" w:hanging="360"/>
      </w:pPr>
      <w:rPr>
        <w:rFonts w:ascii="Symbol" w:hAnsi="Symbol" w:hint="default"/>
        <w:color w:val="404040" w:themeColor="text1" w:themeTint="BF"/>
        <w:sz w:val="22"/>
        <w:szCs w:val="22"/>
      </w:rPr>
    </w:lvl>
    <w:lvl w:ilvl="1">
      <w:start w:val="1"/>
      <w:numFmt w:val="bullet"/>
      <w:pStyle w:val="ListBullet2"/>
      <w:lvlText w:val="o"/>
      <w:lvlJc w:val="left"/>
      <w:pPr>
        <w:ind w:left="720" w:hanging="360"/>
      </w:pPr>
      <w:rPr>
        <w:rFonts w:ascii="Calibri Light" w:hAnsi="Calibri Light" w:hint="default"/>
        <w:color w:val="404040" w:themeColor="text1" w:themeTint="BF"/>
      </w:rPr>
    </w:lvl>
    <w:lvl w:ilvl="2">
      <w:start w:val="1"/>
      <w:numFmt w:val="lowerRoman"/>
      <w:pStyle w:val="ListBullet3"/>
      <w:lvlText w:val="%3)"/>
      <w:lvlJc w:val="left"/>
      <w:pPr>
        <w:ind w:left="1080" w:hanging="360"/>
      </w:pPr>
      <w:rPr>
        <w:rFonts w:hint="default"/>
      </w:rPr>
    </w:lvl>
    <w:lvl w:ilvl="3">
      <w:start w:val="1"/>
      <w:numFmt w:val="decimal"/>
      <w:pStyle w:val="ListBullet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7"/>
  </w:num>
  <w:num w:numId="3">
    <w:abstractNumId w:val="3"/>
  </w:num>
  <w:num w:numId="4">
    <w:abstractNumId w:val="11"/>
  </w:num>
  <w:num w:numId="5">
    <w:abstractNumId w:val="8"/>
  </w:num>
  <w:num w:numId="6">
    <w:abstractNumId w:val="14"/>
  </w:num>
  <w:num w:numId="7">
    <w:abstractNumId w:val="18"/>
  </w:num>
  <w:num w:numId="8">
    <w:abstractNumId w:val="0"/>
  </w:num>
  <w:num w:numId="9">
    <w:abstractNumId w:val="22"/>
  </w:num>
  <w:num w:numId="10">
    <w:abstractNumId w:val="23"/>
  </w:num>
  <w:num w:numId="11">
    <w:abstractNumId w:val="12"/>
  </w:num>
  <w:num w:numId="12">
    <w:abstractNumId w:val="4"/>
  </w:num>
  <w:num w:numId="13">
    <w:abstractNumId w:val="20"/>
  </w:num>
  <w:num w:numId="14">
    <w:abstractNumId w:val="1"/>
  </w:num>
  <w:num w:numId="15">
    <w:abstractNumId w:val="7"/>
  </w:num>
  <w:num w:numId="16">
    <w:abstractNumId w:val="9"/>
  </w:num>
  <w:num w:numId="17">
    <w:abstractNumId w:val="21"/>
  </w:num>
  <w:num w:numId="18">
    <w:abstractNumId w:val="16"/>
  </w:num>
  <w:num w:numId="19">
    <w:abstractNumId w:val="2"/>
  </w:num>
  <w:num w:numId="20">
    <w:abstractNumId w:val="6"/>
  </w:num>
  <w:num w:numId="21">
    <w:abstractNumId w:val="13"/>
  </w:num>
  <w:num w:numId="22">
    <w:abstractNumId w:val="19"/>
  </w:num>
  <w:num w:numId="23">
    <w:abstractNumId w:val="15"/>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5"/>
  </w:num>
  <w:num w:numId="43">
    <w:abstractNumId w:val="6"/>
    <w:lvlOverride w:ilvl="0">
      <w:startOverride w:val="1"/>
    </w:lvlOverride>
  </w:num>
  <w:num w:numId="44">
    <w:abstractNumId w:val="6"/>
    <w:lvlOverride w:ilvl="0">
      <w:startOverride w:val="1"/>
    </w:lvlOverride>
  </w:num>
  <w:num w:numId="45">
    <w:abstractNumId w:val="6"/>
    <w:lvlOverride w:ilvl="0">
      <w:startOverride w:val="1"/>
    </w:lvlOverride>
  </w:num>
  <w:num w:numId="46">
    <w:abstractNumId w:val="22"/>
  </w:num>
  <w:num w:numId="47">
    <w:abstractNumId w:val="23"/>
  </w:num>
  <w:num w:numId="48">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942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6B"/>
    <w:rsid w:val="00000014"/>
    <w:rsid w:val="00001956"/>
    <w:rsid w:val="00001B3F"/>
    <w:rsid w:val="00001BE2"/>
    <w:rsid w:val="000024A3"/>
    <w:rsid w:val="00002B2F"/>
    <w:rsid w:val="000030A3"/>
    <w:rsid w:val="0000349F"/>
    <w:rsid w:val="000034D1"/>
    <w:rsid w:val="00003798"/>
    <w:rsid w:val="0000389F"/>
    <w:rsid w:val="00004108"/>
    <w:rsid w:val="000042D3"/>
    <w:rsid w:val="000055C4"/>
    <w:rsid w:val="00006E05"/>
    <w:rsid w:val="00006E35"/>
    <w:rsid w:val="000079D1"/>
    <w:rsid w:val="00011431"/>
    <w:rsid w:val="00011799"/>
    <w:rsid w:val="00012434"/>
    <w:rsid w:val="000126A4"/>
    <w:rsid w:val="00012C16"/>
    <w:rsid w:val="00013344"/>
    <w:rsid w:val="00013A80"/>
    <w:rsid w:val="00013B60"/>
    <w:rsid w:val="00013C52"/>
    <w:rsid w:val="000141E6"/>
    <w:rsid w:val="00014527"/>
    <w:rsid w:val="000148BD"/>
    <w:rsid w:val="00015A37"/>
    <w:rsid w:val="00015C70"/>
    <w:rsid w:val="000169A6"/>
    <w:rsid w:val="00016CA4"/>
    <w:rsid w:val="000171F7"/>
    <w:rsid w:val="000178F7"/>
    <w:rsid w:val="000207B5"/>
    <w:rsid w:val="0002084E"/>
    <w:rsid w:val="00020FEB"/>
    <w:rsid w:val="00020FFC"/>
    <w:rsid w:val="00021018"/>
    <w:rsid w:val="00021705"/>
    <w:rsid w:val="00021757"/>
    <w:rsid w:val="00021B10"/>
    <w:rsid w:val="0002226A"/>
    <w:rsid w:val="000226DE"/>
    <w:rsid w:val="00022E59"/>
    <w:rsid w:val="00022EE2"/>
    <w:rsid w:val="0002366E"/>
    <w:rsid w:val="000237FC"/>
    <w:rsid w:val="00023BAA"/>
    <w:rsid w:val="000247EB"/>
    <w:rsid w:val="000252A5"/>
    <w:rsid w:val="0002581E"/>
    <w:rsid w:val="00025913"/>
    <w:rsid w:val="00025D56"/>
    <w:rsid w:val="000260EE"/>
    <w:rsid w:val="000274C8"/>
    <w:rsid w:val="000300A6"/>
    <w:rsid w:val="00030AA9"/>
    <w:rsid w:val="000314A4"/>
    <w:rsid w:val="000315AB"/>
    <w:rsid w:val="00031D39"/>
    <w:rsid w:val="0003253A"/>
    <w:rsid w:val="00032D90"/>
    <w:rsid w:val="0003427F"/>
    <w:rsid w:val="000343C8"/>
    <w:rsid w:val="00035FE8"/>
    <w:rsid w:val="0003647B"/>
    <w:rsid w:val="0003697D"/>
    <w:rsid w:val="00036AE5"/>
    <w:rsid w:val="0003715B"/>
    <w:rsid w:val="00037183"/>
    <w:rsid w:val="00037CC5"/>
    <w:rsid w:val="00037F36"/>
    <w:rsid w:val="000401C8"/>
    <w:rsid w:val="0004063A"/>
    <w:rsid w:val="000406D3"/>
    <w:rsid w:val="000412E1"/>
    <w:rsid w:val="00041771"/>
    <w:rsid w:val="00041910"/>
    <w:rsid w:val="00041F7F"/>
    <w:rsid w:val="000420B4"/>
    <w:rsid w:val="00042365"/>
    <w:rsid w:val="00042625"/>
    <w:rsid w:val="00042E83"/>
    <w:rsid w:val="00043568"/>
    <w:rsid w:val="00043C00"/>
    <w:rsid w:val="000443B9"/>
    <w:rsid w:val="00044E17"/>
    <w:rsid w:val="00044FF9"/>
    <w:rsid w:val="000450AF"/>
    <w:rsid w:val="000451BC"/>
    <w:rsid w:val="00045806"/>
    <w:rsid w:val="00046C1D"/>
    <w:rsid w:val="00051091"/>
    <w:rsid w:val="00051548"/>
    <w:rsid w:val="000515BD"/>
    <w:rsid w:val="00051D6E"/>
    <w:rsid w:val="00052AE8"/>
    <w:rsid w:val="00052BB6"/>
    <w:rsid w:val="00052F8D"/>
    <w:rsid w:val="00053F8E"/>
    <w:rsid w:val="00054847"/>
    <w:rsid w:val="0005488B"/>
    <w:rsid w:val="000556E5"/>
    <w:rsid w:val="00056120"/>
    <w:rsid w:val="00056627"/>
    <w:rsid w:val="00056891"/>
    <w:rsid w:val="00056F24"/>
    <w:rsid w:val="00057027"/>
    <w:rsid w:val="00057D25"/>
    <w:rsid w:val="00060710"/>
    <w:rsid w:val="000622B4"/>
    <w:rsid w:val="000626B9"/>
    <w:rsid w:val="00062AFA"/>
    <w:rsid w:val="00064409"/>
    <w:rsid w:val="00065968"/>
    <w:rsid w:val="00065A47"/>
    <w:rsid w:val="00065D18"/>
    <w:rsid w:val="00065EDB"/>
    <w:rsid w:val="00067B5C"/>
    <w:rsid w:val="00067C02"/>
    <w:rsid w:val="0007037F"/>
    <w:rsid w:val="00070944"/>
    <w:rsid w:val="00071406"/>
    <w:rsid w:val="00071EE6"/>
    <w:rsid w:val="00072B1E"/>
    <w:rsid w:val="00072FC4"/>
    <w:rsid w:val="000735EE"/>
    <w:rsid w:val="000747D7"/>
    <w:rsid w:val="0007512C"/>
    <w:rsid w:val="000751FD"/>
    <w:rsid w:val="00075A50"/>
    <w:rsid w:val="000777D1"/>
    <w:rsid w:val="00077A98"/>
    <w:rsid w:val="000804F3"/>
    <w:rsid w:val="000810AA"/>
    <w:rsid w:val="000817A9"/>
    <w:rsid w:val="000818CD"/>
    <w:rsid w:val="00081DBA"/>
    <w:rsid w:val="00081EF2"/>
    <w:rsid w:val="00082381"/>
    <w:rsid w:val="0008251D"/>
    <w:rsid w:val="00082E7F"/>
    <w:rsid w:val="00083C39"/>
    <w:rsid w:val="000846D5"/>
    <w:rsid w:val="00084BCF"/>
    <w:rsid w:val="00084DAB"/>
    <w:rsid w:val="00086E07"/>
    <w:rsid w:val="00087B67"/>
    <w:rsid w:val="0009071E"/>
    <w:rsid w:val="00091287"/>
    <w:rsid w:val="00091B59"/>
    <w:rsid w:val="00092C39"/>
    <w:rsid w:val="00093379"/>
    <w:rsid w:val="00093C86"/>
    <w:rsid w:val="00093E53"/>
    <w:rsid w:val="00094200"/>
    <w:rsid w:val="00094CA2"/>
    <w:rsid w:val="000954BD"/>
    <w:rsid w:val="0009565A"/>
    <w:rsid w:val="0009711C"/>
    <w:rsid w:val="000A06DC"/>
    <w:rsid w:val="000A09C6"/>
    <w:rsid w:val="000A0A01"/>
    <w:rsid w:val="000A0D4D"/>
    <w:rsid w:val="000A1B55"/>
    <w:rsid w:val="000A23EB"/>
    <w:rsid w:val="000A2A9E"/>
    <w:rsid w:val="000A2EA7"/>
    <w:rsid w:val="000A3123"/>
    <w:rsid w:val="000A3256"/>
    <w:rsid w:val="000A3B29"/>
    <w:rsid w:val="000A3E35"/>
    <w:rsid w:val="000A4065"/>
    <w:rsid w:val="000A5C85"/>
    <w:rsid w:val="000A5EC9"/>
    <w:rsid w:val="000A6018"/>
    <w:rsid w:val="000A6811"/>
    <w:rsid w:val="000A6FF6"/>
    <w:rsid w:val="000A793B"/>
    <w:rsid w:val="000A7990"/>
    <w:rsid w:val="000B05D2"/>
    <w:rsid w:val="000B0727"/>
    <w:rsid w:val="000B076A"/>
    <w:rsid w:val="000B105B"/>
    <w:rsid w:val="000B1547"/>
    <w:rsid w:val="000B1FC8"/>
    <w:rsid w:val="000B36AE"/>
    <w:rsid w:val="000B3FC8"/>
    <w:rsid w:val="000B4545"/>
    <w:rsid w:val="000B4BA8"/>
    <w:rsid w:val="000B4CA0"/>
    <w:rsid w:val="000B4D0E"/>
    <w:rsid w:val="000B4D90"/>
    <w:rsid w:val="000B6085"/>
    <w:rsid w:val="000B6962"/>
    <w:rsid w:val="000B7916"/>
    <w:rsid w:val="000B7B4A"/>
    <w:rsid w:val="000B7FA6"/>
    <w:rsid w:val="000C020E"/>
    <w:rsid w:val="000C0241"/>
    <w:rsid w:val="000C1A27"/>
    <w:rsid w:val="000C1E77"/>
    <w:rsid w:val="000C23F3"/>
    <w:rsid w:val="000C2418"/>
    <w:rsid w:val="000C2597"/>
    <w:rsid w:val="000C28A8"/>
    <w:rsid w:val="000C29DA"/>
    <w:rsid w:val="000C4119"/>
    <w:rsid w:val="000C4277"/>
    <w:rsid w:val="000C6779"/>
    <w:rsid w:val="000C6EDB"/>
    <w:rsid w:val="000C74C8"/>
    <w:rsid w:val="000C7A8B"/>
    <w:rsid w:val="000D001F"/>
    <w:rsid w:val="000D0808"/>
    <w:rsid w:val="000D0A20"/>
    <w:rsid w:val="000D1DAE"/>
    <w:rsid w:val="000D1F08"/>
    <w:rsid w:val="000D2049"/>
    <w:rsid w:val="000D22D0"/>
    <w:rsid w:val="000D2914"/>
    <w:rsid w:val="000D29CE"/>
    <w:rsid w:val="000D3E7A"/>
    <w:rsid w:val="000D3EA9"/>
    <w:rsid w:val="000D46EB"/>
    <w:rsid w:val="000D471A"/>
    <w:rsid w:val="000D546D"/>
    <w:rsid w:val="000D6470"/>
    <w:rsid w:val="000D6ACE"/>
    <w:rsid w:val="000D7676"/>
    <w:rsid w:val="000D79AF"/>
    <w:rsid w:val="000D7E07"/>
    <w:rsid w:val="000E019A"/>
    <w:rsid w:val="000E0A16"/>
    <w:rsid w:val="000E19B0"/>
    <w:rsid w:val="000E1BFE"/>
    <w:rsid w:val="000E2CFD"/>
    <w:rsid w:val="000E3059"/>
    <w:rsid w:val="000E4365"/>
    <w:rsid w:val="000E4F32"/>
    <w:rsid w:val="000E5F33"/>
    <w:rsid w:val="000E61B3"/>
    <w:rsid w:val="000E622B"/>
    <w:rsid w:val="000E6383"/>
    <w:rsid w:val="000E714A"/>
    <w:rsid w:val="000E72BC"/>
    <w:rsid w:val="000F1578"/>
    <w:rsid w:val="000F2724"/>
    <w:rsid w:val="000F2C86"/>
    <w:rsid w:val="000F2DB3"/>
    <w:rsid w:val="000F3156"/>
    <w:rsid w:val="000F3D4E"/>
    <w:rsid w:val="000F42E7"/>
    <w:rsid w:val="000F489D"/>
    <w:rsid w:val="000F4E8B"/>
    <w:rsid w:val="000F5384"/>
    <w:rsid w:val="000F549D"/>
    <w:rsid w:val="000F577A"/>
    <w:rsid w:val="000F5E69"/>
    <w:rsid w:val="000F5EE4"/>
    <w:rsid w:val="000F6105"/>
    <w:rsid w:val="000F68BD"/>
    <w:rsid w:val="000F6B76"/>
    <w:rsid w:val="000F6BDC"/>
    <w:rsid w:val="000F6DFB"/>
    <w:rsid w:val="000F6F79"/>
    <w:rsid w:val="000F7566"/>
    <w:rsid w:val="001008F2"/>
    <w:rsid w:val="00100D7C"/>
    <w:rsid w:val="001011CB"/>
    <w:rsid w:val="00101421"/>
    <w:rsid w:val="00101555"/>
    <w:rsid w:val="001016C5"/>
    <w:rsid w:val="00101A08"/>
    <w:rsid w:val="00101A96"/>
    <w:rsid w:val="001020A9"/>
    <w:rsid w:val="00102468"/>
    <w:rsid w:val="00103585"/>
    <w:rsid w:val="00103FAE"/>
    <w:rsid w:val="001041FA"/>
    <w:rsid w:val="001042A1"/>
    <w:rsid w:val="001047A5"/>
    <w:rsid w:val="00104A93"/>
    <w:rsid w:val="001050A5"/>
    <w:rsid w:val="001057FA"/>
    <w:rsid w:val="00105B55"/>
    <w:rsid w:val="0010643C"/>
    <w:rsid w:val="0010797A"/>
    <w:rsid w:val="00107BC6"/>
    <w:rsid w:val="00107F7F"/>
    <w:rsid w:val="001103AA"/>
    <w:rsid w:val="0011052B"/>
    <w:rsid w:val="001106AD"/>
    <w:rsid w:val="00111DBF"/>
    <w:rsid w:val="00112A29"/>
    <w:rsid w:val="0011370B"/>
    <w:rsid w:val="00114413"/>
    <w:rsid w:val="001147CF"/>
    <w:rsid w:val="00114E35"/>
    <w:rsid w:val="00115295"/>
    <w:rsid w:val="0011575F"/>
    <w:rsid w:val="001157C6"/>
    <w:rsid w:val="001161B0"/>
    <w:rsid w:val="001166FB"/>
    <w:rsid w:val="00116717"/>
    <w:rsid w:val="001168EA"/>
    <w:rsid w:val="00117C5B"/>
    <w:rsid w:val="0012008A"/>
    <w:rsid w:val="0012076F"/>
    <w:rsid w:val="0012133E"/>
    <w:rsid w:val="00121777"/>
    <w:rsid w:val="00121FF8"/>
    <w:rsid w:val="001226A7"/>
    <w:rsid w:val="00122CCE"/>
    <w:rsid w:val="001230D7"/>
    <w:rsid w:val="00123538"/>
    <w:rsid w:val="00123D03"/>
    <w:rsid w:val="0012425C"/>
    <w:rsid w:val="001245D4"/>
    <w:rsid w:val="00125972"/>
    <w:rsid w:val="00127503"/>
    <w:rsid w:val="00130EDF"/>
    <w:rsid w:val="00131642"/>
    <w:rsid w:val="00131C86"/>
    <w:rsid w:val="00131DC5"/>
    <w:rsid w:val="001327C1"/>
    <w:rsid w:val="00132B3C"/>
    <w:rsid w:val="001339DF"/>
    <w:rsid w:val="001348B2"/>
    <w:rsid w:val="00135CC2"/>
    <w:rsid w:val="00135E2A"/>
    <w:rsid w:val="00136282"/>
    <w:rsid w:val="001367A7"/>
    <w:rsid w:val="00136B16"/>
    <w:rsid w:val="00136EC5"/>
    <w:rsid w:val="00137B76"/>
    <w:rsid w:val="00137E82"/>
    <w:rsid w:val="0014014D"/>
    <w:rsid w:val="0014023D"/>
    <w:rsid w:val="0014044B"/>
    <w:rsid w:val="0014073E"/>
    <w:rsid w:val="00140826"/>
    <w:rsid w:val="00140B23"/>
    <w:rsid w:val="00140D57"/>
    <w:rsid w:val="0014108C"/>
    <w:rsid w:val="0014118C"/>
    <w:rsid w:val="00141C62"/>
    <w:rsid w:val="0014228C"/>
    <w:rsid w:val="0014351C"/>
    <w:rsid w:val="0014352F"/>
    <w:rsid w:val="00143961"/>
    <w:rsid w:val="00143C77"/>
    <w:rsid w:val="00144076"/>
    <w:rsid w:val="00144C47"/>
    <w:rsid w:val="00145A4F"/>
    <w:rsid w:val="00145ABE"/>
    <w:rsid w:val="00146592"/>
    <w:rsid w:val="00147028"/>
    <w:rsid w:val="001470E5"/>
    <w:rsid w:val="001474EE"/>
    <w:rsid w:val="00147A08"/>
    <w:rsid w:val="00147D4D"/>
    <w:rsid w:val="00147E6B"/>
    <w:rsid w:val="00151225"/>
    <w:rsid w:val="0015152D"/>
    <w:rsid w:val="00151F69"/>
    <w:rsid w:val="001534B1"/>
    <w:rsid w:val="001534B7"/>
    <w:rsid w:val="001536BA"/>
    <w:rsid w:val="00153B12"/>
    <w:rsid w:val="00153B80"/>
    <w:rsid w:val="00155A62"/>
    <w:rsid w:val="00155CCE"/>
    <w:rsid w:val="00156B54"/>
    <w:rsid w:val="00156CED"/>
    <w:rsid w:val="00157344"/>
    <w:rsid w:val="00160BE5"/>
    <w:rsid w:val="00160D18"/>
    <w:rsid w:val="00161555"/>
    <w:rsid w:val="0016178B"/>
    <w:rsid w:val="00161E26"/>
    <w:rsid w:val="00162779"/>
    <w:rsid w:val="00162B8A"/>
    <w:rsid w:val="0016335F"/>
    <w:rsid w:val="001639AD"/>
    <w:rsid w:val="00165314"/>
    <w:rsid w:val="001654AF"/>
    <w:rsid w:val="0016582B"/>
    <w:rsid w:val="001658F9"/>
    <w:rsid w:val="00165F6D"/>
    <w:rsid w:val="00166379"/>
    <w:rsid w:val="00166499"/>
    <w:rsid w:val="0017082C"/>
    <w:rsid w:val="00172060"/>
    <w:rsid w:val="0017224A"/>
    <w:rsid w:val="001728FC"/>
    <w:rsid w:val="00172BC6"/>
    <w:rsid w:val="00173CD6"/>
    <w:rsid w:val="00174CF5"/>
    <w:rsid w:val="001752C1"/>
    <w:rsid w:val="00175C3F"/>
    <w:rsid w:val="0017784A"/>
    <w:rsid w:val="00177B6F"/>
    <w:rsid w:val="0018134D"/>
    <w:rsid w:val="001814CB"/>
    <w:rsid w:val="00181A19"/>
    <w:rsid w:val="00181D89"/>
    <w:rsid w:val="00182747"/>
    <w:rsid w:val="001827CB"/>
    <w:rsid w:val="001827FF"/>
    <w:rsid w:val="00183987"/>
    <w:rsid w:val="00183CC3"/>
    <w:rsid w:val="001842BF"/>
    <w:rsid w:val="0018510B"/>
    <w:rsid w:val="001851EB"/>
    <w:rsid w:val="0018577F"/>
    <w:rsid w:val="00187AD3"/>
    <w:rsid w:val="00187B7C"/>
    <w:rsid w:val="00187CA3"/>
    <w:rsid w:val="0019005A"/>
    <w:rsid w:val="001900F6"/>
    <w:rsid w:val="001914D8"/>
    <w:rsid w:val="0019247B"/>
    <w:rsid w:val="00192720"/>
    <w:rsid w:val="00192D2B"/>
    <w:rsid w:val="00193461"/>
    <w:rsid w:val="00193AC4"/>
    <w:rsid w:val="00194A83"/>
    <w:rsid w:val="00194CF2"/>
    <w:rsid w:val="001963A0"/>
    <w:rsid w:val="0019647E"/>
    <w:rsid w:val="00197607"/>
    <w:rsid w:val="00197F3D"/>
    <w:rsid w:val="001A0582"/>
    <w:rsid w:val="001A0A60"/>
    <w:rsid w:val="001A1044"/>
    <w:rsid w:val="001A1077"/>
    <w:rsid w:val="001A1AA7"/>
    <w:rsid w:val="001A1B65"/>
    <w:rsid w:val="001A2B27"/>
    <w:rsid w:val="001A43DC"/>
    <w:rsid w:val="001A4A8E"/>
    <w:rsid w:val="001A4AA8"/>
    <w:rsid w:val="001A4D2A"/>
    <w:rsid w:val="001A4DA9"/>
    <w:rsid w:val="001A5481"/>
    <w:rsid w:val="001A6022"/>
    <w:rsid w:val="001A627A"/>
    <w:rsid w:val="001A7059"/>
    <w:rsid w:val="001A711D"/>
    <w:rsid w:val="001A77DC"/>
    <w:rsid w:val="001A784C"/>
    <w:rsid w:val="001A7928"/>
    <w:rsid w:val="001B04A2"/>
    <w:rsid w:val="001B0B93"/>
    <w:rsid w:val="001B116E"/>
    <w:rsid w:val="001B16F3"/>
    <w:rsid w:val="001B1880"/>
    <w:rsid w:val="001B19A4"/>
    <w:rsid w:val="001B1C38"/>
    <w:rsid w:val="001B3045"/>
    <w:rsid w:val="001B3443"/>
    <w:rsid w:val="001B3516"/>
    <w:rsid w:val="001B4542"/>
    <w:rsid w:val="001B4791"/>
    <w:rsid w:val="001B4B20"/>
    <w:rsid w:val="001B5691"/>
    <w:rsid w:val="001B5AAC"/>
    <w:rsid w:val="001B5D5A"/>
    <w:rsid w:val="001B5E10"/>
    <w:rsid w:val="001B671C"/>
    <w:rsid w:val="001B7122"/>
    <w:rsid w:val="001B7768"/>
    <w:rsid w:val="001B7DAD"/>
    <w:rsid w:val="001B7DD3"/>
    <w:rsid w:val="001C04DB"/>
    <w:rsid w:val="001C0D02"/>
    <w:rsid w:val="001C0D27"/>
    <w:rsid w:val="001C1313"/>
    <w:rsid w:val="001C1B55"/>
    <w:rsid w:val="001C22A3"/>
    <w:rsid w:val="001C2EE2"/>
    <w:rsid w:val="001C35CB"/>
    <w:rsid w:val="001C3718"/>
    <w:rsid w:val="001C3786"/>
    <w:rsid w:val="001C43BF"/>
    <w:rsid w:val="001C4433"/>
    <w:rsid w:val="001C5369"/>
    <w:rsid w:val="001C6591"/>
    <w:rsid w:val="001C677E"/>
    <w:rsid w:val="001C6EC5"/>
    <w:rsid w:val="001C76C7"/>
    <w:rsid w:val="001D02F0"/>
    <w:rsid w:val="001D043F"/>
    <w:rsid w:val="001D067D"/>
    <w:rsid w:val="001D0BFC"/>
    <w:rsid w:val="001D1AEC"/>
    <w:rsid w:val="001D2892"/>
    <w:rsid w:val="001D3161"/>
    <w:rsid w:val="001D408B"/>
    <w:rsid w:val="001D423C"/>
    <w:rsid w:val="001D444E"/>
    <w:rsid w:val="001D4A9C"/>
    <w:rsid w:val="001D52E1"/>
    <w:rsid w:val="001D56AE"/>
    <w:rsid w:val="001D5936"/>
    <w:rsid w:val="001D59DA"/>
    <w:rsid w:val="001D60F5"/>
    <w:rsid w:val="001D6F8D"/>
    <w:rsid w:val="001E14C2"/>
    <w:rsid w:val="001E1A9B"/>
    <w:rsid w:val="001E1DEF"/>
    <w:rsid w:val="001E2416"/>
    <w:rsid w:val="001E2897"/>
    <w:rsid w:val="001E29E7"/>
    <w:rsid w:val="001E30F8"/>
    <w:rsid w:val="001E3E21"/>
    <w:rsid w:val="001E4425"/>
    <w:rsid w:val="001E4691"/>
    <w:rsid w:val="001E54FB"/>
    <w:rsid w:val="001E5D19"/>
    <w:rsid w:val="001E624B"/>
    <w:rsid w:val="001E63DA"/>
    <w:rsid w:val="001E6630"/>
    <w:rsid w:val="001E6F5B"/>
    <w:rsid w:val="001E72A9"/>
    <w:rsid w:val="001E7A1C"/>
    <w:rsid w:val="001F0132"/>
    <w:rsid w:val="001F03DF"/>
    <w:rsid w:val="001F19D0"/>
    <w:rsid w:val="001F1C21"/>
    <w:rsid w:val="001F1D9B"/>
    <w:rsid w:val="001F267D"/>
    <w:rsid w:val="001F281C"/>
    <w:rsid w:val="001F3201"/>
    <w:rsid w:val="001F34F9"/>
    <w:rsid w:val="001F3588"/>
    <w:rsid w:val="001F5161"/>
    <w:rsid w:val="001F520A"/>
    <w:rsid w:val="001F5DCC"/>
    <w:rsid w:val="001F676D"/>
    <w:rsid w:val="001F69B6"/>
    <w:rsid w:val="001F6DE8"/>
    <w:rsid w:val="001F7B86"/>
    <w:rsid w:val="001F7BD1"/>
    <w:rsid w:val="001F7F0C"/>
    <w:rsid w:val="001F7F75"/>
    <w:rsid w:val="0020006C"/>
    <w:rsid w:val="002008CC"/>
    <w:rsid w:val="002009AE"/>
    <w:rsid w:val="00200D0E"/>
    <w:rsid w:val="00201181"/>
    <w:rsid w:val="002013F5"/>
    <w:rsid w:val="002014A6"/>
    <w:rsid w:val="00201568"/>
    <w:rsid w:val="002018DC"/>
    <w:rsid w:val="00201ACB"/>
    <w:rsid w:val="00201BA6"/>
    <w:rsid w:val="00201E65"/>
    <w:rsid w:val="00201EB1"/>
    <w:rsid w:val="00203657"/>
    <w:rsid w:val="002037AF"/>
    <w:rsid w:val="002038F1"/>
    <w:rsid w:val="0020413A"/>
    <w:rsid w:val="00205FB0"/>
    <w:rsid w:val="00206624"/>
    <w:rsid w:val="00206A38"/>
    <w:rsid w:val="00206B3A"/>
    <w:rsid w:val="00210F47"/>
    <w:rsid w:val="00212477"/>
    <w:rsid w:val="00212F91"/>
    <w:rsid w:val="002135DC"/>
    <w:rsid w:val="002139F9"/>
    <w:rsid w:val="00214050"/>
    <w:rsid w:val="00214122"/>
    <w:rsid w:val="002141CD"/>
    <w:rsid w:val="00215C68"/>
    <w:rsid w:val="0021621A"/>
    <w:rsid w:val="002171EB"/>
    <w:rsid w:val="00217798"/>
    <w:rsid w:val="00217968"/>
    <w:rsid w:val="00217CB2"/>
    <w:rsid w:val="00220047"/>
    <w:rsid w:val="0022020F"/>
    <w:rsid w:val="002209A1"/>
    <w:rsid w:val="0022148A"/>
    <w:rsid w:val="00221B47"/>
    <w:rsid w:val="00223536"/>
    <w:rsid w:val="002240C1"/>
    <w:rsid w:val="002246D9"/>
    <w:rsid w:val="00224F78"/>
    <w:rsid w:val="00224F86"/>
    <w:rsid w:val="002251A8"/>
    <w:rsid w:val="00226952"/>
    <w:rsid w:val="00226976"/>
    <w:rsid w:val="00226A82"/>
    <w:rsid w:val="00226D38"/>
    <w:rsid w:val="002275DA"/>
    <w:rsid w:val="0023094A"/>
    <w:rsid w:val="00231B71"/>
    <w:rsid w:val="00231BF9"/>
    <w:rsid w:val="002321B4"/>
    <w:rsid w:val="00232997"/>
    <w:rsid w:val="00232BCC"/>
    <w:rsid w:val="00232D30"/>
    <w:rsid w:val="00232EA8"/>
    <w:rsid w:val="00233CAD"/>
    <w:rsid w:val="0023426D"/>
    <w:rsid w:val="00234B3F"/>
    <w:rsid w:val="00235C65"/>
    <w:rsid w:val="00235F36"/>
    <w:rsid w:val="0023645F"/>
    <w:rsid w:val="00236BDF"/>
    <w:rsid w:val="002371E2"/>
    <w:rsid w:val="00237580"/>
    <w:rsid w:val="0023764E"/>
    <w:rsid w:val="00241B90"/>
    <w:rsid w:val="00241D71"/>
    <w:rsid w:val="00241DAC"/>
    <w:rsid w:val="00242849"/>
    <w:rsid w:val="00242BBD"/>
    <w:rsid w:val="00242BD4"/>
    <w:rsid w:val="0024392F"/>
    <w:rsid w:val="00243F07"/>
    <w:rsid w:val="0024447F"/>
    <w:rsid w:val="00244F5F"/>
    <w:rsid w:val="0024562D"/>
    <w:rsid w:val="00246321"/>
    <w:rsid w:val="00246B91"/>
    <w:rsid w:val="00247739"/>
    <w:rsid w:val="002500A0"/>
    <w:rsid w:val="00250D53"/>
    <w:rsid w:val="00250DD8"/>
    <w:rsid w:val="00250E85"/>
    <w:rsid w:val="00250EC2"/>
    <w:rsid w:val="00251707"/>
    <w:rsid w:val="00252346"/>
    <w:rsid w:val="0025252A"/>
    <w:rsid w:val="00252987"/>
    <w:rsid w:val="0025383B"/>
    <w:rsid w:val="00253F24"/>
    <w:rsid w:val="00254E45"/>
    <w:rsid w:val="002557DB"/>
    <w:rsid w:val="00255E0C"/>
    <w:rsid w:val="00256311"/>
    <w:rsid w:val="00256802"/>
    <w:rsid w:val="00256DE6"/>
    <w:rsid w:val="002579F6"/>
    <w:rsid w:val="00260149"/>
    <w:rsid w:val="0026032E"/>
    <w:rsid w:val="00261039"/>
    <w:rsid w:val="00261856"/>
    <w:rsid w:val="0026238E"/>
    <w:rsid w:val="00262875"/>
    <w:rsid w:val="00262B70"/>
    <w:rsid w:val="00262B8C"/>
    <w:rsid w:val="00263A69"/>
    <w:rsid w:val="00263B7C"/>
    <w:rsid w:val="00263CEB"/>
    <w:rsid w:val="00264406"/>
    <w:rsid w:val="00264434"/>
    <w:rsid w:val="00264FA4"/>
    <w:rsid w:val="00265047"/>
    <w:rsid w:val="00265D17"/>
    <w:rsid w:val="00266636"/>
    <w:rsid w:val="00267588"/>
    <w:rsid w:val="00267E1A"/>
    <w:rsid w:val="00270608"/>
    <w:rsid w:val="0027133E"/>
    <w:rsid w:val="00271509"/>
    <w:rsid w:val="00271D2A"/>
    <w:rsid w:val="0027214D"/>
    <w:rsid w:val="002722D3"/>
    <w:rsid w:val="0027319E"/>
    <w:rsid w:val="00274863"/>
    <w:rsid w:val="0027523B"/>
    <w:rsid w:val="00275C28"/>
    <w:rsid w:val="00275D90"/>
    <w:rsid w:val="002761BC"/>
    <w:rsid w:val="00276BA9"/>
    <w:rsid w:val="00276CB8"/>
    <w:rsid w:val="0027711D"/>
    <w:rsid w:val="00277679"/>
    <w:rsid w:val="00277BCD"/>
    <w:rsid w:val="00277CBE"/>
    <w:rsid w:val="002809E2"/>
    <w:rsid w:val="00281336"/>
    <w:rsid w:val="002815FE"/>
    <w:rsid w:val="00282C64"/>
    <w:rsid w:val="00284686"/>
    <w:rsid w:val="00284AD3"/>
    <w:rsid w:val="00284ADF"/>
    <w:rsid w:val="00285340"/>
    <w:rsid w:val="0028572A"/>
    <w:rsid w:val="00285FCD"/>
    <w:rsid w:val="00286B83"/>
    <w:rsid w:val="00287DB7"/>
    <w:rsid w:val="00290516"/>
    <w:rsid w:val="002910FA"/>
    <w:rsid w:val="002920E7"/>
    <w:rsid w:val="00292149"/>
    <w:rsid w:val="002926FD"/>
    <w:rsid w:val="00292958"/>
    <w:rsid w:val="00292A0A"/>
    <w:rsid w:val="00292EC7"/>
    <w:rsid w:val="00292FB1"/>
    <w:rsid w:val="00294509"/>
    <w:rsid w:val="00294A67"/>
    <w:rsid w:val="00294FD6"/>
    <w:rsid w:val="0029519D"/>
    <w:rsid w:val="002956B4"/>
    <w:rsid w:val="00295B08"/>
    <w:rsid w:val="00295B77"/>
    <w:rsid w:val="002964B0"/>
    <w:rsid w:val="002968D2"/>
    <w:rsid w:val="00297FB8"/>
    <w:rsid w:val="002A07BA"/>
    <w:rsid w:val="002A198A"/>
    <w:rsid w:val="002A1B78"/>
    <w:rsid w:val="002A1D34"/>
    <w:rsid w:val="002A2177"/>
    <w:rsid w:val="002A23F0"/>
    <w:rsid w:val="002A27F8"/>
    <w:rsid w:val="002A27FB"/>
    <w:rsid w:val="002A29D5"/>
    <w:rsid w:val="002A3445"/>
    <w:rsid w:val="002A34F6"/>
    <w:rsid w:val="002A394D"/>
    <w:rsid w:val="002A3C43"/>
    <w:rsid w:val="002A3ED2"/>
    <w:rsid w:val="002A42AD"/>
    <w:rsid w:val="002A51B8"/>
    <w:rsid w:val="002A5822"/>
    <w:rsid w:val="002A5B42"/>
    <w:rsid w:val="002A5B4B"/>
    <w:rsid w:val="002A5EAD"/>
    <w:rsid w:val="002A5FC6"/>
    <w:rsid w:val="002A681F"/>
    <w:rsid w:val="002A6DD7"/>
    <w:rsid w:val="002A6F72"/>
    <w:rsid w:val="002A6F83"/>
    <w:rsid w:val="002A774A"/>
    <w:rsid w:val="002B07B5"/>
    <w:rsid w:val="002B0B13"/>
    <w:rsid w:val="002B0EF4"/>
    <w:rsid w:val="002B1286"/>
    <w:rsid w:val="002B1BAB"/>
    <w:rsid w:val="002B1E0C"/>
    <w:rsid w:val="002B2D32"/>
    <w:rsid w:val="002B3814"/>
    <w:rsid w:val="002B3CF2"/>
    <w:rsid w:val="002B4A4F"/>
    <w:rsid w:val="002B4E26"/>
    <w:rsid w:val="002B551B"/>
    <w:rsid w:val="002B5A35"/>
    <w:rsid w:val="002B5E57"/>
    <w:rsid w:val="002B6015"/>
    <w:rsid w:val="002B62C7"/>
    <w:rsid w:val="002B697D"/>
    <w:rsid w:val="002B6AD9"/>
    <w:rsid w:val="002B73F8"/>
    <w:rsid w:val="002C084D"/>
    <w:rsid w:val="002C1385"/>
    <w:rsid w:val="002C18FF"/>
    <w:rsid w:val="002C1E61"/>
    <w:rsid w:val="002C2978"/>
    <w:rsid w:val="002C2D04"/>
    <w:rsid w:val="002C2DFB"/>
    <w:rsid w:val="002C46A9"/>
    <w:rsid w:val="002C5F5F"/>
    <w:rsid w:val="002C6293"/>
    <w:rsid w:val="002C652E"/>
    <w:rsid w:val="002C67ED"/>
    <w:rsid w:val="002C6FFC"/>
    <w:rsid w:val="002C772D"/>
    <w:rsid w:val="002C7B86"/>
    <w:rsid w:val="002D0472"/>
    <w:rsid w:val="002D1076"/>
    <w:rsid w:val="002D1873"/>
    <w:rsid w:val="002D289A"/>
    <w:rsid w:val="002D2C75"/>
    <w:rsid w:val="002D4276"/>
    <w:rsid w:val="002D4774"/>
    <w:rsid w:val="002D53C8"/>
    <w:rsid w:val="002D5473"/>
    <w:rsid w:val="002D5D3F"/>
    <w:rsid w:val="002D5FBC"/>
    <w:rsid w:val="002D6CD0"/>
    <w:rsid w:val="002D6D87"/>
    <w:rsid w:val="002D6DE3"/>
    <w:rsid w:val="002D74C8"/>
    <w:rsid w:val="002D7DA1"/>
    <w:rsid w:val="002D7F32"/>
    <w:rsid w:val="002D7F9C"/>
    <w:rsid w:val="002E0710"/>
    <w:rsid w:val="002E0D10"/>
    <w:rsid w:val="002E0D1B"/>
    <w:rsid w:val="002E0E38"/>
    <w:rsid w:val="002E10AF"/>
    <w:rsid w:val="002E115C"/>
    <w:rsid w:val="002E15AC"/>
    <w:rsid w:val="002E1BD9"/>
    <w:rsid w:val="002E1BE8"/>
    <w:rsid w:val="002E2271"/>
    <w:rsid w:val="002E23E3"/>
    <w:rsid w:val="002E2402"/>
    <w:rsid w:val="002E2568"/>
    <w:rsid w:val="002E2654"/>
    <w:rsid w:val="002E34FF"/>
    <w:rsid w:val="002E38AF"/>
    <w:rsid w:val="002E3C03"/>
    <w:rsid w:val="002E42AD"/>
    <w:rsid w:val="002E4671"/>
    <w:rsid w:val="002E4FC7"/>
    <w:rsid w:val="002E5122"/>
    <w:rsid w:val="002E57B5"/>
    <w:rsid w:val="002E6028"/>
    <w:rsid w:val="002E62C6"/>
    <w:rsid w:val="002E655B"/>
    <w:rsid w:val="002E6A1D"/>
    <w:rsid w:val="002E6CC1"/>
    <w:rsid w:val="002E7C32"/>
    <w:rsid w:val="002F0577"/>
    <w:rsid w:val="002F0A03"/>
    <w:rsid w:val="002F107D"/>
    <w:rsid w:val="002F20C6"/>
    <w:rsid w:val="002F29F0"/>
    <w:rsid w:val="002F29FC"/>
    <w:rsid w:val="002F4809"/>
    <w:rsid w:val="002F53B0"/>
    <w:rsid w:val="002F5849"/>
    <w:rsid w:val="002F585A"/>
    <w:rsid w:val="002F5C8E"/>
    <w:rsid w:val="002F5CD0"/>
    <w:rsid w:val="002F60D5"/>
    <w:rsid w:val="002F64E0"/>
    <w:rsid w:val="002F6F12"/>
    <w:rsid w:val="002F78FE"/>
    <w:rsid w:val="002F7AF1"/>
    <w:rsid w:val="003001E9"/>
    <w:rsid w:val="003005DE"/>
    <w:rsid w:val="003022CA"/>
    <w:rsid w:val="00302A58"/>
    <w:rsid w:val="00302D61"/>
    <w:rsid w:val="0030357A"/>
    <w:rsid w:val="00303AAD"/>
    <w:rsid w:val="00303AC1"/>
    <w:rsid w:val="00304415"/>
    <w:rsid w:val="00304422"/>
    <w:rsid w:val="00304885"/>
    <w:rsid w:val="00304B2C"/>
    <w:rsid w:val="00304D45"/>
    <w:rsid w:val="00304E2A"/>
    <w:rsid w:val="00305B97"/>
    <w:rsid w:val="00306FB6"/>
    <w:rsid w:val="00307319"/>
    <w:rsid w:val="00307529"/>
    <w:rsid w:val="0030786C"/>
    <w:rsid w:val="00307973"/>
    <w:rsid w:val="00307E41"/>
    <w:rsid w:val="00307EE2"/>
    <w:rsid w:val="0031104A"/>
    <w:rsid w:val="00311AAB"/>
    <w:rsid w:val="00312D8D"/>
    <w:rsid w:val="00314B1D"/>
    <w:rsid w:val="00314FDA"/>
    <w:rsid w:val="003159EA"/>
    <w:rsid w:val="0031648B"/>
    <w:rsid w:val="00316F63"/>
    <w:rsid w:val="00320457"/>
    <w:rsid w:val="003205D9"/>
    <w:rsid w:val="003205F9"/>
    <w:rsid w:val="003208E9"/>
    <w:rsid w:val="00320C60"/>
    <w:rsid w:val="00320D8C"/>
    <w:rsid w:val="003220E3"/>
    <w:rsid w:val="00322B26"/>
    <w:rsid w:val="0032343C"/>
    <w:rsid w:val="00323A35"/>
    <w:rsid w:val="0032464E"/>
    <w:rsid w:val="003246E5"/>
    <w:rsid w:val="00324DC3"/>
    <w:rsid w:val="00325489"/>
    <w:rsid w:val="003257D7"/>
    <w:rsid w:val="00325C15"/>
    <w:rsid w:val="00325DC7"/>
    <w:rsid w:val="00326AE6"/>
    <w:rsid w:val="00326B8A"/>
    <w:rsid w:val="0032770D"/>
    <w:rsid w:val="00327AD5"/>
    <w:rsid w:val="00327BF7"/>
    <w:rsid w:val="003302CE"/>
    <w:rsid w:val="00330C93"/>
    <w:rsid w:val="00331B00"/>
    <w:rsid w:val="00333A00"/>
    <w:rsid w:val="00333DA3"/>
    <w:rsid w:val="00333E93"/>
    <w:rsid w:val="0033559E"/>
    <w:rsid w:val="00335CD6"/>
    <w:rsid w:val="00336266"/>
    <w:rsid w:val="003369E2"/>
    <w:rsid w:val="00337F74"/>
    <w:rsid w:val="00340109"/>
    <w:rsid w:val="003415E5"/>
    <w:rsid w:val="00341664"/>
    <w:rsid w:val="003423AF"/>
    <w:rsid w:val="00343221"/>
    <w:rsid w:val="00343ADC"/>
    <w:rsid w:val="00343F78"/>
    <w:rsid w:val="00344903"/>
    <w:rsid w:val="00344E4D"/>
    <w:rsid w:val="00344E7A"/>
    <w:rsid w:val="00345B51"/>
    <w:rsid w:val="003461BE"/>
    <w:rsid w:val="00346230"/>
    <w:rsid w:val="0034745C"/>
    <w:rsid w:val="00350807"/>
    <w:rsid w:val="00350E3C"/>
    <w:rsid w:val="00351370"/>
    <w:rsid w:val="00351A68"/>
    <w:rsid w:val="00351E53"/>
    <w:rsid w:val="003520AF"/>
    <w:rsid w:val="00352154"/>
    <w:rsid w:val="00352B21"/>
    <w:rsid w:val="00352DF1"/>
    <w:rsid w:val="0035342F"/>
    <w:rsid w:val="003539E1"/>
    <w:rsid w:val="00353F78"/>
    <w:rsid w:val="0035417C"/>
    <w:rsid w:val="00356B7D"/>
    <w:rsid w:val="003577A2"/>
    <w:rsid w:val="00357BCF"/>
    <w:rsid w:val="00357EC5"/>
    <w:rsid w:val="0036040B"/>
    <w:rsid w:val="00360A83"/>
    <w:rsid w:val="0036230C"/>
    <w:rsid w:val="0036287B"/>
    <w:rsid w:val="003629C3"/>
    <w:rsid w:val="003632C3"/>
    <w:rsid w:val="00363622"/>
    <w:rsid w:val="00363FBF"/>
    <w:rsid w:val="003641B8"/>
    <w:rsid w:val="003647CA"/>
    <w:rsid w:val="00364D2E"/>
    <w:rsid w:val="00365F44"/>
    <w:rsid w:val="00366A16"/>
    <w:rsid w:val="0036724E"/>
    <w:rsid w:val="003702A1"/>
    <w:rsid w:val="003710EA"/>
    <w:rsid w:val="003715C7"/>
    <w:rsid w:val="00371F94"/>
    <w:rsid w:val="0037287D"/>
    <w:rsid w:val="00372CD4"/>
    <w:rsid w:val="00372ECF"/>
    <w:rsid w:val="00373B90"/>
    <w:rsid w:val="00374423"/>
    <w:rsid w:val="00374757"/>
    <w:rsid w:val="003747CA"/>
    <w:rsid w:val="00374AF2"/>
    <w:rsid w:val="003760F3"/>
    <w:rsid w:val="00376E76"/>
    <w:rsid w:val="0037781D"/>
    <w:rsid w:val="00380700"/>
    <w:rsid w:val="003807E5"/>
    <w:rsid w:val="003813BF"/>
    <w:rsid w:val="003815CA"/>
    <w:rsid w:val="003821DF"/>
    <w:rsid w:val="0038242C"/>
    <w:rsid w:val="00382B0B"/>
    <w:rsid w:val="003831DE"/>
    <w:rsid w:val="003832EB"/>
    <w:rsid w:val="0038390C"/>
    <w:rsid w:val="00383B1C"/>
    <w:rsid w:val="00383E16"/>
    <w:rsid w:val="00383E1E"/>
    <w:rsid w:val="003844B2"/>
    <w:rsid w:val="0038451F"/>
    <w:rsid w:val="0038496B"/>
    <w:rsid w:val="00384C3E"/>
    <w:rsid w:val="0038507F"/>
    <w:rsid w:val="003859A3"/>
    <w:rsid w:val="00385D2E"/>
    <w:rsid w:val="00386373"/>
    <w:rsid w:val="00386781"/>
    <w:rsid w:val="00386A66"/>
    <w:rsid w:val="00386D79"/>
    <w:rsid w:val="003872D8"/>
    <w:rsid w:val="0038744B"/>
    <w:rsid w:val="003878D6"/>
    <w:rsid w:val="00387D22"/>
    <w:rsid w:val="00387E17"/>
    <w:rsid w:val="00390306"/>
    <w:rsid w:val="00391878"/>
    <w:rsid w:val="00391A3F"/>
    <w:rsid w:val="00393476"/>
    <w:rsid w:val="00394596"/>
    <w:rsid w:val="0039488F"/>
    <w:rsid w:val="00394FB9"/>
    <w:rsid w:val="0039567F"/>
    <w:rsid w:val="00395C68"/>
    <w:rsid w:val="00396603"/>
    <w:rsid w:val="003976A0"/>
    <w:rsid w:val="00397818"/>
    <w:rsid w:val="0039790D"/>
    <w:rsid w:val="00397A5C"/>
    <w:rsid w:val="00397C7E"/>
    <w:rsid w:val="003A01EE"/>
    <w:rsid w:val="003A026A"/>
    <w:rsid w:val="003A132D"/>
    <w:rsid w:val="003A1925"/>
    <w:rsid w:val="003A1A32"/>
    <w:rsid w:val="003A1F9F"/>
    <w:rsid w:val="003A2614"/>
    <w:rsid w:val="003A27F2"/>
    <w:rsid w:val="003A29EA"/>
    <w:rsid w:val="003A31C0"/>
    <w:rsid w:val="003A352B"/>
    <w:rsid w:val="003A5547"/>
    <w:rsid w:val="003A5A68"/>
    <w:rsid w:val="003A60D1"/>
    <w:rsid w:val="003A64FB"/>
    <w:rsid w:val="003A68C7"/>
    <w:rsid w:val="003A6CF4"/>
    <w:rsid w:val="003A7DA8"/>
    <w:rsid w:val="003B00E4"/>
    <w:rsid w:val="003B0751"/>
    <w:rsid w:val="003B0D7B"/>
    <w:rsid w:val="003B0DF5"/>
    <w:rsid w:val="003B1527"/>
    <w:rsid w:val="003B1AC9"/>
    <w:rsid w:val="003B2B7A"/>
    <w:rsid w:val="003B2D37"/>
    <w:rsid w:val="003B3247"/>
    <w:rsid w:val="003B349C"/>
    <w:rsid w:val="003B3860"/>
    <w:rsid w:val="003B40D4"/>
    <w:rsid w:val="003B4510"/>
    <w:rsid w:val="003B507C"/>
    <w:rsid w:val="003B529B"/>
    <w:rsid w:val="003B5A37"/>
    <w:rsid w:val="003B72E1"/>
    <w:rsid w:val="003B7307"/>
    <w:rsid w:val="003B74FD"/>
    <w:rsid w:val="003B75AC"/>
    <w:rsid w:val="003B7715"/>
    <w:rsid w:val="003B780E"/>
    <w:rsid w:val="003C004E"/>
    <w:rsid w:val="003C0620"/>
    <w:rsid w:val="003C09C8"/>
    <w:rsid w:val="003C11A1"/>
    <w:rsid w:val="003C1245"/>
    <w:rsid w:val="003C1A29"/>
    <w:rsid w:val="003C1F1B"/>
    <w:rsid w:val="003C2602"/>
    <w:rsid w:val="003C2606"/>
    <w:rsid w:val="003C2749"/>
    <w:rsid w:val="003C2826"/>
    <w:rsid w:val="003C29E9"/>
    <w:rsid w:val="003C3518"/>
    <w:rsid w:val="003C3862"/>
    <w:rsid w:val="003C3CB6"/>
    <w:rsid w:val="003C4271"/>
    <w:rsid w:val="003C42F7"/>
    <w:rsid w:val="003C4885"/>
    <w:rsid w:val="003C4AA1"/>
    <w:rsid w:val="003C4DFB"/>
    <w:rsid w:val="003C55D2"/>
    <w:rsid w:val="003C5BE5"/>
    <w:rsid w:val="003C5C47"/>
    <w:rsid w:val="003C5EE9"/>
    <w:rsid w:val="003C7D0E"/>
    <w:rsid w:val="003D1534"/>
    <w:rsid w:val="003D2247"/>
    <w:rsid w:val="003D2C02"/>
    <w:rsid w:val="003D2D32"/>
    <w:rsid w:val="003D3145"/>
    <w:rsid w:val="003D4893"/>
    <w:rsid w:val="003D4F6E"/>
    <w:rsid w:val="003D5106"/>
    <w:rsid w:val="003D5264"/>
    <w:rsid w:val="003D548B"/>
    <w:rsid w:val="003D5CA1"/>
    <w:rsid w:val="003D5D27"/>
    <w:rsid w:val="003D604A"/>
    <w:rsid w:val="003D6BA8"/>
    <w:rsid w:val="003D6E54"/>
    <w:rsid w:val="003D79A4"/>
    <w:rsid w:val="003E1CB3"/>
    <w:rsid w:val="003E1E9D"/>
    <w:rsid w:val="003E1EB8"/>
    <w:rsid w:val="003E2780"/>
    <w:rsid w:val="003E2CB3"/>
    <w:rsid w:val="003E36DC"/>
    <w:rsid w:val="003E3DAC"/>
    <w:rsid w:val="003E52EF"/>
    <w:rsid w:val="003E5977"/>
    <w:rsid w:val="003E6CE1"/>
    <w:rsid w:val="003E71B3"/>
    <w:rsid w:val="003E7607"/>
    <w:rsid w:val="003F077B"/>
    <w:rsid w:val="003F0F72"/>
    <w:rsid w:val="003F14A4"/>
    <w:rsid w:val="003F205F"/>
    <w:rsid w:val="003F27DD"/>
    <w:rsid w:val="003F3059"/>
    <w:rsid w:val="003F3305"/>
    <w:rsid w:val="003F364C"/>
    <w:rsid w:val="003F43C0"/>
    <w:rsid w:val="003F4490"/>
    <w:rsid w:val="003F49BD"/>
    <w:rsid w:val="003F58C7"/>
    <w:rsid w:val="003F65E2"/>
    <w:rsid w:val="003F66F3"/>
    <w:rsid w:val="003F6A92"/>
    <w:rsid w:val="003F6DCB"/>
    <w:rsid w:val="003F6F3B"/>
    <w:rsid w:val="003F7ADF"/>
    <w:rsid w:val="004005E7"/>
    <w:rsid w:val="004006F4"/>
    <w:rsid w:val="004007BD"/>
    <w:rsid w:val="0040266C"/>
    <w:rsid w:val="00402702"/>
    <w:rsid w:val="00402DA2"/>
    <w:rsid w:val="004035A0"/>
    <w:rsid w:val="004038FB"/>
    <w:rsid w:val="00403C11"/>
    <w:rsid w:val="00404F96"/>
    <w:rsid w:val="00406143"/>
    <w:rsid w:val="004061AD"/>
    <w:rsid w:val="00406412"/>
    <w:rsid w:val="00406BCD"/>
    <w:rsid w:val="00406EE9"/>
    <w:rsid w:val="00407091"/>
    <w:rsid w:val="004076BA"/>
    <w:rsid w:val="004076DA"/>
    <w:rsid w:val="00407815"/>
    <w:rsid w:val="00407F82"/>
    <w:rsid w:val="0041002C"/>
    <w:rsid w:val="00410237"/>
    <w:rsid w:val="00411151"/>
    <w:rsid w:val="004117A6"/>
    <w:rsid w:val="004118FC"/>
    <w:rsid w:val="00412368"/>
    <w:rsid w:val="00413816"/>
    <w:rsid w:val="00413C1E"/>
    <w:rsid w:val="00413C52"/>
    <w:rsid w:val="004140B0"/>
    <w:rsid w:val="00414B5F"/>
    <w:rsid w:val="00414E6C"/>
    <w:rsid w:val="00414ECA"/>
    <w:rsid w:val="0041516F"/>
    <w:rsid w:val="004152F9"/>
    <w:rsid w:val="00415D83"/>
    <w:rsid w:val="00415E36"/>
    <w:rsid w:val="00416D3B"/>
    <w:rsid w:val="00417FA3"/>
    <w:rsid w:val="00421D6C"/>
    <w:rsid w:val="00422065"/>
    <w:rsid w:val="00422643"/>
    <w:rsid w:val="00422FD5"/>
    <w:rsid w:val="00423DC1"/>
    <w:rsid w:val="004244C2"/>
    <w:rsid w:val="00424C3D"/>
    <w:rsid w:val="00425031"/>
    <w:rsid w:val="004255E7"/>
    <w:rsid w:val="00425DE6"/>
    <w:rsid w:val="00425FB9"/>
    <w:rsid w:val="004269ED"/>
    <w:rsid w:val="0042703C"/>
    <w:rsid w:val="0042757E"/>
    <w:rsid w:val="004276FA"/>
    <w:rsid w:val="00427A6F"/>
    <w:rsid w:val="00427BF9"/>
    <w:rsid w:val="004300BD"/>
    <w:rsid w:val="00430294"/>
    <w:rsid w:val="00430D2B"/>
    <w:rsid w:val="00430E72"/>
    <w:rsid w:val="0043109C"/>
    <w:rsid w:val="00431A14"/>
    <w:rsid w:val="00431DFB"/>
    <w:rsid w:val="00432032"/>
    <w:rsid w:val="00432072"/>
    <w:rsid w:val="004321C4"/>
    <w:rsid w:val="00433474"/>
    <w:rsid w:val="004352F2"/>
    <w:rsid w:val="00435421"/>
    <w:rsid w:val="00435909"/>
    <w:rsid w:val="004367F3"/>
    <w:rsid w:val="0043686D"/>
    <w:rsid w:val="00436A6F"/>
    <w:rsid w:val="00436D62"/>
    <w:rsid w:val="00437094"/>
    <w:rsid w:val="0043720B"/>
    <w:rsid w:val="0043734A"/>
    <w:rsid w:val="0043740E"/>
    <w:rsid w:val="00437F08"/>
    <w:rsid w:val="004403B0"/>
    <w:rsid w:val="0044103C"/>
    <w:rsid w:val="00441B11"/>
    <w:rsid w:val="00441B87"/>
    <w:rsid w:val="00441C03"/>
    <w:rsid w:val="00442C1E"/>
    <w:rsid w:val="00442EED"/>
    <w:rsid w:val="00443AA9"/>
    <w:rsid w:val="00443C5F"/>
    <w:rsid w:val="00444122"/>
    <w:rsid w:val="00444AF4"/>
    <w:rsid w:val="0044586D"/>
    <w:rsid w:val="00446777"/>
    <w:rsid w:val="00447393"/>
    <w:rsid w:val="004474A4"/>
    <w:rsid w:val="004477CD"/>
    <w:rsid w:val="004506C5"/>
    <w:rsid w:val="00450761"/>
    <w:rsid w:val="00450C6F"/>
    <w:rsid w:val="00450D84"/>
    <w:rsid w:val="00451066"/>
    <w:rsid w:val="004519E4"/>
    <w:rsid w:val="00452531"/>
    <w:rsid w:val="00452663"/>
    <w:rsid w:val="00453434"/>
    <w:rsid w:val="004537B4"/>
    <w:rsid w:val="00454A53"/>
    <w:rsid w:val="00454BC0"/>
    <w:rsid w:val="00454E23"/>
    <w:rsid w:val="00454FBB"/>
    <w:rsid w:val="00455E8E"/>
    <w:rsid w:val="004561B2"/>
    <w:rsid w:val="00456405"/>
    <w:rsid w:val="00456790"/>
    <w:rsid w:val="00457432"/>
    <w:rsid w:val="0045763C"/>
    <w:rsid w:val="00460580"/>
    <w:rsid w:val="0046170D"/>
    <w:rsid w:val="00462CFE"/>
    <w:rsid w:val="00462DB5"/>
    <w:rsid w:val="0046333A"/>
    <w:rsid w:val="00463565"/>
    <w:rsid w:val="00463BDE"/>
    <w:rsid w:val="00463E69"/>
    <w:rsid w:val="00464085"/>
    <w:rsid w:val="00464272"/>
    <w:rsid w:val="00464796"/>
    <w:rsid w:val="0046538A"/>
    <w:rsid w:val="004657D3"/>
    <w:rsid w:val="00465C92"/>
    <w:rsid w:val="00465DF2"/>
    <w:rsid w:val="00466386"/>
    <w:rsid w:val="004668A6"/>
    <w:rsid w:val="00466AC2"/>
    <w:rsid w:val="00466DFD"/>
    <w:rsid w:val="004672D7"/>
    <w:rsid w:val="00470758"/>
    <w:rsid w:val="00471C75"/>
    <w:rsid w:val="004728FE"/>
    <w:rsid w:val="00472938"/>
    <w:rsid w:val="00472B76"/>
    <w:rsid w:val="004736D5"/>
    <w:rsid w:val="00473CFA"/>
    <w:rsid w:val="00474BBE"/>
    <w:rsid w:val="004757C9"/>
    <w:rsid w:val="00476911"/>
    <w:rsid w:val="00476CED"/>
    <w:rsid w:val="00476D09"/>
    <w:rsid w:val="0047757B"/>
    <w:rsid w:val="004778F9"/>
    <w:rsid w:val="0048002D"/>
    <w:rsid w:val="0048052D"/>
    <w:rsid w:val="004808EA"/>
    <w:rsid w:val="00481642"/>
    <w:rsid w:val="00481BB0"/>
    <w:rsid w:val="0048283B"/>
    <w:rsid w:val="00482EE6"/>
    <w:rsid w:val="00483226"/>
    <w:rsid w:val="00483843"/>
    <w:rsid w:val="004841E1"/>
    <w:rsid w:val="0048493D"/>
    <w:rsid w:val="00485561"/>
    <w:rsid w:val="00485AB5"/>
    <w:rsid w:val="00486181"/>
    <w:rsid w:val="004862D4"/>
    <w:rsid w:val="004867E2"/>
    <w:rsid w:val="00486BF6"/>
    <w:rsid w:val="004870D1"/>
    <w:rsid w:val="00487696"/>
    <w:rsid w:val="00487CA8"/>
    <w:rsid w:val="00487F97"/>
    <w:rsid w:val="004901FA"/>
    <w:rsid w:val="004909FB"/>
    <w:rsid w:val="00490B57"/>
    <w:rsid w:val="00490EC8"/>
    <w:rsid w:val="004929A3"/>
    <w:rsid w:val="004929FB"/>
    <w:rsid w:val="00492BBD"/>
    <w:rsid w:val="00492EE9"/>
    <w:rsid w:val="00493EFE"/>
    <w:rsid w:val="00495007"/>
    <w:rsid w:val="00495021"/>
    <w:rsid w:val="004958B2"/>
    <w:rsid w:val="004958E3"/>
    <w:rsid w:val="00495BED"/>
    <w:rsid w:val="00497793"/>
    <w:rsid w:val="00497B68"/>
    <w:rsid w:val="004A0E70"/>
    <w:rsid w:val="004A195E"/>
    <w:rsid w:val="004A378B"/>
    <w:rsid w:val="004A4380"/>
    <w:rsid w:val="004A4997"/>
    <w:rsid w:val="004A4F45"/>
    <w:rsid w:val="004A4FBE"/>
    <w:rsid w:val="004A50BE"/>
    <w:rsid w:val="004A5BE9"/>
    <w:rsid w:val="004A6115"/>
    <w:rsid w:val="004A6BD5"/>
    <w:rsid w:val="004A6F9E"/>
    <w:rsid w:val="004A75D5"/>
    <w:rsid w:val="004A7C0B"/>
    <w:rsid w:val="004B050D"/>
    <w:rsid w:val="004B074F"/>
    <w:rsid w:val="004B0764"/>
    <w:rsid w:val="004B1395"/>
    <w:rsid w:val="004B2158"/>
    <w:rsid w:val="004B353D"/>
    <w:rsid w:val="004B35FA"/>
    <w:rsid w:val="004B372B"/>
    <w:rsid w:val="004B3AEA"/>
    <w:rsid w:val="004B3D6F"/>
    <w:rsid w:val="004B479E"/>
    <w:rsid w:val="004B59C3"/>
    <w:rsid w:val="004B5A0A"/>
    <w:rsid w:val="004B63BE"/>
    <w:rsid w:val="004B6462"/>
    <w:rsid w:val="004B6D4B"/>
    <w:rsid w:val="004B780B"/>
    <w:rsid w:val="004C09AC"/>
    <w:rsid w:val="004C0DCA"/>
    <w:rsid w:val="004C1F8A"/>
    <w:rsid w:val="004C2008"/>
    <w:rsid w:val="004C2187"/>
    <w:rsid w:val="004C2A45"/>
    <w:rsid w:val="004C2B1F"/>
    <w:rsid w:val="004C2DA4"/>
    <w:rsid w:val="004C2E08"/>
    <w:rsid w:val="004C413D"/>
    <w:rsid w:val="004C437D"/>
    <w:rsid w:val="004C521D"/>
    <w:rsid w:val="004C61BC"/>
    <w:rsid w:val="004C675B"/>
    <w:rsid w:val="004C6E08"/>
    <w:rsid w:val="004C7F9E"/>
    <w:rsid w:val="004D03BF"/>
    <w:rsid w:val="004D0B67"/>
    <w:rsid w:val="004D1B6C"/>
    <w:rsid w:val="004D1DB8"/>
    <w:rsid w:val="004D3655"/>
    <w:rsid w:val="004D3D37"/>
    <w:rsid w:val="004D3EF7"/>
    <w:rsid w:val="004D47D1"/>
    <w:rsid w:val="004D502D"/>
    <w:rsid w:val="004D5714"/>
    <w:rsid w:val="004D5B31"/>
    <w:rsid w:val="004D6063"/>
    <w:rsid w:val="004D62A1"/>
    <w:rsid w:val="004D63DC"/>
    <w:rsid w:val="004D6D25"/>
    <w:rsid w:val="004D7F65"/>
    <w:rsid w:val="004E0309"/>
    <w:rsid w:val="004E030E"/>
    <w:rsid w:val="004E0FAF"/>
    <w:rsid w:val="004E1430"/>
    <w:rsid w:val="004E1C44"/>
    <w:rsid w:val="004E240D"/>
    <w:rsid w:val="004E2749"/>
    <w:rsid w:val="004E2BDC"/>
    <w:rsid w:val="004E31AD"/>
    <w:rsid w:val="004E46A9"/>
    <w:rsid w:val="004E4AC4"/>
    <w:rsid w:val="004E55D8"/>
    <w:rsid w:val="004E562F"/>
    <w:rsid w:val="004E6152"/>
    <w:rsid w:val="004E64F0"/>
    <w:rsid w:val="004E65EB"/>
    <w:rsid w:val="004E695A"/>
    <w:rsid w:val="004E6D16"/>
    <w:rsid w:val="004E7623"/>
    <w:rsid w:val="004E7D94"/>
    <w:rsid w:val="004F06B3"/>
    <w:rsid w:val="004F0CD2"/>
    <w:rsid w:val="004F0CEA"/>
    <w:rsid w:val="004F0FED"/>
    <w:rsid w:val="004F1181"/>
    <w:rsid w:val="004F2D1C"/>
    <w:rsid w:val="004F3B71"/>
    <w:rsid w:val="004F44B8"/>
    <w:rsid w:val="004F4660"/>
    <w:rsid w:val="004F4F16"/>
    <w:rsid w:val="004F500F"/>
    <w:rsid w:val="004F5E1A"/>
    <w:rsid w:val="004F6CED"/>
    <w:rsid w:val="004F71F2"/>
    <w:rsid w:val="004F7D0B"/>
    <w:rsid w:val="005002CE"/>
    <w:rsid w:val="00500940"/>
    <w:rsid w:val="00500B77"/>
    <w:rsid w:val="00501C9A"/>
    <w:rsid w:val="00502380"/>
    <w:rsid w:val="00503660"/>
    <w:rsid w:val="00504049"/>
    <w:rsid w:val="00504405"/>
    <w:rsid w:val="00505FAD"/>
    <w:rsid w:val="00506BC5"/>
    <w:rsid w:val="00506DBB"/>
    <w:rsid w:val="00507639"/>
    <w:rsid w:val="00510052"/>
    <w:rsid w:val="0051019D"/>
    <w:rsid w:val="005110DA"/>
    <w:rsid w:val="005126F3"/>
    <w:rsid w:val="0051274E"/>
    <w:rsid w:val="00512D58"/>
    <w:rsid w:val="00513925"/>
    <w:rsid w:val="00513EFE"/>
    <w:rsid w:val="00514F2A"/>
    <w:rsid w:val="005158D4"/>
    <w:rsid w:val="00515C34"/>
    <w:rsid w:val="00516339"/>
    <w:rsid w:val="00520548"/>
    <w:rsid w:val="005209C5"/>
    <w:rsid w:val="00521193"/>
    <w:rsid w:val="005212EB"/>
    <w:rsid w:val="0052175B"/>
    <w:rsid w:val="00521C17"/>
    <w:rsid w:val="00523354"/>
    <w:rsid w:val="0052420D"/>
    <w:rsid w:val="0052646E"/>
    <w:rsid w:val="0052688F"/>
    <w:rsid w:val="00526BE6"/>
    <w:rsid w:val="0052796E"/>
    <w:rsid w:val="00530988"/>
    <w:rsid w:val="00531127"/>
    <w:rsid w:val="00531884"/>
    <w:rsid w:val="005318BF"/>
    <w:rsid w:val="00531C49"/>
    <w:rsid w:val="0053262C"/>
    <w:rsid w:val="0053276F"/>
    <w:rsid w:val="00532ABD"/>
    <w:rsid w:val="005334A3"/>
    <w:rsid w:val="00533B0C"/>
    <w:rsid w:val="00534438"/>
    <w:rsid w:val="00534DDB"/>
    <w:rsid w:val="00535088"/>
    <w:rsid w:val="00535195"/>
    <w:rsid w:val="005353B0"/>
    <w:rsid w:val="00535617"/>
    <w:rsid w:val="00535C7C"/>
    <w:rsid w:val="0053603B"/>
    <w:rsid w:val="00536FBC"/>
    <w:rsid w:val="00537986"/>
    <w:rsid w:val="00537B21"/>
    <w:rsid w:val="0054098D"/>
    <w:rsid w:val="00540FC7"/>
    <w:rsid w:val="005412C2"/>
    <w:rsid w:val="0054139F"/>
    <w:rsid w:val="00541B0B"/>
    <w:rsid w:val="00542421"/>
    <w:rsid w:val="00542F10"/>
    <w:rsid w:val="00543F36"/>
    <w:rsid w:val="00544311"/>
    <w:rsid w:val="00544391"/>
    <w:rsid w:val="00544AAA"/>
    <w:rsid w:val="00545560"/>
    <w:rsid w:val="00545B0A"/>
    <w:rsid w:val="00545E10"/>
    <w:rsid w:val="00546280"/>
    <w:rsid w:val="00546A0A"/>
    <w:rsid w:val="00546E66"/>
    <w:rsid w:val="005505D5"/>
    <w:rsid w:val="0055075D"/>
    <w:rsid w:val="00550F3A"/>
    <w:rsid w:val="00551CDB"/>
    <w:rsid w:val="00552508"/>
    <w:rsid w:val="00552EDE"/>
    <w:rsid w:val="005544C6"/>
    <w:rsid w:val="00554533"/>
    <w:rsid w:val="00554776"/>
    <w:rsid w:val="00555D14"/>
    <w:rsid w:val="005560DA"/>
    <w:rsid w:val="00556725"/>
    <w:rsid w:val="00556FBE"/>
    <w:rsid w:val="0056018B"/>
    <w:rsid w:val="00560359"/>
    <w:rsid w:val="0056055A"/>
    <w:rsid w:val="005606E7"/>
    <w:rsid w:val="00561AB6"/>
    <w:rsid w:val="00562C59"/>
    <w:rsid w:val="00563B7A"/>
    <w:rsid w:val="00564378"/>
    <w:rsid w:val="00564821"/>
    <w:rsid w:val="005649D1"/>
    <w:rsid w:val="00564B91"/>
    <w:rsid w:val="00564CDE"/>
    <w:rsid w:val="00564DD1"/>
    <w:rsid w:val="00564EAF"/>
    <w:rsid w:val="00565257"/>
    <w:rsid w:val="005655C8"/>
    <w:rsid w:val="0056684C"/>
    <w:rsid w:val="00566FCB"/>
    <w:rsid w:val="005670DB"/>
    <w:rsid w:val="00570566"/>
    <w:rsid w:val="0057056D"/>
    <w:rsid w:val="00571564"/>
    <w:rsid w:val="00571737"/>
    <w:rsid w:val="005720C6"/>
    <w:rsid w:val="00572B9B"/>
    <w:rsid w:val="00573936"/>
    <w:rsid w:val="00574136"/>
    <w:rsid w:val="0057473B"/>
    <w:rsid w:val="00575B66"/>
    <w:rsid w:val="00575D13"/>
    <w:rsid w:val="00575FCD"/>
    <w:rsid w:val="00576AE6"/>
    <w:rsid w:val="005808DB"/>
    <w:rsid w:val="00580B0E"/>
    <w:rsid w:val="00581447"/>
    <w:rsid w:val="00582178"/>
    <w:rsid w:val="00582A61"/>
    <w:rsid w:val="00583498"/>
    <w:rsid w:val="005834D0"/>
    <w:rsid w:val="0058392B"/>
    <w:rsid w:val="00583ACA"/>
    <w:rsid w:val="005840B9"/>
    <w:rsid w:val="0058439B"/>
    <w:rsid w:val="00584507"/>
    <w:rsid w:val="005846A6"/>
    <w:rsid w:val="00585255"/>
    <w:rsid w:val="00585850"/>
    <w:rsid w:val="0058665C"/>
    <w:rsid w:val="00590222"/>
    <w:rsid w:val="005903D0"/>
    <w:rsid w:val="00591284"/>
    <w:rsid w:val="00591B60"/>
    <w:rsid w:val="005924C6"/>
    <w:rsid w:val="00592A42"/>
    <w:rsid w:val="00592B7F"/>
    <w:rsid w:val="005932F0"/>
    <w:rsid w:val="0059337D"/>
    <w:rsid w:val="00594C2B"/>
    <w:rsid w:val="00594F0B"/>
    <w:rsid w:val="00596190"/>
    <w:rsid w:val="005972EA"/>
    <w:rsid w:val="00597AC0"/>
    <w:rsid w:val="005A01AA"/>
    <w:rsid w:val="005A06FB"/>
    <w:rsid w:val="005A0AD6"/>
    <w:rsid w:val="005A1E1D"/>
    <w:rsid w:val="005A20EE"/>
    <w:rsid w:val="005A23AD"/>
    <w:rsid w:val="005A2585"/>
    <w:rsid w:val="005A2B20"/>
    <w:rsid w:val="005A3D55"/>
    <w:rsid w:val="005A3DF0"/>
    <w:rsid w:val="005A51D8"/>
    <w:rsid w:val="005A5452"/>
    <w:rsid w:val="005A5475"/>
    <w:rsid w:val="005A574A"/>
    <w:rsid w:val="005A5D09"/>
    <w:rsid w:val="005A5EE9"/>
    <w:rsid w:val="005A691D"/>
    <w:rsid w:val="005A6BD9"/>
    <w:rsid w:val="005A6F30"/>
    <w:rsid w:val="005B0546"/>
    <w:rsid w:val="005B0B44"/>
    <w:rsid w:val="005B0F18"/>
    <w:rsid w:val="005B1675"/>
    <w:rsid w:val="005B1A7E"/>
    <w:rsid w:val="005B1B81"/>
    <w:rsid w:val="005B1C4C"/>
    <w:rsid w:val="005B21B0"/>
    <w:rsid w:val="005B2C2B"/>
    <w:rsid w:val="005B337E"/>
    <w:rsid w:val="005B362A"/>
    <w:rsid w:val="005B4286"/>
    <w:rsid w:val="005B4E4E"/>
    <w:rsid w:val="005B4F88"/>
    <w:rsid w:val="005B67C1"/>
    <w:rsid w:val="005B6827"/>
    <w:rsid w:val="005B7049"/>
    <w:rsid w:val="005B70CC"/>
    <w:rsid w:val="005B7345"/>
    <w:rsid w:val="005B754B"/>
    <w:rsid w:val="005B766E"/>
    <w:rsid w:val="005C04FF"/>
    <w:rsid w:val="005C0535"/>
    <w:rsid w:val="005C083E"/>
    <w:rsid w:val="005C0E9B"/>
    <w:rsid w:val="005C16F4"/>
    <w:rsid w:val="005C21CE"/>
    <w:rsid w:val="005C28D4"/>
    <w:rsid w:val="005C2C28"/>
    <w:rsid w:val="005C2CD2"/>
    <w:rsid w:val="005C3CB9"/>
    <w:rsid w:val="005C3D5E"/>
    <w:rsid w:val="005C407B"/>
    <w:rsid w:val="005C440C"/>
    <w:rsid w:val="005C480C"/>
    <w:rsid w:val="005C4FB0"/>
    <w:rsid w:val="005C50F1"/>
    <w:rsid w:val="005C5F14"/>
    <w:rsid w:val="005C648B"/>
    <w:rsid w:val="005C6B6B"/>
    <w:rsid w:val="005C747D"/>
    <w:rsid w:val="005C7AB1"/>
    <w:rsid w:val="005D0147"/>
    <w:rsid w:val="005D01AC"/>
    <w:rsid w:val="005D03F3"/>
    <w:rsid w:val="005D0646"/>
    <w:rsid w:val="005D12D1"/>
    <w:rsid w:val="005D1752"/>
    <w:rsid w:val="005D3076"/>
    <w:rsid w:val="005D328B"/>
    <w:rsid w:val="005D3E4E"/>
    <w:rsid w:val="005D5012"/>
    <w:rsid w:val="005D507D"/>
    <w:rsid w:val="005D50F6"/>
    <w:rsid w:val="005D544A"/>
    <w:rsid w:val="005D6754"/>
    <w:rsid w:val="005D7A31"/>
    <w:rsid w:val="005D7AF0"/>
    <w:rsid w:val="005E082F"/>
    <w:rsid w:val="005E0A54"/>
    <w:rsid w:val="005E0FAE"/>
    <w:rsid w:val="005E1792"/>
    <w:rsid w:val="005E1A1A"/>
    <w:rsid w:val="005E22B5"/>
    <w:rsid w:val="005E2DAE"/>
    <w:rsid w:val="005E3371"/>
    <w:rsid w:val="005E357B"/>
    <w:rsid w:val="005E3638"/>
    <w:rsid w:val="005E367C"/>
    <w:rsid w:val="005E3F4C"/>
    <w:rsid w:val="005E41F2"/>
    <w:rsid w:val="005E731A"/>
    <w:rsid w:val="005E7459"/>
    <w:rsid w:val="005E75CF"/>
    <w:rsid w:val="005F01E9"/>
    <w:rsid w:val="005F0278"/>
    <w:rsid w:val="005F08FC"/>
    <w:rsid w:val="005F118E"/>
    <w:rsid w:val="005F126C"/>
    <w:rsid w:val="005F18A2"/>
    <w:rsid w:val="005F1A55"/>
    <w:rsid w:val="005F2380"/>
    <w:rsid w:val="005F2423"/>
    <w:rsid w:val="005F27C6"/>
    <w:rsid w:val="005F29CE"/>
    <w:rsid w:val="005F4043"/>
    <w:rsid w:val="005F458B"/>
    <w:rsid w:val="005F46FD"/>
    <w:rsid w:val="005F481A"/>
    <w:rsid w:val="005F4AF2"/>
    <w:rsid w:val="005F508A"/>
    <w:rsid w:val="005F57D7"/>
    <w:rsid w:val="005F5EBC"/>
    <w:rsid w:val="005F630B"/>
    <w:rsid w:val="005F6441"/>
    <w:rsid w:val="005F7120"/>
    <w:rsid w:val="005F7F71"/>
    <w:rsid w:val="005F7FC6"/>
    <w:rsid w:val="006008AC"/>
    <w:rsid w:val="00600AC7"/>
    <w:rsid w:val="00600F57"/>
    <w:rsid w:val="00601024"/>
    <w:rsid w:val="00601333"/>
    <w:rsid w:val="00601B87"/>
    <w:rsid w:val="00602256"/>
    <w:rsid w:val="006024E7"/>
    <w:rsid w:val="00602819"/>
    <w:rsid w:val="00602E8B"/>
    <w:rsid w:val="006031EE"/>
    <w:rsid w:val="006031F2"/>
    <w:rsid w:val="0060377D"/>
    <w:rsid w:val="00604519"/>
    <w:rsid w:val="006046E7"/>
    <w:rsid w:val="00605206"/>
    <w:rsid w:val="006058EB"/>
    <w:rsid w:val="00605D31"/>
    <w:rsid w:val="00606ABC"/>
    <w:rsid w:val="006076E4"/>
    <w:rsid w:val="00607CF4"/>
    <w:rsid w:val="00607EC6"/>
    <w:rsid w:val="0061030F"/>
    <w:rsid w:val="0061035C"/>
    <w:rsid w:val="00610590"/>
    <w:rsid w:val="006116DB"/>
    <w:rsid w:val="00611753"/>
    <w:rsid w:val="00611909"/>
    <w:rsid w:val="00612324"/>
    <w:rsid w:val="00612697"/>
    <w:rsid w:val="006127F1"/>
    <w:rsid w:val="006128AA"/>
    <w:rsid w:val="006139AA"/>
    <w:rsid w:val="006139F6"/>
    <w:rsid w:val="00613FBC"/>
    <w:rsid w:val="006152A5"/>
    <w:rsid w:val="00615502"/>
    <w:rsid w:val="0061555F"/>
    <w:rsid w:val="00615DA0"/>
    <w:rsid w:val="0061631C"/>
    <w:rsid w:val="00616C82"/>
    <w:rsid w:val="006215A9"/>
    <w:rsid w:val="00622694"/>
    <w:rsid w:val="006230DC"/>
    <w:rsid w:val="00623AD3"/>
    <w:rsid w:val="006242BF"/>
    <w:rsid w:val="00624E31"/>
    <w:rsid w:val="006251B6"/>
    <w:rsid w:val="0062545E"/>
    <w:rsid w:val="006254C7"/>
    <w:rsid w:val="0062580B"/>
    <w:rsid w:val="00625CB0"/>
    <w:rsid w:val="0062601F"/>
    <w:rsid w:val="00626EA0"/>
    <w:rsid w:val="00632673"/>
    <w:rsid w:val="00632829"/>
    <w:rsid w:val="006329DB"/>
    <w:rsid w:val="006337E6"/>
    <w:rsid w:val="006337F0"/>
    <w:rsid w:val="00633EE4"/>
    <w:rsid w:val="00634324"/>
    <w:rsid w:val="00634639"/>
    <w:rsid w:val="00634CF6"/>
    <w:rsid w:val="00634D23"/>
    <w:rsid w:val="006356BA"/>
    <w:rsid w:val="00635AFC"/>
    <w:rsid w:val="00635B79"/>
    <w:rsid w:val="006371B5"/>
    <w:rsid w:val="006372CD"/>
    <w:rsid w:val="0063767C"/>
    <w:rsid w:val="00640561"/>
    <w:rsid w:val="00640632"/>
    <w:rsid w:val="00641163"/>
    <w:rsid w:val="006412FC"/>
    <w:rsid w:val="00641591"/>
    <w:rsid w:val="006418BA"/>
    <w:rsid w:val="00641CBA"/>
    <w:rsid w:val="00641FE8"/>
    <w:rsid w:val="00642092"/>
    <w:rsid w:val="0064258B"/>
    <w:rsid w:val="00642B35"/>
    <w:rsid w:val="00642B9A"/>
    <w:rsid w:val="00642F87"/>
    <w:rsid w:val="006437D1"/>
    <w:rsid w:val="00643D58"/>
    <w:rsid w:val="00644E6C"/>
    <w:rsid w:val="00646064"/>
    <w:rsid w:val="006466B4"/>
    <w:rsid w:val="006468D6"/>
    <w:rsid w:val="00646FA6"/>
    <w:rsid w:val="00647369"/>
    <w:rsid w:val="006478F2"/>
    <w:rsid w:val="00647B6D"/>
    <w:rsid w:val="0065038A"/>
    <w:rsid w:val="006511F1"/>
    <w:rsid w:val="0065162B"/>
    <w:rsid w:val="006517BD"/>
    <w:rsid w:val="00651B90"/>
    <w:rsid w:val="00652248"/>
    <w:rsid w:val="00652A21"/>
    <w:rsid w:val="00652B74"/>
    <w:rsid w:val="00652C47"/>
    <w:rsid w:val="00653478"/>
    <w:rsid w:val="00653DE6"/>
    <w:rsid w:val="00653E97"/>
    <w:rsid w:val="006542D2"/>
    <w:rsid w:val="00654601"/>
    <w:rsid w:val="00654789"/>
    <w:rsid w:val="006551D3"/>
    <w:rsid w:val="00655CCB"/>
    <w:rsid w:val="006564E9"/>
    <w:rsid w:val="006567D2"/>
    <w:rsid w:val="006577EC"/>
    <w:rsid w:val="00657F69"/>
    <w:rsid w:val="0066092C"/>
    <w:rsid w:val="0066097E"/>
    <w:rsid w:val="00660A76"/>
    <w:rsid w:val="006613E6"/>
    <w:rsid w:val="00661B58"/>
    <w:rsid w:val="00661ECA"/>
    <w:rsid w:val="00661F6F"/>
    <w:rsid w:val="00663F0D"/>
    <w:rsid w:val="00663FE1"/>
    <w:rsid w:val="00663FE7"/>
    <w:rsid w:val="006647EB"/>
    <w:rsid w:val="00664AC5"/>
    <w:rsid w:val="00664CD7"/>
    <w:rsid w:val="0066589B"/>
    <w:rsid w:val="00666127"/>
    <w:rsid w:val="0066648F"/>
    <w:rsid w:val="00666715"/>
    <w:rsid w:val="00667A03"/>
    <w:rsid w:val="00670287"/>
    <w:rsid w:val="006709D9"/>
    <w:rsid w:val="00670AF8"/>
    <w:rsid w:val="00670C5A"/>
    <w:rsid w:val="00670F18"/>
    <w:rsid w:val="006710D9"/>
    <w:rsid w:val="0067110F"/>
    <w:rsid w:val="00671495"/>
    <w:rsid w:val="00671537"/>
    <w:rsid w:val="00672523"/>
    <w:rsid w:val="006728DC"/>
    <w:rsid w:val="00672B42"/>
    <w:rsid w:val="00672F7C"/>
    <w:rsid w:val="00673033"/>
    <w:rsid w:val="00673464"/>
    <w:rsid w:val="00675936"/>
    <w:rsid w:val="00675A71"/>
    <w:rsid w:val="00675D2D"/>
    <w:rsid w:val="00675F74"/>
    <w:rsid w:val="00676CE2"/>
    <w:rsid w:val="00677454"/>
    <w:rsid w:val="0067755F"/>
    <w:rsid w:val="00677DBA"/>
    <w:rsid w:val="00677F21"/>
    <w:rsid w:val="006802A4"/>
    <w:rsid w:val="00680990"/>
    <w:rsid w:val="00681570"/>
    <w:rsid w:val="00681770"/>
    <w:rsid w:val="00681BA7"/>
    <w:rsid w:val="00681F75"/>
    <w:rsid w:val="00682084"/>
    <w:rsid w:val="006822D0"/>
    <w:rsid w:val="00682767"/>
    <w:rsid w:val="00682F1A"/>
    <w:rsid w:val="00683824"/>
    <w:rsid w:val="00683E61"/>
    <w:rsid w:val="006841AA"/>
    <w:rsid w:val="006842A4"/>
    <w:rsid w:val="006847EC"/>
    <w:rsid w:val="00684EE0"/>
    <w:rsid w:val="00685D33"/>
    <w:rsid w:val="00685ED8"/>
    <w:rsid w:val="00686078"/>
    <w:rsid w:val="00686756"/>
    <w:rsid w:val="00686824"/>
    <w:rsid w:val="00686FCF"/>
    <w:rsid w:val="006875D7"/>
    <w:rsid w:val="0068766A"/>
    <w:rsid w:val="00687C6B"/>
    <w:rsid w:val="006900F4"/>
    <w:rsid w:val="00690126"/>
    <w:rsid w:val="006918DD"/>
    <w:rsid w:val="00692008"/>
    <w:rsid w:val="0069218D"/>
    <w:rsid w:val="00692205"/>
    <w:rsid w:val="00692440"/>
    <w:rsid w:val="00692DF5"/>
    <w:rsid w:val="006940EE"/>
    <w:rsid w:val="006943F1"/>
    <w:rsid w:val="00694545"/>
    <w:rsid w:val="00694DEE"/>
    <w:rsid w:val="00695526"/>
    <w:rsid w:val="00695760"/>
    <w:rsid w:val="00695B16"/>
    <w:rsid w:val="00695B22"/>
    <w:rsid w:val="00695E48"/>
    <w:rsid w:val="00695FE9"/>
    <w:rsid w:val="00697C78"/>
    <w:rsid w:val="006A02DC"/>
    <w:rsid w:val="006A0588"/>
    <w:rsid w:val="006A098C"/>
    <w:rsid w:val="006A0C8C"/>
    <w:rsid w:val="006A1D39"/>
    <w:rsid w:val="006A2124"/>
    <w:rsid w:val="006A2310"/>
    <w:rsid w:val="006A3931"/>
    <w:rsid w:val="006A3A06"/>
    <w:rsid w:val="006A3C17"/>
    <w:rsid w:val="006A406D"/>
    <w:rsid w:val="006A4537"/>
    <w:rsid w:val="006A4B0C"/>
    <w:rsid w:val="006A6AAB"/>
    <w:rsid w:val="006A701D"/>
    <w:rsid w:val="006A723D"/>
    <w:rsid w:val="006A7456"/>
    <w:rsid w:val="006A7FF0"/>
    <w:rsid w:val="006B02DC"/>
    <w:rsid w:val="006B057E"/>
    <w:rsid w:val="006B07D0"/>
    <w:rsid w:val="006B0A88"/>
    <w:rsid w:val="006B0DB4"/>
    <w:rsid w:val="006B2682"/>
    <w:rsid w:val="006B2865"/>
    <w:rsid w:val="006B3A28"/>
    <w:rsid w:val="006B4FC9"/>
    <w:rsid w:val="006B5720"/>
    <w:rsid w:val="006B5C0E"/>
    <w:rsid w:val="006B631E"/>
    <w:rsid w:val="006B6E86"/>
    <w:rsid w:val="006B6EC9"/>
    <w:rsid w:val="006B7305"/>
    <w:rsid w:val="006B73AB"/>
    <w:rsid w:val="006B7CF1"/>
    <w:rsid w:val="006B7D30"/>
    <w:rsid w:val="006C01F5"/>
    <w:rsid w:val="006C0FD3"/>
    <w:rsid w:val="006C19B5"/>
    <w:rsid w:val="006C24FC"/>
    <w:rsid w:val="006C3C67"/>
    <w:rsid w:val="006C3E42"/>
    <w:rsid w:val="006C4BBA"/>
    <w:rsid w:val="006C4C1B"/>
    <w:rsid w:val="006C4ED8"/>
    <w:rsid w:val="006C50FD"/>
    <w:rsid w:val="006C636C"/>
    <w:rsid w:val="006C79D1"/>
    <w:rsid w:val="006C7C0E"/>
    <w:rsid w:val="006D196B"/>
    <w:rsid w:val="006D23CF"/>
    <w:rsid w:val="006D257B"/>
    <w:rsid w:val="006D30D3"/>
    <w:rsid w:val="006D3461"/>
    <w:rsid w:val="006D5B92"/>
    <w:rsid w:val="006D5EDF"/>
    <w:rsid w:val="006D6942"/>
    <w:rsid w:val="006D6F51"/>
    <w:rsid w:val="006D75DE"/>
    <w:rsid w:val="006D7C37"/>
    <w:rsid w:val="006D7C44"/>
    <w:rsid w:val="006E094F"/>
    <w:rsid w:val="006E1CD1"/>
    <w:rsid w:val="006E29B3"/>
    <w:rsid w:val="006E2FEF"/>
    <w:rsid w:val="006E3534"/>
    <w:rsid w:val="006E4C91"/>
    <w:rsid w:val="006E5A15"/>
    <w:rsid w:val="006E61F1"/>
    <w:rsid w:val="006E66F6"/>
    <w:rsid w:val="006E685C"/>
    <w:rsid w:val="006E6C4D"/>
    <w:rsid w:val="006E6C74"/>
    <w:rsid w:val="006E72A8"/>
    <w:rsid w:val="006E7CD7"/>
    <w:rsid w:val="006F1492"/>
    <w:rsid w:val="006F403D"/>
    <w:rsid w:val="006F40E7"/>
    <w:rsid w:val="006F62B2"/>
    <w:rsid w:val="006F731E"/>
    <w:rsid w:val="006F75BE"/>
    <w:rsid w:val="006F7AB6"/>
    <w:rsid w:val="006F7D1F"/>
    <w:rsid w:val="006F7D59"/>
    <w:rsid w:val="006F7FE3"/>
    <w:rsid w:val="00700E53"/>
    <w:rsid w:val="00702070"/>
    <w:rsid w:val="007020F4"/>
    <w:rsid w:val="00702430"/>
    <w:rsid w:val="00702D07"/>
    <w:rsid w:val="00702D6F"/>
    <w:rsid w:val="00703121"/>
    <w:rsid w:val="00703C68"/>
    <w:rsid w:val="007042F1"/>
    <w:rsid w:val="00704A24"/>
    <w:rsid w:val="007056D9"/>
    <w:rsid w:val="00705B7D"/>
    <w:rsid w:val="00707719"/>
    <w:rsid w:val="00707B00"/>
    <w:rsid w:val="00710429"/>
    <w:rsid w:val="00710772"/>
    <w:rsid w:val="00711838"/>
    <w:rsid w:val="007118FC"/>
    <w:rsid w:val="00711B4F"/>
    <w:rsid w:val="00712398"/>
    <w:rsid w:val="007124FC"/>
    <w:rsid w:val="00712D4B"/>
    <w:rsid w:val="0071320F"/>
    <w:rsid w:val="00713726"/>
    <w:rsid w:val="00713FEE"/>
    <w:rsid w:val="007154C0"/>
    <w:rsid w:val="00716574"/>
    <w:rsid w:val="00716CCF"/>
    <w:rsid w:val="0071700D"/>
    <w:rsid w:val="007175A9"/>
    <w:rsid w:val="00717C6C"/>
    <w:rsid w:val="00717D3F"/>
    <w:rsid w:val="00717DF2"/>
    <w:rsid w:val="00720482"/>
    <w:rsid w:val="00720E99"/>
    <w:rsid w:val="007222A2"/>
    <w:rsid w:val="007226C2"/>
    <w:rsid w:val="007229EB"/>
    <w:rsid w:val="00722CD1"/>
    <w:rsid w:val="0072318D"/>
    <w:rsid w:val="0072348A"/>
    <w:rsid w:val="00723AD0"/>
    <w:rsid w:val="00723F78"/>
    <w:rsid w:val="00724399"/>
    <w:rsid w:val="00724A07"/>
    <w:rsid w:val="0072528F"/>
    <w:rsid w:val="00725ADE"/>
    <w:rsid w:val="00725DB9"/>
    <w:rsid w:val="00725DDB"/>
    <w:rsid w:val="00725EEC"/>
    <w:rsid w:val="00725F30"/>
    <w:rsid w:val="00726232"/>
    <w:rsid w:val="00726303"/>
    <w:rsid w:val="00726519"/>
    <w:rsid w:val="0072669C"/>
    <w:rsid w:val="007266E5"/>
    <w:rsid w:val="00726773"/>
    <w:rsid w:val="00726B5A"/>
    <w:rsid w:val="007274E0"/>
    <w:rsid w:val="00727DDE"/>
    <w:rsid w:val="00730151"/>
    <w:rsid w:val="00730153"/>
    <w:rsid w:val="00730184"/>
    <w:rsid w:val="00730853"/>
    <w:rsid w:val="00730B88"/>
    <w:rsid w:val="00730D4D"/>
    <w:rsid w:val="00731D75"/>
    <w:rsid w:val="00731F75"/>
    <w:rsid w:val="00732B6B"/>
    <w:rsid w:val="0073447D"/>
    <w:rsid w:val="0073451E"/>
    <w:rsid w:val="00734C9C"/>
    <w:rsid w:val="00734DA6"/>
    <w:rsid w:val="0073503C"/>
    <w:rsid w:val="007350DF"/>
    <w:rsid w:val="00735572"/>
    <w:rsid w:val="00735721"/>
    <w:rsid w:val="0073697B"/>
    <w:rsid w:val="00736B90"/>
    <w:rsid w:val="00736D2C"/>
    <w:rsid w:val="00737DDD"/>
    <w:rsid w:val="00737E66"/>
    <w:rsid w:val="00737E7C"/>
    <w:rsid w:val="00740B5C"/>
    <w:rsid w:val="007412AA"/>
    <w:rsid w:val="0074282C"/>
    <w:rsid w:val="00742F98"/>
    <w:rsid w:val="007431D1"/>
    <w:rsid w:val="00743471"/>
    <w:rsid w:val="00743D7A"/>
    <w:rsid w:val="007441C4"/>
    <w:rsid w:val="007455C4"/>
    <w:rsid w:val="00746422"/>
    <w:rsid w:val="00746835"/>
    <w:rsid w:val="00746E81"/>
    <w:rsid w:val="0074744A"/>
    <w:rsid w:val="00747F90"/>
    <w:rsid w:val="00750041"/>
    <w:rsid w:val="00750700"/>
    <w:rsid w:val="007509C6"/>
    <w:rsid w:val="00751994"/>
    <w:rsid w:val="007532C0"/>
    <w:rsid w:val="007539A2"/>
    <w:rsid w:val="0075499A"/>
    <w:rsid w:val="00754ADB"/>
    <w:rsid w:val="00754C0E"/>
    <w:rsid w:val="00754CC6"/>
    <w:rsid w:val="00754E0C"/>
    <w:rsid w:val="00754EA7"/>
    <w:rsid w:val="0075559B"/>
    <w:rsid w:val="007560A6"/>
    <w:rsid w:val="00756346"/>
    <w:rsid w:val="007565D6"/>
    <w:rsid w:val="00756FD4"/>
    <w:rsid w:val="00757168"/>
    <w:rsid w:val="00757815"/>
    <w:rsid w:val="007609F6"/>
    <w:rsid w:val="007610AB"/>
    <w:rsid w:val="0076113C"/>
    <w:rsid w:val="007612A8"/>
    <w:rsid w:val="0076249D"/>
    <w:rsid w:val="007625F1"/>
    <w:rsid w:val="00762AB8"/>
    <w:rsid w:val="00764A02"/>
    <w:rsid w:val="00764B05"/>
    <w:rsid w:val="007652AB"/>
    <w:rsid w:val="00765357"/>
    <w:rsid w:val="007655F2"/>
    <w:rsid w:val="00765B9D"/>
    <w:rsid w:val="00765C75"/>
    <w:rsid w:val="007663A8"/>
    <w:rsid w:val="007663AE"/>
    <w:rsid w:val="0077222D"/>
    <w:rsid w:val="00772830"/>
    <w:rsid w:val="00772B8D"/>
    <w:rsid w:val="0077378D"/>
    <w:rsid w:val="00774626"/>
    <w:rsid w:val="00774CC6"/>
    <w:rsid w:val="00774D0E"/>
    <w:rsid w:val="0077507D"/>
    <w:rsid w:val="00775F88"/>
    <w:rsid w:val="00776760"/>
    <w:rsid w:val="007774EC"/>
    <w:rsid w:val="0078020C"/>
    <w:rsid w:val="007805D8"/>
    <w:rsid w:val="00780A30"/>
    <w:rsid w:val="00780F45"/>
    <w:rsid w:val="00781BD5"/>
    <w:rsid w:val="00781E18"/>
    <w:rsid w:val="0078239D"/>
    <w:rsid w:val="007829BD"/>
    <w:rsid w:val="0078316F"/>
    <w:rsid w:val="00784703"/>
    <w:rsid w:val="0078497F"/>
    <w:rsid w:val="0078587E"/>
    <w:rsid w:val="0078666A"/>
    <w:rsid w:val="00786908"/>
    <w:rsid w:val="00786EFF"/>
    <w:rsid w:val="0078794C"/>
    <w:rsid w:val="00787998"/>
    <w:rsid w:val="00790011"/>
    <w:rsid w:val="00790123"/>
    <w:rsid w:val="00790DCC"/>
    <w:rsid w:val="007913D7"/>
    <w:rsid w:val="00791C81"/>
    <w:rsid w:val="0079275D"/>
    <w:rsid w:val="0079336B"/>
    <w:rsid w:val="007937CF"/>
    <w:rsid w:val="007938F1"/>
    <w:rsid w:val="00794F53"/>
    <w:rsid w:val="00795045"/>
    <w:rsid w:val="0079519B"/>
    <w:rsid w:val="0079574E"/>
    <w:rsid w:val="00796484"/>
    <w:rsid w:val="007967DF"/>
    <w:rsid w:val="00796E0E"/>
    <w:rsid w:val="0079739F"/>
    <w:rsid w:val="00797A4D"/>
    <w:rsid w:val="00797BE2"/>
    <w:rsid w:val="00797E79"/>
    <w:rsid w:val="00797F80"/>
    <w:rsid w:val="007A0E69"/>
    <w:rsid w:val="007A0E8E"/>
    <w:rsid w:val="007A1291"/>
    <w:rsid w:val="007A1367"/>
    <w:rsid w:val="007A21C2"/>
    <w:rsid w:val="007A26FE"/>
    <w:rsid w:val="007A289B"/>
    <w:rsid w:val="007A3CA8"/>
    <w:rsid w:val="007A4756"/>
    <w:rsid w:val="007A5480"/>
    <w:rsid w:val="007A58CF"/>
    <w:rsid w:val="007A69E6"/>
    <w:rsid w:val="007A6AFD"/>
    <w:rsid w:val="007A6CA9"/>
    <w:rsid w:val="007B0D94"/>
    <w:rsid w:val="007B15D5"/>
    <w:rsid w:val="007B2167"/>
    <w:rsid w:val="007B22D8"/>
    <w:rsid w:val="007B2859"/>
    <w:rsid w:val="007B29BD"/>
    <w:rsid w:val="007B2AE6"/>
    <w:rsid w:val="007B2E5A"/>
    <w:rsid w:val="007B38B5"/>
    <w:rsid w:val="007B3A87"/>
    <w:rsid w:val="007B3DD8"/>
    <w:rsid w:val="007B43AD"/>
    <w:rsid w:val="007B51A5"/>
    <w:rsid w:val="007B5231"/>
    <w:rsid w:val="007B53EE"/>
    <w:rsid w:val="007B5440"/>
    <w:rsid w:val="007B6453"/>
    <w:rsid w:val="007B6CE3"/>
    <w:rsid w:val="007B72BE"/>
    <w:rsid w:val="007B735F"/>
    <w:rsid w:val="007B76E8"/>
    <w:rsid w:val="007B7829"/>
    <w:rsid w:val="007C01CE"/>
    <w:rsid w:val="007C0609"/>
    <w:rsid w:val="007C0FBE"/>
    <w:rsid w:val="007C1F8C"/>
    <w:rsid w:val="007C231A"/>
    <w:rsid w:val="007C2430"/>
    <w:rsid w:val="007C29A2"/>
    <w:rsid w:val="007C4953"/>
    <w:rsid w:val="007C4CB7"/>
    <w:rsid w:val="007C4F5D"/>
    <w:rsid w:val="007C5391"/>
    <w:rsid w:val="007C59F9"/>
    <w:rsid w:val="007C63CF"/>
    <w:rsid w:val="007C7296"/>
    <w:rsid w:val="007C77D0"/>
    <w:rsid w:val="007C7967"/>
    <w:rsid w:val="007C7F7C"/>
    <w:rsid w:val="007D1432"/>
    <w:rsid w:val="007D1F5D"/>
    <w:rsid w:val="007D344F"/>
    <w:rsid w:val="007D35C9"/>
    <w:rsid w:val="007D46F4"/>
    <w:rsid w:val="007D495E"/>
    <w:rsid w:val="007D52CD"/>
    <w:rsid w:val="007D53B5"/>
    <w:rsid w:val="007D67B0"/>
    <w:rsid w:val="007D68AE"/>
    <w:rsid w:val="007D6BE8"/>
    <w:rsid w:val="007D7E99"/>
    <w:rsid w:val="007E0A3E"/>
    <w:rsid w:val="007E10F6"/>
    <w:rsid w:val="007E1E0B"/>
    <w:rsid w:val="007E1FFA"/>
    <w:rsid w:val="007E2163"/>
    <w:rsid w:val="007E2F18"/>
    <w:rsid w:val="007E4028"/>
    <w:rsid w:val="007E59D9"/>
    <w:rsid w:val="007E5DA7"/>
    <w:rsid w:val="007E5DF2"/>
    <w:rsid w:val="007E7142"/>
    <w:rsid w:val="007E7DFE"/>
    <w:rsid w:val="007E7ECD"/>
    <w:rsid w:val="007F01BB"/>
    <w:rsid w:val="007F0474"/>
    <w:rsid w:val="007F24C6"/>
    <w:rsid w:val="007F3BB5"/>
    <w:rsid w:val="007F4372"/>
    <w:rsid w:val="007F61DF"/>
    <w:rsid w:val="007F62A1"/>
    <w:rsid w:val="007F656F"/>
    <w:rsid w:val="007F6BA1"/>
    <w:rsid w:val="007F6F81"/>
    <w:rsid w:val="007F758C"/>
    <w:rsid w:val="007F7BF1"/>
    <w:rsid w:val="007F7C58"/>
    <w:rsid w:val="00800D0C"/>
    <w:rsid w:val="00801580"/>
    <w:rsid w:val="00802D6B"/>
    <w:rsid w:val="008053C3"/>
    <w:rsid w:val="008056D9"/>
    <w:rsid w:val="00806146"/>
    <w:rsid w:val="00806D84"/>
    <w:rsid w:val="00807217"/>
    <w:rsid w:val="00807329"/>
    <w:rsid w:val="008074A0"/>
    <w:rsid w:val="00807C66"/>
    <w:rsid w:val="0081051E"/>
    <w:rsid w:val="00810C9A"/>
    <w:rsid w:val="00810F0F"/>
    <w:rsid w:val="008112C0"/>
    <w:rsid w:val="00811FB4"/>
    <w:rsid w:val="008128C6"/>
    <w:rsid w:val="008134CE"/>
    <w:rsid w:val="00813608"/>
    <w:rsid w:val="00814FEF"/>
    <w:rsid w:val="0081550F"/>
    <w:rsid w:val="00815E1A"/>
    <w:rsid w:val="00816EF4"/>
    <w:rsid w:val="008170D0"/>
    <w:rsid w:val="00817B07"/>
    <w:rsid w:val="00817B6E"/>
    <w:rsid w:val="008200E7"/>
    <w:rsid w:val="00820586"/>
    <w:rsid w:val="00820A03"/>
    <w:rsid w:val="00820FBC"/>
    <w:rsid w:val="00823009"/>
    <w:rsid w:val="0082339C"/>
    <w:rsid w:val="00823528"/>
    <w:rsid w:val="00823880"/>
    <w:rsid w:val="00824E4C"/>
    <w:rsid w:val="00825A2B"/>
    <w:rsid w:val="00825C59"/>
    <w:rsid w:val="008264EB"/>
    <w:rsid w:val="00826686"/>
    <w:rsid w:val="00826D8D"/>
    <w:rsid w:val="00827375"/>
    <w:rsid w:val="0082774C"/>
    <w:rsid w:val="008308F8"/>
    <w:rsid w:val="00830C80"/>
    <w:rsid w:val="00831434"/>
    <w:rsid w:val="00831826"/>
    <w:rsid w:val="00831CD2"/>
    <w:rsid w:val="008328F7"/>
    <w:rsid w:val="008333D9"/>
    <w:rsid w:val="00833E70"/>
    <w:rsid w:val="00833EAD"/>
    <w:rsid w:val="00833EDB"/>
    <w:rsid w:val="00835029"/>
    <w:rsid w:val="00836DAB"/>
    <w:rsid w:val="00836EC7"/>
    <w:rsid w:val="00837225"/>
    <w:rsid w:val="00837C1A"/>
    <w:rsid w:val="00837EA3"/>
    <w:rsid w:val="00837FA7"/>
    <w:rsid w:val="0084019A"/>
    <w:rsid w:val="00840260"/>
    <w:rsid w:val="008403DC"/>
    <w:rsid w:val="0084061F"/>
    <w:rsid w:val="00840C7D"/>
    <w:rsid w:val="00841172"/>
    <w:rsid w:val="00841509"/>
    <w:rsid w:val="00841614"/>
    <w:rsid w:val="008417EA"/>
    <w:rsid w:val="00841913"/>
    <w:rsid w:val="00843496"/>
    <w:rsid w:val="0084361F"/>
    <w:rsid w:val="0084393D"/>
    <w:rsid w:val="00843D13"/>
    <w:rsid w:val="00844871"/>
    <w:rsid w:val="00845050"/>
    <w:rsid w:val="00845124"/>
    <w:rsid w:val="00845E41"/>
    <w:rsid w:val="00846BE6"/>
    <w:rsid w:val="00846F00"/>
    <w:rsid w:val="008470DD"/>
    <w:rsid w:val="00847DD4"/>
    <w:rsid w:val="00847E7A"/>
    <w:rsid w:val="00850EF7"/>
    <w:rsid w:val="00851135"/>
    <w:rsid w:val="008513C5"/>
    <w:rsid w:val="008515E4"/>
    <w:rsid w:val="00851718"/>
    <w:rsid w:val="0085177D"/>
    <w:rsid w:val="00851D27"/>
    <w:rsid w:val="00852886"/>
    <w:rsid w:val="00852B4E"/>
    <w:rsid w:val="008536BA"/>
    <w:rsid w:val="0085399F"/>
    <w:rsid w:val="00853CD9"/>
    <w:rsid w:val="00854DD4"/>
    <w:rsid w:val="00854E91"/>
    <w:rsid w:val="008556C4"/>
    <w:rsid w:val="00855D27"/>
    <w:rsid w:val="00855D2B"/>
    <w:rsid w:val="00856FEF"/>
    <w:rsid w:val="00857A5E"/>
    <w:rsid w:val="00860155"/>
    <w:rsid w:val="008604C5"/>
    <w:rsid w:val="0086222C"/>
    <w:rsid w:val="0086259A"/>
    <w:rsid w:val="008628B1"/>
    <w:rsid w:val="00863018"/>
    <w:rsid w:val="00863DF9"/>
    <w:rsid w:val="008642A7"/>
    <w:rsid w:val="008645A0"/>
    <w:rsid w:val="00865E99"/>
    <w:rsid w:val="00866501"/>
    <w:rsid w:val="00866632"/>
    <w:rsid w:val="00870486"/>
    <w:rsid w:val="008711D8"/>
    <w:rsid w:val="00871BC5"/>
    <w:rsid w:val="008727EA"/>
    <w:rsid w:val="0087288B"/>
    <w:rsid w:val="00872891"/>
    <w:rsid w:val="00872C70"/>
    <w:rsid w:val="00873225"/>
    <w:rsid w:val="00873638"/>
    <w:rsid w:val="008749D3"/>
    <w:rsid w:val="00874C6C"/>
    <w:rsid w:val="00874DBE"/>
    <w:rsid w:val="00875504"/>
    <w:rsid w:val="00875D1B"/>
    <w:rsid w:val="008761B9"/>
    <w:rsid w:val="00876313"/>
    <w:rsid w:val="0087639D"/>
    <w:rsid w:val="008770AF"/>
    <w:rsid w:val="00877673"/>
    <w:rsid w:val="00877B30"/>
    <w:rsid w:val="00877F72"/>
    <w:rsid w:val="0088044F"/>
    <w:rsid w:val="008806FD"/>
    <w:rsid w:val="008813CA"/>
    <w:rsid w:val="0088246B"/>
    <w:rsid w:val="0088300F"/>
    <w:rsid w:val="00883887"/>
    <w:rsid w:val="00883BEE"/>
    <w:rsid w:val="00884025"/>
    <w:rsid w:val="00884999"/>
    <w:rsid w:val="00884EEB"/>
    <w:rsid w:val="00886853"/>
    <w:rsid w:val="00887465"/>
    <w:rsid w:val="008874FB"/>
    <w:rsid w:val="00887C56"/>
    <w:rsid w:val="00887DB2"/>
    <w:rsid w:val="008904CC"/>
    <w:rsid w:val="00890D9A"/>
    <w:rsid w:val="008914D8"/>
    <w:rsid w:val="008915C9"/>
    <w:rsid w:val="008917ED"/>
    <w:rsid w:val="00891903"/>
    <w:rsid w:val="008924E5"/>
    <w:rsid w:val="00892A9B"/>
    <w:rsid w:val="00892CBA"/>
    <w:rsid w:val="00892ED0"/>
    <w:rsid w:val="00893E9F"/>
    <w:rsid w:val="0089522D"/>
    <w:rsid w:val="00895782"/>
    <w:rsid w:val="00897257"/>
    <w:rsid w:val="008975A4"/>
    <w:rsid w:val="008978B9"/>
    <w:rsid w:val="008979FE"/>
    <w:rsid w:val="00897DC8"/>
    <w:rsid w:val="008A032C"/>
    <w:rsid w:val="008A0897"/>
    <w:rsid w:val="008A1995"/>
    <w:rsid w:val="008A1D9B"/>
    <w:rsid w:val="008A32BC"/>
    <w:rsid w:val="008A34EA"/>
    <w:rsid w:val="008A3BE6"/>
    <w:rsid w:val="008A468D"/>
    <w:rsid w:val="008A52E1"/>
    <w:rsid w:val="008A5EDE"/>
    <w:rsid w:val="008A695D"/>
    <w:rsid w:val="008A6ADB"/>
    <w:rsid w:val="008A6AF7"/>
    <w:rsid w:val="008A7198"/>
    <w:rsid w:val="008A7DFB"/>
    <w:rsid w:val="008B094C"/>
    <w:rsid w:val="008B0ADF"/>
    <w:rsid w:val="008B27C9"/>
    <w:rsid w:val="008B28D2"/>
    <w:rsid w:val="008B337E"/>
    <w:rsid w:val="008B4237"/>
    <w:rsid w:val="008B4463"/>
    <w:rsid w:val="008B47C4"/>
    <w:rsid w:val="008B48C8"/>
    <w:rsid w:val="008B5075"/>
    <w:rsid w:val="008B5750"/>
    <w:rsid w:val="008B7234"/>
    <w:rsid w:val="008B7269"/>
    <w:rsid w:val="008B77AA"/>
    <w:rsid w:val="008B7C4E"/>
    <w:rsid w:val="008C0312"/>
    <w:rsid w:val="008C0363"/>
    <w:rsid w:val="008C08EE"/>
    <w:rsid w:val="008C092E"/>
    <w:rsid w:val="008C1195"/>
    <w:rsid w:val="008C24B5"/>
    <w:rsid w:val="008C335F"/>
    <w:rsid w:val="008C377D"/>
    <w:rsid w:val="008C40B0"/>
    <w:rsid w:val="008C44C3"/>
    <w:rsid w:val="008C47BC"/>
    <w:rsid w:val="008C4AFF"/>
    <w:rsid w:val="008C5321"/>
    <w:rsid w:val="008C5ACA"/>
    <w:rsid w:val="008C5CFB"/>
    <w:rsid w:val="008C5F41"/>
    <w:rsid w:val="008C6758"/>
    <w:rsid w:val="008C6B8E"/>
    <w:rsid w:val="008C6C2E"/>
    <w:rsid w:val="008C700E"/>
    <w:rsid w:val="008C7720"/>
    <w:rsid w:val="008D00B6"/>
    <w:rsid w:val="008D088B"/>
    <w:rsid w:val="008D16A3"/>
    <w:rsid w:val="008D1D99"/>
    <w:rsid w:val="008D1DAB"/>
    <w:rsid w:val="008D20F5"/>
    <w:rsid w:val="008D22CB"/>
    <w:rsid w:val="008D26E8"/>
    <w:rsid w:val="008D2A39"/>
    <w:rsid w:val="008D2B0F"/>
    <w:rsid w:val="008D4537"/>
    <w:rsid w:val="008D47FD"/>
    <w:rsid w:val="008D49B8"/>
    <w:rsid w:val="008D50F2"/>
    <w:rsid w:val="008D5AFE"/>
    <w:rsid w:val="008D5CBF"/>
    <w:rsid w:val="008D6623"/>
    <w:rsid w:val="008D6776"/>
    <w:rsid w:val="008D6B35"/>
    <w:rsid w:val="008D6EEC"/>
    <w:rsid w:val="008D7094"/>
    <w:rsid w:val="008D726A"/>
    <w:rsid w:val="008D7B3B"/>
    <w:rsid w:val="008E0158"/>
    <w:rsid w:val="008E0749"/>
    <w:rsid w:val="008E0963"/>
    <w:rsid w:val="008E0B0B"/>
    <w:rsid w:val="008E0BA0"/>
    <w:rsid w:val="008E165B"/>
    <w:rsid w:val="008E18AC"/>
    <w:rsid w:val="008E1AB0"/>
    <w:rsid w:val="008E1F5D"/>
    <w:rsid w:val="008E33C6"/>
    <w:rsid w:val="008E359E"/>
    <w:rsid w:val="008E367A"/>
    <w:rsid w:val="008E3898"/>
    <w:rsid w:val="008E40AD"/>
    <w:rsid w:val="008E4149"/>
    <w:rsid w:val="008E4C5E"/>
    <w:rsid w:val="008E527B"/>
    <w:rsid w:val="008E5860"/>
    <w:rsid w:val="008E66F2"/>
    <w:rsid w:val="008E6A75"/>
    <w:rsid w:val="008E6B62"/>
    <w:rsid w:val="008E6D74"/>
    <w:rsid w:val="008E7062"/>
    <w:rsid w:val="008E7606"/>
    <w:rsid w:val="008E7BF6"/>
    <w:rsid w:val="008F114F"/>
    <w:rsid w:val="008F2AF3"/>
    <w:rsid w:val="008F2FA3"/>
    <w:rsid w:val="008F4A0E"/>
    <w:rsid w:val="008F5347"/>
    <w:rsid w:val="008F58DF"/>
    <w:rsid w:val="008F5C08"/>
    <w:rsid w:val="008F5F4B"/>
    <w:rsid w:val="008F69E4"/>
    <w:rsid w:val="008F6E3D"/>
    <w:rsid w:val="008F7178"/>
    <w:rsid w:val="009014A3"/>
    <w:rsid w:val="00901686"/>
    <w:rsid w:val="00901C4E"/>
    <w:rsid w:val="00902BB0"/>
    <w:rsid w:val="00902FE5"/>
    <w:rsid w:val="00903AB8"/>
    <w:rsid w:val="009055A7"/>
    <w:rsid w:val="00905D14"/>
    <w:rsid w:val="00905DEF"/>
    <w:rsid w:val="00906C27"/>
    <w:rsid w:val="009070EA"/>
    <w:rsid w:val="00907D8E"/>
    <w:rsid w:val="00910374"/>
    <w:rsid w:val="00911FD0"/>
    <w:rsid w:val="0091317B"/>
    <w:rsid w:val="0091356F"/>
    <w:rsid w:val="00913613"/>
    <w:rsid w:val="009141BC"/>
    <w:rsid w:val="00914738"/>
    <w:rsid w:val="00914F25"/>
    <w:rsid w:val="009150FB"/>
    <w:rsid w:val="009157A2"/>
    <w:rsid w:val="0091583D"/>
    <w:rsid w:val="00915897"/>
    <w:rsid w:val="00915DC7"/>
    <w:rsid w:val="00916B81"/>
    <w:rsid w:val="00916DC3"/>
    <w:rsid w:val="00923117"/>
    <w:rsid w:val="00923CEE"/>
    <w:rsid w:val="00924C82"/>
    <w:rsid w:val="00924E35"/>
    <w:rsid w:val="009254CC"/>
    <w:rsid w:val="00925A0F"/>
    <w:rsid w:val="00925A1F"/>
    <w:rsid w:val="00925C91"/>
    <w:rsid w:val="00926168"/>
    <w:rsid w:val="00927D2E"/>
    <w:rsid w:val="00931128"/>
    <w:rsid w:val="00931524"/>
    <w:rsid w:val="0093155B"/>
    <w:rsid w:val="009315E5"/>
    <w:rsid w:val="00931A4C"/>
    <w:rsid w:val="009325B6"/>
    <w:rsid w:val="00932BB7"/>
    <w:rsid w:val="00933603"/>
    <w:rsid w:val="0093366C"/>
    <w:rsid w:val="0093371E"/>
    <w:rsid w:val="00934152"/>
    <w:rsid w:val="00934655"/>
    <w:rsid w:val="009349E0"/>
    <w:rsid w:val="00934DB2"/>
    <w:rsid w:val="00934EB3"/>
    <w:rsid w:val="00935149"/>
    <w:rsid w:val="00936576"/>
    <w:rsid w:val="00937410"/>
    <w:rsid w:val="00937432"/>
    <w:rsid w:val="0094006C"/>
    <w:rsid w:val="0094047E"/>
    <w:rsid w:val="00940794"/>
    <w:rsid w:val="00940F0A"/>
    <w:rsid w:val="0094159C"/>
    <w:rsid w:val="0094272B"/>
    <w:rsid w:val="009431D9"/>
    <w:rsid w:val="00943420"/>
    <w:rsid w:val="0094371C"/>
    <w:rsid w:val="00943800"/>
    <w:rsid w:val="00943AE3"/>
    <w:rsid w:val="00943B20"/>
    <w:rsid w:val="0094434A"/>
    <w:rsid w:val="00944783"/>
    <w:rsid w:val="00944C8E"/>
    <w:rsid w:val="00944E7B"/>
    <w:rsid w:val="00945325"/>
    <w:rsid w:val="00945CF4"/>
    <w:rsid w:val="00946BD6"/>
    <w:rsid w:val="0094777E"/>
    <w:rsid w:val="009479BB"/>
    <w:rsid w:val="009506C5"/>
    <w:rsid w:val="0095079A"/>
    <w:rsid w:val="009508F0"/>
    <w:rsid w:val="00950A08"/>
    <w:rsid w:val="00950A55"/>
    <w:rsid w:val="00952661"/>
    <w:rsid w:val="009536B0"/>
    <w:rsid w:val="009537E2"/>
    <w:rsid w:val="00953A27"/>
    <w:rsid w:val="00953C09"/>
    <w:rsid w:val="00954DFF"/>
    <w:rsid w:val="0095561E"/>
    <w:rsid w:val="00955E5D"/>
    <w:rsid w:val="00956823"/>
    <w:rsid w:val="009569F9"/>
    <w:rsid w:val="00956CC6"/>
    <w:rsid w:val="00957CA3"/>
    <w:rsid w:val="009600A5"/>
    <w:rsid w:val="0096106F"/>
    <w:rsid w:val="0096130F"/>
    <w:rsid w:val="009613F4"/>
    <w:rsid w:val="00961F4C"/>
    <w:rsid w:val="00961FAE"/>
    <w:rsid w:val="009622E0"/>
    <w:rsid w:val="00962319"/>
    <w:rsid w:val="00962FDE"/>
    <w:rsid w:val="00963ADA"/>
    <w:rsid w:val="00964FEC"/>
    <w:rsid w:val="0096582B"/>
    <w:rsid w:val="0096686F"/>
    <w:rsid w:val="0096724E"/>
    <w:rsid w:val="00967DBF"/>
    <w:rsid w:val="00970062"/>
    <w:rsid w:val="00970302"/>
    <w:rsid w:val="00970BAA"/>
    <w:rsid w:val="00971245"/>
    <w:rsid w:val="0097163C"/>
    <w:rsid w:val="009725C6"/>
    <w:rsid w:val="00972ABE"/>
    <w:rsid w:val="0097350D"/>
    <w:rsid w:val="00973AA0"/>
    <w:rsid w:val="00973C60"/>
    <w:rsid w:val="009755A1"/>
    <w:rsid w:val="00975EA3"/>
    <w:rsid w:val="009765CA"/>
    <w:rsid w:val="0097687B"/>
    <w:rsid w:val="00976CAB"/>
    <w:rsid w:val="00976EEE"/>
    <w:rsid w:val="00977E4E"/>
    <w:rsid w:val="0098094F"/>
    <w:rsid w:val="009813BB"/>
    <w:rsid w:val="00981C03"/>
    <w:rsid w:val="0098268B"/>
    <w:rsid w:val="009826B0"/>
    <w:rsid w:val="00982BCA"/>
    <w:rsid w:val="00983080"/>
    <w:rsid w:val="0098333F"/>
    <w:rsid w:val="00985607"/>
    <w:rsid w:val="00985687"/>
    <w:rsid w:val="0098658B"/>
    <w:rsid w:val="0098679A"/>
    <w:rsid w:val="00986D93"/>
    <w:rsid w:val="009874DA"/>
    <w:rsid w:val="0098758B"/>
    <w:rsid w:val="0098758D"/>
    <w:rsid w:val="00992E7A"/>
    <w:rsid w:val="00992E9F"/>
    <w:rsid w:val="00993317"/>
    <w:rsid w:val="00993FC1"/>
    <w:rsid w:val="00994716"/>
    <w:rsid w:val="00994DDA"/>
    <w:rsid w:val="00996254"/>
    <w:rsid w:val="00996807"/>
    <w:rsid w:val="00997A1C"/>
    <w:rsid w:val="009A0FAA"/>
    <w:rsid w:val="009A11CC"/>
    <w:rsid w:val="009A194A"/>
    <w:rsid w:val="009A1BF5"/>
    <w:rsid w:val="009A2AD5"/>
    <w:rsid w:val="009A2D83"/>
    <w:rsid w:val="009A3771"/>
    <w:rsid w:val="009A3A01"/>
    <w:rsid w:val="009A4222"/>
    <w:rsid w:val="009A425B"/>
    <w:rsid w:val="009A4909"/>
    <w:rsid w:val="009A52BE"/>
    <w:rsid w:val="009A54E5"/>
    <w:rsid w:val="009A6780"/>
    <w:rsid w:val="009A7741"/>
    <w:rsid w:val="009B0D78"/>
    <w:rsid w:val="009B210F"/>
    <w:rsid w:val="009B2893"/>
    <w:rsid w:val="009B2B0B"/>
    <w:rsid w:val="009B2B7E"/>
    <w:rsid w:val="009B2D87"/>
    <w:rsid w:val="009B30B9"/>
    <w:rsid w:val="009B33A1"/>
    <w:rsid w:val="009B54D7"/>
    <w:rsid w:val="009B56FB"/>
    <w:rsid w:val="009B5716"/>
    <w:rsid w:val="009B59A7"/>
    <w:rsid w:val="009B5C33"/>
    <w:rsid w:val="009B5F28"/>
    <w:rsid w:val="009B677B"/>
    <w:rsid w:val="009B6F46"/>
    <w:rsid w:val="009B7178"/>
    <w:rsid w:val="009B7960"/>
    <w:rsid w:val="009C012B"/>
    <w:rsid w:val="009C1F4F"/>
    <w:rsid w:val="009C208D"/>
    <w:rsid w:val="009C21D1"/>
    <w:rsid w:val="009C2C43"/>
    <w:rsid w:val="009C32CE"/>
    <w:rsid w:val="009C3622"/>
    <w:rsid w:val="009C3A73"/>
    <w:rsid w:val="009C41EE"/>
    <w:rsid w:val="009C476B"/>
    <w:rsid w:val="009C4FFB"/>
    <w:rsid w:val="009C5804"/>
    <w:rsid w:val="009C660B"/>
    <w:rsid w:val="009C66BB"/>
    <w:rsid w:val="009C68A3"/>
    <w:rsid w:val="009C6F7C"/>
    <w:rsid w:val="009D090F"/>
    <w:rsid w:val="009D0A33"/>
    <w:rsid w:val="009D0B8D"/>
    <w:rsid w:val="009D2499"/>
    <w:rsid w:val="009D24B5"/>
    <w:rsid w:val="009D2D6B"/>
    <w:rsid w:val="009D4174"/>
    <w:rsid w:val="009D4CC6"/>
    <w:rsid w:val="009D5960"/>
    <w:rsid w:val="009D5BB8"/>
    <w:rsid w:val="009D666A"/>
    <w:rsid w:val="009E019A"/>
    <w:rsid w:val="009E0BE2"/>
    <w:rsid w:val="009E2798"/>
    <w:rsid w:val="009E27BC"/>
    <w:rsid w:val="009E393E"/>
    <w:rsid w:val="009E3A2C"/>
    <w:rsid w:val="009E434A"/>
    <w:rsid w:val="009E47A3"/>
    <w:rsid w:val="009E4FDE"/>
    <w:rsid w:val="009E514A"/>
    <w:rsid w:val="009E6124"/>
    <w:rsid w:val="009E61E2"/>
    <w:rsid w:val="009E648E"/>
    <w:rsid w:val="009E6E7E"/>
    <w:rsid w:val="009F02CF"/>
    <w:rsid w:val="009F0B0F"/>
    <w:rsid w:val="009F0B99"/>
    <w:rsid w:val="009F23AB"/>
    <w:rsid w:val="009F24C9"/>
    <w:rsid w:val="009F2B65"/>
    <w:rsid w:val="009F2B82"/>
    <w:rsid w:val="009F34D6"/>
    <w:rsid w:val="009F3823"/>
    <w:rsid w:val="009F382F"/>
    <w:rsid w:val="009F3C0D"/>
    <w:rsid w:val="009F46CD"/>
    <w:rsid w:val="009F47B3"/>
    <w:rsid w:val="009F4B7E"/>
    <w:rsid w:val="009F4C66"/>
    <w:rsid w:val="009F4E7E"/>
    <w:rsid w:val="009F4F77"/>
    <w:rsid w:val="009F50B0"/>
    <w:rsid w:val="009F5505"/>
    <w:rsid w:val="009F5D1F"/>
    <w:rsid w:val="009F6215"/>
    <w:rsid w:val="009F6A61"/>
    <w:rsid w:val="009F76B5"/>
    <w:rsid w:val="009F7E79"/>
    <w:rsid w:val="009F7F3E"/>
    <w:rsid w:val="00A004A4"/>
    <w:rsid w:val="00A01D73"/>
    <w:rsid w:val="00A02103"/>
    <w:rsid w:val="00A02589"/>
    <w:rsid w:val="00A02946"/>
    <w:rsid w:val="00A05FEB"/>
    <w:rsid w:val="00A060E8"/>
    <w:rsid w:val="00A06232"/>
    <w:rsid w:val="00A070C4"/>
    <w:rsid w:val="00A07305"/>
    <w:rsid w:val="00A10080"/>
    <w:rsid w:val="00A10329"/>
    <w:rsid w:val="00A104D9"/>
    <w:rsid w:val="00A1073C"/>
    <w:rsid w:val="00A10AFA"/>
    <w:rsid w:val="00A10F99"/>
    <w:rsid w:val="00A1233B"/>
    <w:rsid w:val="00A1355C"/>
    <w:rsid w:val="00A13A0D"/>
    <w:rsid w:val="00A14A3E"/>
    <w:rsid w:val="00A14EB0"/>
    <w:rsid w:val="00A15053"/>
    <w:rsid w:val="00A15602"/>
    <w:rsid w:val="00A16DC1"/>
    <w:rsid w:val="00A176D5"/>
    <w:rsid w:val="00A177EA"/>
    <w:rsid w:val="00A17F2D"/>
    <w:rsid w:val="00A20070"/>
    <w:rsid w:val="00A20116"/>
    <w:rsid w:val="00A2093B"/>
    <w:rsid w:val="00A2158C"/>
    <w:rsid w:val="00A22251"/>
    <w:rsid w:val="00A23611"/>
    <w:rsid w:val="00A23F03"/>
    <w:rsid w:val="00A244B9"/>
    <w:rsid w:val="00A24D55"/>
    <w:rsid w:val="00A25054"/>
    <w:rsid w:val="00A26917"/>
    <w:rsid w:val="00A27B0A"/>
    <w:rsid w:val="00A27B15"/>
    <w:rsid w:val="00A27E36"/>
    <w:rsid w:val="00A317D7"/>
    <w:rsid w:val="00A31AB1"/>
    <w:rsid w:val="00A320FC"/>
    <w:rsid w:val="00A338EC"/>
    <w:rsid w:val="00A344A6"/>
    <w:rsid w:val="00A34AC5"/>
    <w:rsid w:val="00A34B0C"/>
    <w:rsid w:val="00A35575"/>
    <w:rsid w:val="00A35A9F"/>
    <w:rsid w:val="00A35DF5"/>
    <w:rsid w:val="00A35F16"/>
    <w:rsid w:val="00A3610E"/>
    <w:rsid w:val="00A363BC"/>
    <w:rsid w:val="00A36623"/>
    <w:rsid w:val="00A36B1E"/>
    <w:rsid w:val="00A371B8"/>
    <w:rsid w:val="00A37FBA"/>
    <w:rsid w:val="00A40BD7"/>
    <w:rsid w:val="00A40C27"/>
    <w:rsid w:val="00A41148"/>
    <w:rsid w:val="00A41188"/>
    <w:rsid w:val="00A41A88"/>
    <w:rsid w:val="00A41C2A"/>
    <w:rsid w:val="00A432EC"/>
    <w:rsid w:val="00A43C00"/>
    <w:rsid w:val="00A45506"/>
    <w:rsid w:val="00A45C12"/>
    <w:rsid w:val="00A4651F"/>
    <w:rsid w:val="00A46664"/>
    <w:rsid w:val="00A46992"/>
    <w:rsid w:val="00A46B10"/>
    <w:rsid w:val="00A4788F"/>
    <w:rsid w:val="00A47899"/>
    <w:rsid w:val="00A50038"/>
    <w:rsid w:val="00A50A78"/>
    <w:rsid w:val="00A50D4E"/>
    <w:rsid w:val="00A518E4"/>
    <w:rsid w:val="00A52087"/>
    <w:rsid w:val="00A531DA"/>
    <w:rsid w:val="00A5400E"/>
    <w:rsid w:val="00A54C77"/>
    <w:rsid w:val="00A552E8"/>
    <w:rsid w:val="00A55BE8"/>
    <w:rsid w:val="00A55F07"/>
    <w:rsid w:val="00A57870"/>
    <w:rsid w:val="00A60C36"/>
    <w:rsid w:val="00A60C9A"/>
    <w:rsid w:val="00A63735"/>
    <w:rsid w:val="00A63851"/>
    <w:rsid w:val="00A63A86"/>
    <w:rsid w:val="00A63FD3"/>
    <w:rsid w:val="00A655C4"/>
    <w:rsid w:val="00A659DC"/>
    <w:rsid w:val="00A66DE5"/>
    <w:rsid w:val="00A676DC"/>
    <w:rsid w:val="00A70021"/>
    <w:rsid w:val="00A701D5"/>
    <w:rsid w:val="00A705CA"/>
    <w:rsid w:val="00A706DD"/>
    <w:rsid w:val="00A729DF"/>
    <w:rsid w:val="00A7343F"/>
    <w:rsid w:val="00A73444"/>
    <w:rsid w:val="00A73A5B"/>
    <w:rsid w:val="00A73DF6"/>
    <w:rsid w:val="00A740C6"/>
    <w:rsid w:val="00A7418D"/>
    <w:rsid w:val="00A74290"/>
    <w:rsid w:val="00A746C1"/>
    <w:rsid w:val="00A74F98"/>
    <w:rsid w:val="00A754D0"/>
    <w:rsid w:val="00A77184"/>
    <w:rsid w:val="00A803D4"/>
    <w:rsid w:val="00A809E5"/>
    <w:rsid w:val="00A80E06"/>
    <w:rsid w:val="00A81375"/>
    <w:rsid w:val="00A81E0B"/>
    <w:rsid w:val="00A81E7F"/>
    <w:rsid w:val="00A82EB9"/>
    <w:rsid w:val="00A83299"/>
    <w:rsid w:val="00A833FA"/>
    <w:rsid w:val="00A8352A"/>
    <w:rsid w:val="00A83E25"/>
    <w:rsid w:val="00A84F00"/>
    <w:rsid w:val="00A857E0"/>
    <w:rsid w:val="00A86479"/>
    <w:rsid w:val="00A872A9"/>
    <w:rsid w:val="00A873F7"/>
    <w:rsid w:val="00A90656"/>
    <w:rsid w:val="00A906AE"/>
    <w:rsid w:val="00A90781"/>
    <w:rsid w:val="00A90904"/>
    <w:rsid w:val="00A9189D"/>
    <w:rsid w:val="00A922A1"/>
    <w:rsid w:val="00A92B29"/>
    <w:rsid w:val="00A930B0"/>
    <w:rsid w:val="00A93130"/>
    <w:rsid w:val="00A939AF"/>
    <w:rsid w:val="00A940E8"/>
    <w:rsid w:val="00A943B3"/>
    <w:rsid w:val="00A94400"/>
    <w:rsid w:val="00A9445B"/>
    <w:rsid w:val="00A94866"/>
    <w:rsid w:val="00A96C23"/>
    <w:rsid w:val="00A96EA5"/>
    <w:rsid w:val="00A97358"/>
    <w:rsid w:val="00AA0200"/>
    <w:rsid w:val="00AA0C40"/>
    <w:rsid w:val="00AA17E5"/>
    <w:rsid w:val="00AA17F6"/>
    <w:rsid w:val="00AA1EC5"/>
    <w:rsid w:val="00AA26B3"/>
    <w:rsid w:val="00AA2D75"/>
    <w:rsid w:val="00AA2D97"/>
    <w:rsid w:val="00AA4C87"/>
    <w:rsid w:val="00AA51BB"/>
    <w:rsid w:val="00AA53D2"/>
    <w:rsid w:val="00AA577D"/>
    <w:rsid w:val="00AA585A"/>
    <w:rsid w:val="00AA5B67"/>
    <w:rsid w:val="00AA6074"/>
    <w:rsid w:val="00AA6DC2"/>
    <w:rsid w:val="00AA70F2"/>
    <w:rsid w:val="00AA7A82"/>
    <w:rsid w:val="00AA7F18"/>
    <w:rsid w:val="00AB0C19"/>
    <w:rsid w:val="00AB2092"/>
    <w:rsid w:val="00AB23EA"/>
    <w:rsid w:val="00AB26C2"/>
    <w:rsid w:val="00AB3AAF"/>
    <w:rsid w:val="00AB4BC7"/>
    <w:rsid w:val="00AB4EA1"/>
    <w:rsid w:val="00AB56C9"/>
    <w:rsid w:val="00AB5C7A"/>
    <w:rsid w:val="00AB6396"/>
    <w:rsid w:val="00AB65FD"/>
    <w:rsid w:val="00AC07A7"/>
    <w:rsid w:val="00AC11AC"/>
    <w:rsid w:val="00AC1BDA"/>
    <w:rsid w:val="00AC2E27"/>
    <w:rsid w:val="00AC3A8D"/>
    <w:rsid w:val="00AC415C"/>
    <w:rsid w:val="00AC437D"/>
    <w:rsid w:val="00AC4908"/>
    <w:rsid w:val="00AC53E2"/>
    <w:rsid w:val="00AC68B0"/>
    <w:rsid w:val="00AC7512"/>
    <w:rsid w:val="00AC7F02"/>
    <w:rsid w:val="00AD0798"/>
    <w:rsid w:val="00AD114B"/>
    <w:rsid w:val="00AD1496"/>
    <w:rsid w:val="00AD1DB5"/>
    <w:rsid w:val="00AD2044"/>
    <w:rsid w:val="00AD208D"/>
    <w:rsid w:val="00AD20AF"/>
    <w:rsid w:val="00AD2207"/>
    <w:rsid w:val="00AD2544"/>
    <w:rsid w:val="00AD269D"/>
    <w:rsid w:val="00AD2CA3"/>
    <w:rsid w:val="00AD3F2C"/>
    <w:rsid w:val="00AD506D"/>
    <w:rsid w:val="00AD65D3"/>
    <w:rsid w:val="00AD72B5"/>
    <w:rsid w:val="00AD741F"/>
    <w:rsid w:val="00AD7D71"/>
    <w:rsid w:val="00AE0AB3"/>
    <w:rsid w:val="00AE0FEA"/>
    <w:rsid w:val="00AE1153"/>
    <w:rsid w:val="00AE13AC"/>
    <w:rsid w:val="00AE1655"/>
    <w:rsid w:val="00AE16B6"/>
    <w:rsid w:val="00AE172C"/>
    <w:rsid w:val="00AE18BB"/>
    <w:rsid w:val="00AE1B52"/>
    <w:rsid w:val="00AE1EC1"/>
    <w:rsid w:val="00AE2586"/>
    <w:rsid w:val="00AE2C43"/>
    <w:rsid w:val="00AE370B"/>
    <w:rsid w:val="00AE3D61"/>
    <w:rsid w:val="00AE407A"/>
    <w:rsid w:val="00AE4799"/>
    <w:rsid w:val="00AE4CAD"/>
    <w:rsid w:val="00AE515E"/>
    <w:rsid w:val="00AE5347"/>
    <w:rsid w:val="00AE5C63"/>
    <w:rsid w:val="00AE6BEC"/>
    <w:rsid w:val="00AE6C40"/>
    <w:rsid w:val="00AE7D7E"/>
    <w:rsid w:val="00AF07F8"/>
    <w:rsid w:val="00AF1433"/>
    <w:rsid w:val="00AF1837"/>
    <w:rsid w:val="00AF208D"/>
    <w:rsid w:val="00AF2B23"/>
    <w:rsid w:val="00AF3742"/>
    <w:rsid w:val="00AF40D4"/>
    <w:rsid w:val="00AF58A5"/>
    <w:rsid w:val="00AF5941"/>
    <w:rsid w:val="00AF5A6C"/>
    <w:rsid w:val="00AF65CF"/>
    <w:rsid w:val="00AF6839"/>
    <w:rsid w:val="00AF73A8"/>
    <w:rsid w:val="00AF77E6"/>
    <w:rsid w:val="00AF77F6"/>
    <w:rsid w:val="00AF7D8F"/>
    <w:rsid w:val="00AF7F20"/>
    <w:rsid w:val="00B00074"/>
    <w:rsid w:val="00B002DC"/>
    <w:rsid w:val="00B00A51"/>
    <w:rsid w:val="00B00AC7"/>
    <w:rsid w:val="00B011F4"/>
    <w:rsid w:val="00B019C9"/>
    <w:rsid w:val="00B01B78"/>
    <w:rsid w:val="00B01BC5"/>
    <w:rsid w:val="00B02321"/>
    <w:rsid w:val="00B03508"/>
    <w:rsid w:val="00B03BAF"/>
    <w:rsid w:val="00B03FBD"/>
    <w:rsid w:val="00B045E3"/>
    <w:rsid w:val="00B051B6"/>
    <w:rsid w:val="00B05950"/>
    <w:rsid w:val="00B05BCF"/>
    <w:rsid w:val="00B05EFE"/>
    <w:rsid w:val="00B060F2"/>
    <w:rsid w:val="00B06668"/>
    <w:rsid w:val="00B06BC8"/>
    <w:rsid w:val="00B07741"/>
    <w:rsid w:val="00B078F4"/>
    <w:rsid w:val="00B07A94"/>
    <w:rsid w:val="00B07D2E"/>
    <w:rsid w:val="00B1003F"/>
    <w:rsid w:val="00B10791"/>
    <w:rsid w:val="00B108D3"/>
    <w:rsid w:val="00B11646"/>
    <w:rsid w:val="00B117C3"/>
    <w:rsid w:val="00B11C1B"/>
    <w:rsid w:val="00B11EB6"/>
    <w:rsid w:val="00B12D3A"/>
    <w:rsid w:val="00B132B0"/>
    <w:rsid w:val="00B13580"/>
    <w:rsid w:val="00B13DE2"/>
    <w:rsid w:val="00B14493"/>
    <w:rsid w:val="00B14976"/>
    <w:rsid w:val="00B14C54"/>
    <w:rsid w:val="00B160E2"/>
    <w:rsid w:val="00B16506"/>
    <w:rsid w:val="00B170EC"/>
    <w:rsid w:val="00B17601"/>
    <w:rsid w:val="00B177CE"/>
    <w:rsid w:val="00B17867"/>
    <w:rsid w:val="00B20336"/>
    <w:rsid w:val="00B203C9"/>
    <w:rsid w:val="00B2049C"/>
    <w:rsid w:val="00B20564"/>
    <w:rsid w:val="00B206F8"/>
    <w:rsid w:val="00B21A22"/>
    <w:rsid w:val="00B222BF"/>
    <w:rsid w:val="00B226DE"/>
    <w:rsid w:val="00B22B05"/>
    <w:rsid w:val="00B239F4"/>
    <w:rsid w:val="00B2472F"/>
    <w:rsid w:val="00B2475E"/>
    <w:rsid w:val="00B252A7"/>
    <w:rsid w:val="00B25B9A"/>
    <w:rsid w:val="00B263D3"/>
    <w:rsid w:val="00B26BE0"/>
    <w:rsid w:val="00B270BB"/>
    <w:rsid w:val="00B27469"/>
    <w:rsid w:val="00B27768"/>
    <w:rsid w:val="00B30894"/>
    <w:rsid w:val="00B30C19"/>
    <w:rsid w:val="00B30C90"/>
    <w:rsid w:val="00B327E0"/>
    <w:rsid w:val="00B329C0"/>
    <w:rsid w:val="00B33B6D"/>
    <w:rsid w:val="00B34A32"/>
    <w:rsid w:val="00B34CDE"/>
    <w:rsid w:val="00B34CE0"/>
    <w:rsid w:val="00B35607"/>
    <w:rsid w:val="00B35734"/>
    <w:rsid w:val="00B35C47"/>
    <w:rsid w:val="00B3651C"/>
    <w:rsid w:val="00B3691D"/>
    <w:rsid w:val="00B36BD0"/>
    <w:rsid w:val="00B3757A"/>
    <w:rsid w:val="00B37C45"/>
    <w:rsid w:val="00B402AE"/>
    <w:rsid w:val="00B403FD"/>
    <w:rsid w:val="00B40ACC"/>
    <w:rsid w:val="00B41B50"/>
    <w:rsid w:val="00B41EC0"/>
    <w:rsid w:val="00B42851"/>
    <w:rsid w:val="00B43021"/>
    <w:rsid w:val="00B431B9"/>
    <w:rsid w:val="00B431D2"/>
    <w:rsid w:val="00B43597"/>
    <w:rsid w:val="00B443DD"/>
    <w:rsid w:val="00B44A5E"/>
    <w:rsid w:val="00B459C1"/>
    <w:rsid w:val="00B46A4E"/>
    <w:rsid w:val="00B4751F"/>
    <w:rsid w:val="00B50217"/>
    <w:rsid w:val="00B51571"/>
    <w:rsid w:val="00B516A4"/>
    <w:rsid w:val="00B51AD1"/>
    <w:rsid w:val="00B51CAD"/>
    <w:rsid w:val="00B51CB0"/>
    <w:rsid w:val="00B5328F"/>
    <w:rsid w:val="00B54463"/>
    <w:rsid w:val="00B54552"/>
    <w:rsid w:val="00B54C89"/>
    <w:rsid w:val="00B54F5B"/>
    <w:rsid w:val="00B5680B"/>
    <w:rsid w:val="00B56845"/>
    <w:rsid w:val="00B56B08"/>
    <w:rsid w:val="00B574AE"/>
    <w:rsid w:val="00B57B61"/>
    <w:rsid w:val="00B57C0C"/>
    <w:rsid w:val="00B60077"/>
    <w:rsid w:val="00B6134C"/>
    <w:rsid w:val="00B62181"/>
    <w:rsid w:val="00B62267"/>
    <w:rsid w:val="00B6296B"/>
    <w:rsid w:val="00B62D34"/>
    <w:rsid w:val="00B62EEE"/>
    <w:rsid w:val="00B63594"/>
    <w:rsid w:val="00B63FBC"/>
    <w:rsid w:val="00B64233"/>
    <w:rsid w:val="00B64A34"/>
    <w:rsid w:val="00B650C0"/>
    <w:rsid w:val="00B659AA"/>
    <w:rsid w:val="00B65D9E"/>
    <w:rsid w:val="00B666E0"/>
    <w:rsid w:val="00B66FA4"/>
    <w:rsid w:val="00B70339"/>
    <w:rsid w:val="00B70468"/>
    <w:rsid w:val="00B70E5A"/>
    <w:rsid w:val="00B712A1"/>
    <w:rsid w:val="00B7141B"/>
    <w:rsid w:val="00B71E9F"/>
    <w:rsid w:val="00B71F4C"/>
    <w:rsid w:val="00B732A0"/>
    <w:rsid w:val="00B73CC7"/>
    <w:rsid w:val="00B742AC"/>
    <w:rsid w:val="00B7487D"/>
    <w:rsid w:val="00B74B59"/>
    <w:rsid w:val="00B7553C"/>
    <w:rsid w:val="00B75AD6"/>
    <w:rsid w:val="00B76013"/>
    <w:rsid w:val="00B760E0"/>
    <w:rsid w:val="00B76F3A"/>
    <w:rsid w:val="00B76FE5"/>
    <w:rsid w:val="00B772AC"/>
    <w:rsid w:val="00B775A2"/>
    <w:rsid w:val="00B77AE8"/>
    <w:rsid w:val="00B8026A"/>
    <w:rsid w:val="00B80315"/>
    <w:rsid w:val="00B807CE"/>
    <w:rsid w:val="00B80899"/>
    <w:rsid w:val="00B80B3F"/>
    <w:rsid w:val="00B82740"/>
    <w:rsid w:val="00B83055"/>
    <w:rsid w:val="00B838FC"/>
    <w:rsid w:val="00B86A3A"/>
    <w:rsid w:val="00B86D19"/>
    <w:rsid w:val="00B87B6A"/>
    <w:rsid w:val="00B90116"/>
    <w:rsid w:val="00B908CC"/>
    <w:rsid w:val="00B91232"/>
    <w:rsid w:val="00B924F9"/>
    <w:rsid w:val="00B92B9E"/>
    <w:rsid w:val="00B93938"/>
    <w:rsid w:val="00B93CDE"/>
    <w:rsid w:val="00B94B58"/>
    <w:rsid w:val="00B94D1E"/>
    <w:rsid w:val="00B94DA3"/>
    <w:rsid w:val="00B94F96"/>
    <w:rsid w:val="00B9529D"/>
    <w:rsid w:val="00B95927"/>
    <w:rsid w:val="00B95BFD"/>
    <w:rsid w:val="00B95D07"/>
    <w:rsid w:val="00B96930"/>
    <w:rsid w:val="00B972A7"/>
    <w:rsid w:val="00B9748C"/>
    <w:rsid w:val="00B977AD"/>
    <w:rsid w:val="00B979B4"/>
    <w:rsid w:val="00B97D40"/>
    <w:rsid w:val="00BA031D"/>
    <w:rsid w:val="00BA0C5C"/>
    <w:rsid w:val="00BA0D0C"/>
    <w:rsid w:val="00BA20E8"/>
    <w:rsid w:val="00BA2DA0"/>
    <w:rsid w:val="00BA34CA"/>
    <w:rsid w:val="00BA3511"/>
    <w:rsid w:val="00BA57F6"/>
    <w:rsid w:val="00BA5AB2"/>
    <w:rsid w:val="00BA5CDA"/>
    <w:rsid w:val="00BA77D6"/>
    <w:rsid w:val="00BB0523"/>
    <w:rsid w:val="00BB1C33"/>
    <w:rsid w:val="00BB2068"/>
    <w:rsid w:val="00BB2354"/>
    <w:rsid w:val="00BB2FC5"/>
    <w:rsid w:val="00BB3543"/>
    <w:rsid w:val="00BB3616"/>
    <w:rsid w:val="00BB3726"/>
    <w:rsid w:val="00BB3873"/>
    <w:rsid w:val="00BB4535"/>
    <w:rsid w:val="00BB46B6"/>
    <w:rsid w:val="00BB48D6"/>
    <w:rsid w:val="00BB5421"/>
    <w:rsid w:val="00BB60C7"/>
    <w:rsid w:val="00BB6845"/>
    <w:rsid w:val="00BB6BBF"/>
    <w:rsid w:val="00BB7DCC"/>
    <w:rsid w:val="00BC01F2"/>
    <w:rsid w:val="00BC0265"/>
    <w:rsid w:val="00BC0B7C"/>
    <w:rsid w:val="00BC0BA7"/>
    <w:rsid w:val="00BC114B"/>
    <w:rsid w:val="00BC1587"/>
    <w:rsid w:val="00BC174F"/>
    <w:rsid w:val="00BC1B4F"/>
    <w:rsid w:val="00BC1C89"/>
    <w:rsid w:val="00BC2EDB"/>
    <w:rsid w:val="00BC39C6"/>
    <w:rsid w:val="00BC49CC"/>
    <w:rsid w:val="00BC4D0A"/>
    <w:rsid w:val="00BC5B7F"/>
    <w:rsid w:val="00BC5F77"/>
    <w:rsid w:val="00BC6715"/>
    <w:rsid w:val="00BC676A"/>
    <w:rsid w:val="00BC71AB"/>
    <w:rsid w:val="00BC7FF0"/>
    <w:rsid w:val="00BD04EE"/>
    <w:rsid w:val="00BD05FA"/>
    <w:rsid w:val="00BD0D22"/>
    <w:rsid w:val="00BD130D"/>
    <w:rsid w:val="00BD1381"/>
    <w:rsid w:val="00BD1962"/>
    <w:rsid w:val="00BD1ED2"/>
    <w:rsid w:val="00BD1FD8"/>
    <w:rsid w:val="00BD21EE"/>
    <w:rsid w:val="00BD2470"/>
    <w:rsid w:val="00BD2A70"/>
    <w:rsid w:val="00BD369B"/>
    <w:rsid w:val="00BD3F73"/>
    <w:rsid w:val="00BD4E04"/>
    <w:rsid w:val="00BD4E6E"/>
    <w:rsid w:val="00BD66F5"/>
    <w:rsid w:val="00BD77E2"/>
    <w:rsid w:val="00BE00B3"/>
    <w:rsid w:val="00BE04F8"/>
    <w:rsid w:val="00BE0858"/>
    <w:rsid w:val="00BE0955"/>
    <w:rsid w:val="00BE0A06"/>
    <w:rsid w:val="00BE0CEE"/>
    <w:rsid w:val="00BE13F1"/>
    <w:rsid w:val="00BE1564"/>
    <w:rsid w:val="00BE187E"/>
    <w:rsid w:val="00BE1FB0"/>
    <w:rsid w:val="00BE260D"/>
    <w:rsid w:val="00BE2EEB"/>
    <w:rsid w:val="00BE391F"/>
    <w:rsid w:val="00BE3B23"/>
    <w:rsid w:val="00BE3C55"/>
    <w:rsid w:val="00BE4030"/>
    <w:rsid w:val="00BE4205"/>
    <w:rsid w:val="00BE48DE"/>
    <w:rsid w:val="00BE5CEF"/>
    <w:rsid w:val="00BE66FF"/>
    <w:rsid w:val="00BE6A64"/>
    <w:rsid w:val="00BE6CA0"/>
    <w:rsid w:val="00BE7081"/>
    <w:rsid w:val="00BE720F"/>
    <w:rsid w:val="00BE7297"/>
    <w:rsid w:val="00BE77A8"/>
    <w:rsid w:val="00BE7A5D"/>
    <w:rsid w:val="00BE7A85"/>
    <w:rsid w:val="00BF02C4"/>
    <w:rsid w:val="00BF1258"/>
    <w:rsid w:val="00BF1B91"/>
    <w:rsid w:val="00BF21C6"/>
    <w:rsid w:val="00BF2880"/>
    <w:rsid w:val="00BF3175"/>
    <w:rsid w:val="00BF3EF5"/>
    <w:rsid w:val="00BF3F72"/>
    <w:rsid w:val="00BF5A8A"/>
    <w:rsid w:val="00BF6054"/>
    <w:rsid w:val="00BF679F"/>
    <w:rsid w:val="00BF6B33"/>
    <w:rsid w:val="00BF77D9"/>
    <w:rsid w:val="00BF7E79"/>
    <w:rsid w:val="00C00427"/>
    <w:rsid w:val="00C0074B"/>
    <w:rsid w:val="00C00DD6"/>
    <w:rsid w:val="00C010AE"/>
    <w:rsid w:val="00C010D4"/>
    <w:rsid w:val="00C01A58"/>
    <w:rsid w:val="00C02620"/>
    <w:rsid w:val="00C0276F"/>
    <w:rsid w:val="00C0309A"/>
    <w:rsid w:val="00C033E5"/>
    <w:rsid w:val="00C03DAC"/>
    <w:rsid w:val="00C03DFF"/>
    <w:rsid w:val="00C04298"/>
    <w:rsid w:val="00C04638"/>
    <w:rsid w:val="00C059F7"/>
    <w:rsid w:val="00C05A1C"/>
    <w:rsid w:val="00C05BF5"/>
    <w:rsid w:val="00C05F75"/>
    <w:rsid w:val="00C06929"/>
    <w:rsid w:val="00C0698B"/>
    <w:rsid w:val="00C06D1E"/>
    <w:rsid w:val="00C06F31"/>
    <w:rsid w:val="00C0735A"/>
    <w:rsid w:val="00C07E37"/>
    <w:rsid w:val="00C10503"/>
    <w:rsid w:val="00C1064D"/>
    <w:rsid w:val="00C10E3B"/>
    <w:rsid w:val="00C10F7F"/>
    <w:rsid w:val="00C10FD2"/>
    <w:rsid w:val="00C1119C"/>
    <w:rsid w:val="00C11357"/>
    <w:rsid w:val="00C117E4"/>
    <w:rsid w:val="00C119F4"/>
    <w:rsid w:val="00C11A6B"/>
    <w:rsid w:val="00C12393"/>
    <w:rsid w:val="00C14B66"/>
    <w:rsid w:val="00C15789"/>
    <w:rsid w:val="00C15C79"/>
    <w:rsid w:val="00C162C2"/>
    <w:rsid w:val="00C163F5"/>
    <w:rsid w:val="00C1684F"/>
    <w:rsid w:val="00C16C38"/>
    <w:rsid w:val="00C217CF"/>
    <w:rsid w:val="00C2195A"/>
    <w:rsid w:val="00C2218A"/>
    <w:rsid w:val="00C225EC"/>
    <w:rsid w:val="00C2283D"/>
    <w:rsid w:val="00C22EC9"/>
    <w:rsid w:val="00C232BB"/>
    <w:rsid w:val="00C23581"/>
    <w:rsid w:val="00C23DE5"/>
    <w:rsid w:val="00C24157"/>
    <w:rsid w:val="00C2442B"/>
    <w:rsid w:val="00C24538"/>
    <w:rsid w:val="00C25087"/>
    <w:rsid w:val="00C252C9"/>
    <w:rsid w:val="00C25350"/>
    <w:rsid w:val="00C25A2D"/>
    <w:rsid w:val="00C25C6A"/>
    <w:rsid w:val="00C2788E"/>
    <w:rsid w:val="00C278AD"/>
    <w:rsid w:val="00C27B3F"/>
    <w:rsid w:val="00C27D33"/>
    <w:rsid w:val="00C304E5"/>
    <w:rsid w:val="00C309BC"/>
    <w:rsid w:val="00C30BDA"/>
    <w:rsid w:val="00C31D18"/>
    <w:rsid w:val="00C31E00"/>
    <w:rsid w:val="00C322A8"/>
    <w:rsid w:val="00C32AD8"/>
    <w:rsid w:val="00C33CBE"/>
    <w:rsid w:val="00C3405E"/>
    <w:rsid w:val="00C3440B"/>
    <w:rsid w:val="00C3469E"/>
    <w:rsid w:val="00C3483B"/>
    <w:rsid w:val="00C348C4"/>
    <w:rsid w:val="00C353D3"/>
    <w:rsid w:val="00C35599"/>
    <w:rsid w:val="00C3584B"/>
    <w:rsid w:val="00C35FB6"/>
    <w:rsid w:val="00C3616E"/>
    <w:rsid w:val="00C36196"/>
    <w:rsid w:val="00C367AB"/>
    <w:rsid w:val="00C36D6D"/>
    <w:rsid w:val="00C36FBC"/>
    <w:rsid w:val="00C3737C"/>
    <w:rsid w:val="00C405BC"/>
    <w:rsid w:val="00C40A71"/>
    <w:rsid w:val="00C41953"/>
    <w:rsid w:val="00C41A46"/>
    <w:rsid w:val="00C41AB8"/>
    <w:rsid w:val="00C42225"/>
    <w:rsid w:val="00C4260A"/>
    <w:rsid w:val="00C42E0F"/>
    <w:rsid w:val="00C430E9"/>
    <w:rsid w:val="00C43220"/>
    <w:rsid w:val="00C441D0"/>
    <w:rsid w:val="00C45A7F"/>
    <w:rsid w:val="00C45EC5"/>
    <w:rsid w:val="00C45FB3"/>
    <w:rsid w:val="00C46706"/>
    <w:rsid w:val="00C47388"/>
    <w:rsid w:val="00C47394"/>
    <w:rsid w:val="00C4748A"/>
    <w:rsid w:val="00C501DB"/>
    <w:rsid w:val="00C50274"/>
    <w:rsid w:val="00C502D0"/>
    <w:rsid w:val="00C51E58"/>
    <w:rsid w:val="00C51F70"/>
    <w:rsid w:val="00C523E9"/>
    <w:rsid w:val="00C52405"/>
    <w:rsid w:val="00C52906"/>
    <w:rsid w:val="00C52F03"/>
    <w:rsid w:val="00C5359A"/>
    <w:rsid w:val="00C5389A"/>
    <w:rsid w:val="00C5399A"/>
    <w:rsid w:val="00C53F5B"/>
    <w:rsid w:val="00C54628"/>
    <w:rsid w:val="00C55CF0"/>
    <w:rsid w:val="00C56555"/>
    <w:rsid w:val="00C56AE8"/>
    <w:rsid w:val="00C56BA5"/>
    <w:rsid w:val="00C572E2"/>
    <w:rsid w:val="00C57C66"/>
    <w:rsid w:val="00C57FC7"/>
    <w:rsid w:val="00C61145"/>
    <w:rsid w:val="00C6214A"/>
    <w:rsid w:val="00C63261"/>
    <w:rsid w:val="00C63291"/>
    <w:rsid w:val="00C632C3"/>
    <w:rsid w:val="00C63339"/>
    <w:rsid w:val="00C63E27"/>
    <w:rsid w:val="00C63F32"/>
    <w:rsid w:val="00C63F55"/>
    <w:rsid w:val="00C64A76"/>
    <w:rsid w:val="00C64AE9"/>
    <w:rsid w:val="00C65613"/>
    <w:rsid w:val="00C65DCC"/>
    <w:rsid w:val="00C65E69"/>
    <w:rsid w:val="00C65F2C"/>
    <w:rsid w:val="00C65F69"/>
    <w:rsid w:val="00C6632F"/>
    <w:rsid w:val="00C678DC"/>
    <w:rsid w:val="00C67BBC"/>
    <w:rsid w:val="00C70019"/>
    <w:rsid w:val="00C70C9C"/>
    <w:rsid w:val="00C70F2F"/>
    <w:rsid w:val="00C7161A"/>
    <w:rsid w:val="00C71872"/>
    <w:rsid w:val="00C719C3"/>
    <w:rsid w:val="00C72096"/>
    <w:rsid w:val="00C72E6A"/>
    <w:rsid w:val="00C75356"/>
    <w:rsid w:val="00C756EA"/>
    <w:rsid w:val="00C75826"/>
    <w:rsid w:val="00C75D5A"/>
    <w:rsid w:val="00C76417"/>
    <w:rsid w:val="00C7758B"/>
    <w:rsid w:val="00C77B29"/>
    <w:rsid w:val="00C80270"/>
    <w:rsid w:val="00C80E9C"/>
    <w:rsid w:val="00C81F07"/>
    <w:rsid w:val="00C81FF6"/>
    <w:rsid w:val="00C8342D"/>
    <w:rsid w:val="00C836CE"/>
    <w:rsid w:val="00C843C3"/>
    <w:rsid w:val="00C84700"/>
    <w:rsid w:val="00C84CD1"/>
    <w:rsid w:val="00C850B8"/>
    <w:rsid w:val="00C85531"/>
    <w:rsid w:val="00C85D1F"/>
    <w:rsid w:val="00C85E1F"/>
    <w:rsid w:val="00C86015"/>
    <w:rsid w:val="00C87476"/>
    <w:rsid w:val="00C87F7C"/>
    <w:rsid w:val="00C87FCC"/>
    <w:rsid w:val="00C90DA4"/>
    <w:rsid w:val="00C92499"/>
    <w:rsid w:val="00C9339F"/>
    <w:rsid w:val="00C9361B"/>
    <w:rsid w:val="00C93E09"/>
    <w:rsid w:val="00C9421B"/>
    <w:rsid w:val="00C94911"/>
    <w:rsid w:val="00C9549A"/>
    <w:rsid w:val="00C957D5"/>
    <w:rsid w:val="00C96347"/>
    <w:rsid w:val="00C9692E"/>
    <w:rsid w:val="00C96CA8"/>
    <w:rsid w:val="00C9702E"/>
    <w:rsid w:val="00C9759C"/>
    <w:rsid w:val="00CA019B"/>
    <w:rsid w:val="00CA0219"/>
    <w:rsid w:val="00CA1EA9"/>
    <w:rsid w:val="00CA216F"/>
    <w:rsid w:val="00CA3A12"/>
    <w:rsid w:val="00CA4A74"/>
    <w:rsid w:val="00CA6351"/>
    <w:rsid w:val="00CA65BB"/>
    <w:rsid w:val="00CA6C42"/>
    <w:rsid w:val="00CA7F21"/>
    <w:rsid w:val="00CB015A"/>
    <w:rsid w:val="00CB0293"/>
    <w:rsid w:val="00CB127A"/>
    <w:rsid w:val="00CB13F2"/>
    <w:rsid w:val="00CB165B"/>
    <w:rsid w:val="00CB1EA4"/>
    <w:rsid w:val="00CB2B93"/>
    <w:rsid w:val="00CB2F7F"/>
    <w:rsid w:val="00CB3651"/>
    <w:rsid w:val="00CB3EE4"/>
    <w:rsid w:val="00CB4045"/>
    <w:rsid w:val="00CB4DE4"/>
    <w:rsid w:val="00CB5030"/>
    <w:rsid w:val="00CB54B4"/>
    <w:rsid w:val="00CB5A4D"/>
    <w:rsid w:val="00CB5B1A"/>
    <w:rsid w:val="00CB6883"/>
    <w:rsid w:val="00CC12E6"/>
    <w:rsid w:val="00CC15F6"/>
    <w:rsid w:val="00CC1B54"/>
    <w:rsid w:val="00CC1D38"/>
    <w:rsid w:val="00CC274C"/>
    <w:rsid w:val="00CC2A64"/>
    <w:rsid w:val="00CC3CBE"/>
    <w:rsid w:val="00CC3E34"/>
    <w:rsid w:val="00CC4057"/>
    <w:rsid w:val="00CC512A"/>
    <w:rsid w:val="00CC6091"/>
    <w:rsid w:val="00CC65BC"/>
    <w:rsid w:val="00CC6FA5"/>
    <w:rsid w:val="00CC7325"/>
    <w:rsid w:val="00CC79F7"/>
    <w:rsid w:val="00CD13BD"/>
    <w:rsid w:val="00CD1F2F"/>
    <w:rsid w:val="00CD29EC"/>
    <w:rsid w:val="00CD3591"/>
    <w:rsid w:val="00CD3647"/>
    <w:rsid w:val="00CD428F"/>
    <w:rsid w:val="00CD4753"/>
    <w:rsid w:val="00CD4C1F"/>
    <w:rsid w:val="00CD5517"/>
    <w:rsid w:val="00CD5B35"/>
    <w:rsid w:val="00CD6EF4"/>
    <w:rsid w:val="00CD70C2"/>
    <w:rsid w:val="00CD7EF6"/>
    <w:rsid w:val="00CE0CF8"/>
    <w:rsid w:val="00CE1616"/>
    <w:rsid w:val="00CE23F7"/>
    <w:rsid w:val="00CE2D5B"/>
    <w:rsid w:val="00CE3088"/>
    <w:rsid w:val="00CE3912"/>
    <w:rsid w:val="00CE3C33"/>
    <w:rsid w:val="00CE493D"/>
    <w:rsid w:val="00CE4E38"/>
    <w:rsid w:val="00CE5333"/>
    <w:rsid w:val="00CE5E44"/>
    <w:rsid w:val="00CE641B"/>
    <w:rsid w:val="00CE6D53"/>
    <w:rsid w:val="00CE6E43"/>
    <w:rsid w:val="00CE78D9"/>
    <w:rsid w:val="00CF04C5"/>
    <w:rsid w:val="00CF07C8"/>
    <w:rsid w:val="00CF0F7F"/>
    <w:rsid w:val="00CF11B9"/>
    <w:rsid w:val="00CF1518"/>
    <w:rsid w:val="00CF1AC8"/>
    <w:rsid w:val="00CF2A34"/>
    <w:rsid w:val="00CF2ABE"/>
    <w:rsid w:val="00CF302B"/>
    <w:rsid w:val="00CF3A43"/>
    <w:rsid w:val="00CF3F86"/>
    <w:rsid w:val="00CF44E1"/>
    <w:rsid w:val="00CF57C3"/>
    <w:rsid w:val="00CF5AFF"/>
    <w:rsid w:val="00CF61B2"/>
    <w:rsid w:val="00CF6851"/>
    <w:rsid w:val="00CF6C4B"/>
    <w:rsid w:val="00CF6CE0"/>
    <w:rsid w:val="00CF6D68"/>
    <w:rsid w:val="00CF7223"/>
    <w:rsid w:val="00CF7A5B"/>
    <w:rsid w:val="00D009FD"/>
    <w:rsid w:val="00D012A1"/>
    <w:rsid w:val="00D01754"/>
    <w:rsid w:val="00D01B3C"/>
    <w:rsid w:val="00D027AC"/>
    <w:rsid w:val="00D031BE"/>
    <w:rsid w:val="00D03C91"/>
    <w:rsid w:val="00D03E2A"/>
    <w:rsid w:val="00D03EE4"/>
    <w:rsid w:val="00D04E47"/>
    <w:rsid w:val="00D05275"/>
    <w:rsid w:val="00D05BDC"/>
    <w:rsid w:val="00D064DA"/>
    <w:rsid w:val="00D06749"/>
    <w:rsid w:val="00D06DAC"/>
    <w:rsid w:val="00D10326"/>
    <w:rsid w:val="00D10380"/>
    <w:rsid w:val="00D11DD3"/>
    <w:rsid w:val="00D13363"/>
    <w:rsid w:val="00D13D06"/>
    <w:rsid w:val="00D143D8"/>
    <w:rsid w:val="00D1446B"/>
    <w:rsid w:val="00D14759"/>
    <w:rsid w:val="00D14C87"/>
    <w:rsid w:val="00D1592D"/>
    <w:rsid w:val="00D15BC3"/>
    <w:rsid w:val="00D16517"/>
    <w:rsid w:val="00D1651E"/>
    <w:rsid w:val="00D172D4"/>
    <w:rsid w:val="00D20052"/>
    <w:rsid w:val="00D201FB"/>
    <w:rsid w:val="00D20310"/>
    <w:rsid w:val="00D21AA4"/>
    <w:rsid w:val="00D22472"/>
    <w:rsid w:val="00D22AA9"/>
    <w:rsid w:val="00D22DCF"/>
    <w:rsid w:val="00D23204"/>
    <w:rsid w:val="00D234E5"/>
    <w:rsid w:val="00D23AE3"/>
    <w:rsid w:val="00D2438A"/>
    <w:rsid w:val="00D243D7"/>
    <w:rsid w:val="00D24491"/>
    <w:rsid w:val="00D24D9C"/>
    <w:rsid w:val="00D24FAE"/>
    <w:rsid w:val="00D25264"/>
    <w:rsid w:val="00D2530A"/>
    <w:rsid w:val="00D25A2C"/>
    <w:rsid w:val="00D25DAA"/>
    <w:rsid w:val="00D261D4"/>
    <w:rsid w:val="00D2660C"/>
    <w:rsid w:val="00D26A23"/>
    <w:rsid w:val="00D270BA"/>
    <w:rsid w:val="00D27C65"/>
    <w:rsid w:val="00D27DEB"/>
    <w:rsid w:val="00D27F3B"/>
    <w:rsid w:val="00D30064"/>
    <w:rsid w:val="00D30D5A"/>
    <w:rsid w:val="00D30F07"/>
    <w:rsid w:val="00D319D6"/>
    <w:rsid w:val="00D320F0"/>
    <w:rsid w:val="00D32AF4"/>
    <w:rsid w:val="00D336EB"/>
    <w:rsid w:val="00D33A3F"/>
    <w:rsid w:val="00D342C9"/>
    <w:rsid w:val="00D34413"/>
    <w:rsid w:val="00D36D4C"/>
    <w:rsid w:val="00D36DB0"/>
    <w:rsid w:val="00D37BE1"/>
    <w:rsid w:val="00D40070"/>
    <w:rsid w:val="00D40328"/>
    <w:rsid w:val="00D40D22"/>
    <w:rsid w:val="00D415FA"/>
    <w:rsid w:val="00D42D90"/>
    <w:rsid w:val="00D4372E"/>
    <w:rsid w:val="00D43941"/>
    <w:rsid w:val="00D4415F"/>
    <w:rsid w:val="00D4559A"/>
    <w:rsid w:val="00D45BC1"/>
    <w:rsid w:val="00D45C23"/>
    <w:rsid w:val="00D45FCE"/>
    <w:rsid w:val="00D46291"/>
    <w:rsid w:val="00D469E7"/>
    <w:rsid w:val="00D46FB6"/>
    <w:rsid w:val="00D470AA"/>
    <w:rsid w:val="00D471F1"/>
    <w:rsid w:val="00D473AD"/>
    <w:rsid w:val="00D475A4"/>
    <w:rsid w:val="00D51783"/>
    <w:rsid w:val="00D51B92"/>
    <w:rsid w:val="00D51C31"/>
    <w:rsid w:val="00D5213C"/>
    <w:rsid w:val="00D52C28"/>
    <w:rsid w:val="00D5348D"/>
    <w:rsid w:val="00D53DC7"/>
    <w:rsid w:val="00D543A4"/>
    <w:rsid w:val="00D54F15"/>
    <w:rsid w:val="00D5544B"/>
    <w:rsid w:val="00D558F2"/>
    <w:rsid w:val="00D55DC9"/>
    <w:rsid w:val="00D55FA4"/>
    <w:rsid w:val="00D56A5B"/>
    <w:rsid w:val="00D5744F"/>
    <w:rsid w:val="00D57F14"/>
    <w:rsid w:val="00D57F4D"/>
    <w:rsid w:val="00D6060C"/>
    <w:rsid w:val="00D62163"/>
    <w:rsid w:val="00D62478"/>
    <w:rsid w:val="00D63014"/>
    <w:rsid w:val="00D630FA"/>
    <w:rsid w:val="00D6319E"/>
    <w:rsid w:val="00D63B9D"/>
    <w:rsid w:val="00D63E2A"/>
    <w:rsid w:val="00D63FFB"/>
    <w:rsid w:val="00D641AD"/>
    <w:rsid w:val="00D652E1"/>
    <w:rsid w:val="00D65564"/>
    <w:rsid w:val="00D66C84"/>
    <w:rsid w:val="00D6712D"/>
    <w:rsid w:val="00D67A59"/>
    <w:rsid w:val="00D70C92"/>
    <w:rsid w:val="00D7218B"/>
    <w:rsid w:val="00D72250"/>
    <w:rsid w:val="00D72825"/>
    <w:rsid w:val="00D72E3F"/>
    <w:rsid w:val="00D72ED4"/>
    <w:rsid w:val="00D735A2"/>
    <w:rsid w:val="00D736C1"/>
    <w:rsid w:val="00D7442C"/>
    <w:rsid w:val="00D745E7"/>
    <w:rsid w:val="00D74726"/>
    <w:rsid w:val="00D748B1"/>
    <w:rsid w:val="00D75A54"/>
    <w:rsid w:val="00D773C6"/>
    <w:rsid w:val="00D7743C"/>
    <w:rsid w:val="00D80B5A"/>
    <w:rsid w:val="00D80B74"/>
    <w:rsid w:val="00D81058"/>
    <w:rsid w:val="00D811F2"/>
    <w:rsid w:val="00D81504"/>
    <w:rsid w:val="00D81FBB"/>
    <w:rsid w:val="00D8228B"/>
    <w:rsid w:val="00D8261E"/>
    <w:rsid w:val="00D82B82"/>
    <w:rsid w:val="00D82E8F"/>
    <w:rsid w:val="00D83531"/>
    <w:rsid w:val="00D8449D"/>
    <w:rsid w:val="00D846CD"/>
    <w:rsid w:val="00D849E0"/>
    <w:rsid w:val="00D8549C"/>
    <w:rsid w:val="00D855A1"/>
    <w:rsid w:val="00D85A17"/>
    <w:rsid w:val="00D86152"/>
    <w:rsid w:val="00D868C4"/>
    <w:rsid w:val="00D86A63"/>
    <w:rsid w:val="00D86FA1"/>
    <w:rsid w:val="00D90517"/>
    <w:rsid w:val="00D90A48"/>
    <w:rsid w:val="00D910A2"/>
    <w:rsid w:val="00D9129F"/>
    <w:rsid w:val="00D9147D"/>
    <w:rsid w:val="00D91499"/>
    <w:rsid w:val="00D923A8"/>
    <w:rsid w:val="00D93824"/>
    <w:rsid w:val="00D95105"/>
    <w:rsid w:val="00D9522C"/>
    <w:rsid w:val="00D96922"/>
    <w:rsid w:val="00D96B85"/>
    <w:rsid w:val="00D976CC"/>
    <w:rsid w:val="00D97FAF"/>
    <w:rsid w:val="00DA070D"/>
    <w:rsid w:val="00DA1D0B"/>
    <w:rsid w:val="00DA2166"/>
    <w:rsid w:val="00DA253F"/>
    <w:rsid w:val="00DA2AD7"/>
    <w:rsid w:val="00DA30EF"/>
    <w:rsid w:val="00DA3D03"/>
    <w:rsid w:val="00DA43B6"/>
    <w:rsid w:val="00DA593D"/>
    <w:rsid w:val="00DA6E30"/>
    <w:rsid w:val="00DA7D2F"/>
    <w:rsid w:val="00DB0257"/>
    <w:rsid w:val="00DB0720"/>
    <w:rsid w:val="00DB0DFF"/>
    <w:rsid w:val="00DB131F"/>
    <w:rsid w:val="00DB17DF"/>
    <w:rsid w:val="00DB1B06"/>
    <w:rsid w:val="00DB3F41"/>
    <w:rsid w:val="00DB469A"/>
    <w:rsid w:val="00DB4AB0"/>
    <w:rsid w:val="00DB4C7C"/>
    <w:rsid w:val="00DB4E5A"/>
    <w:rsid w:val="00DB5333"/>
    <w:rsid w:val="00DB5A68"/>
    <w:rsid w:val="00DB608E"/>
    <w:rsid w:val="00DB6533"/>
    <w:rsid w:val="00DB6D7F"/>
    <w:rsid w:val="00DB71BB"/>
    <w:rsid w:val="00DB7F61"/>
    <w:rsid w:val="00DC080D"/>
    <w:rsid w:val="00DC1187"/>
    <w:rsid w:val="00DC1F06"/>
    <w:rsid w:val="00DC1FFE"/>
    <w:rsid w:val="00DC21D3"/>
    <w:rsid w:val="00DC2214"/>
    <w:rsid w:val="00DC22A8"/>
    <w:rsid w:val="00DC34AD"/>
    <w:rsid w:val="00DC36A2"/>
    <w:rsid w:val="00DC3E91"/>
    <w:rsid w:val="00DC441E"/>
    <w:rsid w:val="00DC4429"/>
    <w:rsid w:val="00DC5288"/>
    <w:rsid w:val="00DC597B"/>
    <w:rsid w:val="00DC6D07"/>
    <w:rsid w:val="00DD18A7"/>
    <w:rsid w:val="00DD1D01"/>
    <w:rsid w:val="00DD3A13"/>
    <w:rsid w:val="00DD3EC1"/>
    <w:rsid w:val="00DD3FA4"/>
    <w:rsid w:val="00DD5125"/>
    <w:rsid w:val="00DD58B2"/>
    <w:rsid w:val="00DD625B"/>
    <w:rsid w:val="00DD6701"/>
    <w:rsid w:val="00DD6A9C"/>
    <w:rsid w:val="00DD6DE6"/>
    <w:rsid w:val="00DE03F9"/>
    <w:rsid w:val="00DE0477"/>
    <w:rsid w:val="00DE0517"/>
    <w:rsid w:val="00DE2D6A"/>
    <w:rsid w:val="00DE301B"/>
    <w:rsid w:val="00DE49EA"/>
    <w:rsid w:val="00DE4CA1"/>
    <w:rsid w:val="00DE5BCC"/>
    <w:rsid w:val="00DE6F10"/>
    <w:rsid w:val="00DE7036"/>
    <w:rsid w:val="00DE7BA8"/>
    <w:rsid w:val="00DF0178"/>
    <w:rsid w:val="00DF0EF7"/>
    <w:rsid w:val="00DF1D8D"/>
    <w:rsid w:val="00DF2251"/>
    <w:rsid w:val="00DF2AFD"/>
    <w:rsid w:val="00DF2EBA"/>
    <w:rsid w:val="00DF3542"/>
    <w:rsid w:val="00DF3A64"/>
    <w:rsid w:val="00DF40AB"/>
    <w:rsid w:val="00DF4226"/>
    <w:rsid w:val="00DF47AF"/>
    <w:rsid w:val="00DF49DB"/>
    <w:rsid w:val="00DF4CEE"/>
    <w:rsid w:val="00DF5646"/>
    <w:rsid w:val="00DF567F"/>
    <w:rsid w:val="00DF64AC"/>
    <w:rsid w:val="00DF7150"/>
    <w:rsid w:val="00DF73F8"/>
    <w:rsid w:val="00DF77FF"/>
    <w:rsid w:val="00E00D29"/>
    <w:rsid w:val="00E0184E"/>
    <w:rsid w:val="00E01E4F"/>
    <w:rsid w:val="00E01EB3"/>
    <w:rsid w:val="00E0211F"/>
    <w:rsid w:val="00E02803"/>
    <w:rsid w:val="00E02ECC"/>
    <w:rsid w:val="00E031C0"/>
    <w:rsid w:val="00E03D48"/>
    <w:rsid w:val="00E046A7"/>
    <w:rsid w:val="00E048A8"/>
    <w:rsid w:val="00E058C8"/>
    <w:rsid w:val="00E060A7"/>
    <w:rsid w:val="00E063C0"/>
    <w:rsid w:val="00E0641E"/>
    <w:rsid w:val="00E06454"/>
    <w:rsid w:val="00E07274"/>
    <w:rsid w:val="00E07D7E"/>
    <w:rsid w:val="00E07DC2"/>
    <w:rsid w:val="00E101B3"/>
    <w:rsid w:val="00E1028F"/>
    <w:rsid w:val="00E106EE"/>
    <w:rsid w:val="00E1090C"/>
    <w:rsid w:val="00E10935"/>
    <w:rsid w:val="00E10AE5"/>
    <w:rsid w:val="00E139DC"/>
    <w:rsid w:val="00E144C9"/>
    <w:rsid w:val="00E14507"/>
    <w:rsid w:val="00E14A89"/>
    <w:rsid w:val="00E152C2"/>
    <w:rsid w:val="00E15589"/>
    <w:rsid w:val="00E15EBC"/>
    <w:rsid w:val="00E16A76"/>
    <w:rsid w:val="00E16D0C"/>
    <w:rsid w:val="00E172FD"/>
    <w:rsid w:val="00E17F9F"/>
    <w:rsid w:val="00E20DC7"/>
    <w:rsid w:val="00E20F63"/>
    <w:rsid w:val="00E20FF4"/>
    <w:rsid w:val="00E214B7"/>
    <w:rsid w:val="00E2271B"/>
    <w:rsid w:val="00E2313D"/>
    <w:rsid w:val="00E23572"/>
    <w:rsid w:val="00E2404B"/>
    <w:rsid w:val="00E2417A"/>
    <w:rsid w:val="00E24725"/>
    <w:rsid w:val="00E2493C"/>
    <w:rsid w:val="00E25819"/>
    <w:rsid w:val="00E25F0B"/>
    <w:rsid w:val="00E26B6F"/>
    <w:rsid w:val="00E2744E"/>
    <w:rsid w:val="00E27976"/>
    <w:rsid w:val="00E27A22"/>
    <w:rsid w:val="00E30144"/>
    <w:rsid w:val="00E30179"/>
    <w:rsid w:val="00E3029C"/>
    <w:rsid w:val="00E30EC6"/>
    <w:rsid w:val="00E3185B"/>
    <w:rsid w:val="00E31A66"/>
    <w:rsid w:val="00E31EC2"/>
    <w:rsid w:val="00E31EDA"/>
    <w:rsid w:val="00E338E7"/>
    <w:rsid w:val="00E33A2A"/>
    <w:rsid w:val="00E34E7B"/>
    <w:rsid w:val="00E34FD0"/>
    <w:rsid w:val="00E35B14"/>
    <w:rsid w:val="00E36019"/>
    <w:rsid w:val="00E368D8"/>
    <w:rsid w:val="00E369FC"/>
    <w:rsid w:val="00E36FE9"/>
    <w:rsid w:val="00E37BE8"/>
    <w:rsid w:val="00E40319"/>
    <w:rsid w:val="00E40A8E"/>
    <w:rsid w:val="00E410B9"/>
    <w:rsid w:val="00E41EAF"/>
    <w:rsid w:val="00E42F87"/>
    <w:rsid w:val="00E4359F"/>
    <w:rsid w:val="00E44C7D"/>
    <w:rsid w:val="00E458C2"/>
    <w:rsid w:val="00E46754"/>
    <w:rsid w:val="00E46AAC"/>
    <w:rsid w:val="00E46B2B"/>
    <w:rsid w:val="00E50B5E"/>
    <w:rsid w:val="00E50CD5"/>
    <w:rsid w:val="00E50E9D"/>
    <w:rsid w:val="00E517DD"/>
    <w:rsid w:val="00E51E46"/>
    <w:rsid w:val="00E521BF"/>
    <w:rsid w:val="00E522AA"/>
    <w:rsid w:val="00E524E9"/>
    <w:rsid w:val="00E52EF5"/>
    <w:rsid w:val="00E53554"/>
    <w:rsid w:val="00E53D5A"/>
    <w:rsid w:val="00E53FBB"/>
    <w:rsid w:val="00E54437"/>
    <w:rsid w:val="00E55E0F"/>
    <w:rsid w:val="00E560FA"/>
    <w:rsid w:val="00E579F8"/>
    <w:rsid w:val="00E61364"/>
    <w:rsid w:val="00E61AD5"/>
    <w:rsid w:val="00E61C50"/>
    <w:rsid w:val="00E6219F"/>
    <w:rsid w:val="00E62CBC"/>
    <w:rsid w:val="00E62EB6"/>
    <w:rsid w:val="00E63B6B"/>
    <w:rsid w:val="00E6413E"/>
    <w:rsid w:val="00E64D06"/>
    <w:rsid w:val="00E65090"/>
    <w:rsid w:val="00E655C3"/>
    <w:rsid w:val="00E65A4A"/>
    <w:rsid w:val="00E669E2"/>
    <w:rsid w:val="00E66E58"/>
    <w:rsid w:val="00E66F7A"/>
    <w:rsid w:val="00E67BCC"/>
    <w:rsid w:val="00E70E6F"/>
    <w:rsid w:val="00E70FBD"/>
    <w:rsid w:val="00E718D7"/>
    <w:rsid w:val="00E7248A"/>
    <w:rsid w:val="00E726E6"/>
    <w:rsid w:val="00E72FBD"/>
    <w:rsid w:val="00E739E9"/>
    <w:rsid w:val="00E74124"/>
    <w:rsid w:val="00E749B5"/>
    <w:rsid w:val="00E74CFF"/>
    <w:rsid w:val="00E754B2"/>
    <w:rsid w:val="00E75770"/>
    <w:rsid w:val="00E758E3"/>
    <w:rsid w:val="00E761BE"/>
    <w:rsid w:val="00E76C06"/>
    <w:rsid w:val="00E77071"/>
    <w:rsid w:val="00E772DF"/>
    <w:rsid w:val="00E779E3"/>
    <w:rsid w:val="00E77AA8"/>
    <w:rsid w:val="00E8047C"/>
    <w:rsid w:val="00E81D37"/>
    <w:rsid w:val="00E8237A"/>
    <w:rsid w:val="00E82EBA"/>
    <w:rsid w:val="00E84039"/>
    <w:rsid w:val="00E84370"/>
    <w:rsid w:val="00E84ABF"/>
    <w:rsid w:val="00E8553C"/>
    <w:rsid w:val="00E85CAE"/>
    <w:rsid w:val="00E85EA5"/>
    <w:rsid w:val="00E862B7"/>
    <w:rsid w:val="00E86C20"/>
    <w:rsid w:val="00E9026D"/>
    <w:rsid w:val="00E9057A"/>
    <w:rsid w:val="00E90616"/>
    <w:rsid w:val="00E90885"/>
    <w:rsid w:val="00E91704"/>
    <w:rsid w:val="00E9183C"/>
    <w:rsid w:val="00E92A41"/>
    <w:rsid w:val="00E92EC4"/>
    <w:rsid w:val="00E9311E"/>
    <w:rsid w:val="00E936F4"/>
    <w:rsid w:val="00E9566F"/>
    <w:rsid w:val="00E9570D"/>
    <w:rsid w:val="00E95B17"/>
    <w:rsid w:val="00E95C7F"/>
    <w:rsid w:val="00E96427"/>
    <w:rsid w:val="00E96B92"/>
    <w:rsid w:val="00E96C25"/>
    <w:rsid w:val="00E97CA9"/>
    <w:rsid w:val="00EA0136"/>
    <w:rsid w:val="00EA069B"/>
    <w:rsid w:val="00EA1415"/>
    <w:rsid w:val="00EA21F6"/>
    <w:rsid w:val="00EA2226"/>
    <w:rsid w:val="00EA2789"/>
    <w:rsid w:val="00EA2E8D"/>
    <w:rsid w:val="00EA38BB"/>
    <w:rsid w:val="00EA526A"/>
    <w:rsid w:val="00EA53AA"/>
    <w:rsid w:val="00EA5BDF"/>
    <w:rsid w:val="00EA7168"/>
    <w:rsid w:val="00EA789A"/>
    <w:rsid w:val="00EA7EEF"/>
    <w:rsid w:val="00EB01A9"/>
    <w:rsid w:val="00EB0EE2"/>
    <w:rsid w:val="00EB1129"/>
    <w:rsid w:val="00EB17B2"/>
    <w:rsid w:val="00EB1EB3"/>
    <w:rsid w:val="00EB22B7"/>
    <w:rsid w:val="00EB2704"/>
    <w:rsid w:val="00EB32FA"/>
    <w:rsid w:val="00EB38EB"/>
    <w:rsid w:val="00EB3A41"/>
    <w:rsid w:val="00EB424B"/>
    <w:rsid w:val="00EB4E69"/>
    <w:rsid w:val="00EB540C"/>
    <w:rsid w:val="00EB563D"/>
    <w:rsid w:val="00EB5F8F"/>
    <w:rsid w:val="00EB6175"/>
    <w:rsid w:val="00EB6C91"/>
    <w:rsid w:val="00EB74B7"/>
    <w:rsid w:val="00EB76D3"/>
    <w:rsid w:val="00EC15E1"/>
    <w:rsid w:val="00EC16CD"/>
    <w:rsid w:val="00EC2FA7"/>
    <w:rsid w:val="00EC3053"/>
    <w:rsid w:val="00EC308B"/>
    <w:rsid w:val="00EC378D"/>
    <w:rsid w:val="00EC3C1A"/>
    <w:rsid w:val="00EC4361"/>
    <w:rsid w:val="00EC4E43"/>
    <w:rsid w:val="00EC4F42"/>
    <w:rsid w:val="00EC51B1"/>
    <w:rsid w:val="00EC55CF"/>
    <w:rsid w:val="00EC6314"/>
    <w:rsid w:val="00EC6669"/>
    <w:rsid w:val="00EC765E"/>
    <w:rsid w:val="00ED0182"/>
    <w:rsid w:val="00ED04DC"/>
    <w:rsid w:val="00ED09E2"/>
    <w:rsid w:val="00ED1383"/>
    <w:rsid w:val="00ED1A7A"/>
    <w:rsid w:val="00ED24A5"/>
    <w:rsid w:val="00ED2AD2"/>
    <w:rsid w:val="00ED300A"/>
    <w:rsid w:val="00ED3D34"/>
    <w:rsid w:val="00ED4208"/>
    <w:rsid w:val="00ED441A"/>
    <w:rsid w:val="00ED44A2"/>
    <w:rsid w:val="00ED44BC"/>
    <w:rsid w:val="00ED45B5"/>
    <w:rsid w:val="00ED48BA"/>
    <w:rsid w:val="00ED4AF9"/>
    <w:rsid w:val="00ED5680"/>
    <w:rsid w:val="00ED591D"/>
    <w:rsid w:val="00ED5E60"/>
    <w:rsid w:val="00ED66E2"/>
    <w:rsid w:val="00ED687E"/>
    <w:rsid w:val="00ED6BE0"/>
    <w:rsid w:val="00ED6EB2"/>
    <w:rsid w:val="00ED719C"/>
    <w:rsid w:val="00ED7D30"/>
    <w:rsid w:val="00EE023B"/>
    <w:rsid w:val="00EE2779"/>
    <w:rsid w:val="00EE283C"/>
    <w:rsid w:val="00EE2966"/>
    <w:rsid w:val="00EE2DF2"/>
    <w:rsid w:val="00EE2F6C"/>
    <w:rsid w:val="00EE30A7"/>
    <w:rsid w:val="00EE3C32"/>
    <w:rsid w:val="00EE443F"/>
    <w:rsid w:val="00EE47EC"/>
    <w:rsid w:val="00EE4BAB"/>
    <w:rsid w:val="00EE5C11"/>
    <w:rsid w:val="00EE608F"/>
    <w:rsid w:val="00EE737D"/>
    <w:rsid w:val="00EF0147"/>
    <w:rsid w:val="00EF0814"/>
    <w:rsid w:val="00EF0A5C"/>
    <w:rsid w:val="00EF1E15"/>
    <w:rsid w:val="00EF242A"/>
    <w:rsid w:val="00EF2CEC"/>
    <w:rsid w:val="00EF2E82"/>
    <w:rsid w:val="00EF3F9B"/>
    <w:rsid w:val="00EF412B"/>
    <w:rsid w:val="00EF42E9"/>
    <w:rsid w:val="00EF509A"/>
    <w:rsid w:val="00EF5EBE"/>
    <w:rsid w:val="00EF6044"/>
    <w:rsid w:val="00EF6358"/>
    <w:rsid w:val="00EF63F9"/>
    <w:rsid w:val="00EF6D65"/>
    <w:rsid w:val="00EF6E6B"/>
    <w:rsid w:val="00EF7BFE"/>
    <w:rsid w:val="00F00094"/>
    <w:rsid w:val="00F002BD"/>
    <w:rsid w:val="00F01466"/>
    <w:rsid w:val="00F01833"/>
    <w:rsid w:val="00F0194E"/>
    <w:rsid w:val="00F01D83"/>
    <w:rsid w:val="00F026EB"/>
    <w:rsid w:val="00F02C2E"/>
    <w:rsid w:val="00F02E71"/>
    <w:rsid w:val="00F02EE0"/>
    <w:rsid w:val="00F0333D"/>
    <w:rsid w:val="00F0432D"/>
    <w:rsid w:val="00F04B04"/>
    <w:rsid w:val="00F052CB"/>
    <w:rsid w:val="00F053D8"/>
    <w:rsid w:val="00F05E00"/>
    <w:rsid w:val="00F05EDC"/>
    <w:rsid w:val="00F06070"/>
    <w:rsid w:val="00F06362"/>
    <w:rsid w:val="00F063D3"/>
    <w:rsid w:val="00F0696F"/>
    <w:rsid w:val="00F06B5B"/>
    <w:rsid w:val="00F06BEF"/>
    <w:rsid w:val="00F06CC8"/>
    <w:rsid w:val="00F10831"/>
    <w:rsid w:val="00F1084D"/>
    <w:rsid w:val="00F10A98"/>
    <w:rsid w:val="00F11238"/>
    <w:rsid w:val="00F1133D"/>
    <w:rsid w:val="00F1249D"/>
    <w:rsid w:val="00F12714"/>
    <w:rsid w:val="00F12CDB"/>
    <w:rsid w:val="00F14A86"/>
    <w:rsid w:val="00F14D8D"/>
    <w:rsid w:val="00F15039"/>
    <w:rsid w:val="00F150D5"/>
    <w:rsid w:val="00F157B3"/>
    <w:rsid w:val="00F15ACC"/>
    <w:rsid w:val="00F16ABC"/>
    <w:rsid w:val="00F17A9A"/>
    <w:rsid w:val="00F20916"/>
    <w:rsid w:val="00F20B75"/>
    <w:rsid w:val="00F20EB3"/>
    <w:rsid w:val="00F225BE"/>
    <w:rsid w:val="00F230CB"/>
    <w:rsid w:val="00F23479"/>
    <w:rsid w:val="00F23FF8"/>
    <w:rsid w:val="00F24178"/>
    <w:rsid w:val="00F249B2"/>
    <w:rsid w:val="00F24B80"/>
    <w:rsid w:val="00F24C93"/>
    <w:rsid w:val="00F24EAE"/>
    <w:rsid w:val="00F25EB8"/>
    <w:rsid w:val="00F26031"/>
    <w:rsid w:val="00F26568"/>
    <w:rsid w:val="00F26A8A"/>
    <w:rsid w:val="00F27D96"/>
    <w:rsid w:val="00F27E4F"/>
    <w:rsid w:val="00F27F52"/>
    <w:rsid w:val="00F27FD8"/>
    <w:rsid w:val="00F3024F"/>
    <w:rsid w:val="00F303AE"/>
    <w:rsid w:val="00F30CFF"/>
    <w:rsid w:val="00F31D7D"/>
    <w:rsid w:val="00F3236F"/>
    <w:rsid w:val="00F332FB"/>
    <w:rsid w:val="00F33788"/>
    <w:rsid w:val="00F344F3"/>
    <w:rsid w:val="00F34A16"/>
    <w:rsid w:val="00F34FA9"/>
    <w:rsid w:val="00F355C0"/>
    <w:rsid w:val="00F36400"/>
    <w:rsid w:val="00F36471"/>
    <w:rsid w:val="00F36E5E"/>
    <w:rsid w:val="00F37238"/>
    <w:rsid w:val="00F37552"/>
    <w:rsid w:val="00F3774F"/>
    <w:rsid w:val="00F402B5"/>
    <w:rsid w:val="00F40EF5"/>
    <w:rsid w:val="00F411FA"/>
    <w:rsid w:val="00F4166C"/>
    <w:rsid w:val="00F425D5"/>
    <w:rsid w:val="00F4288E"/>
    <w:rsid w:val="00F42BC6"/>
    <w:rsid w:val="00F43433"/>
    <w:rsid w:val="00F43667"/>
    <w:rsid w:val="00F43693"/>
    <w:rsid w:val="00F4381F"/>
    <w:rsid w:val="00F43A98"/>
    <w:rsid w:val="00F43E43"/>
    <w:rsid w:val="00F441FD"/>
    <w:rsid w:val="00F44A59"/>
    <w:rsid w:val="00F44B50"/>
    <w:rsid w:val="00F44D3B"/>
    <w:rsid w:val="00F45798"/>
    <w:rsid w:val="00F46C47"/>
    <w:rsid w:val="00F46E29"/>
    <w:rsid w:val="00F46EAA"/>
    <w:rsid w:val="00F471C8"/>
    <w:rsid w:val="00F47DD5"/>
    <w:rsid w:val="00F50D5A"/>
    <w:rsid w:val="00F53A81"/>
    <w:rsid w:val="00F53B63"/>
    <w:rsid w:val="00F53FBD"/>
    <w:rsid w:val="00F54515"/>
    <w:rsid w:val="00F546FC"/>
    <w:rsid w:val="00F54BAE"/>
    <w:rsid w:val="00F55B95"/>
    <w:rsid w:val="00F55CB2"/>
    <w:rsid w:val="00F56430"/>
    <w:rsid w:val="00F56566"/>
    <w:rsid w:val="00F56C3C"/>
    <w:rsid w:val="00F56E57"/>
    <w:rsid w:val="00F56E99"/>
    <w:rsid w:val="00F609B8"/>
    <w:rsid w:val="00F62377"/>
    <w:rsid w:val="00F624D9"/>
    <w:rsid w:val="00F62DCD"/>
    <w:rsid w:val="00F65270"/>
    <w:rsid w:val="00F653EB"/>
    <w:rsid w:val="00F6577C"/>
    <w:rsid w:val="00F65C0B"/>
    <w:rsid w:val="00F6644B"/>
    <w:rsid w:val="00F66A13"/>
    <w:rsid w:val="00F66EF1"/>
    <w:rsid w:val="00F67547"/>
    <w:rsid w:val="00F67D46"/>
    <w:rsid w:val="00F67F6B"/>
    <w:rsid w:val="00F700D6"/>
    <w:rsid w:val="00F70AB6"/>
    <w:rsid w:val="00F71757"/>
    <w:rsid w:val="00F72658"/>
    <w:rsid w:val="00F732CC"/>
    <w:rsid w:val="00F7367B"/>
    <w:rsid w:val="00F7415B"/>
    <w:rsid w:val="00F749FC"/>
    <w:rsid w:val="00F74E1F"/>
    <w:rsid w:val="00F75408"/>
    <w:rsid w:val="00F7579E"/>
    <w:rsid w:val="00F75F01"/>
    <w:rsid w:val="00F76228"/>
    <w:rsid w:val="00F7687B"/>
    <w:rsid w:val="00F76ABF"/>
    <w:rsid w:val="00F7722C"/>
    <w:rsid w:val="00F775CF"/>
    <w:rsid w:val="00F776E3"/>
    <w:rsid w:val="00F80432"/>
    <w:rsid w:val="00F81555"/>
    <w:rsid w:val="00F8201F"/>
    <w:rsid w:val="00F82661"/>
    <w:rsid w:val="00F830D5"/>
    <w:rsid w:val="00F832AE"/>
    <w:rsid w:val="00F83441"/>
    <w:rsid w:val="00F836FF"/>
    <w:rsid w:val="00F837E2"/>
    <w:rsid w:val="00F849E8"/>
    <w:rsid w:val="00F84AF3"/>
    <w:rsid w:val="00F86E15"/>
    <w:rsid w:val="00F871A5"/>
    <w:rsid w:val="00F8789C"/>
    <w:rsid w:val="00F87F94"/>
    <w:rsid w:val="00F90367"/>
    <w:rsid w:val="00F906E6"/>
    <w:rsid w:val="00F91ACD"/>
    <w:rsid w:val="00F91C3B"/>
    <w:rsid w:val="00F91DD1"/>
    <w:rsid w:val="00F91DF6"/>
    <w:rsid w:val="00F95AE4"/>
    <w:rsid w:val="00F9613F"/>
    <w:rsid w:val="00F96160"/>
    <w:rsid w:val="00F962AF"/>
    <w:rsid w:val="00F96529"/>
    <w:rsid w:val="00F96671"/>
    <w:rsid w:val="00F970AF"/>
    <w:rsid w:val="00F97951"/>
    <w:rsid w:val="00FA0221"/>
    <w:rsid w:val="00FA028A"/>
    <w:rsid w:val="00FA11EA"/>
    <w:rsid w:val="00FA1395"/>
    <w:rsid w:val="00FA15C9"/>
    <w:rsid w:val="00FA197A"/>
    <w:rsid w:val="00FA1DA6"/>
    <w:rsid w:val="00FA5D2F"/>
    <w:rsid w:val="00FA640B"/>
    <w:rsid w:val="00FA641F"/>
    <w:rsid w:val="00FA656E"/>
    <w:rsid w:val="00FA667F"/>
    <w:rsid w:val="00FA7584"/>
    <w:rsid w:val="00FB1735"/>
    <w:rsid w:val="00FB1A94"/>
    <w:rsid w:val="00FB20F4"/>
    <w:rsid w:val="00FB2258"/>
    <w:rsid w:val="00FB27DC"/>
    <w:rsid w:val="00FB27F1"/>
    <w:rsid w:val="00FB338C"/>
    <w:rsid w:val="00FB376D"/>
    <w:rsid w:val="00FB3783"/>
    <w:rsid w:val="00FB3B2A"/>
    <w:rsid w:val="00FB4013"/>
    <w:rsid w:val="00FB439A"/>
    <w:rsid w:val="00FB45A5"/>
    <w:rsid w:val="00FB4C10"/>
    <w:rsid w:val="00FB506B"/>
    <w:rsid w:val="00FB6719"/>
    <w:rsid w:val="00FB75E2"/>
    <w:rsid w:val="00FB7777"/>
    <w:rsid w:val="00FB7EAA"/>
    <w:rsid w:val="00FC0914"/>
    <w:rsid w:val="00FC1107"/>
    <w:rsid w:val="00FC12FC"/>
    <w:rsid w:val="00FC1703"/>
    <w:rsid w:val="00FC1840"/>
    <w:rsid w:val="00FC19B8"/>
    <w:rsid w:val="00FC23F2"/>
    <w:rsid w:val="00FC2B7F"/>
    <w:rsid w:val="00FC33B7"/>
    <w:rsid w:val="00FC5AD9"/>
    <w:rsid w:val="00FC5E95"/>
    <w:rsid w:val="00FC7F0F"/>
    <w:rsid w:val="00FD077D"/>
    <w:rsid w:val="00FD07D9"/>
    <w:rsid w:val="00FD1570"/>
    <w:rsid w:val="00FD1C29"/>
    <w:rsid w:val="00FD303F"/>
    <w:rsid w:val="00FD3517"/>
    <w:rsid w:val="00FD3BC0"/>
    <w:rsid w:val="00FD51EF"/>
    <w:rsid w:val="00FD5249"/>
    <w:rsid w:val="00FD558F"/>
    <w:rsid w:val="00FD582C"/>
    <w:rsid w:val="00FD5837"/>
    <w:rsid w:val="00FD628F"/>
    <w:rsid w:val="00FD79D5"/>
    <w:rsid w:val="00FD79DF"/>
    <w:rsid w:val="00FE00CD"/>
    <w:rsid w:val="00FE0B2D"/>
    <w:rsid w:val="00FE11D2"/>
    <w:rsid w:val="00FE13A2"/>
    <w:rsid w:val="00FE143E"/>
    <w:rsid w:val="00FE1B94"/>
    <w:rsid w:val="00FE328F"/>
    <w:rsid w:val="00FE35E8"/>
    <w:rsid w:val="00FE3941"/>
    <w:rsid w:val="00FE3C1F"/>
    <w:rsid w:val="00FE4EA2"/>
    <w:rsid w:val="00FE7138"/>
    <w:rsid w:val="00FE77DE"/>
    <w:rsid w:val="00FE78CD"/>
    <w:rsid w:val="00FF0541"/>
    <w:rsid w:val="00FF06B5"/>
    <w:rsid w:val="00FF0B95"/>
    <w:rsid w:val="00FF1BC6"/>
    <w:rsid w:val="00FF241D"/>
    <w:rsid w:val="00FF3317"/>
    <w:rsid w:val="00FF41DA"/>
    <w:rsid w:val="00FF4280"/>
    <w:rsid w:val="00FF4B30"/>
    <w:rsid w:val="00FF50A5"/>
    <w:rsid w:val="00FF5825"/>
    <w:rsid w:val="00FF5F80"/>
    <w:rsid w:val="00FF6530"/>
    <w:rsid w:val="00FF6842"/>
    <w:rsid w:val="00FF6D82"/>
    <w:rsid w:val="00FF71B5"/>
    <w:rsid w:val="00FF71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6F2B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645F"/>
    <w:rPr>
      <w:rFonts w:ascii="Arial" w:hAnsi="Arial"/>
      <w:sz w:val="22"/>
      <w:szCs w:val="24"/>
      <w:lang w:eastAsia="en-US"/>
    </w:rPr>
  </w:style>
  <w:style w:type="paragraph" w:styleId="Heading1">
    <w:name w:val="heading 1"/>
    <w:basedOn w:val="Normal"/>
    <w:next w:val="Normal"/>
    <w:link w:val="Heading1Char"/>
    <w:qFormat/>
    <w:rsid w:val="00201ACB"/>
    <w:pPr>
      <w:keepNext/>
      <w:numPr>
        <w:numId w:val="9"/>
      </w:numPr>
      <w:spacing w:before="240" w:after="60"/>
      <w:outlineLvl w:val="0"/>
    </w:pPr>
    <w:rPr>
      <w:rFonts w:cs="Arial"/>
      <w:b/>
      <w:bCs/>
      <w:color w:val="153A6E"/>
      <w:kern w:val="28"/>
      <w:sz w:val="36"/>
      <w:szCs w:val="32"/>
    </w:rPr>
  </w:style>
  <w:style w:type="paragraph" w:styleId="Heading2">
    <w:name w:val="heading 2"/>
    <w:next w:val="Normal"/>
    <w:qFormat/>
    <w:rsid w:val="00201ACB"/>
    <w:pPr>
      <w:keepNext/>
      <w:numPr>
        <w:ilvl w:val="1"/>
        <w:numId w:val="9"/>
      </w:numPr>
      <w:spacing w:before="240" w:after="60"/>
      <w:ind w:left="576"/>
      <w:outlineLvl w:val="1"/>
    </w:pPr>
    <w:rPr>
      <w:rFonts w:ascii="Arial" w:hAnsi="Arial" w:cs="Arial"/>
      <w:b/>
      <w:bCs/>
      <w:iCs/>
      <w:color w:val="153A6E"/>
      <w:sz w:val="32"/>
      <w:szCs w:val="32"/>
      <w:lang w:eastAsia="en-US"/>
    </w:rPr>
  </w:style>
  <w:style w:type="paragraph" w:styleId="Heading3">
    <w:name w:val="heading 3"/>
    <w:basedOn w:val="Heading2"/>
    <w:next w:val="Normal"/>
    <w:link w:val="Heading3Char"/>
    <w:qFormat/>
    <w:rsid w:val="00201ACB"/>
    <w:pPr>
      <w:numPr>
        <w:ilvl w:val="2"/>
      </w:numPr>
      <w:spacing w:before="180"/>
      <w:outlineLvl w:val="2"/>
    </w:pPr>
    <w:rPr>
      <w:bCs w:val="0"/>
      <w:sz w:val="28"/>
      <w:szCs w:val="28"/>
    </w:rPr>
  </w:style>
  <w:style w:type="paragraph" w:styleId="Heading4">
    <w:name w:val="heading 4"/>
    <w:basedOn w:val="Normal"/>
    <w:next w:val="Normal"/>
    <w:link w:val="Heading4Char"/>
    <w:uiPriority w:val="9"/>
    <w:qFormat/>
    <w:rsid w:val="00493EFE"/>
    <w:pPr>
      <w:keepNext/>
      <w:spacing w:before="240" w:after="60"/>
      <w:outlineLvl w:val="3"/>
    </w:pPr>
    <w:rPr>
      <w:b/>
      <w:bCs/>
      <w:color w:val="153A6E"/>
      <w:sz w:val="24"/>
      <w:szCs w:val="28"/>
    </w:rPr>
  </w:style>
  <w:style w:type="paragraph" w:styleId="Heading5">
    <w:name w:val="heading 5"/>
    <w:basedOn w:val="Normal"/>
    <w:next w:val="Normal"/>
    <w:uiPriority w:val="9"/>
    <w:qFormat/>
    <w:rsid w:val="00201ACB"/>
    <w:pPr>
      <w:keepNext/>
      <w:numPr>
        <w:ilvl w:val="4"/>
        <w:numId w:val="9"/>
      </w:numPr>
      <w:spacing w:before="240" w:after="60"/>
      <w:outlineLvl w:val="4"/>
    </w:pPr>
    <w:rPr>
      <w:b/>
      <w:bCs/>
      <w:iCs/>
      <w:szCs w:val="26"/>
    </w:rPr>
  </w:style>
  <w:style w:type="paragraph" w:styleId="Heading6">
    <w:name w:val="heading 6"/>
    <w:basedOn w:val="Normal"/>
    <w:next w:val="Normal"/>
    <w:uiPriority w:val="9"/>
    <w:qFormat/>
    <w:rsid w:val="00201ACB"/>
    <w:pPr>
      <w:keepNext/>
      <w:numPr>
        <w:ilvl w:val="5"/>
        <w:numId w:val="9"/>
      </w:numPr>
      <w:spacing w:before="240" w:after="60"/>
      <w:outlineLvl w:val="5"/>
    </w:pPr>
    <w:rPr>
      <w:b/>
      <w:bCs/>
      <w:i/>
      <w:szCs w:val="22"/>
    </w:rPr>
  </w:style>
  <w:style w:type="paragraph" w:styleId="Heading7">
    <w:name w:val="heading 7"/>
    <w:basedOn w:val="Normal"/>
    <w:next w:val="Normal"/>
    <w:link w:val="Heading7Char"/>
    <w:uiPriority w:val="9"/>
    <w:semiHidden/>
    <w:unhideWhenUsed/>
    <w:qFormat/>
    <w:rsid w:val="00201ACB"/>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ACB"/>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ACB"/>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ody text,standard lewis,Bullet point,List Paragraph11,NAST Quote,List Paragraph Number,L,Bullet Point,Bullet- First level,Bullets,CV text,Figure_name,List NUmber,Listenabsatz1,Numbered Indented Text,lp1,列"/>
    <w:basedOn w:val="Normal"/>
    <w:link w:val="ListParagraphChar"/>
    <w:uiPriority w:val="99"/>
    <w:qFormat/>
    <w:rsid w:val="00201ACB"/>
    <w:pPr>
      <w:ind w:left="720"/>
      <w:contextualSpacing/>
    </w:pPr>
  </w:style>
  <w:style w:type="paragraph" w:styleId="TOC1">
    <w:name w:val="toc 1"/>
    <w:basedOn w:val="Normal"/>
    <w:next w:val="Normal"/>
    <w:autoRedefine/>
    <w:uiPriority w:val="39"/>
    <w:rsid w:val="00201ACB"/>
    <w:pPr>
      <w:tabs>
        <w:tab w:val="right" w:leader="dot" w:pos="9736"/>
      </w:tabs>
      <w:spacing w:after="100"/>
    </w:pPr>
  </w:style>
  <w:style w:type="character" w:styleId="Hyperlink">
    <w:name w:val="Hyperlink"/>
    <w:basedOn w:val="DefaultParagraphFont"/>
    <w:uiPriority w:val="99"/>
    <w:unhideWhenUsed/>
    <w:qFormat/>
    <w:rsid w:val="00201ACB"/>
    <w:rPr>
      <w:rFonts w:ascii="Arial" w:hAnsi="Arial"/>
      <w:color w:val="0000FF" w:themeColor="hyperlink"/>
      <w:sz w:val="22"/>
      <w:u w:val="single"/>
    </w:rPr>
  </w:style>
  <w:style w:type="paragraph" w:styleId="TOC2">
    <w:name w:val="toc 2"/>
    <w:basedOn w:val="Normal"/>
    <w:next w:val="Normal"/>
    <w:autoRedefine/>
    <w:uiPriority w:val="39"/>
    <w:rsid w:val="00201ACB"/>
    <w:pPr>
      <w:spacing w:after="100"/>
      <w:ind w:left="220"/>
    </w:pPr>
  </w:style>
  <w:style w:type="paragraph" w:styleId="ListBullet2">
    <w:name w:val="List Bullet 2"/>
    <w:basedOn w:val="Normal"/>
    <w:rsid w:val="00C27D33"/>
    <w:pPr>
      <w:numPr>
        <w:ilvl w:val="1"/>
        <w:numId w:val="10"/>
      </w:numPr>
      <w:spacing w:before="120" w:after="120"/>
    </w:pPr>
  </w:style>
  <w:style w:type="paragraph" w:styleId="ListBullet4">
    <w:name w:val="List Bullet 4"/>
    <w:basedOn w:val="ListBullet3"/>
    <w:unhideWhenUsed/>
    <w:rsid w:val="00A70021"/>
    <w:pPr>
      <w:numPr>
        <w:ilvl w:val="3"/>
      </w:numPr>
    </w:pPr>
  </w:style>
  <w:style w:type="paragraph" w:styleId="ListBullet3">
    <w:name w:val="List Bullet 3"/>
    <w:basedOn w:val="ListBullet2"/>
    <w:rsid w:val="00A70021"/>
    <w:pPr>
      <w:numPr>
        <w:ilvl w:val="2"/>
      </w:numPr>
    </w:pPr>
  </w:style>
  <w:style w:type="paragraph" w:styleId="ListBullet">
    <w:name w:val="List Bullet"/>
    <w:aliases w:val="List First Level,Bullet List"/>
    <w:basedOn w:val="Normal"/>
    <w:uiPriority w:val="13"/>
    <w:qFormat/>
    <w:rsid w:val="00201ACB"/>
    <w:pPr>
      <w:numPr>
        <w:numId w:val="10"/>
      </w:numPr>
      <w:spacing w:before="120" w:line="240" w:lineRule="exact"/>
    </w:pPr>
    <w:rPr>
      <w:color w:val="000000" w:themeColor="text1"/>
    </w:rPr>
  </w:style>
  <w:style w:type="paragraph" w:styleId="ListBullet5">
    <w:name w:val="List Bullet 5"/>
    <w:basedOn w:val="ListBullet4"/>
    <w:unhideWhenUsed/>
    <w:rsid w:val="00A70021"/>
    <w:pPr>
      <w:numPr>
        <w:ilvl w:val="0"/>
        <w:numId w:val="0"/>
      </w:numPr>
    </w:pPr>
  </w:style>
  <w:style w:type="character" w:styleId="Strong">
    <w:name w:val="Strong"/>
    <w:basedOn w:val="DefaultParagraphFont"/>
    <w:uiPriority w:val="22"/>
    <w:qFormat/>
    <w:rsid w:val="00201ACB"/>
    <w:rPr>
      <w:b/>
      <w:bCs/>
    </w:rPr>
  </w:style>
  <w:style w:type="paragraph" w:styleId="FootnoteText">
    <w:name w:val="footnote text"/>
    <w:basedOn w:val="Normal"/>
    <w:link w:val="FootnoteTextChar"/>
    <w:uiPriority w:val="99"/>
    <w:qFormat/>
    <w:rsid w:val="003D5106"/>
    <w:pPr>
      <w:spacing w:after="120"/>
    </w:pPr>
    <w:rPr>
      <w:color w:val="000000" w:themeColor="text1"/>
      <w:sz w:val="18"/>
      <w:szCs w:val="20"/>
    </w:rPr>
  </w:style>
  <w:style w:type="character" w:customStyle="1" w:styleId="FootnoteTextChar">
    <w:name w:val="Footnote Text Char"/>
    <w:basedOn w:val="DefaultParagraphFont"/>
    <w:link w:val="FootnoteText"/>
    <w:uiPriority w:val="99"/>
    <w:rsid w:val="003D5106"/>
    <w:rPr>
      <w:rFonts w:ascii="Arial" w:hAnsi="Arial"/>
      <w:color w:val="000000" w:themeColor="text1"/>
      <w:sz w:val="18"/>
      <w:lang w:eastAsia="en-US"/>
    </w:rPr>
  </w:style>
  <w:style w:type="character" w:styleId="FootnoteReference">
    <w:name w:val="footnote reference"/>
    <w:basedOn w:val="DefaultParagraphFont"/>
    <w:uiPriority w:val="99"/>
    <w:rsid w:val="000A3256"/>
    <w:rPr>
      <w:vertAlign w:val="superscript"/>
    </w:rPr>
  </w:style>
  <w:style w:type="paragraph" w:styleId="BalloonText">
    <w:name w:val="Balloon Text"/>
    <w:basedOn w:val="Normal"/>
    <w:link w:val="BalloonTextChar"/>
    <w:rsid w:val="00201ACB"/>
    <w:rPr>
      <w:rFonts w:ascii="Tahoma" w:hAnsi="Tahoma" w:cs="Tahoma"/>
      <w:sz w:val="16"/>
      <w:szCs w:val="16"/>
    </w:rPr>
  </w:style>
  <w:style w:type="character" w:customStyle="1" w:styleId="BalloonTextChar">
    <w:name w:val="Balloon Text Char"/>
    <w:basedOn w:val="DefaultParagraphFont"/>
    <w:link w:val="BalloonText"/>
    <w:rsid w:val="00201ACB"/>
    <w:rPr>
      <w:rFonts w:ascii="Tahoma" w:hAnsi="Tahoma" w:cs="Tahoma"/>
      <w:sz w:val="16"/>
      <w:szCs w:val="16"/>
      <w:lang w:eastAsia="en-US"/>
    </w:rPr>
  </w:style>
  <w:style w:type="table" w:styleId="TableGrid">
    <w:name w:val="Table Grid"/>
    <w:aliases w:val="Table - Top"/>
    <w:basedOn w:val="TableNormal"/>
    <w:uiPriority w:val="39"/>
    <w:rsid w:val="00E71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3788"/>
    <w:pPr>
      <w:autoSpaceDE w:val="0"/>
      <w:autoSpaceDN w:val="0"/>
      <w:adjustRightInd w:val="0"/>
    </w:pPr>
    <w:rPr>
      <w:rFonts w:ascii="Garamond" w:hAnsi="Garamond" w:cs="Garamond"/>
      <w:color w:val="000000"/>
      <w:sz w:val="24"/>
      <w:szCs w:val="24"/>
    </w:rPr>
  </w:style>
  <w:style w:type="paragraph" w:styleId="Header">
    <w:name w:val="header"/>
    <w:basedOn w:val="Normal"/>
    <w:link w:val="HeaderChar"/>
    <w:uiPriority w:val="99"/>
    <w:qFormat/>
    <w:rsid w:val="00201ACB"/>
    <w:pPr>
      <w:tabs>
        <w:tab w:val="center" w:pos="4513"/>
        <w:tab w:val="right" w:pos="9026"/>
      </w:tabs>
    </w:pPr>
  </w:style>
  <w:style w:type="character" w:customStyle="1" w:styleId="HeaderChar">
    <w:name w:val="Header Char"/>
    <w:basedOn w:val="DefaultParagraphFont"/>
    <w:link w:val="Header"/>
    <w:uiPriority w:val="99"/>
    <w:rsid w:val="00201ACB"/>
    <w:rPr>
      <w:rFonts w:ascii="Arial" w:hAnsi="Arial"/>
      <w:sz w:val="22"/>
      <w:szCs w:val="24"/>
      <w:lang w:eastAsia="en-US"/>
    </w:rPr>
  </w:style>
  <w:style w:type="paragraph" w:styleId="Footer">
    <w:name w:val="footer"/>
    <w:basedOn w:val="Normal"/>
    <w:link w:val="FooterChar"/>
    <w:uiPriority w:val="99"/>
    <w:qFormat/>
    <w:rsid w:val="00201ACB"/>
    <w:pPr>
      <w:tabs>
        <w:tab w:val="center" w:pos="4513"/>
        <w:tab w:val="right" w:pos="9026"/>
      </w:tabs>
    </w:pPr>
    <w:rPr>
      <w:sz w:val="20"/>
    </w:rPr>
  </w:style>
  <w:style w:type="character" w:customStyle="1" w:styleId="FooterChar">
    <w:name w:val="Footer Char"/>
    <w:basedOn w:val="DefaultParagraphFont"/>
    <w:link w:val="Footer"/>
    <w:uiPriority w:val="99"/>
    <w:rsid w:val="00201ACB"/>
    <w:rPr>
      <w:rFonts w:ascii="Arial" w:hAnsi="Arial"/>
      <w:szCs w:val="24"/>
      <w:lang w:eastAsia="en-US"/>
    </w:rPr>
  </w:style>
  <w:style w:type="paragraph" w:styleId="TOC3">
    <w:name w:val="toc 3"/>
    <w:basedOn w:val="Normal"/>
    <w:next w:val="Normal"/>
    <w:autoRedefine/>
    <w:uiPriority w:val="39"/>
    <w:rsid w:val="00201ACB"/>
    <w:pPr>
      <w:spacing w:after="100"/>
      <w:ind w:left="440"/>
    </w:pPr>
  </w:style>
  <w:style w:type="character" w:customStyle="1" w:styleId="Heading3Char">
    <w:name w:val="Heading 3 Char"/>
    <w:link w:val="Heading3"/>
    <w:rsid w:val="003A026A"/>
    <w:rPr>
      <w:rFonts w:ascii="Arial" w:hAnsi="Arial" w:cs="Arial"/>
      <w:b/>
      <w:iCs/>
      <w:color w:val="153A6E"/>
      <w:sz w:val="28"/>
      <w:szCs w:val="28"/>
      <w:lang w:eastAsia="en-US"/>
    </w:rPr>
  </w:style>
  <w:style w:type="paragraph" w:styleId="TOC4">
    <w:name w:val="toc 4"/>
    <w:basedOn w:val="Normal"/>
    <w:next w:val="Normal"/>
    <w:autoRedefine/>
    <w:uiPriority w:val="39"/>
    <w:rsid w:val="002D1873"/>
    <w:pPr>
      <w:spacing w:after="100"/>
      <w:ind w:left="660"/>
    </w:pPr>
    <w:rPr>
      <w:i/>
      <w:sz w:val="20"/>
    </w:rPr>
  </w:style>
  <w:style w:type="character" w:styleId="Emphasis">
    <w:name w:val="Emphasis"/>
    <w:basedOn w:val="DefaultParagraphFont"/>
    <w:rsid w:val="00201ACB"/>
    <w:rPr>
      <w:i/>
      <w:iCs/>
    </w:rPr>
  </w:style>
  <w:style w:type="paragraph" w:styleId="EndnoteText">
    <w:name w:val="endnote text"/>
    <w:basedOn w:val="Normal"/>
    <w:link w:val="EndnoteTextChar"/>
    <w:rsid w:val="00270608"/>
    <w:rPr>
      <w:sz w:val="20"/>
      <w:szCs w:val="20"/>
    </w:rPr>
  </w:style>
  <w:style w:type="character" w:customStyle="1" w:styleId="EndnoteTextChar">
    <w:name w:val="Endnote Text Char"/>
    <w:basedOn w:val="DefaultParagraphFont"/>
    <w:link w:val="EndnoteText"/>
    <w:rsid w:val="00270608"/>
    <w:rPr>
      <w:rFonts w:ascii="Calibri" w:hAnsi="Calibri"/>
      <w:lang w:val="en-US" w:eastAsia="en-US"/>
    </w:rPr>
  </w:style>
  <w:style w:type="character" w:styleId="EndnoteReference">
    <w:name w:val="endnote reference"/>
    <w:basedOn w:val="DefaultParagraphFont"/>
    <w:rsid w:val="00270608"/>
    <w:rPr>
      <w:vertAlign w:val="superscript"/>
    </w:rPr>
  </w:style>
  <w:style w:type="character" w:customStyle="1" w:styleId="ListParagraphChar">
    <w:name w:val="List Paragraph Char"/>
    <w:aliases w:val="List Paragraph1 Char,Recommendation Char,Body text Char,standard lewis Char,Bullet point Char,List Paragraph11 Char,NAST Quote Char,List Paragraph Number Char,L Char,Bullet Point Char,Bullet- First level Char,Bullets Char,lp1 Char"/>
    <w:link w:val="ListParagraph"/>
    <w:uiPriority w:val="99"/>
    <w:locked/>
    <w:rsid w:val="00201ACB"/>
    <w:rPr>
      <w:rFonts w:ascii="Arial" w:hAnsi="Arial"/>
      <w:sz w:val="22"/>
      <w:szCs w:val="24"/>
      <w:lang w:eastAsia="en-US"/>
    </w:rPr>
  </w:style>
  <w:style w:type="table" w:customStyle="1" w:styleId="PwCTableText">
    <w:name w:val="PwC Table Text"/>
    <w:basedOn w:val="TableNormal"/>
    <w:uiPriority w:val="99"/>
    <w:qFormat/>
    <w:rsid w:val="0023645F"/>
    <w:pPr>
      <w:spacing w:before="60" w:after="60"/>
    </w:pPr>
    <w:rPr>
      <w:rFonts w:ascii="Georgia" w:eastAsiaTheme="minorHAnsi" w:hAnsi="Georgia" w:cstheme="minorBidi"/>
      <w:lang w:val="en-GB" w:eastAsia="en-US"/>
    </w:rPr>
    <w:tblPr>
      <w:tblStyleRowBandSize w:val="1"/>
      <w:tblBorders>
        <w:insideH w:val="dotted" w:sz="4" w:space="0" w:color="1F497D" w:themeColor="text2"/>
      </w:tblBorders>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paragraph" w:customStyle="1" w:styleId="Indent1">
    <w:name w:val="Indent 1"/>
    <w:basedOn w:val="Paragraphtext"/>
    <w:rsid w:val="00CC2A64"/>
    <w:pPr>
      <w:ind w:left="284"/>
    </w:pPr>
  </w:style>
  <w:style w:type="paragraph" w:customStyle="1" w:styleId="Indent2">
    <w:name w:val="Indent 2"/>
    <w:basedOn w:val="Indent1"/>
    <w:rsid w:val="00C72096"/>
    <w:pPr>
      <w:numPr>
        <w:ilvl w:val="2"/>
      </w:numPr>
      <w:ind w:left="284"/>
    </w:pPr>
  </w:style>
  <w:style w:type="paragraph" w:customStyle="1" w:styleId="Indent3">
    <w:name w:val="Indent 3"/>
    <w:basedOn w:val="Indent2"/>
    <w:rsid w:val="00C72096"/>
    <w:pPr>
      <w:numPr>
        <w:ilvl w:val="3"/>
      </w:numPr>
      <w:ind w:left="284"/>
    </w:pPr>
  </w:style>
  <w:style w:type="paragraph" w:customStyle="1" w:styleId="Indent5">
    <w:name w:val="Indent 5"/>
    <w:basedOn w:val="Indent4"/>
    <w:rsid w:val="00C72096"/>
    <w:pPr>
      <w:numPr>
        <w:ilvl w:val="5"/>
      </w:numPr>
      <w:ind w:left="284"/>
    </w:pPr>
  </w:style>
  <w:style w:type="paragraph" w:customStyle="1" w:styleId="Indent6">
    <w:name w:val="Indent 6"/>
    <w:basedOn w:val="Indent5"/>
    <w:rsid w:val="00C72096"/>
    <w:pPr>
      <w:numPr>
        <w:ilvl w:val="6"/>
      </w:numPr>
      <w:ind w:left="284"/>
    </w:pPr>
  </w:style>
  <w:style w:type="paragraph" w:customStyle="1" w:styleId="Indent7">
    <w:name w:val="Indent 7"/>
    <w:basedOn w:val="Indent6"/>
    <w:rsid w:val="00C72096"/>
    <w:pPr>
      <w:numPr>
        <w:ilvl w:val="7"/>
      </w:numPr>
      <w:ind w:left="284"/>
    </w:pPr>
  </w:style>
  <w:style w:type="paragraph" w:customStyle="1" w:styleId="Indent4">
    <w:name w:val="Indent 4"/>
    <w:basedOn w:val="Indent3"/>
    <w:rsid w:val="00C72096"/>
    <w:pPr>
      <w:numPr>
        <w:ilvl w:val="4"/>
      </w:numPr>
      <w:ind w:left="284"/>
    </w:pPr>
  </w:style>
  <w:style w:type="paragraph" w:customStyle="1" w:styleId="MLNormal">
    <w:name w:val="ML Normal"/>
    <w:basedOn w:val="Normal"/>
    <w:link w:val="MLNormalChar"/>
    <w:rsid w:val="00C72096"/>
    <w:pPr>
      <w:numPr>
        <w:numId w:val="2"/>
      </w:numPr>
      <w:kinsoku w:val="0"/>
      <w:overflowPunct w:val="0"/>
      <w:autoSpaceDE w:val="0"/>
      <w:autoSpaceDN w:val="0"/>
      <w:adjustRightInd w:val="0"/>
      <w:snapToGrid w:val="0"/>
      <w:spacing w:after="180"/>
    </w:pPr>
    <w:rPr>
      <w:rFonts w:asciiTheme="minorHAnsi" w:hAnsiTheme="minorHAnsi" w:cs="Arial"/>
      <w:snapToGrid w:val="0"/>
      <w:sz w:val="20"/>
      <w:szCs w:val="20"/>
    </w:rPr>
  </w:style>
  <w:style w:type="character" w:customStyle="1" w:styleId="MLNormalChar">
    <w:name w:val="ML Normal Char"/>
    <w:basedOn w:val="DefaultParagraphFont"/>
    <w:link w:val="MLNormal"/>
    <w:rsid w:val="00C72096"/>
    <w:rPr>
      <w:rFonts w:asciiTheme="minorHAnsi" w:hAnsiTheme="minorHAnsi" w:cs="Arial"/>
      <w:snapToGrid w:val="0"/>
      <w:lang w:eastAsia="en-US"/>
    </w:rPr>
  </w:style>
  <w:style w:type="paragraph" w:customStyle="1" w:styleId="TableBullet1Small">
    <w:name w:val="Table Bullet 1 Small"/>
    <w:basedOn w:val="Normal"/>
    <w:rsid w:val="00C72096"/>
    <w:pPr>
      <w:numPr>
        <w:numId w:val="1"/>
      </w:numPr>
      <w:kinsoku w:val="0"/>
      <w:overflowPunct w:val="0"/>
      <w:autoSpaceDE w:val="0"/>
      <w:autoSpaceDN w:val="0"/>
      <w:adjustRightInd w:val="0"/>
      <w:snapToGrid w:val="0"/>
      <w:spacing w:before="20" w:after="20"/>
    </w:pPr>
    <w:rPr>
      <w:rFonts w:cs="Arial"/>
      <w:snapToGrid w:val="0"/>
      <w:sz w:val="20"/>
      <w:szCs w:val="18"/>
    </w:rPr>
  </w:style>
  <w:style w:type="paragraph" w:customStyle="1" w:styleId="TableBullet3Small">
    <w:name w:val="Table Bullet 3 Small"/>
    <w:basedOn w:val="TableBullet2Small"/>
    <w:rsid w:val="00C72096"/>
    <w:pPr>
      <w:numPr>
        <w:ilvl w:val="2"/>
      </w:numPr>
    </w:pPr>
    <w:rPr>
      <w:szCs w:val="16"/>
    </w:rPr>
  </w:style>
  <w:style w:type="paragraph" w:customStyle="1" w:styleId="TableBullet2Small">
    <w:name w:val="Table Bullet 2 Small"/>
    <w:basedOn w:val="TableBullet1Small"/>
    <w:rsid w:val="00C72096"/>
    <w:pPr>
      <w:numPr>
        <w:ilvl w:val="1"/>
      </w:numPr>
    </w:pPr>
  </w:style>
  <w:style w:type="paragraph" w:customStyle="1" w:styleId="TableColumnHeadingNormal">
    <w:name w:val="Table Column Heading Normal"/>
    <w:basedOn w:val="Normal"/>
    <w:link w:val="TableColumnHeadingNormalChar"/>
    <w:rsid w:val="00DB6D7F"/>
    <w:pPr>
      <w:keepNext/>
      <w:keepLines/>
      <w:kinsoku w:val="0"/>
      <w:overflowPunct w:val="0"/>
      <w:autoSpaceDE w:val="0"/>
      <w:autoSpaceDN w:val="0"/>
      <w:adjustRightInd w:val="0"/>
      <w:snapToGrid w:val="0"/>
      <w:spacing w:before="80" w:after="80"/>
    </w:pPr>
    <w:rPr>
      <w:rFonts w:asciiTheme="minorHAnsi" w:hAnsiTheme="minorHAnsi" w:cs="Arial"/>
      <w:b/>
      <w:snapToGrid w:val="0"/>
      <w:color w:val="FFFFFF" w:themeColor="background1"/>
      <w:sz w:val="20"/>
      <w:szCs w:val="20"/>
    </w:rPr>
  </w:style>
  <w:style w:type="paragraph" w:customStyle="1" w:styleId="Indent8">
    <w:name w:val="Indent 8"/>
    <w:basedOn w:val="Indent7"/>
    <w:rsid w:val="00C72096"/>
    <w:pPr>
      <w:numPr>
        <w:ilvl w:val="8"/>
      </w:numPr>
      <w:ind w:left="284"/>
    </w:pPr>
  </w:style>
  <w:style w:type="table" w:customStyle="1" w:styleId="TableGrid1">
    <w:name w:val="Table Grid1"/>
    <w:basedOn w:val="TableNormal"/>
    <w:next w:val="TableGrid"/>
    <w:uiPriority w:val="59"/>
    <w:rsid w:val="00C72096"/>
    <w:rPr>
      <w:rFonts w:ascii="Georgia" w:eastAsiaTheme="minorHAnsi" w:hAnsi="Georgia" w:cstheme="minorBidi"/>
      <w:sz w:val="22"/>
      <w:szCs w:val="22"/>
      <w:lang w:eastAsia="en-US"/>
    </w:rPr>
    <w:tblPr>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Pr>
    <w:tblStylePr w:type="firstRow">
      <w:tblPr/>
      <w:trPr>
        <w:tblHeader/>
      </w:trPr>
      <w:tcPr>
        <w:shd w:val="clear" w:color="auto" w:fill="1F497D" w:themeFill="text2"/>
      </w:tcPr>
    </w:tblStylePr>
  </w:style>
  <w:style w:type="character" w:customStyle="1" w:styleId="TableColumnHeadingNormalChar">
    <w:name w:val="Table Column Heading Normal Char"/>
    <w:basedOn w:val="DefaultParagraphFont"/>
    <w:link w:val="TableColumnHeadingNormal"/>
    <w:locked/>
    <w:rsid w:val="00DB6D7F"/>
    <w:rPr>
      <w:rFonts w:asciiTheme="minorHAnsi" w:hAnsiTheme="minorHAnsi" w:cs="Arial"/>
      <w:b/>
      <w:snapToGrid w:val="0"/>
      <w:color w:val="FFFFFF" w:themeColor="background1"/>
      <w:lang w:eastAsia="en-US"/>
    </w:rPr>
  </w:style>
  <w:style w:type="table" w:customStyle="1" w:styleId="PHNBlueTable">
    <w:name w:val="PHN Blue Table"/>
    <w:basedOn w:val="PHNPurpleTable"/>
    <w:uiPriority w:val="99"/>
    <w:rsid w:val="0023645F"/>
    <w:tblPr/>
    <w:tblStylePr w:type="firstRow">
      <w:rPr>
        <w:rFonts w:ascii="Arial" w:hAnsi="Arial"/>
        <w:b/>
        <w:color w:val="FFFFFF" w:themeColor="background1"/>
        <w:sz w:val="22"/>
      </w:rPr>
      <w:tblPr/>
      <w:trPr>
        <w:tblHeader/>
      </w:trPr>
      <w:tcPr>
        <w:shd w:val="clear" w:color="auto" w:fill="153A6E"/>
      </w:tcPr>
    </w:tblStylePr>
  </w:style>
  <w:style w:type="paragraph" w:customStyle="1" w:styleId="MLNormalAftertable">
    <w:name w:val="ML Normal_After table"/>
    <w:basedOn w:val="MLNormal"/>
    <w:rsid w:val="003831DE"/>
    <w:pPr>
      <w:numPr>
        <w:numId w:val="0"/>
      </w:numPr>
      <w:spacing w:before="120" w:after="120"/>
      <w:ind w:left="720" w:hanging="360"/>
    </w:pPr>
    <w:rPr>
      <w:lang w:val="en-GB"/>
    </w:rPr>
  </w:style>
  <w:style w:type="character" w:styleId="FollowedHyperlink">
    <w:name w:val="FollowedHyperlink"/>
    <w:basedOn w:val="DefaultParagraphFont"/>
    <w:rsid w:val="00201ACB"/>
    <w:rPr>
      <w:color w:val="800080" w:themeColor="followedHyperlink"/>
      <w:u w:val="single"/>
    </w:rPr>
  </w:style>
  <w:style w:type="character" w:customStyle="1" w:styleId="Heading7Char">
    <w:name w:val="Heading 7 Char"/>
    <w:basedOn w:val="DefaultParagraphFont"/>
    <w:link w:val="Heading7"/>
    <w:uiPriority w:val="9"/>
    <w:semiHidden/>
    <w:rsid w:val="00201ACB"/>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01AC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01ACB"/>
    <w:rPr>
      <w:rFonts w:asciiTheme="majorHAnsi" w:eastAsiaTheme="majorEastAsia" w:hAnsiTheme="majorHAnsi" w:cstheme="majorBidi"/>
      <w:i/>
      <w:iCs/>
      <w:color w:val="404040" w:themeColor="text1" w:themeTint="BF"/>
      <w:lang w:eastAsia="en-US"/>
    </w:rPr>
  </w:style>
  <w:style w:type="paragraph" w:styleId="Title">
    <w:name w:val="Title"/>
    <w:next w:val="Normal"/>
    <w:link w:val="TitleChar"/>
    <w:qFormat/>
    <w:rsid w:val="00201ACB"/>
    <w:pPr>
      <w:tabs>
        <w:tab w:val="left" w:pos="6792"/>
      </w:tabs>
      <w:spacing w:before="2040" w:after="480"/>
      <w:contextualSpacing/>
    </w:pPr>
    <w:rPr>
      <w:rFonts w:ascii="Arial" w:eastAsiaTheme="majorEastAsia" w:hAnsi="Arial" w:cstheme="majorBidi"/>
      <w:b/>
      <w:color w:val="153A6E"/>
      <w:kern w:val="28"/>
      <w:sz w:val="80"/>
      <w:szCs w:val="80"/>
      <w:lang w:eastAsia="en-US"/>
    </w:rPr>
  </w:style>
  <w:style w:type="character" w:customStyle="1" w:styleId="TitleChar">
    <w:name w:val="Title Char"/>
    <w:basedOn w:val="DefaultParagraphFont"/>
    <w:link w:val="Title"/>
    <w:rsid w:val="00201ACB"/>
    <w:rPr>
      <w:rFonts w:ascii="Arial" w:eastAsiaTheme="majorEastAsia" w:hAnsi="Arial" w:cstheme="majorBidi"/>
      <w:b/>
      <w:color w:val="153A6E"/>
      <w:kern w:val="28"/>
      <w:sz w:val="80"/>
      <w:szCs w:val="80"/>
      <w:lang w:eastAsia="en-US"/>
    </w:rPr>
  </w:style>
  <w:style w:type="paragraph" w:styleId="TOC5">
    <w:name w:val="toc 5"/>
    <w:basedOn w:val="Normal"/>
    <w:next w:val="Normal"/>
    <w:autoRedefine/>
    <w:uiPriority w:val="39"/>
    <w:rsid w:val="006C0FD3"/>
    <w:pPr>
      <w:spacing w:after="100"/>
      <w:ind w:left="880"/>
    </w:pPr>
  </w:style>
  <w:style w:type="numbering" w:customStyle="1" w:styleId="List9">
    <w:name w:val="List 9"/>
    <w:basedOn w:val="NoList"/>
    <w:rsid w:val="005A06FB"/>
    <w:pPr>
      <w:numPr>
        <w:numId w:val="3"/>
      </w:numPr>
    </w:pPr>
  </w:style>
  <w:style w:type="numbering" w:customStyle="1" w:styleId="Bullet">
    <w:name w:val="Bullet"/>
    <w:rsid w:val="005A06FB"/>
    <w:pPr>
      <w:numPr>
        <w:numId w:val="4"/>
      </w:numPr>
    </w:pPr>
  </w:style>
  <w:style w:type="numbering" w:customStyle="1" w:styleId="List18">
    <w:name w:val="List 18"/>
    <w:basedOn w:val="NoList"/>
    <w:rsid w:val="005A06FB"/>
    <w:pPr>
      <w:numPr>
        <w:numId w:val="5"/>
      </w:numPr>
    </w:pPr>
  </w:style>
  <w:style w:type="character" w:styleId="CommentReference">
    <w:name w:val="annotation reference"/>
    <w:basedOn w:val="DefaultParagraphFont"/>
    <w:rsid w:val="00826D8D"/>
    <w:rPr>
      <w:sz w:val="16"/>
      <w:szCs w:val="16"/>
    </w:rPr>
  </w:style>
  <w:style w:type="paragraph" w:styleId="CommentText">
    <w:name w:val="annotation text"/>
    <w:basedOn w:val="Normal"/>
    <w:link w:val="CommentTextChar"/>
    <w:rsid w:val="00826D8D"/>
    <w:rPr>
      <w:sz w:val="20"/>
      <w:szCs w:val="20"/>
    </w:rPr>
  </w:style>
  <w:style w:type="character" w:customStyle="1" w:styleId="CommentTextChar">
    <w:name w:val="Comment Text Char"/>
    <w:basedOn w:val="DefaultParagraphFont"/>
    <w:link w:val="CommentText"/>
    <w:rsid w:val="00826D8D"/>
    <w:rPr>
      <w:rFonts w:ascii="Calibri" w:hAnsi="Calibri"/>
      <w:lang w:val="en-US" w:eastAsia="en-US"/>
    </w:rPr>
  </w:style>
  <w:style w:type="paragraph" w:styleId="CommentSubject">
    <w:name w:val="annotation subject"/>
    <w:basedOn w:val="CommentText"/>
    <w:next w:val="CommentText"/>
    <w:link w:val="CommentSubjectChar"/>
    <w:rsid w:val="00826D8D"/>
    <w:rPr>
      <w:b/>
      <w:bCs/>
    </w:rPr>
  </w:style>
  <w:style w:type="character" w:customStyle="1" w:styleId="CommentSubjectChar">
    <w:name w:val="Comment Subject Char"/>
    <w:basedOn w:val="CommentTextChar"/>
    <w:link w:val="CommentSubject"/>
    <w:rsid w:val="00826D8D"/>
    <w:rPr>
      <w:rFonts w:ascii="Calibri" w:hAnsi="Calibri"/>
      <w:b/>
      <w:bCs/>
      <w:lang w:val="en-US" w:eastAsia="en-US"/>
    </w:rPr>
  </w:style>
  <w:style w:type="table" w:customStyle="1" w:styleId="TableGrid2">
    <w:name w:val="Table Grid2"/>
    <w:basedOn w:val="TableNormal"/>
    <w:next w:val="TableGrid"/>
    <w:uiPriority w:val="59"/>
    <w:rsid w:val="00DF35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201A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01ACB"/>
    <w:rPr>
      <w:rFonts w:ascii="Arial" w:hAnsi="Arial"/>
      <w:b/>
      <w:bCs/>
      <w:i/>
      <w:iCs/>
      <w:color w:val="4F81BD" w:themeColor="accent1"/>
      <w:sz w:val="22"/>
      <w:szCs w:val="24"/>
      <w:lang w:eastAsia="en-US"/>
    </w:rPr>
  </w:style>
  <w:style w:type="character" w:customStyle="1" w:styleId="Heading4Char">
    <w:name w:val="Heading 4 Char"/>
    <w:basedOn w:val="DefaultParagraphFont"/>
    <w:link w:val="Heading4"/>
    <w:uiPriority w:val="9"/>
    <w:rsid w:val="00C94911"/>
    <w:rPr>
      <w:rFonts w:ascii="Arial" w:hAnsi="Arial"/>
      <w:b/>
      <w:bCs/>
      <w:color w:val="153A6E"/>
      <w:sz w:val="24"/>
      <w:szCs w:val="28"/>
      <w:lang w:eastAsia="en-US"/>
    </w:rPr>
  </w:style>
  <w:style w:type="paragraph" w:styleId="Caption">
    <w:name w:val="caption"/>
    <w:basedOn w:val="Normal"/>
    <w:next w:val="Normal"/>
    <w:unhideWhenUsed/>
    <w:qFormat/>
    <w:rsid w:val="00E368D8"/>
    <w:pPr>
      <w:keepNext/>
      <w:keepLines/>
      <w:spacing w:after="200"/>
    </w:pPr>
    <w:rPr>
      <w:b/>
      <w:bCs/>
      <w:color w:val="000000" w:themeColor="text1"/>
      <w:szCs w:val="18"/>
    </w:rPr>
  </w:style>
  <w:style w:type="paragraph" w:styleId="TableofFigures">
    <w:name w:val="table of figures"/>
    <w:basedOn w:val="Normal"/>
    <w:next w:val="Normal"/>
    <w:uiPriority w:val="99"/>
    <w:rsid w:val="00201ACB"/>
  </w:style>
  <w:style w:type="paragraph" w:styleId="Revision">
    <w:name w:val="Revision"/>
    <w:hidden/>
    <w:uiPriority w:val="99"/>
    <w:semiHidden/>
    <w:rsid w:val="009E019A"/>
    <w:rPr>
      <w:rFonts w:ascii="Calibri" w:hAnsi="Calibri"/>
      <w:sz w:val="22"/>
      <w:szCs w:val="24"/>
      <w:lang w:eastAsia="en-US"/>
    </w:rPr>
  </w:style>
  <w:style w:type="paragraph" w:customStyle="1" w:styleId="Sub-heading">
    <w:name w:val="Sub-heading"/>
    <w:basedOn w:val="Normal"/>
    <w:link w:val="Sub-headingChar"/>
    <w:autoRedefine/>
    <w:qFormat/>
    <w:rsid w:val="00094CA2"/>
    <w:pPr>
      <w:keepNext/>
      <w:spacing w:after="60"/>
    </w:pPr>
    <w:rPr>
      <w:rFonts w:cs="Calibri"/>
      <w:b/>
      <w:i/>
      <w:color w:val="003D69"/>
      <w:szCs w:val="22"/>
      <w:lang w:eastAsia="en-AU"/>
    </w:rPr>
  </w:style>
  <w:style w:type="paragraph" w:customStyle="1" w:styleId="Appendicessubheadings">
    <w:name w:val="Appendices sub headings"/>
    <w:basedOn w:val="Heading3"/>
    <w:link w:val="AppendicessubheadingsChar"/>
    <w:qFormat/>
    <w:rsid w:val="00A81E0B"/>
    <w:rPr>
      <w:color w:val="003D69"/>
    </w:rPr>
  </w:style>
  <w:style w:type="character" w:customStyle="1" w:styleId="Sub-headingChar">
    <w:name w:val="Sub-heading Char"/>
    <w:basedOn w:val="DefaultParagraphFont"/>
    <w:link w:val="Sub-heading"/>
    <w:rsid w:val="00094CA2"/>
    <w:rPr>
      <w:rFonts w:ascii="Calibri" w:hAnsi="Calibri" w:cs="Calibri"/>
      <w:b/>
      <w:i/>
      <w:color w:val="003D69"/>
      <w:sz w:val="22"/>
      <w:szCs w:val="22"/>
    </w:rPr>
  </w:style>
  <w:style w:type="paragraph" w:styleId="TOCHeading">
    <w:name w:val="TOC Heading"/>
    <w:basedOn w:val="Heading1"/>
    <w:next w:val="Normal"/>
    <w:uiPriority w:val="39"/>
    <w:unhideWhenUsed/>
    <w:qFormat/>
    <w:rsid w:val="00201ACB"/>
    <w:pPr>
      <w:keepLines/>
      <w:spacing w:before="480" w:after="0" w:line="276" w:lineRule="auto"/>
      <w:ind w:left="431" w:hanging="431"/>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AppendicessubheadingsChar">
    <w:name w:val="Appendices sub headings Char"/>
    <w:basedOn w:val="Heading3Char"/>
    <w:link w:val="Appendicessubheadings"/>
    <w:rsid w:val="00A81E0B"/>
    <w:rPr>
      <w:rFonts w:ascii="Arial" w:hAnsi="Arial" w:cs="Arial"/>
      <w:b/>
      <w:iCs/>
      <w:color w:val="003D69"/>
      <w:sz w:val="28"/>
      <w:szCs w:val="28"/>
      <w:lang w:eastAsia="en-US"/>
    </w:rPr>
  </w:style>
  <w:style w:type="paragraph" w:styleId="BodyText">
    <w:name w:val="Body Text"/>
    <w:basedOn w:val="Normal"/>
    <w:link w:val="BodyTextChar"/>
    <w:qFormat/>
    <w:rsid w:val="00201ACB"/>
    <w:pPr>
      <w:spacing w:after="120"/>
    </w:pPr>
  </w:style>
  <w:style w:type="character" w:customStyle="1" w:styleId="BodyTextChar">
    <w:name w:val="Body Text Char"/>
    <w:basedOn w:val="DefaultParagraphFont"/>
    <w:link w:val="BodyText"/>
    <w:rsid w:val="00201ACB"/>
    <w:rPr>
      <w:rFonts w:ascii="Arial" w:hAnsi="Arial"/>
      <w:sz w:val="22"/>
      <w:szCs w:val="24"/>
      <w:lang w:eastAsia="en-US"/>
    </w:rPr>
  </w:style>
  <w:style w:type="table" w:customStyle="1" w:styleId="DefenceTable">
    <w:name w:val="Defence Table"/>
    <w:basedOn w:val="TableNormal"/>
    <w:rsid w:val="000F489D"/>
    <w:rPr>
      <w:rFonts w:ascii="Georgia" w:hAnsi="Georgia"/>
    </w:rPr>
    <w:tblPr>
      <w:tblStyleRowBandSize w:val="1"/>
      <w:tblStyleColBandSize w:val="1"/>
      <w:tblBorders>
        <w:bottom w:val="single" w:sz="4" w:space="0" w:color="000000" w:themeColor="text1"/>
        <w:insideH w:val="dotted" w:sz="6" w:space="0" w:color="000000" w:themeColor="text1"/>
      </w:tblBorders>
    </w:tblPr>
    <w:tcPr>
      <w:shd w:val="clear" w:color="auto" w:fill="auto"/>
      <w:tcMar>
        <w:top w:w="0" w:type="dxa"/>
        <w:left w:w="108" w:type="dxa"/>
        <w:bottom w:w="0" w:type="dxa"/>
        <w:right w:w="108" w:type="dxa"/>
      </w:tcMar>
    </w:tcPr>
    <w:tblStylePr w:type="firstRow">
      <w:pPr>
        <w:jc w:val="left"/>
      </w:pPr>
      <w:rPr>
        <w:rFonts w:ascii="Georgia" w:hAnsi="Georgia"/>
        <w:b w:val="0"/>
        <w:color w:val="auto"/>
      </w:rPr>
      <w:tblPr/>
      <w:trPr>
        <w:tblHeader/>
      </w:trPr>
      <w:tcPr>
        <w:shd w:val="clear" w:color="auto" w:fill="000000" w:themeFill="text1"/>
        <w:vAlign w:val="bottom"/>
      </w:tcPr>
    </w:tblStylePr>
    <w:tblStylePr w:type="lastRow">
      <w:rPr>
        <w:color w:val="auto"/>
      </w:rPr>
      <w:tblPr/>
      <w:tcPr>
        <w:tcBorders>
          <w:top w:val="single" w:sz="4" w:space="0" w:color="000000" w:themeColor="text1"/>
        </w:tcBorders>
        <w:shd w:val="clear" w:color="auto" w:fill="auto"/>
      </w:tcPr>
    </w:tblStylePr>
    <w:tblStylePr w:type="nwCell">
      <w:pPr>
        <w:jc w:val="left"/>
      </w:pPr>
      <w:tblPr/>
      <w:tcPr>
        <w:vAlign w:val="bottom"/>
      </w:tcPr>
    </w:tblStylePr>
  </w:style>
  <w:style w:type="paragraph" w:customStyle="1" w:styleId="Subheading">
    <w:name w:val="Sub heading"/>
    <w:basedOn w:val="Normal"/>
    <w:next w:val="Body"/>
    <w:autoRedefine/>
    <w:qFormat/>
    <w:rsid w:val="00D24FAE"/>
    <w:pPr>
      <w:keepNext/>
      <w:spacing w:before="240" w:after="80"/>
    </w:pPr>
    <w:rPr>
      <w:b/>
      <w:color w:val="003D69"/>
      <w:sz w:val="24"/>
    </w:rPr>
  </w:style>
  <w:style w:type="paragraph" w:customStyle="1" w:styleId="Body">
    <w:name w:val="Body"/>
    <w:basedOn w:val="Normal"/>
    <w:qFormat/>
    <w:rsid w:val="005A2B20"/>
    <w:pPr>
      <w:spacing w:after="180"/>
    </w:pPr>
    <w:rPr>
      <w:color w:val="003D69"/>
    </w:rPr>
  </w:style>
  <w:style w:type="paragraph" w:customStyle="1" w:styleId="Subsubheading">
    <w:name w:val="Sub sub heading"/>
    <w:basedOn w:val="Body"/>
    <w:next w:val="Body"/>
    <w:qFormat/>
    <w:rsid w:val="00125972"/>
    <w:pPr>
      <w:keepNext/>
      <w:spacing w:after="80"/>
    </w:pPr>
    <w:rPr>
      <w:i/>
    </w:rPr>
  </w:style>
  <w:style w:type="paragraph" w:styleId="DocumentMap">
    <w:name w:val="Document Map"/>
    <w:basedOn w:val="Normal"/>
    <w:link w:val="DocumentMapChar"/>
    <w:semiHidden/>
    <w:unhideWhenUsed/>
    <w:rsid w:val="00B43597"/>
    <w:rPr>
      <w:rFonts w:ascii="Times New Roman" w:hAnsi="Times New Roman"/>
      <w:sz w:val="24"/>
    </w:rPr>
  </w:style>
  <w:style w:type="character" w:customStyle="1" w:styleId="DocumentMapChar">
    <w:name w:val="Document Map Char"/>
    <w:basedOn w:val="DefaultParagraphFont"/>
    <w:link w:val="DocumentMap"/>
    <w:semiHidden/>
    <w:rsid w:val="00B43597"/>
    <w:rPr>
      <w:sz w:val="24"/>
      <w:szCs w:val="24"/>
      <w:lang w:eastAsia="en-US"/>
    </w:rPr>
  </w:style>
  <w:style w:type="paragraph" w:customStyle="1" w:styleId="Tabletextnormal">
    <w:name w:val="Table text normal"/>
    <w:basedOn w:val="Normal"/>
    <w:rsid w:val="0023645F"/>
    <w:pPr>
      <w:spacing w:before="80" w:after="80"/>
    </w:pPr>
    <w:rPr>
      <w:rFonts w:asciiTheme="minorHAnsi" w:hAnsiTheme="minorHAnsi"/>
      <w:color w:val="000000" w:themeColor="text1"/>
      <w:szCs w:val="22"/>
      <w:lang w:val="en-GB"/>
    </w:rPr>
  </w:style>
  <w:style w:type="character" w:styleId="BookTitle">
    <w:name w:val="Book Title"/>
    <w:basedOn w:val="DefaultParagraphFont"/>
    <w:uiPriority w:val="33"/>
    <w:rsid w:val="00201ACB"/>
    <w:rPr>
      <w:b/>
      <w:bCs/>
      <w:smallCaps/>
      <w:spacing w:val="5"/>
    </w:rPr>
  </w:style>
  <w:style w:type="paragraph" w:customStyle="1" w:styleId="FigureTitle">
    <w:name w:val="Figure Title"/>
    <w:next w:val="Normal"/>
    <w:qFormat/>
    <w:rsid w:val="00201ACB"/>
    <w:pPr>
      <w:tabs>
        <w:tab w:val="num" w:pos="1080"/>
      </w:tabs>
      <w:spacing w:before="360" w:after="120" w:line="240" w:lineRule="exact"/>
    </w:pPr>
    <w:rPr>
      <w:rFonts w:ascii="Arial" w:hAnsi="Arial"/>
      <w:b/>
      <w:color w:val="000000" w:themeColor="text1"/>
      <w:sz w:val="22"/>
      <w:szCs w:val="24"/>
      <w:lang w:eastAsia="en-US"/>
    </w:rPr>
  </w:style>
  <w:style w:type="paragraph" w:customStyle="1" w:styleId="Footertext">
    <w:name w:val="Footer text"/>
    <w:rsid w:val="00201ACB"/>
    <w:rPr>
      <w:rFonts w:ascii="Arial" w:hAnsi="Arial" w:cs="Arial"/>
      <w:szCs w:val="22"/>
      <w:lang w:eastAsia="en-US"/>
    </w:rPr>
  </w:style>
  <w:style w:type="paragraph" w:customStyle="1" w:styleId="headertext">
    <w:name w:val="header text"/>
    <w:rsid w:val="00201ACB"/>
    <w:rPr>
      <w:rFonts w:ascii="Arial" w:hAnsi="Arial"/>
      <w:szCs w:val="24"/>
      <w:lang w:eastAsia="en-US"/>
    </w:rPr>
  </w:style>
  <w:style w:type="character" w:customStyle="1" w:styleId="Heading1Char">
    <w:name w:val="Heading 1 Char"/>
    <w:basedOn w:val="DefaultParagraphFont"/>
    <w:link w:val="Heading1"/>
    <w:rsid w:val="00201ACB"/>
    <w:rPr>
      <w:rFonts w:ascii="Arial" w:hAnsi="Arial" w:cs="Arial"/>
      <w:b/>
      <w:bCs/>
      <w:color w:val="153A6E"/>
      <w:kern w:val="28"/>
      <w:sz w:val="36"/>
      <w:szCs w:val="32"/>
      <w:lang w:eastAsia="en-US"/>
    </w:rPr>
  </w:style>
  <w:style w:type="paragraph" w:customStyle="1" w:styleId="Heading1Orange">
    <w:name w:val="Heading 1 Orange"/>
    <w:basedOn w:val="Heading1"/>
    <w:rsid w:val="00201ACB"/>
    <w:pPr>
      <w:ind w:left="431" w:hanging="431"/>
    </w:pPr>
    <w:rPr>
      <w:color w:val="D72F0D"/>
    </w:rPr>
  </w:style>
  <w:style w:type="paragraph" w:customStyle="1" w:styleId="Heading1Purple">
    <w:name w:val="Heading 1 Purple"/>
    <w:basedOn w:val="Heading1"/>
    <w:next w:val="Normal"/>
    <w:rsid w:val="00201ACB"/>
    <w:pPr>
      <w:ind w:left="431" w:hanging="431"/>
    </w:pPr>
    <w:rPr>
      <w:color w:val="8D188D"/>
    </w:rPr>
  </w:style>
  <w:style w:type="paragraph" w:customStyle="1" w:styleId="Heading2Orange">
    <w:name w:val="Heading 2 Orange"/>
    <w:basedOn w:val="Heading2"/>
    <w:next w:val="Normal"/>
    <w:rsid w:val="00201ACB"/>
    <w:pPr>
      <w:ind w:left="578" w:hanging="578"/>
    </w:pPr>
  </w:style>
  <w:style w:type="paragraph" w:customStyle="1" w:styleId="Heading2Purple">
    <w:name w:val="Heading 2 Purple"/>
    <w:basedOn w:val="Heading2"/>
    <w:next w:val="Normal"/>
    <w:qFormat/>
    <w:rsid w:val="00201ACB"/>
    <w:pPr>
      <w:spacing w:before="180"/>
      <w:ind w:left="578" w:hanging="578"/>
    </w:pPr>
    <w:rPr>
      <w:color w:val="8D188D"/>
    </w:rPr>
  </w:style>
  <w:style w:type="character" w:styleId="IntenseEmphasis">
    <w:name w:val="Intense Emphasis"/>
    <w:basedOn w:val="DefaultParagraphFont"/>
    <w:uiPriority w:val="21"/>
    <w:rsid w:val="00201ACB"/>
    <w:rPr>
      <w:b/>
      <w:bCs/>
      <w:i/>
      <w:iCs/>
      <w:color w:val="4F81BD" w:themeColor="accent1"/>
    </w:rPr>
  </w:style>
  <w:style w:type="character" w:styleId="IntenseReference">
    <w:name w:val="Intense Reference"/>
    <w:basedOn w:val="DefaultParagraphFont"/>
    <w:uiPriority w:val="32"/>
    <w:rsid w:val="00201ACB"/>
    <w:rPr>
      <w:b/>
      <w:bCs/>
      <w:i/>
      <w:smallCaps/>
      <w:color w:val="C0504D" w:themeColor="accent2"/>
      <w:spacing w:val="5"/>
      <w:u w:val="none"/>
    </w:rPr>
  </w:style>
  <w:style w:type="paragraph" w:styleId="ListNumber2">
    <w:name w:val="List Number 2"/>
    <w:aliases w:val="List Second Level"/>
    <w:basedOn w:val="ListBullet"/>
    <w:qFormat/>
    <w:rsid w:val="00201ACB"/>
    <w:pPr>
      <w:ind w:left="568" w:hanging="284"/>
    </w:pPr>
  </w:style>
  <w:style w:type="paragraph" w:styleId="ListNumber3">
    <w:name w:val="List Number 3"/>
    <w:aliases w:val="List Third Level"/>
    <w:basedOn w:val="ListNumber2"/>
    <w:qFormat/>
    <w:rsid w:val="00201ACB"/>
    <w:pPr>
      <w:numPr>
        <w:numId w:val="6"/>
      </w:numPr>
      <w:tabs>
        <w:tab w:val="num" w:pos="1440"/>
      </w:tabs>
      <w:spacing w:line="276" w:lineRule="auto"/>
    </w:pPr>
    <w:rPr>
      <w:rFonts w:eastAsia="Cambria"/>
      <w:color w:val="auto"/>
      <w:szCs w:val="22"/>
      <w:lang w:val="en-US"/>
    </w:rPr>
  </w:style>
  <w:style w:type="paragraph" w:styleId="NoSpacing">
    <w:name w:val="No Spacing"/>
    <w:uiPriority w:val="1"/>
    <w:rsid w:val="00201ACB"/>
    <w:rPr>
      <w:sz w:val="24"/>
      <w:szCs w:val="24"/>
      <w:lang w:eastAsia="en-US"/>
    </w:rPr>
  </w:style>
  <w:style w:type="paragraph" w:styleId="NormalWeb">
    <w:name w:val="Normal (Web)"/>
    <w:basedOn w:val="Normal"/>
    <w:uiPriority w:val="99"/>
    <w:unhideWhenUsed/>
    <w:rsid w:val="00201ACB"/>
    <w:pPr>
      <w:spacing w:before="100" w:beforeAutospacing="1" w:after="100" w:afterAutospacing="1"/>
    </w:pPr>
    <w:rPr>
      <w:rFonts w:ascii="Times New Roman" w:hAnsi="Times New Roman"/>
      <w:sz w:val="24"/>
      <w:lang w:eastAsia="en-AU"/>
    </w:rPr>
  </w:style>
  <w:style w:type="paragraph" w:customStyle="1" w:styleId="Paragraphtext">
    <w:name w:val="Paragraph text"/>
    <w:basedOn w:val="Normal"/>
    <w:qFormat/>
    <w:rsid w:val="00CC2A64"/>
    <w:pPr>
      <w:spacing w:before="240" w:after="240" w:line="240" w:lineRule="atLeast"/>
    </w:pPr>
    <w:rPr>
      <w:color w:val="000000" w:themeColor="text1"/>
    </w:rPr>
  </w:style>
  <w:style w:type="table" w:customStyle="1" w:styleId="PGNGreyTable">
    <w:name w:val="PGN Grey Table"/>
    <w:basedOn w:val="TableNormal"/>
    <w:uiPriority w:val="99"/>
    <w:rsid w:val="00201ACB"/>
    <w:pPr>
      <w:spacing w:before="120" w:after="120"/>
    </w:pPr>
    <w:rPr>
      <w:rFonts w:ascii="Arial" w:hAnsi="Arial"/>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customStyle="1" w:styleId="PHNGreyTableAlt2">
    <w:name w:val="PHN Grey Table Alt 2"/>
    <w:basedOn w:val="TableNormal"/>
    <w:uiPriority w:val="99"/>
    <w:rsid w:val="00201ACB"/>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table" w:customStyle="1" w:styleId="PHNPurpleTable">
    <w:name w:val="PHN Purple Table"/>
    <w:basedOn w:val="TableNormal"/>
    <w:uiPriority w:val="99"/>
    <w:rsid w:val="00201ACB"/>
    <w:pPr>
      <w:spacing w:before="120" w:after="120"/>
    </w:pPr>
    <w:rPr>
      <w:rFonts w:ascii="Arial" w:hAnsi="Arial"/>
      <w:color w:val="000000" w:themeColor="text1"/>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HNPurpleTableAlt2">
    <w:name w:val="PHN Purple Table Alt 2"/>
    <w:basedOn w:val="TableNormal"/>
    <w:uiPriority w:val="99"/>
    <w:rsid w:val="00201ACB"/>
    <w:pPr>
      <w:spacing w:before="120" w:after="120"/>
    </w:pPr>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TableOrange">
    <w:name w:val="PHN Table Orange"/>
    <w:basedOn w:val="TableNormal"/>
    <w:uiPriority w:val="99"/>
    <w:rsid w:val="00201ACB"/>
    <w:pPr>
      <w:spacing w:before="120" w:after="120"/>
    </w:pPr>
    <w:rPr>
      <w:rFonts w:ascii="Arial" w:hAnsi="Arial"/>
      <w:sz w:val="22"/>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Tealtable">
    <w:name w:val="PHN Teal table"/>
    <w:basedOn w:val="TableNormal"/>
    <w:uiPriority w:val="99"/>
    <w:rsid w:val="00201ACB"/>
    <w:pPr>
      <w:spacing w:before="120" w:after="120"/>
    </w:pPr>
    <w:rPr>
      <w:rFonts w:ascii="Arial" w:hAnsi="Arial"/>
      <w:sz w:val="22"/>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paragraph" w:styleId="Quote">
    <w:name w:val="Quote"/>
    <w:next w:val="Normal"/>
    <w:link w:val="QuoteChar"/>
    <w:uiPriority w:val="29"/>
    <w:qFormat/>
    <w:rsid w:val="00201ACB"/>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201ACB"/>
    <w:rPr>
      <w:rFonts w:ascii="Arial" w:hAnsi="Arial"/>
      <w:i/>
      <w:iCs/>
      <w:color w:val="000000" w:themeColor="text1"/>
      <w:sz w:val="22"/>
      <w:szCs w:val="24"/>
      <w:lang w:eastAsia="en-US"/>
    </w:rPr>
  </w:style>
  <w:style w:type="paragraph" w:customStyle="1" w:styleId="SectionHeading">
    <w:name w:val="Section Heading"/>
    <w:basedOn w:val="Heading1"/>
    <w:next w:val="Paragraphtext"/>
    <w:qFormat/>
    <w:rsid w:val="00201ACB"/>
    <w:pPr>
      <w:numPr>
        <w:numId w:val="0"/>
      </w:numPr>
      <w:spacing w:before="360"/>
    </w:pPr>
  </w:style>
  <w:style w:type="paragraph" w:styleId="Subtitle">
    <w:name w:val="Subtitle"/>
    <w:next w:val="Normal"/>
    <w:link w:val="SubtitleChar"/>
    <w:qFormat/>
    <w:rsid w:val="00201ACB"/>
    <w:pPr>
      <w:numPr>
        <w:ilvl w:val="1"/>
      </w:numPr>
      <w:spacing w:before="360" w:after="60"/>
      <w:contextualSpacing/>
    </w:pPr>
    <w:rPr>
      <w:rFonts w:ascii="Arial" w:eastAsiaTheme="majorEastAsia" w:hAnsi="Arial" w:cstheme="majorBidi"/>
      <w:iCs/>
      <w:color w:val="32373A"/>
      <w:spacing w:val="15"/>
      <w:sz w:val="36"/>
      <w:szCs w:val="24"/>
      <w:lang w:eastAsia="en-US"/>
    </w:rPr>
  </w:style>
  <w:style w:type="character" w:customStyle="1" w:styleId="SubtitleChar">
    <w:name w:val="Subtitle Char"/>
    <w:basedOn w:val="DefaultParagraphFont"/>
    <w:link w:val="Subtitle"/>
    <w:rsid w:val="00201ACB"/>
    <w:rPr>
      <w:rFonts w:ascii="Arial" w:eastAsiaTheme="majorEastAsia" w:hAnsi="Arial" w:cstheme="majorBidi"/>
      <w:iCs/>
      <w:color w:val="32373A"/>
      <w:spacing w:val="15"/>
      <w:sz w:val="36"/>
      <w:szCs w:val="24"/>
      <w:lang w:eastAsia="en-US"/>
    </w:rPr>
  </w:style>
  <w:style w:type="character" w:styleId="SubtleEmphasis">
    <w:name w:val="Subtle Emphasis"/>
    <w:basedOn w:val="DefaultParagraphFont"/>
    <w:uiPriority w:val="19"/>
    <w:rsid w:val="00201ACB"/>
    <w:rPr>
      <w:i/>
      <w:iCs/>
      <w:color w:val="808080" w:themeColor="text1" w:themeTint="7F"/>
    </w:rPr>
  </w:style>
  <w:style w:type="character" w:styleId="SubtleReference">
    <w:name w:val="Subtle Reference"/>
    <w:basedOn w:val="DefaultParagraphFont"/>
    <w:uiPriority w:val="31"/>
    <w:rsid w:val="00201ACB"/>
    <w:rPr>
      <w:smallCaps/>
      <w:color w:val="C0504D" w:themeColor="accent2"/>
      <w:u w:val="single"/>
    </w:rPr>
  </w:style>
  <w:style w:type="paragraph" w:customStyle="1" w:styleId="TableHeader">
    <w:name w:val="Table Header"/>
    <w:basedOn w:val="Normal"/>
    <w:next w:val="Normal"/>
    <w:qFormat/>
    <w:rsid w:val="00201ACB"/>
    <w:pPr>
      <w:spacing w:before="80" w:after="80"/>
    </w:pPr>
    <w:rPr>
      <w:rFonts w:eastAsia="Cambria"/>
      <w:b/>
      <w:color w:val="000000" w:themeColor="text1"/>
      <w:szCs w:val="22"/>
      <w:lang w:val="en-US"/>
    </w:rPr>
  </w:style>
  <w:style w:type="paragraph" w:customStyle="1" w:styleId="TableHeaderteal">
    <w:name w:val="Table Header teal"/>
    <w:qFormat/>
    <w:rsid w:val="00201ACB"/>
    <w:rPr>
      <w:rFonts w:ascii="Arial" w:eastAsia="Cambria" w:hAnsi="Arial"/>
      <w:b/>
      <w:color w:val="000000" w:themeColor="text1"/>
      <w:sz w:val="22"/>
      <w:szCs w:val="22"/>
      <w:lang w:val="en-US" w:eastAsia="en-US"/>
    </w:rPr>
  </w:style>
  <w:style w:type="paragraph" w:customStyle="1" w:styleId="TableHeaderWhite">
    <w:name w:val="Table Header White"/>
    <w:qFormat/>
    <w:rsid w:val="0023645F"/>
    <w:pPr>
      <w:spacing w:before="80" w:after="80"/>
    </w:pPr>
    <w:rPr>
      <w:rFonts w:ascii="Arial" w:eastAsia="Cambria" w:hAnsi="Arial"/>
      <w:color w:val="FFFFFF" w:themeColor="background1"/>
      <w:sz w:val="22"/>
      <w:szCs w:val="22"/>
      <w:lang w:val="en-US" w:eastAsia="en-US"/>
    </w:rPr>
  </w:style>
  <w:style w:type="paragraph" w:customStyle="1" w:styleId="Tablelistbullet">
    <w:name w:val="Table list bullet"/>
    <w:basedOn w:val="Normal"/>
    <w:qFormat/>
    <w:rsid w:val="00CC2A64"/>
    <w:pPr>
      <w:numPr>
        <w:numId w:val="7"/>
      </w:numPr>
      <w:spacing w:before="80" w:after="80"/>
      <w:ind w:left="357" w:hanging="357"/>
    </w:pPr>
    <w:rPr>
      <w:color w:val="000000" w:themeColor="text1"/>
      <w:szCs w:val="20"/>
    </w:rPr>
  </w:style>
  <w:style w:type="paragraph" w:customStyle="1" w:styleId="Tablelistnumber">
    <w:name w:val="Table list number"/>
    <w:basedOn w:val="Normal"/>
    <w:qFormat/>
    <w:rsid w:val="00201ACB"/>
    <w:pPr>
      <w:numPr>
        <w:numId w:val="8"/>
      </w:numPr>
      <w:spacing w:before="80" w:after="80"/>
    </w:pPr>
    <w:rPr>
      <w:bCs/>
      <w:color w:val="000000" w:themeColor="text1"/>
      <w14:numSpacing w14:val="proportional"/>
    </w:rPr>
  </w:style>
  <w:style w:type="paragraph" w:customStyle="1" w:styleId="MajorHeading">
    <w:name w:val="Major Heading"/>
    <w:basedOn w:val="Normal"/>
    <w:rsid w:val="00D97FAF"/>
    <w:pPr>
      <w:keepNext/>
      <w:keepLines/>
      <w:spacing w:before="240" w:after="60"/>
    </w:pPr>
    <w:rPr>
      <w:b/>
      <w:color w:val="003D69"/>
    </w:rPr>
  </w:style>
  <w:style w:type="paragraph" w:customStyle="1" w:styleId="Hangingindent1">
    <w:name w:val="Hanging indent 1"/>
    <w:basedOn w:val="Paragraphtext"/>
    <w:rsid w:val="003D5106"/>
    <w:pPr>
      <w:tabs>
        <w:tab w:val="left" w:pos="357"/>
      </w:tabs>
      <w:ind w:left="357" w:hanging="357"/>
    </w:pPr>
  </w:style>
  <w:style w:type="paragraph" w:customStyle="1" w:styleId="Tableheadingwhite">
    <w:name w:val="Table heading white"/>
    <w:basedOn w:val="TableColumnHeadingNormal"/>
    <w:rsid w:val="00ED48BA"/>
    <w:pPr>
      <w:spacing w:line="264" w:lineRule="auto"/>
    </w:pPr>
    <w:rPr>
      <w:rFonts w:eastAsiaTheme="minorHAnsi"/>
      <w:sz w:val="22"/>
      <w:szCs w:val="22"/>
    </w:rPr>
  </w:style>
  <w:style w:type="paragraph" w:customStyle="1" w:styleId="BulletlistSkyBlue">
    <w:name w:val="Bullet list Sky Blue"/>
    <w:basedOn w:val="Normal"/>
    <w:rsid w:val="00ED48BA"/>
    <w:pPr>
      <w:widowControl w:val="0"/>
      <w:numPr>
        <w:numId w:val="11"/>
      </w:numPr>
      <w:tabs>
        <w:tab w:val="left" w:pos="567"/>
        <w:tab w:val="left" w:pos="1134"/>
        <w:tab w:val="left" w:pos="1701"/>
      </w:tabs>
    </w:pPr>
    <w:rPr>
      <w:noProof/>
      <w:sz w:val="17"/>
      <w:lang w:eastAsia="en-AU"/>
    </w:rPr>
  </w:style>
  <w:style w:type="paragraph" w:customStyle="1" w:styleId="Pa0">
    <w:name w:val="Pa0"/>
    <w:basedOn w:val="Default"/>
    <w:next w:val="Default"/>
    <w:uiPriority w:val="99"/>
    <w:rsid w:val="00ED48BA"/>
    <w:pPr>
      <w:spacing w:line="241" w:lineRule="atLeast"/>
    </w:pPr>
    <w:rPr>
      <w:rFonts w:ascii="Bliss 2" w:hAnsi="Bliss 2" w:cs="Times New Roman"/>
      <w:color w:val="auto"/>
    </w:rPr>
  </w:style>
  <w:style w:type="character" w:customStyle="1" w:styleId="A0">
    <w:name w:val="A0"/>
    <w:uiPriority w:val="99"/>
    <w:rsid w:val="00ED48BA"/>
    <w:rPr>
      <w:rFonts w:cs="Bliss 2"/>
      <w:b/>
      <w:bCs/>
      <w:color w:val="000000"/>
      <w:sz w:val="56"/>
      <w:szCs w:val="56"/>
    </w:rPr>
  </w:style>
  <w:style w:type="paragraph" w:customStyle="1" w:styleId="Bulletpoints">
    <w:name w:val="Bullet points"/>
    <w:basedOn w:val="ListParagraph"/>
    <w:link w:val="BulletpointsChar"/>
    <w:qFormat/>
    <w:rsid w:val="00ED48BA"/>
    <w:pPr>
      <w:spacing w:after="180"/>
      <w:ind w:left="714" w:hanging="357"/>
    </w:pPr>
    <w:rPr>
      <w:rFonts w:ascii="Calibri" w:hAnsi="Calibri"/>
      <w:color w:val="003D69"/>
    </w:rPr>
  </w:style>
  <w:style w:type="character" w:customStyle="1" w:styleId="BulletpointsChar">
    <w:name w:val="Bullet points Char"/>
    <w:basedOn w:val="ListParagraphChar"/>
    <w:link w:val="Bulletpoints"/>
    <w:rsid w:val="00ED48BA"/>
    <w:rPr>
      <w:rFonts w:ascii="Calibri" w:hAnsi="Calibri"/>
      <w:color w:val="003D69"/>
      <w:sz w:val="22"/>
      <w:szCs w:val="24"/>
      <w:lang w:eastAsia="en-US"/>
    </w:rPr>
  </w:style>
  <w:style w:type="character" w:customStyle="1" w:styleId="PwCNormalChar">
    <w:name w:val="PwC Normal Char"/>
    <w:aliases w:val="n Char Char,n Char,majNormal Char,note(text) Char,rmal Char,cv teC Normal Char,note(text) + +Headings (Georgia) Char,9 pt Char,Before:  3 pt Char,After:  3... Char"/>
    <w:basedOn w:val="DefaultParagraphFont"/>
    <w:link w:val="PwCNormal"/>
    <w:locked/>
    <w:rsid w:val="00ED48BA"/>
    <w:rPr>
      <w:sz w:val="24"/>
      <w:szCs w:val="24"/>
      <w:lang w:val="en-US" w:eastAsia="en-US"/>
    </w:rPr>
  </w:style>
  <w:style w:type="paragraph" w:customStyle="1" w:styleId="PwCNormal">
    <w:name w:val="PwC Normal"/>
    <w:aliases w:val="n,majNormal,note(text),rmal,cv teC Normal,note(text) + +Headings (Georgia),9 pt,Before:  3 pt,After:  3..."/>
    <w:basedOn w:val="Normal"/>
    <w:link w:val="PwCNormalChar"/>
    <w:rsid w:val="00ED48BA"/>
    <w:pPr>
      <w:spacing w:after="240"/>
    </w:pPr>
    <w:rPr>
      <w:rFonts w:ascii="Times New Roman" w:hAnsi="Times New Roman"/>
      <w:sz w:val="24"/>
      <w:lang w:val="en-US"/>
    </w:rPr>
  </w:style>
  <w:style w:type="paragraph" w:customStyle="1" w:styleId="Date1">
    <w:name w:val="Date1"/>
    <w:basedOn w:val="Normal"/>
    <w:rsid w:val="00ED48BA"/>
    <w:pPr>
      <w:spacing w:before="100" w:beforeAutospacing="1" w:after="100" w:afterAutospacing="1"/>
    </w:pPr>
    <w:rPr>
      <w:rFonts w:ascii="Times New Roman" w:hAnsi="Times New Roman"/>
      <w:sz w:val="24"/>
      <w:lang w:eastAsia="en-AU"/>
    </w:rPr>
  </w:style>
  <w:style w:type="paragraph" w:customStyle="1" w:styleId="Pa13">
    <w:name w:val="Pa13"/>
    <w:basedOn w:val="Default"/>
    <w:next w:val="Default"/>
    <w:uiPriority w:val="99"/>
    <w:rsid w:val="00ED48BA"/>
    <w:pPr>
      <w:spacing w:line="251" w:lineRule="atLeast"/>
    </w:pPr>
    <w:rPr>
      <w:rFonts w:ascii="Minion Pro" w:hAnsi="Minion Pro" w:cs="Times New Roman"/>
      <w:color w:val="auto"/>
    </w:rPr>
  </w:style>
  <w:style w:type="paragraph" w:customStyle="1" w:styleId="Tablenumberedtextnormal">
    <w:name w:val="Table numbered text normal"/>
    <w:basedOn w:val="PwCNormal"/>
    <w:rsid w:val="00A943B3"/>
    <w:pPr>
      <w:numPr>
        <w:numId w:val="20"/>
      </w:numPr>
      <w:kinsoku w:val="0"/>
      <w:overflowPunct w:val="0"/>
      <w:autoSpaceDE w:val="0"/>
      <w:autoSpaceDN w:val="0"/>
      <w:adjustRightInd w:val="0"/>
      <w:snapToGrid w:val="0"/>
      <w:spacing w:before="60" w:after="60"/>
    </w:pPr>
    <w:rPr>
      <w:rFonts w:asciiTheme="minorHAnsi" w:hAnsiTheme="minorHAnsi"/>
      <w:color w:val="000000" w:themeColor="text1"/>
      <w:sz w:val="22"/>
      <w:szCs w:val="22"/>
      <w:lang w:val="en-GB"/>
    </w:rPr>
  </w:style>
  <w:style w:type="paragraph" w:customStyle="1" w:styleId="CaseStudyText">
    <w:name w:val="Case Study Text"/>
    <w:basedOn w:val="TableHeaderWhite"/>
    <w:rsid w:val="00D97FAF"/>
    <w:pPr>
      <w:pBdr>
        <w:top w:val="single" w:sz="8" w:space="3" w:color="1F497D" w:themeColor="text2"/>
        <w:left w:val="single" w:sz="8" w:space="4" w:color="1F497D" w:themeColor="text2"/>
        <w:bottom w:val="single" w:sz="8" w:space="3" w:color="1F497D" w:themeColor="text2"/>
        <w:right w:val="single" w:sz="8" w:space="4" w:color="1F497D" w:themeColor="text2"/>
      </w:pBdr>
      <w:spacing w:before="120" w:after="120"/>
    </w:pPr>
    <w:rPr>
      <w:color w:val="000000" w:themeColor="text1"/>
    </w:rPr>
  </w:style>
  <w:style w:type="paragraph" w:customStyle="1" w:styleId="CaseStudyHeading">
    <w:name w:val="Case Study Heading"/>
    <w:basedOn w:val="CaseStudyText"/>
    <w:rsid w:val="00670F18"/>
    <w:pPr>
      <w:keepNext/>
      <w:keepLines/>
      <w:shd w:val="clear" w:color="auto" w:fill="1F497D" w:themeFill="text2"/>
    </w:pPr>
    <w:rPr>
      <w:b/>
      <w:color w:val="FFFFFF" w:themeColor="background1"/>
    </w:rPr>
  </w:style>
  <w:style w:type="paragraph" w:customStyle="1" w:styleId="CaseStudyBullet">
    <w:name w:val="Case Study Bullet"/>
    <w:basedOn w:val="CaseStudyText"/>
    <w:rsid w:val="00D97FAF"/>
    <w:pPr>
      <w:numPr>
        <w:numId w:val="42"/>
      </w:num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8069">
      <w:bodyDiv w:val="1"/>
      <w:marLeft w:val="0"/>
      <w:marRight w:val="0"/>
      <w:marTop w:val="0"/>
      <w:marBottom w:val="0"/>
      <w:divBdr>
        <w:top w:val="none" w:sz="0" w:space="0" w:color="auto"/>
        <w:left w:val="none" w:sz="0" w:space="0" w:color="auto"/>
        <w:bottom w:val="none" w:sz="0" w:space="0" w:color="auto"/>
        <w:right w:val="none" w:sz="0" w:space="0" w:color="auto"/>
      </w:divBdr>
      <w:divsChild>
        <w:div w:id="225148170">
          <w:marLeft w:val="605"/>
          <w:marRight w:val="0"/>
          <w:marTop w:val="230"/>
          <w:marBottom w:val="0"/>
          <w:divBdr>
            <w:top w:val="none" w:sz="0" w:space="0" w:color="auto"/>
            <w:left w:val="none" w:sz="0" w:space="0" w:color="auto"/>
            <w:bottom w:val="none" w:sz="0" w:space="0" w:color="auto"/>
            <w:right w:val="none" w:sz="0" w:space="0" w:color="auto"/>
          </w:divBdr>
        </w:div>
        <w:div w:id="653682776">
          <w:marLeft w:val="605"/>
          <w:marRight w:val="0"/>
          <w:marTop w:val="230"/>
          <w:marBottom w:val="0"/>
          <w:divBdr>
            <w:top w:val="none" w:sz="0" w:space="0" w:color="auto"/>
            <w:left w:val="none" w:sz="0" w:space="0" w:color="auto"/>
            <w:bottom w:val="none" w:sz="0" w:space="0" w:color="auto"/>
            <w:right w:val="none" w:sz="0" w:space="0" w:color="auto"/>
          </w:divBdr>
        </w:div>
        <w:div w:id="1618754018">
          <w:marLeft w:val="605"/>
          <w:marRight w:val="0"/>
          <w:marTop w:val="230"/>
          <w:marBottom w:val="0"/>
          <w:divBdr>
            <w:top w:val="none" w:sz="0" w:space="0" w:color="auto"/>
            <w:left w:val="none" w:sz="0" w:space="0" w:color="auto"/>
            <w:bottom w:val="none" w:sz="0" w:space="0" w:color="auto"/>
            <w:right w:val="none" w:sz="0" w:space="0" w:color="auto"/>
          </w:divBdr>
        </w:div>
      </w:divsChild>
    </w:div>
    <w:div w:id="65688323">
      <w:bodyDiv w:val="1"/>
      <w:marLeft w:val="0"/>
      <w:marRight w:val="0"/>
      <w:marTop w:val="0"/>
      <w:marBottom w:val="0"/>
      <w:divBdr>
        <w:top w:val="none" w:sz="0" w:space="0" w:color="auto"/>
        <w:left w:val="none" w:sz="0" w:space="0" w:color="auto"/>
        <w:bottom w:val="none" w:sz="0" w:space="0" w:color="auto"/>
        <w:right w:val="none" w:sz="0" w:space="0" w:color="auto"/>
      </w:divBdr>
    </w:div>
    <w:div w:id="70204435">
      <w:bodyDiv w:val="1"/>
      <w:marLeft w:val="0"/>
      <w:marRight w:val="0"/>
      <w:marTop w:val="0"/>
      <w:marBottom w:val="0"/>
      <w:divBdr>
        <w:top w:val="none" w:sz="0" w:space="0" w:color="auto"/>
        <w:left w:val="none" w:sz="0" w:space="0" w:color="auto"/>
        <w:bottom w:val="none" w:sz="0" w:space="0" w:color="auto"/>
        <w:right w:val="none" w:sz="0" w:space="0" w:color="auto"/>
      </w:divBdr>
      <w:divsChild>
        <w:div w:id="1217931147">
          <w:marLeft w:val="300"/>
          <w:marRight w:val="0"/>
          <w:marTop w:val="0"/>
          <w:marBottom w:val="0"/>
          <w:divBdr>
            <w:top w:val="none" w:sz="0" w:space="0" w:color="auto"/>
            <w:left w:val="none" w:sz="0" w:space="0" w:color="auto"/>
            <w:bottom w:val="none" w:sz="0" w:space="0" w:color="auto"/>
            <w:right w:val="none" w:sz="0" w:space="0" w:color="auto"/>
          </w:divBdr>
          <w:divsChild>
            <w:div w:id="6867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744">
      <w:bodyDiv w:val="1"/>
      <w:marLeft w:val="0"/>
      <w:marRight w:val="0"/>
      <w:marTop w:val="0"/>
      <w:marBottom w:val="0"/>
      <w:divBdr>
        <w:top w:val="none" w:sz="0" w:space="0" w:color="auto"/>
        <w:left w:val="none" w:sz="0" w:space="0" w:color="auto"/>
        <w:bottom w:val="none" w:sz="0" w:space="0" w:color="auto"/>
        <w:right w:val="none" w:sz="0" w:space="0" w:color="auto"/>
      </w:divBdr>
      <w:divsChild>
        <w:div w:id="638615334">
          <w:marLeft w:val="605"/>
          <w:marRight w:val="0"/>
          <w:marTop w:val="230"/>
          <w:marBottom w:val="0"/>
          <w:divBdr>
            <w:top w:val="none" w:sz="0" w:space="0" w:color="auto"/>
            <w:left w:val="none" w:sz="0" w:space="0" w:color="auto"/>
            <w:bottom w:val="none" w:sz="0" w:space="0" w:color="auto"/>
            <w:right w:val="none" w:sz="0" w:space="0" w:color="auto"/>
          </w:divBdr>
        </w:div>
      </w:divsChild>
    </w:div>
    <w:div w:id="231357793">
      <w:bodyDiv w:val="1"/>
      <w:marLeft w:val="0"/>
      <w:marRight w:val="0"/>
      <w:marTop w:val="0"/>
      <w:marBottom w:val="0"/>
      <w:divBdr>
        <w:top w:val="none" w:sz="0" w:space="0" w:color="auto"/>
        <w:left w:val="none" w:sz="0" w:space="0" w:color="auto"/>
        <w:bottom w:val="none" w:sz="0" w:space="0" w:color="auto"/>
        <w:right w:val="none" w:sz="0" w:space="0" w:color="auto"/>
      </w:divBdr>
    </w:div>
    <w:div w:id="250093091">
      <w:bodyDiv w:val="1"/>
      <w:marLeft w:val="0"/>
      <w:marRight w:val="0"/>
      <w:marTop w:val="0"/>
      <w:marBottom w:val="0"/>
      <w:divBdr>
        <w:top w:val="none" w:sz="0" w:space="0" w:color="auto"/>
        <w:left w:val="none" w:sz="0" w:space="0" w:color="auto"/>
        <w:bottom w:val="none" w:sz="0" w:space="0" w:color="auto"/>
        <w:right w:val="none" w:sz="0" w:space="0" w:color="auto"/>
      </w:divBdr>
      <w:divsChild>
        <w:div w:id="174537839">
          <w:marLeft w:val="605"/>
          <w:marRight w:val="0"/>
          <w:marTop w:val="221"/>
          <w:marBottom w:val="0"/>
          <w:divBdr>
            <w:top w:val="none" w:sz="0" w:space="0" w:color="auto"/>
            <w:left w:val="none" w:sz="0" w:space="0" w:color="auto"/>
            <w:bottom w:val="none" w:sz="0" w:space="0" w:color="auto"/>
            <w:right w:val="none" w:sz="0" w:space="0" w:color="auto"/>
          </w:divBdr>
        </w:div>
        <w:div w:id="235744780">
          <w:marLeft w:val="605"/>
          <w:marRight w:val="0"/>
          <w:marTop w:val="221"/>
          <w:marBottom w:val="0"/>
          <w:divBdr>
            <w:top w:val="none" w:sz="0" w:space="0" w:color="auto"/>
            <w:left w:val="none" w:sz="0" w:space="0" w:color="auto"/>
            <w:bottom w:val="none" w:sz="0" w:space="0" w:color="auto"/>
            <w:right w:val="none" w:sz="0" w:space="0" w:color="auto"/>
          </w:divBdr>
        </w:div>
        <w:div w:id="316155631">
          <w:marLeft w:val="1051"/>
          <w:marRight w:val="0"/>
          <w:marTop w:val="110"/>
          <w:marBottom w:val="0"/>
          <w:divBdr>
            <w:top w:val="none" w:sz="0" w:space="0" w:color="auto"/>
            <w:left w:val="none" w:sz="0" w:space="0" w:color="auto"/>
            <w:bottom w:val="none" w:sz="0" w:space="0" w:color="auto"/>
            <w:right w:val="none" w:sz="0" w:space="0" w:color="auto"/>
          </w:divBdr>
        </w:div>
        <w:div w:id="496188107">
          <w:marLeft w:val="1051"/>
          <w:marRight w:val="0"/>
          <w:marTop w:val="110"/>
          <w:marBottom w:val="0"/>
          <w:divBdr>
            <w:top w:val="none" w:sz="0" w:space="0" w:color="auto"/>
            <w:left w:val="none" w:sz="0" w:space="0" w:color="auto"/>
            <w:bottom w:val="none" w:sz="0" w:space="0" w:color="auto"/>
            <w:right w:val="none" w:sz="0" w:space="0" w:color="auto"/>
          </w:divBdr>
        </w:div>
        <w:div w:id="742340753">
          <w:marLeft w:val="605"/>
          <w:marRight w:val="0"/>
          <w:marTop w:val="221"/>
          <w:marBottom w:val="0"/>
          <w:divBdr>
            <w:top w:val="none" w:sz="0" w:space="0" w:color="auto"/>
            <w:left w:val="none" w:sz="0" w:space="0" w:color="auto"/>
            <w:bottom w:val="none" w:sz="0" w:space="0" w:color="auto"/>
            <w:right w:val="none" w:sz="0" w:space="0" w:color="auto"/>
          </w:divBdr>
        </w:div>
        <w:div w:id="783773607">
          <w:marLeft w:val="1051"/>
          <w:marRight w:val="0"/>
          <w:marTop w:val="110"/>
          <w:marBottom w:val="0"/>
          <w:divBdr>
            <w:top w:val="none" w:sz="0" w:space="0" w:color="auto"/>
            <w:left w:val="none" w:sz="0" w:space="0" w:color="auto"/>
            <w:bottom w:val="none" w:sz="0" w:space="0" w:color="auto"/>
            <w:right w:val="none" w:sz="0" w:space="0" w:color="auto"/>
          </w:divBdr>
        </w:div>
        <w:div w:id="908880007">
          <w:marLeft w:val="1051"/>
          <w:marRight w:val="0"/>
          <w:marTop w:val="110"/>
          <w:marBottom w:val="0"/>
          <w:divBdr>
            <w:top w:val="none" w:sz="0" w:space="0" w:color="auto"/>
            <w:left w:val="none" w:sz="0" w:space="0" w:color="auto"/>
            <w:bottom w:val="none" w:sz="0" w:space="0" w:color="auto"/>
            <w:right w:val="none" w:sz="0" w:space="0" w:color="auto"/>
          </w:divBdr>
        </w:div>
        <w:div w:id="976029167">
          <w:marLeft w:val="1051"/>
          <w:marRight w:val="0"/>
          <w:marTop w:val="110"/>
          <w:marBottom w:val="0"/>
          <w:divBdr>
            <w:top w:val="none" w:sz="0" w:space="0" w:color="auto"/>
            <w:left w:val="none" w:sz="0" w:space="0" w:color="auto"/>
            <w:bottom w:val="none" w:sz="0" w:space="0" w:color="auto"/>
            <w:right w:val="none" w:sz="0" w:space="0" w:color="auto"/>
          </w:divBdr>
        </w:div>
        <w:div w:id="1088696407">
          <w:marLeft w:val="1051"/>
          <w:marRight w:val="0"/>
          <w:marTop w:val="110"/>
          <w:marBottom w:val="0"/>
          <w:divBdr>
            <w:top w:val="none" w:sz="0" w:space="0" w:color="auto"/>
            <w:left w:val="none" w:sz="0" w:space="0" w:color="auto"/>
            <w:bottom w:val="none" w:sz="0" w:space="0" w:color="auto"/>
            <w:right w:val="none" w:sz="0" w:space="0" w:color="auto"/>
          </w:divBdr>
        </w:div>
        <w:div w:id="1226991770">
          <w:marLeft w:val="1051"/>
          <w:marRight w:val="0"/>
          <w:marTop w:val="110"/>
          <w:marBottom w:val="0"/>
          <w:divBdr>
            <w:top w:val="none" w:sz="0" w:space="0" w:color="auto"/>
            <w:left w:val="none" w:sz="0" w:space="0" w:color="auto"/>
            <w:bottom w:val="none" w:sz="0" w:space="0" w:color="auto"/>
            <w:right w:val="none" w:sz="0" w:space="0" w:color="auto"/>
          </w:divBdr>
        </w:div>
        <w:div w:id="1299190563">
          <w:marLeft w:val="605"/>
          <w:marRight w:val="0"/>
          <w:marTop w:val="221"/>
          <w:marBottom w:val="0"/>
          <w:divBdr>
            <w:top w:val="none" w:sz="0" w:space="0" w:color="auto"/>
            <w:left w:val="none" w:sz="0" w:space="0" w:color="auto"/>
            <w:bottom w:val="none" w:sz="0" w:space="0" w:color="auto"/>
            <w:right w:val="none" w:sz="0" w:space="0" w:color="auto"/>
          </w:divBdr>
        </w:div>
        <w:div w:id="1892182796">
          <w:marLeft w:val="1051"/>
          <w:marRight w:val="0"/>
          <w:marTop w:val="110"/>
          <w:marBottom w:val="0"/>
          <w:divBdr>
            <w:top w:val="none" w:sz="0" w:space="0" w:color="auto"/>
            <w:left w:val="none" w:sz="0" w:space="0" w:color="auto"/>
            <w:bottom w:val="none" w:sz="0" w:space="0" w:color="auto"/>
            <w:right w:val="none" w:sz="0" w:space="0" w:color="auto"/>
          </w:divBdr>
        </w:div>
        <w:div w:id="1991131015">
          <w:marLeft w:val="1051"/>
          <w:marRight w:val="0"/>
          <w:marTop w:val="110"/>
          <w:marBottom w:val="0"/>
          <w:divBdr>
            <w:top w:val="none" w:sz="0" w:space="0" w:color="auto"/>
            <w:left w:val="none" w:sz="0" w:space="0" w:color="auto"/>
            <w:bottom w:val="none" w:sz="0" w:space="0" w:color="auto"/>
            <w:right w:val="none" w:sz="0" w:space="0" w:color="auto"/>
          </w:divBdr>
        </w:div>
      </w:divsChild>
    </w:div>
    <w:div w:id="286007130">
      <w:bodyDiv w:val="1"/>
      <w:marLeft w:val="0"/>
      <w:marRight w:val="0"/>
      <w:marTop w:val="0"/>
      <w:marBottom w:val="0"/>
      <w:divBdr>
        <w:top w:val="none" w:sz="0" w:space="0" w:color="auto"/>
        <w:left w:val="none" w:sz="0" w:space="0" w:color="auto"/>
        <w:bottom w:val="none" w:sz="0" w:space="0" w:color="auto"/>
        <w:right w:val="none" w:sz="0" w:space="0" w:color="auto"/>
      </w:divBdr>
      <w:divsChild>
        <w:div w:id="332071594">
          <w:marLeft w:val="0"/>
          <w:marRight w:val="0"/>
          <w:marTop w:val="0"/>
          <w:marBottom w:val="0"/>
          <w:divBdr>
            <w:top w:val="none" w:sz="0" w:space="0" w:color="auto"/>
            <w:left w:val="none" w:sz="0" w:space="0" w:color="auto"/>
            <w:bottom w:val="none" w:sz="0" w:space="0" w:color="auto"/>
            <w:right w:val="none" w:sz="0" w:space="0" w:color="auto"/>
          </w:divBdr>
        </w:div>
        <w:div w:id="730496272">
          <w:marLeft w:val="0"/>
          <w:marRight w:val="0"/>
          <w:marTop w:val="0"/>
          <w:marBottom w:val="0"/>
          <w:divBdr>
            <w:top w:val="none" w:sz="0" w:space="0" w:color="auto"/>
            <w:left w:val="none" w:sz="0" w:space="0" w:color="auto"/>
            <w:bottom w:val="none" w:sz="0" w:space="0" w:color="auto"/>
            <w:right w:val="none" w:sz="0" w:space="0" w:color="auto"/>
          </w:divBdr>
          <w:divsChild>
            <w:div w:id="1916889223">
              <w:marLeft w:val="0"/>
              <w:marRight w:val="0"/>
              <w:marTop w:val="0"/>
              <w:marBottom w:val="0"/>
              <w:divBdr>
                <w:top w:val="none" w:sz="0" w:space="0" w:color="auto"/>
                <w:left w:val="none" w:sz="0" w:space="0" w:color="auto"/>
                <w:bottom w:val="none" w:sz="0" w:space="0" w:color="auto"/>
                <w:right w:val="none" w:sz="0" w:space="0" w:color="auto"/>
              </w:divBdr>
            </w:div>
          </w:divsChild>
        </w:div>
        <w:div w:id="1428379104">
          <w:marLeft w:val="0"/>
          <w:marRight w:val="0"/>
          <w:marTop w:val="0"/>
          <w:marBottom w:val="0"/>
          <w:divBdr>
            <w:top w:val="none" w:sz="0" w:space="0" w:color="auto"/>
            <w:left w:val="none" w:sz="0" w:space="0" w:color="auto"/>
            <w:bottom w:val="none" w:sz="0" w:space="0" w:color="auto"/>
            <w:right w:val="none" w:sz="0" w:space="0" w:color="auto"/>
          </w:divBdr>
        </w:div>
      </w:divsChild>
    </w:div>
    <w:div w:id="294484642">
      <w:bodyDiv w:val="1"/>
      <w:marLeft w:val="0"/>
      <w:marRight w:val="0"/>
      <w:marTop w:val="0"/>
      <w:marBottom w:val="0"/>
      <w:divBdr>
        <w:top w:val="none" w:sz="0" w:space="0" w:color="auto"/>
        <w:left w:val="none" w:sz="0" w:space="0" w:color="auto"/>
        <w:bottom w:val="none" w:sz="0" w:space="0" w:color="auto"/>
        <w:right w:val="none" w:sz="0" w:space="0" w:color="auto"/>
      </w:divBdr>
      <w:divsChild>
        <w:div w:id="191500181">
          <w:marLeft w:val="605"/>
          <w:marRight w:val="0"/>
          <w:marTop w:val="230"/>
          <w:marBottom w:val="0"/>
          <w:divBdr>
            <w:top w:val="none" w:sz="0" w:space="0" w:color="auto"/>
            <w:left w:val="none" w:sz="0" w:space="0" w:color="auto"/>
            <w:bottom w:val="none" w:sz="0" w:space="0" w:color="auto"/>
            <w:right w:val="none" w:sz="0" w:space="0" w:color="auto"/>
          </w:divBdr>
        </w:div>
        <w:div w:id="1113742802">
          <w:marLeft w:val="605"/>
          <w:marRight w:val="0"/>
          <w:marTop w:val="230"/>
          <w:marBottom w:val="0"/>
          <w:divBdr>
            <w:top w:val="none" w:sz="0" w:space="0" w:color="auto"/>
            <w:left w:val="none" w:sz="0" w:space="0" w:color="auto"/>
            <w:bottom w:val="none" w:sz="0" w:space="0" w:color="auto"/>
            <w:right w:val="none" w:sz="0" w:space="0" w:color="auto"/>
          </w:divBdr>
        </w:div>
        <w:div w:id="1337075942">
          <w:marLeft w:val="605"/>
          <w:marRight w:val="0"/>
          <w:marTop w:val="230"/>
          <w:marBottom w:val="0"/>
          <w:divBdr>
            <w:top w:val="none" w:sz="0" w:space="0" w:color="auto"/>
            <w:left w:val="none" w:sz="0" w:space="0" w:color="auto"/>
            <w:bottom w:val="none" w:sz="0" w:space="0" w:color="auto"/>
            <w:right w:val="none" w:sz="0" w:space="0" w:color="auto"/>
          </w:divBdr>
        </w:div>
        <w:div w:id="1816872411">
          <w:marLeft w:val="605"/>
          <w:marRight w:val="0"/>
          <w:marTop w:val="230"/>
          <w:marBottom w:val="0"/>
          <w:divBdr>
            <w:top w:val="none" w:sz="0" w:space="0" w:color="auto"/>
            <w:left w:val="none" w:sz="0" w:space="0" w:color="auto"/>
            <w:bottom w:val="none" w:sz="0" w:space="0" w:color="auto"/>
            <w:right w:val="none" w:sz="0" w:space="0" w:color="auto"/>
          </w:divBdr>
        </w:div>
        <w:div w:id="1893691978">
          <w:marLeft w:val="605"/>
          <w:marRight w:val="0"/>
          <w:marTop w:val="230"/>
          <w:marBottom w:val="0"/>
          <w:divBdr>
            <w:top w:val="none" w:sz="0" w:space="0" w:color="auto"/>
            <w:left w:val="none" w:sz="0" w:space="0" w:color="auto"/>
            <w:bottom w:val="none" w:sz="0" w:space="0" w:color="auto"/>
            <w:right w:val="none" w:sz="0" w:space="0" w:color="auto"/>
          </w:divBdr>
        </w:div>
      </w:divsChild>
    </w:div>
    <w:div w:id="314534340">
      <w:bodyDiv w:val="1"/>
      <w:marLeft w:val="0"/>
      <w:marRight w:val="0"/>
      <w:marTop w:val="0"/>
      <w:marBottom w:val="0"/>
      <w:divBdr>
        <w:top w:val="none" w:sz="0" w:space="0" w:color="auto"/>
        <w:left w:val="none" w:sz="0" w:space="0" w:color="auto"/>
        <w:bottom w:val="none" w:sz="0" w:space="0" w:color="auto"/>
        <w:right w:val="none" w:sz="0" w:space="0" w:color="auto"/>
      </w:divBdr>
      <w:divsChild>
        <w:div w:id="100221425">
          <w:marLeft w:val="605"/>
          <w:marRight w:val="0"/>
          <w:marTop w:val="211"/>
          <w:marBottom w:val="0"/>
          <w:divBdr>
            <w:top w:val="none" w:sz="0" w:space="0" w:color="auto"/>
            <w:left w:val="none" w:sz="0" w:space="0" w:color="auto"/>
            <w:bottom w:val="none" w:sz="0" w:space="0" w:color="auto"/>
            <w:right w:val="none" w:sz="0" w:space="0" w:color="auto"/>
          </w:divBdr>
        </w:div>
        <w:div w:id="168908575">
          <w:marLeft w:val="605"/>
          <w:marRight w:val="0"/>
          <w:marTop w:val="211"/>
          <w:marBottom w:val="0"/>
          <w:divBdr>
            <w:top w:val="none" w:sz="0" w:space="0" w:color="auto"/>
            <w:left w:val="none" w:sz="0" w:space="0" w:color="auto"/>
            <w:bottom w:val="none" w:sz="0" w:space="0" w:color="auto"/>
            <w:right w:val="none" w:sz="0" w:space="0" w:color="auto"/>
          </w:divBdr>
        </w:div>
        <w:div w:id="441844262">
          <w:marLeft w:val="605"/>
          <w:marRight w:val="0"/>
          <w:marTop w:val="211"/>
          <w:marBottom w:val="0"/>
          <w:divBdr>
            <w:top w:val="none" w:sz="0" w:space="0" w:color="auto"/>
            <w:left w:val="none" w:sz="0" w:space="0" w:color="auto"/>
            <w:bottom w:val="none" w:sz="0" w:space="0" w:color="auto"/>
            <w:right w:val="none" w:sz="0" w:space="0" w:color="auto"/>
          </w:divBdr>
        </w:div>
        <w:div w:id="802381419">
          <w:marLeft w:val="605"/>
          <w:marRight w:val="0"/>
          <w:marTop w:val="211"/>
          <w:marBottom w:val="0"/>
          <w:divBdr>
            <w:top w:val="none" w:sz="0" w:space="0" w:color="auto"/>
            <w:left w:val="none" w:sz="0" w:space="0" w:color="auto"/>
            <w:bottom w:val="none" w:sz="0" w:space="0" w:color="auto"/>
            <w:right w:val="none" w:sz="0" w:space="0" w:color="auto"/>
          </w:divBdr>
        </w:div>
        <w:div w:id="934552260">
          <w:marLeft w:val="605"/>
          <w:marRight w:val="0"/>
          <w:marTop w:val="211"/>
          <w:marBottom w:val="0"/>
          <w:divBdr>
            <w:top w:val="none" w:sz="0" w:space="0" w:color="auto"/>
            <w:left w:val="none" w:sz="0" w:space="0" w:color="auto"/>
            <w:bottom w:val="none" w:sz="0" w:space="0" w:color="auto"/>
            <w:right w:val="none" w:sz="0" w:space="0" w:color="auto"/>
          </w:divBdr>
        </w:div>
        <w:div w:id="1110396897">
          <w:marLeft w:val="605"/>
          <w:marRight w:val="0"/>
          <w:marTop w:val="211"/>
          <w:marBottom w:val="0"/>
          <w:divBdr>
            <w:top w:val="none" w:sz="0" w:space="0" w:color="auto"/>
            <w:left w:val="none" w:sz="0" w:space="0" w:color="auto"/>
            <w:bottom w:val="none" w:sz="0" w:space="0" w:color="auto"/>
            <w:right w:val="none" w:sz="0" w:space="0" w:color="auto"/>
          </w:divBdr>
        </w:div>
        <w:div w:id="1312491042">
          <w:marLeft w:val="605"/>
          <w:marRight w:val="0"/>
          <w:marTop w:val="211"/>
          <w:marBottom w:val="0"/>
          <w:divBdr>
            <w:top w:val="none" w:sz="0" w:space="0" w:color="auto"/>
            <w:left w:val="none" w:sz="0" w:space="0" w:color="auto"/>
            <w:bottom w:val="none" w:sz="0" w:space="0" w:color="auto"/>
            <w:right w:val="none" w:sz="0" w:space="0" w:color="auto"/>
          </w:divBdr>
        </w:div>
        <w:div w:id="1370837825">
          <w:marLeft w:val="605"/>
          <w:marRight w:val="0"/>
          <w:marTop w:val="211"/>
          <w:marBottom w:val="0"/>
          <w:divBdr>
            <w:top w:val="none" w:sz="0" w:space="0" w:color="auto"/>
            <w:left w:val="none" w:sz="0" w:space="0" w:color="auto"/>
            <w:bottom w:val="none" w:sz="0" w:space="0" w:color="auto"/>
            <w:right w:val="none" w:sz="0" w:space="0" w:color="auto"/>
          </w:divBdr>
        </w:div>
        <w:div w:id="1436438099">
          <w:marLeft w:val="605"/>
          <w:marRight w:val="0"/>
          <w:marTop w:val="211"/>
          <w:marBottom w:val="0"/>
          <w:divBdr>
            <w:top w:val="none" w:sz="0" w:space="0" w:color="auto"/>
            <w:left w:val="none" w:sz="0" w:space="0" w:color="auto"/>
            <w:bottom w:val="none" w:sz="0" w:space="0" w:color="auto"/>
            <w:right w:val="none" w:sz="0" w:space="0" w:color="auto"/>
          </w:divBdr>
        </w:div>
        <w:div w:id="1589391270">
          <w:marLeft w:val="605"/>
          <w:marRight w:val="0"/>
          <w:marTop w:val="211"/>
          <w:marBottom w:val="0"/>
          <w:divBdr>
            <w:top w:val="none" w:sz="0" w:space="0" w:color="auto"/>
            <w:left w:val="none" w:sz="0" w:space="0" w:color="auto"/>
            <w:bottom w:val="none" w:sz="0" w:space="0" w:color="auto"/>
            <w:right w:val="none" w:sz="0" w:space="0" w:color="auto"/>
          </w:divBdr>
        </w:div>
        <w:div w:id="1755470838">
          <w:marLeft w:val="605"/>
          <w:marRight w:val="0"/>
          <w:marTop w:val="211"/>
          <w:marBottom w:val="0"/>
          <w:divBdr>
            <w:top w:val="none" w:sz="0" w:space="0" w:color="auto"/>
            <w:left w:val="none" w:sz="0" w:space="0" w:color="auto"/>
            <w:bottom w:val="none" w:sz="0" w:space="0" w:color="auto"/>
            <w:right w:val="none" w:sz="0" w:space="0" w:color="auto"/>
          </w:divBdr>
        </w:div>
        <w:div w:id="1947616398">
          <w:marLeft w:val="605"/>
          <w:marRight w:val="0"/>
          <w:marTop w:val="211"/>
          <w:marBottom w:val="0"/>
          <w:divBdr>
            <w:top w:val="none" w:sz="0" w:space="0" w:color="auto"/>
            <w:left w:val="none" w:sz="0" w:space="0" w:color="auto"/>
            <w:bottom w:val="none" w:sz="0" w:space="0" w:color="auto"/>
            <w:right w:val="none" w:sz="0" w:space="0" w:color="auto"/>
          </w:divBdr>
        </w:div>
        <w:div w:id="1978601987">
          <w:marLeft w:val="605"/>
          <w:marRight w:val="0"/>
          <w:marTop w:val="211"/>
          <w:marBottom w:val="0"/>
          <w:divBdr>
            <w:top w:val="none" w:sz="0" w:space="0" w:color="auto"/>
            <w:left w:val="none" w:sz="0" w:space="0" w:color="auto"/>
            <w:bottom w:val="none" w:sz="0" w:space="0" w:color="auto"/>
            <w:right w:val="none" w:sz="0" w:space="0" w:color="auto"/>
          </w:divBdr>
        </w:div>
      </w:divsChild>
    </w:div>
    <w:div w:id="320232440">
      <w:bodyDiv w:val="1"/>
      <w:marLeft w:val="0"/>
      <w:marRight w:val="0"/>
      <w:marTop w:val="0"/>
      <w:marBottom w:val="0"/>
      <w:divBdr>
        <w:top w:val="none" w:sz="0" w:space="0" w:color="auto"/>
        <w:left w:val="none" w:sz="0" w:space="0" w:color="auto"/>
        <w:bottom w:val="none" w:sz="0" w:space="0" w:color="auto"/>
        <w:right w:val="none" w:sz="0" w:space="0" w:color="auto"/>
      </w:divBdr>
    </w:div>
    <w:div w:id="344212523">
      <w:bodyDiv w:val="1"/>
      <w:marLeft w:val="0"/>
      <w:marRight w:val="0"/>
      <w:marTop w:val="0"/>
      <w:marBottom w:val="0"/>
      <w:divBdr>
        <w:top w:val="none" w:sz="0" w:space="0" w:color="auto"/>
        <w:left w:val="none" w:sz="0" w:space="0" w:color="auto"/>
        <w:bottom w:val="none" w:sz="0" w:space="0" w:color="auto"/>
        <w:right w:val="none" w:sz="0" w:space="0" w:color="auto"/>
      </w:divBdr>
    </w:div>
    <w:div w:id="350038389">
      <w:bodyDiv w:val="1"/>
      <w:marLeft w:val="0"/>
      <w:marRight w:val="0"/>
      <w:marTop w:val="0"/>
      <w:marBottom w:val="0"/>
      <w:divBdr>
        <w:top w:val="none" w:sz="0" w:space="0" w:color="auto"/>
        <w:left w:val="none" w:sz="0" w:space="0" w:color="auto"/>
        <w:bottom w:val="none" w:sz="0" w:space="0" w:color="auto"/>
        <w:right w:val="none" w:sz="0" w:space="0" w:color="auto"/>
      </w:divBdr>
    </w:div>
    <w:div w:id="355690558">
      <w:bodyDiv w:val="1"/>
      <w:marLeft w:val="0"/>
      <w:marRight w:val="0"/>
      <w:marTop w:val="0"/>
      <w:marBottom w:val="0"/>
      <w:divBdr>
        <w:top w:val="none" w:sz="0" w:space="0" w:color="auto"/>
        <w:left w:val="none" w:sz="0" w:space="0" w:color="auto"/>
        <w:bottom w:val="none" w:sz="0" w:space="0" w:color="auto"/>
        <w:right w:val="none" w:sz="0" w:space="0" w:color="auto"/>
      </w:divBdr>
    </w:div>
    <w:div w:id="404300061">
      <w:bodyDiv w:val="1"/>
      <w:marLeft w:val="0"/>
      <w:marRight w:val="0"/>
      <w:marTop w:val="0"/>
      <w:marBottom w:val="0"/>
      <w:divBdr>
        <w:top w:val="none" w:sz="0" w:space="0" w:color="auto"/>
        <w:left w:val="none" w:sz="0" w:space="0" w:color="auto"/>
        <w:bottom w:val="none" w:sz="0" w:space="0" w:color="auto"/>
        <w:right w:val="none" w:sz="0" w:space="0" w:color="auto"/>
      </w:divBdr>
    </w:div>
    <w:div w:id="414743826">
      <w:bodyDiv w:val="1"/>
      <w:marLeft w:val="0"/>
      <w:marRight w:val="0"/>
      <w:marTop w:val="0"/>
      <w:marBottom w:val="0"/>
      <w:divBdr>
        <w:top w:val="none" w:sz="0" w:space="0" w:color="auto"/>
        <w:left w:val="none" w:sz="0" w:space="0" w:color="auto"/>
        <w:bottom w:val="none" w:sz="0" w:space="0" w:color="auto"/>
        <w:right w:val="none" w:sz="0" w:space="0" w:color="auto"/>
      </w:divBdr>
    </w:div>
    <w:div w:id="444468747">
      <w:bodyDiv w:val="1"/>
      <w:marLeft w:val="0"/>
      <w:marRight w:val="0"/>
      <w:marTop w:val="0"/>
      <w:marBottom w:val="0"/>
      <w:divBdr>
        <w:top w:val="none" w:sz="0" w:space="0" w:color="auto"/>
        <w:left w:val="none" w:sz="0" w:space="0" w:color="auto"/>
        <w:bottom w:val="none" w:sz="0" w:space="0" w:color="auto"/>
        <w:right w:val="none" w:sz="0" w:space="0" w:color="auto"/>
      </w:divBdr>
    </w:div>
    <w:div w:id="447816459">
      <w:bodyDiv w:val="1"/>
      <w:marLeft w:val="0"/>
      <w:marRight w:val="0"/>
      <w:marTop w:val="0"/>
      <w:marBottom w:val="0"/>
      <w:divBdr>
        <w:top w:val="none" w:sz="0" w:space="0" w:color="auto"/>
        <w:left w:val="none" w:sz="0" w:space="0" w:color="auto"/>
        <w:bottom w:val="none" w:sz="0" w:space="0" w:color="auto"/>
        <w:right w:val="none" w:sz="0" w:space="0" w:color="auto"/>
      </w:divBdr>
    </w:div>
    <w:div w:id="450782347">
      <w:bodyDiv w:val="1"/>
      <w:marLeft w:val="0"/>
      <w:marRight w:val="0"/>
      <w:marTop w:val="0"/>
      <w:marBottom w:val="0"/>
      <w:divBdr>
        <w:top w:val="none" w:sz="0" w:space="0" w:color="auto"/>
        <w:left w:val="none" w:sz="0" w:space="0" w:color="auto"/>
        <w:bottom w:val="none" w:sz="0" w:space="0" w:color="auto"/>
        <w:right w:val="none" w:sz="0" w:space="0" w:color="auto"/>
      </w:divBdr>
    </w:div>
    <w:div w:id="465588379">
      <w:bodyDiv w:val="1"/>
      <w:marLeft w:val="0"/>
      <w:marRight w:val="0"/>
      <w:marTop w:val="0"/>
      <w:marBottom w:val="0"/>
      <w:divBdr>
        <w:top w:val="none" w:sz="0" w:space="0" w:color="auto"/>
        <w:left w:val="none" w:sz="0" w:space="0" w:color="auto"/>
        <w:bottom w:val="none" w:sz="0" w:space="0" w:color="auto"/>
        <w:right w:val="none" w:sz="0" w:space="0" w:color="auto"/>
      </w:divBdr>
    </w:div>
    <w:div w:id="485516905">
      <w:bodyDiv w:val="1"/>
      <w:marLeft w:val="0"/>
      <w:marRight w:val="0"/>
      <w:marTop w:val="0"/>
      <w:marBottom w:val="0"/>
      <w:divBdr>
        <w:top w:val="none" w:sz="0" w:space="0" w:color="auto"/>
        <w:left w:val="none" w:sz="0" w:space="0" w:color="auto"/>
        <w:bottom w:val="none" w:sz="0" w:space="0" w:color="auto"/>
        <w:right w:val="none" w:sz="0" w:space="0" w:color="auto"/>
      </w:divBdr>
      <w:divsChild>
        <w:div w:id="144710724">
          <w:marLeft w:val="605"/>
          <w:marRight w:val="0"/>
          <w:marTop w:val="230"/>
          <w:marBottom w:val="0"/>
          <w:divBdr>
            <w:top w:val="none" w:sz="0" w:space="0" w:color="auto"/>
            <w:left w:val="none" w:sz="0" w:space="0" w:color="auto"/>
            <w:bottom w:val="none" w:sz="0" w:space="0" w:color="auto"/>
            <w:right w:val="none" w:sz="0" w:space="0" w:color="auto"/>
          </w:divBdr>
        </w:div>
        <w:div w:id="534467787">
          <w:marLeft w:val="605"/>
          <w:marRight w:val="0"/>
          <w:marTop w:val="230"/>
          <w:marBottom w:val="0"/>
          <w:divBdr>
            <w:top w:val="none" w:sz="0" w:space="0" w:color="auto"/>
            <w:left w:val="none" w:sz="0" w:space="0" w:color="auto"/>
            <w:bottom w:val="none" w:sz="0" w:space="0" w:color="auto"/>
            <w:right w:val="none" w:sz="0" w:space="0" w:color="auto"/>
          </w:divBdr>
        </w:div>
        <w:div w:id="1576469548">
          <w:marLeft w:val="605"/>
          <w:marRight w:val="0"/>
          <w:marTop w:val="230"/>
          <w:marBottom w:val="0"/>
          <w:divBdr>
            <w:top w:val="none" w:sz="0" w:space="0" w:color="auto"/>
            <w:left w:val="none" w:sz="0" w:space="0" w:color="auto"/>
            <w:bottom w:val="none" w:sz="0" w:space="0" w:color="auto"/>
            <w:right w:val="none" w:sz="0" w:space="0" w:color="auto"/>
          </w:divBdr>
        </w:div>
        <w:div w:id="1945187110">
          <w:marLeft w:val="605"/>
          <w:marRight w:val="0"/>
          <w:marTop w:val="230"/>
          <w:marBottom w:val="0"/>
          <w:divBdr>
            <w:top w:val="none" w:sz="0" w:space="0" w:color="auto"/>
            <w:left w:val="none" w:sz="0" w:space="0" w:color="auto"/>
            <w:bottom w:val="none" w:sz="0" w:space="0" w:color="auto"/>
            <w:right w:val="none" w:sz="0" w:space="0" w:color="auto"/>
          </w:divBdr>
        </w:div>
        <w:div w:id="1994286288">
          <w:marLeft w:val="605"/>
          <w:marRight w:val="0"/>
          <w:marTop w:val="230"/>
          <w:marBottom w:val="0"/>
          <w:divBdr>
            <w:top w:val="none" w:sz="0" w:space="0" w:color="auto"/>
            <w:left w:val="none" w:sz="0" w:space="0" w:color="auto"/>
            <w:bottom w:val="none" w:sz="0" w:space="0" w:color="auto"/>
            <w:right w:val="none" w:sz="0" w:space="0" w:color="auto"/>
          </w:divBdr>
        </w:div>
      </w:divsChild>
    </w:div>
    <w:div w:id="488248308">
      <w:bodyDiv w:val="1"/>
      <w:marLeft w:val="0"/>
      <w:marRight w:val="0"/>
      <w:marTop w:val="0"/>
      <w:marBottom w:val="0"/>
      <w:divBdr>
        <w:top w:val="none" w:sz="0" w:space="0" w:color="auto"/>
        <w:left w:val="none" w:sz="0" w:space="0" w:color="auto"/>
        <w:bottom w:val="none" w:sz="0" w:space="0" w:color="auto"/>
        <w:right w:val="none" w:sz="0" w:space="0" w:color="auto"/>
      </w:divBdr>
      <w:divsChild>
        <w:div w:id="301662909">
          <w:marLeft w:val="605"/>
          <w:marRight w:val="0"/>
          <w:marTop w:val="230"/>
          <w:marBottom w:val="0"/>
          <w:divBdr>
            <w:top w:val="none" w:sz="0" w:space="0" w:color="auto"/>
            <w:left w:val="none" w:sz="0" w:space="0" w:color="auto"/>
            <w:bottom w:val="none" w:sz="0" w:space="0" w:color="auto"/>
            <w:right w:val="none" w:sz="0" w:space="0" w:color="auto"/>
          </w:divBdr>
        </w:div>
        <w:div w:id="1511797173">
          <w:marLeft w:val="605"/>
          <w:marRight w:val="0"/>
          <w:marTop w:val="230"/>
          <w:marBottom w:val="0"/>
          <w:divBdr>
            <w:top w:val="none" w:sz="0" w:space="0" w:color="auto"/>
            <w:left w:val="none" w:sz="0" w:space="0" w:color="auto"/>
            <w:bottom w:val="none" w:sz="0" w:space="0" w:color="auto"/>
            <w:right w:val="none" w:sz="0" w:space="0" w:color="auto"/>
          </w:divBdr>
        </w:div>
      </w:divsChild>
    </w:div>
    <w:div w:id="505023845">
      <w:bodyDiv w:val="1"/>
      <w:marLeft w:val="0"/>
      <w:marRight w:val="0"/>
      <w:marTop w:val="0"/>
      <w:marBottom w:val="0"/>
      <w:divBdr>
        <w:top w:val="none" w:sz="0" w:space="0" w:color="auto"/>
        <w:left w:val="none" w:sz="0" w:space="0" w:color="auto"/>
        <w:bottom w:val="none" w:sz="0" w:space="0" w:color="auto"/>
        <w:right w:val="none" w:sz="0" w:space="0" w:color="auto"/>
      </w:divBdr>
    </w:div>
    <w:div w:id="507329022">
      <w:bodyDiv w:val="1"/>
      <w:marLeft w:val="0"/>
      <w:marRight w:val="0"/>
      <w:marTop w:val="0"/>
      <w:marBottom w:val="0"/>
      <w:divBdr>
        <w:top w:val="none" w:sz="0" w:space="0" w:color="auto"/>
        <w:left w:val="none" w:sz="0" w:space="0" w:color="auto"/>
        <w:bottom w:val="none" w:sz="0" w:space="0" w:color="auto"/>
        <w:right w:val="none" w:sz="0" w:space="0" w:color="auto"/>
      </w:divBdr>
    </w:div>
    <w:div w:id="618607767">
      <w:bodyDiv w:val="1"/>
      <w:marLeft w:val="0"/>
      <w:marRight w:val="0"/>
      <w:marTop w:val="0"/>
      <w:marBottom w:val="0"/>
      <w:divBdr>
        <w:top w:val="none" w:sz="0" w:space="0" w:color="auto"/>
        <w:left w:val="none" w:sz="0" w:space="0" w:color="auto"/>
        <w:bottom w:val="none" w:sz="0" w:space="0" w:color="auto"/>
        <w:right w:val="none" w:sz="0" w:space="0" w:color="auto"/>
      </w:divBdr>
    </w:div>
    <w:div w:id="637224532">
      <w:bodyDiv w:val="1"/>
      <w:marLeft w:val="0"/>
      <w:marRight w:val="0"/>
      <w:marTop w:val="0"/>
      <w:marBottom w:val="0"/>
      <w:divBdr>
        <w:top w:val="none" w:sz="0" w:space="0" w:color="auto"/>
        <w:left w:val="none" w:sz="0" w:space="0" w:color="auto"/>
        <w:bottom w:val="none" w:sz="0" w:space="0" w:color="auto"/>
        <w:right w:val="none" w:sz="0" w:space="0" w:color="auto"/>
      </w:divBdr>
    </w:div>
    <w:div w:id="650256929">
      <w:bodyDiv w:val="1"/>
      <w:marLeft w:val="0"/>
      <w:marRight w:val="0"/>
      <w:marTop w:val="0"/>
      <w:marBottom w:val="0"/>
      <w:divBdr>
        <w:top w:val="none" w:sz="0" w:space="0" w:color="auto"/>
        <w:left w:val="none" w:sz="0" w:space="0" w:color="auto"/>
        <w:bottom w:val="none" w:sz="0" w:space="0" w:color="auto"/>
        <w:right w:val="none" w:sz="0" w:space="0" w:color="auto"/>
      </w:divBdr>
    </w:div>
    <w:div w:id="677318280">
      <w:bodyDiv w:val="1"/>
      <w:marLeft w:val="0"/>
      <w:marRight w:val="0"/>
      <w:marTop w:val="0"/>
      <w:marBottom w:val="0"/>
      <w:divBdr>
        <w:top w:val="none" w:sz="0" w:space="0" w:color="auto"/>
        <w:left w:val="none" w:sz="0" w:space="0" w:color="auto"/>
        <w:bottom w:val="none" w:sz="0" w:space="0" w:color="auto"/>
        <w:right w:val="none" w:sz="0" w:space="0" w:color="auto"/>
      </w:divBdr>
      <w:divsChild>
        <w:div w:id="101924184">
          <w:marLeft w:val="605"/>
          <w:marRight w:val="0"/>
          <w:marTop w:val="230"/>
          <w:marBottom w:val="0"/>
          <w:divBdr>
            <w:top w:val="none" w:sz="0" w:space="0" w:color="auto"/>
            <w:left w:val="none" w:sz="0" w:space="0" w:color="auto"/>
            <w:bottom w:val="none" w:sz="0" w:space="0" w:color="auto"/>
            <w:right w:val="none" w:sz="0" w:space="0" w:color="auto"/>
          </w:divBdr>
        </w:div>
        <w:div w:id="127210002">
          <w:marLeft w:val="605"/>
          <w:marRight w:val="0"/>
          <w:marTop w:val="230"/>
          <w:marBottom w:val="0"/>
          <w:divBdr>
            <w:top w:val="none" w:sz="0" w:space="0" w:color="auto"/>
            <w:left w:val="none" w:sz="0" w:space="0" w:color="auto"/>
            <w:bottom w:val="none" w:sz="0" w:space="0" w:color="auto"/>
            <w:right w:val="none" w:sz="0" w:space="0" w:color="auto"/>
          </w:divBdr>
        </w:div>
        <w:div w:id="303966865">
          <w:marLeft w:val="605"/>
          <w:marRight w:val="0"/>
          <w:marTop w:val="230"/>
          <w:marBottom w:val="0"/>
          <w:divBdr>
            <w:top w:val="none" w:sz="0" w:space="0" w:color="auto"/>
            <w:left w:val="none" w:sz="0" w:space="0" w:color="auto"/>
            <w:bottom w:val="none" w:sz="0" w:space="0" w:color="auto"/>
            <w:right w:val="none" w:sz="0" w:space="0" w:color="auto"/>
          </w:divBdr>
        </w:div>
        <w:div w:id="329912697">
          <w:marLeft w:val="605"/>
          <w:marRight w:val="0"/>
          <w:marTop w:val="230"/>
          <w:marBottom w:val="0"/>
          <w:divBdr>
            <w:top w:val="none" w:sz="0" w:space="0" w:color="auto"/>
            <w:left w:val="none" w:sz="0" w:space="0" w:color="auto"/>
            <w:bottom w:val="none" w:sz="0" w:space="0" w:color="auto"/>
            <w:right w:val="none" w:sz="0" w:space="0" w:color="auto"/>
          </w:divBdr>
        </w:div>
        <w:div w:id="442502029">
          <w:marLeft w:val="605"/>
          <w:marRight w:val="0"/>
          <w:marTop w:val="230"/>
          <w:marBottom w:val="0"/>
          <w:divBdr>
            <w:top w:val="none" w:sz="0" w:space="0" w:color="auto"/>
            <w:left w:val="none" w:sz="0" w:space="0" w:color="auto"/>
            <w:bottom w:val="none" w:sz="0" w:space="0" w:color="auto"/>
            <w:right w:val="none" w:sz="0" w:space="0" w:color="auto"/>
          </w:divBdr>
        </w:div>
        <w:div w:id="802651347">
          <w:marLeft w:val="605"/>
          <w:marRight w:val="0"/>
          <w:marTop w:val="230"/>
          <w:marBottom w:val="0"/>
          <w:divBdr>
            <w:top w:val="none" w:sz="0" w:space="0" w:color="auto"/>
            <w:left w:val="none" w:sz="0" w:space="0" w:color="auto"/>
            <w:bottom w:val="none" w:sz="0" w:space="0" w:color="auto"/>
            <w:right w:val="none" w:sz="0" w:space="0" w:color="auto"/>
          </w:divBdr>
        </w:div>
        <w:div w:id="865293675">
          <w:marLeft w:val="605"/>
          <w:marRight w:val="0"/>
          <w:marTop w:val="230"/>
          <w:marBottom w:val="0"/>
          <w:divBdr>
            <w:top w:val="none" w:sz="0" w:space="0" w:color="auto"/>
            <w:left w:val="none" w:sz="0" w:space="0" w:color="auto"/>
            <w:bottom w:val="none" w:sz="0" w:space="0" w:color="auto"/>
            <w:right w:val="none" w:sz="0" w:space="0" w:color="auto"/>
          </w:divBdr>
        </w:div>
        <w:div w:id="1305770192">
          <w:marLeft w:val="605"/>
          <w:marRight w:val="0"/>
          <w:marTop w:val="230"/>
          <w:marBottom w:val="0"/>
          <w:divBdr>
            <w:top w:val="none" w:sz="0" w:space="0" w:color="auto"/>
            <w:left w:val="none" w:sz="0" w:space="0" w:color="auto"/>
            <w:bottom w:val="none" w:sz="0" w:space="0" w:color="auto"/>
            <w:right w:val="none" w:sz="0" w:space="0" w:color="auto"/>
          </w:divBdr>
        </w:div>
      </w:divsChild>
    </w:div>
    <w:div w:id="684595802">
      <w:bodyDiv w:val="1"/>
      <w:marLeft w:val="0"/>
      <w:marRight w:val="0"/>
      <w:marTop w:val="0"/>
      <w:marBottom w:val="0"/>
      <w:divBdr>
        <w:top w:val="none" w:sz="0" w:space="0" w:color="auto"/>
        <w:left w:val="none" w:sz="0" w:space="0" w:color="auto"/>
        <w:bottom w:val="none" w:sz="0" w:space="0" w:color="auto"/>
        <w:right w:val="none" w:sz="0" w:space="0" w:color="auto"/>
      </w:divBdr>
    </w:div>
    <w:div w:id="710302440">
      <w:bodyDiv w:val="1"/>
      <w:marLeft w:val="0"/>
      <w:marRight w:val="0"/>
      <w:marTop w:val="0"/>
      <w:marBottom w:val="0"/>
      <w:divBdr>
        <w:top w:val="none" w:sz="0" w:space="0" w:color="auto"/>
        <w:left w:val="none" w:sz="0" w:space="0" w:color="auto"/>
        <w:bottom w:val="none" w:sz="0" w:space="0" w:color="auto"/>
        <w:right w:val="none" w:sz="0" w:space="0" w:color="auto"/>
      </w:divBdr>
    </w:div>
    <w:div w:id="718630368">
      <w:bodyDiv w:val="1"/>
      <w:marLeft w:val="0"/>
      <w:marRight w:val="0"/>
      <w:marTop w:val="0"/>
      <w:marBottom w:val="0"/>
      <w:divBdr>
        <w:top w:val="none" w:sz="0" w:space="0" w:color="auto"/>
        <w:left w:val="none" w:sz="0" w:space="0" w:color="auto"/>
        <w:bottom w:val="none" w:sz="0" w:space="0" w:color="auto"/>
        <w:right w:val="none" w:sz="0" w:space="0" w:color="auto"/>
      </w:divBdr>
      <w:divsChild>
        <w:div w:id="208539520">
          <w:marLeft w:val="605"/>
          <w:marRight w:val="0"/>
          <w:marTop w:val="230"/>
          <w:marBottom w:val="0"/>
          <w:divBdr>
            <w:top w:val="none" w:sz="0" w:space="0" w:color="auto"/>
            <w:left w:val="none" w:sz="0" w:space="0" w:color="auto"/>
            <w:bottom w:val="none" w:sz="0" w:space="0" w:color="auto"/>
            <w:right w:val="none" w:sz="0" w:space="0" w:color="auto"/>
          </w:divBdr>
        </w:div>
        <w:div w:id="240989067">
          <w:marLeft w:val="605"/>
          <w:marRight w:val="0"/>
          <w:marTop w:val="230"/>
          <w:marBottom w:val="0"/>
          <w:divBdr>
            <w:top w:val="none" w:sz="0" w:space="0" w:color="auto"/>
            <w:left w:val="none" w:sz="0" w:space="0" w:color="auto"/>
            <w:bottom w:val="none" w:sz="0" w:space="0" w:color="auto"/>
            <w:right w:val="none" w:sz="0" w:space="0" w:color="auto"/>
          </w:divBdr>
        </w:div>
        <w:div w:id="294484772">
          <w:marLeft w:val="605"/>
          <w:marRight w:val="0"/>
          <w:marTop w:val="230"/>
          <w:marBottom w:val="0"/>
          <w:divBdr>
            <w:top w:val="none" w:sz="0" w:space="0" w:color="auto"/>
            <w:left w:val="none" w:sz="0" w:space="0" w:color="auto"/>
            <w:bottom w:val="none" w:sz="0" w:space="0" w:color="auto"/>
            <w:right w:val="none" w:sz="0" w:space="0" w:color="auto"/>
          </w:divBdr>
        </w:div>
        <w:div w:id="903292368">
          <w:marLeft w:val="605"/>
          <w:marRight w:val="0"/>
          <w:marTop w:val="230"/>
          <w:marBottom w:val="0"/>
          <w:divBdr>
            <w:top w:val="none" w:sz="0" w:space="0" w:color="auto"/>
            <w:left w:val="none" w:sz="0" w:space="0" w:color="auto"/>
            <w:bottom w:val="none" w:sz="0" w:space="0" w:color="auto"/>
            <w:right w:val="none" w:sz="0" w:space="0" w:color="auto"/>
          </w:divBdr>
        </w:div>
        <w:div w:id="988825794">
          <w:marLeft w:val="605"/>
          <w:marRight w:val="0"/>
          <w:marTop w:val="230"/>
          <w:marBottom w:val="0"/>
          <w:divBdr>
            <w:top w:val="none" w:sz="0" w:space="0" w:color="auto"/>
            <w:left w:val="none" w:sz="0" w:space="0" w:color="auto"/>
            <w:bottom w:val="none" w:sz="0" w:space="0" w:color="auto"/>
            <w:right w:val="none" w:sz="0" w:space="0" w:color="auto"/>
          </w:divBdr>
        </w:div>
        <w:div w:id="1118063017">
          <w:marLeft w:val="605"/>
          <w:marRight w:val="0"/>
          <w:marTop w:val="230"/>
          <w:marBottom w:val="0"/>
          <w:divBdr>
            <w:top w:val="none" w:sz="0" w:space="0" w:color="auto"/>
            <w:left w:val="none" w:sz="0" w:space="0" w:color="auto"/>
            <w:bottom w:val="none" w:sz="0" w:space="0" w:color="auto"/>
            <w:right w:val="none" w:sz="0" w:space="0" w:color="auto"/>
          </w:divBdr>
        </w:div>
        <w:div w:id="1445421461">
          <w:marLeft w:val="605"/>
          <w:marRight w:val="0"/>
          <w:marTop w:val="230"/>
          <w:marBottom w:val="0"/>
          <w:divBdr>
            <w:top w:val="none" w:sz="0" w:space="0" w:color="auto"/>
            <w:left w:val="none" w:sz="0" w:space="0" w:color="auto"/>
            <w:bottom w:val="none" w:sz="0" w:space="0" w:color="auto"/>
            <w:right w:val="none" w:sz="0" w:space="0" w:color="auto"/>
          </w:divBdr>
        </w:div>
        <w:div w:id="1731804054">
          <w:marLeft w:val="605"/>
          <w:marRight w:val="0"/>
          <w:marTop w:val="230"/>
          <w:marBottom w:val="0"/>
          <w:divBdr>
            <w:top w:val="none" w:sz="0" w:space="0" w:color="auto"/>
            <w:left w:val="none" w:sz="0" w:space="0" w:color="auto"/>
            <w:bottom w:val="none" w:sz="0" w:space="0" w:color="auto"/>
            <w:right w:val="none" w:sz="0" w:space="0" w:color="auto"/>
          </w:divBdr>
        </w:div>
        <w:div w:id="1989703329">
          <w:marLeft w:val="605"/>
          <w:marRight w:val="0"/>
          <w:marTop w:val="230"/>
          <w:marBottom w:val="0"/>
          <w:divBdr>
            <w:top w:val="none" w:sz="0" w:space="0" w:color="auto"/>
            <w:left w:val="none" w:sz="0" w:space="0" w:color="auto"/>
            <w:bottom w:val="none" w:sz="0" w:space="0" w:color="auto"/>
            <w:right w:val="none" w:sz="0" w:space="0" w:color="auto"/>
          </w:divBdr>
        </w:div>
      </w:divsChild>
    </w:div>
    <w:div w:id="727067292">
      <w:bodyDiv w:val="1"/>
      <w:marLeft w:val="0"/>
      <w:marRight w:val="0"/>
      <w:marTop w:val="0"/>
      <w:marBottom w:val="0"/>
      <w:divBdr>
        <w:top w:val="none" w:sz="0" w:space="0" w:color="auto"/>
        <w:left w:val="none" w:sz="0" w:space="0" w:color="auto"/>
        <w:bottom w:val="none" w:sz="0" w:space="0" w:color="auto"/>
        <w:right w:val="none" w:sz="0" w:space="0" w:color="auto"/>
      </w:divBdr>
      <w:divsChild>
        <w:div w:id="277377553">
          <w:marLeft w:val="605"/>
          <w:marRight w:val="0"/>
          <w:marTop w:val="230"/>
          <w:marBottom w:val="0"/>
          <w:divBdr>
            <w:top w:val="none" w:sz="0" w:space="0" w:color="auto"/>
            <w:left w:val="none" w:sz="0" w:space="0" w:color="auto"/>
            <w:bottom w:val="none" w:sz="0" w:space="0" w:color="auto"/>
            <w:right w:val="none" w:sz="0" w:space="0" w:color="auto"/>
          </w:divBdr>
        </w:div>
        <w:div w:id="478573149">
          <w:marLeft w:val="605"/>
          <w:marRight w:val="0"/>
          <w:marTop w:val="230"/>
          <w:marBottom w:val="0"/>
          <w:divBdr>
            <w:top w:val="none" w:sz="0" w:space="0" w:color="auto"/>
            <w:left w:val="none" w:sz="0" w:space="0" w:color="auto"/>
            <w:bottom w:val="none" w:sz="0" w:space="0" w:color="auto"/>
            <w:right w:val="none" w:sz="0" w:space="0" w:color="auto"/>
          </w:divBdr>
        </w:div>
        <w:div w:id="710809234">
          <w:marLeft w:val="605"/>
          <w:marRight w:val="0"/>
          <w:marTop w:val="230"/>
          <w:marBottom w:val="0"/>
          <w:divBdr>
            <w:top w:val="none" w:sz="0" w:space="0" w:color="auto"/>
            <w:left w:val="none" w:sz="0" w:space="0" w:color="auto"/>
            <w:bottom w:val="none" w:sz="0" w:space="0" w:color="auto"/>
            <w:right w:val="none" w:sz="0" w:space="0" w:color="auto"/>
          </w:divBdr>
        </w:div>
        <w:div w:id="733896228">
          <w:marLeft w:val="605"/>
          <w:marRight w:val="0"/>
          <w:marTop w:val="230"/>
          <w:marBottom w:val="0"/>
          <w:divBdr>
            <w:top w:val="none" w:sz="0" w:space="0" w:color="auto"/>
            <w:left w:val="none" w:sz="0" w:space="0" w:color="auto"/>
            <w:bottom w:val="none" w:sz="0" w:space="0" w:color="auto"/>
            <w:right w:val="none" w:sz="0" w:space="0" w:color="auto"/>
          </w:divBdr>
        </w:div>
        <w:div w:id="1352487056">
          <w:marLeft w:val="605"/>
          <w:marRight w:val="0"/>
          <w:marTop w:val="230"/>
          <w:marBottom w:val="0"/>
          <w:divBdr>
            <w:top w:val="none" w:sz="0" w:space="0" w:color="auto"/>
            <w:left w:val="none" w:sz="0" w:space="0" w:color="auto"/>
            <w:bottom w:val="none" w:sz="0" w:space="0" w:color="auto"/>
            <w:right w:val="none" w:sz="0" w:space="0" w:color="auto"/>
          </w:divBdr>
        </w:div>
        <w:div w:id="1357346287">
          <w:marLeft w:val="605"/>
          <w:marRight w:val="0"/>
          <w:marTop w:val="230"/>
          <w:marBottom w:val="0"/>
          <w:divBdr>
            <w:top w:val="none" w:sz="0" w:space="0" w:color="auto"/>
            <w:left w:val="none" w:sz="0" w:space="0" w:color="auto"/>
            <w:bottom w:val="none" w:sz="0" w:space="0" w:color="auto"/>
            <w:right w:val="none" w:sz="0" w:space="0" w:color="auto"/>
          </w:divBdr>
        </w:div>
        <w:div w:id="1499006541">
          <w:marLeft w:val="605"/>
          <w:marRight w:val="0"/>
          <w:marTop w:val="230"/>
          <w:marBottom w:val="0"/>
          <w:divBdr>
            <w:top w:val="none" w:sz="0" w:space="0" w:color="auto"/>
            <w:left w:val="none" w:sz="0" w:space="0" w:color="auto"/>
            <w:bottom w:val="none" w:sz="0" w:space="0" w:color="auto"/>
            <w:right w:val="none" w:sz="0" w:space="0" w:color="auto"/>
          </w:divBdr>
        </w:div>
        <w:div w:id="1628320357">
          <w:marLeft w:val="605"/>
          <w:marRight w:val="0"/>
          <w:marTop w:val="230"/>
          <w:marBottom w:val="0"/>
          <w:divBdr>
            <w:top w:val="none" w:sz="0" w:space="0" w:color="auto"/>
            <w:left w:val="none" w:sz="0" w:space="0" w:color="auto"/>
            <w:bottom w:val="none" w:sz="0" w:space="0" w:color="auto"/>
            <w:right w:val="none" w:sz="0" w:space="0" w:color="auto"/>
          </w:divBdr>
        </w:div>
        <w:div w:id="1748573256">
          <w:marLeft w:val="605"/>
          <w:marRight w:val="0"/>
          <w:marTop w:val="230"/>
          <w:marBottom w:val="0"/>
          <w:divBdr>
            <w:top w:val="none" w:sz="0" w:space="0" w:color="auto"/>
            <w:left w:val="none" w:sz="0" w:space="0" w:color="auto"/>
            <w:bottom w:val="none" w:sz="0" w:space="0" w:color="auto"/>
            <w:right w:val="none" w:sz="0" w:space="0" w:color="auto"/>
          </w:divBdr>
        </w:div>
        <w:div w:id="2044361774">
          <w:marLeft w:val="605"/>
          <w:marRight w:val="0"/>
          <w:marTop w:val="230"/>
          <w:marBottom w:val="0"/>
          <w:divBdr>
            <w:top w:val="none" w:sz="0" w:space="0" w:color="auto"/>
            <w:left w:val="none" w:sz="0" w:space="0" w:color="auto"/>
            <w:bottom w:val="none" w:sz="0" w:space="0" w:color="auto"/>
            <w:right w:val="none" w:sz="0" w:space="0" w:color="auto"/>
          </w:divBdr>
        </w:div>
      </w:divsChild>
    </w:div>
    <w:div w:id="729108934">
      <w:bodyDiv w:val="1"/>
      <w:marLeft w:val="0"/>
      <w:marRight w:val="0"/>
      <w:marTop w:val="0"/>
      <w:marBottom w:val="0"/>
      <w:divBdr>
        <w:top w:val="none" w:sz="0" w:space="0" w:color="auto"/>
        <w:left w:val="none" w:sz="0" w:space="0" w:color="auto"/>
        <w:bottom w:val="none" w:sz="0" w:space="0" w:color="auto"/>
        <w:right w:val="none" w:sz="0" w:space="0" w:color="auto"/>
      </w:divBdr>
      <w:divsChild>
        <w:div w:id="1528059688">
          <w:marLeft w:val="0"/>
          <w:marRight w:val="0"/>
          <w:marTop w:val="0"/>
          <w:marBottom w:val="0"/>
          <w:divBdr>
            <w:top w:val="none" w:sz="0" w:space="0" w:color="auto"/>
            <w:left w:val="none" w:sz="0" w:space="0" w:color="auto"/>
            <w:bottom w:val="none" w:sz="0" w:space="0" w:color="auto"/>
            <w:right w:val="none" w:sz="0" w:space="0" w:color="auto"/>
          </w:divBdr>
        </w:div>
        <w:div w:id="848909579">
          <w:marLeft w:val="0"/>
          <w:marRight w:val="0"/>
          <w:marTop w:val="0"/>
          <w:marBottom w:val="0"/>
          <w:divBdr>
            <w:top w:val="none" w:sz="0" w:space="0" w:color="auto"/>
            <w:left w:val="none" w:sz="0" w:space="0" w:color="auto"/>
            <w:bottom w:val="none" w:sz="0" w:space="0" w:color="auto"/>
            <w:right w:val="none" w:sz="0" w:space="0" w:color="auto"/>
          </w:divBdr>
        </w:div>
      </w:divsChild>
    </w:div>
    <w:div w:id="732194539">
      <w:bodyDiv w:val="1"/>
      <w:marLeft w:val="0"/>
      <w:marRight w:val="0"/>
      <w:marTop w:val="0"/>
      <w:marBottom w:val="0"/>
      <w:divBdr>
        <w:top w:val="none" w:sz="0" w:space="0" w:color="auto"/>
        <w:left w:val="none" w:sz="0" w:space="0" w:color="auto"/>
        <w:bottom w:val="none" w:sz="0" w:space="0" w:color="auto"/>
        <w:right w:val="none" w:sz="0" w:space="0" w:color="auto"/>
      </w:divBdr>
    </w:div>
    <w:div w:id="764618105">
      <w:bodyDiv w:val="1"/>
      <w:marLeft w:val="0"/>
      <w:marRight w:val="0"/>
      <w:marTop w:val="0"/>
      <w:marBottom w:val="0"/>
      <w:divBdr>
        <w:top w:val="none" w:sz="0" w:space="0" w:color="auto"/>
        <w:left w:val="none" w:sz="0" w:space="0" w:color="auto"/>
        <w:bottom w:val="none" w:sz="0" w:space="0" w:color="auto"/>
        <w:right w:val="none" w:sz="0" w:space="0" w:color="auto"/>
      </w:divBdr>
    </w:div>
    <w:div w:id="779955063">
      <w:bodyDiv w:val="1"/>
      <w:marLeft w:val="0"/>
      <w:marRight w:val="0"/>
      <w:marTop w:val="0"/>
      <w:marBottom w:val="0"/>
      <w:divBdr>
        <w:top w:val="none" w:sz="0" w:space="0" w:color="auto"/>
        <w:left w:val="none" w:sz="0" w:space="0" w:color="auto"/>
        <w:bottom w:val="none" w:sz="0" w:space="0" w:color="auto"/>
        <w:right w:val="none" w:sz="0" w:space="0" w:color="auto"/>
      </w:divBdr>
    </w:div>
    <w:div w:id="800269628">
      <w:bodyDiv w:val="1"/>
      <w:marLeft w:val="0"/>
      <w:marRight w:val="0"/>
      <w:marTop w:val="0"/>
      <w:marBottom w:val="0"/>
      <w:divBdr>
        <w:top w:val="none" w:sz="0" w:space="0" w:color="auto"/>
        <w:left w:val="none" w:sz="0" w:space="0" w:color="auto"/>
        <w:bottom w:val="none" w:sz="0" w:space="0" w:color="auto"/>
        <w:right w:val="none" w:sz="0" w:space="0" w:color="auto"/>
      </w:divBdr>
    </w:div>
    <w:div w:id="842935021">
      <w:bodyDiv w:val="1"/>
      <w:marLeft w:val="0"/>
      <w:marRight w:val="0"/>
      <w:marTop w:val="0"/>
      <w:marBottom w:val="0"/>
      <w:divBdr>
        <w:top w:val="none" w:sz="0" w:space="0" w:color="auto"/>
        <w:left w:val="none" w:sz="0" w:space="0" w:color="auto"/>
        <w:bottom w:val="none" w:sz="0" w:space="0" w:color="auto"/>
        <w:right w:val="none" w:sz="0" w:space="0" w:color="auto"/>
      </w:divBdr>
    </w:div>
    <w:div w:id="846676562">
      <w:bodyDiv w:val="1"/>
      <w:marLeft w:val="0"/>
      <w:marRight w:val="0"/>
      <w:marTop w:val="0"/>
      <w:marBottom w:val="0"/>
      <w:divBdr>
        <w:top w:val="none" w:sz="0" w:space="0" w:color="auto"/>
        <w:left w:val="none" w:sz="0" w:space="0" w:color="auto"/>
        <w:bottom w:val="none" w:sz="0" w:space="0" w:color="auto"/>
        <w:right w:val="none" w:sz="0" w:space="0" w:color="auto"/>
      </w:divBdr>
      <w:divsChild>
        <w:div w:id="1220164825">
          <w:marLeft w:val="605"/>
          <w:marRight w:val="0"/>
          <w:marTop w:val="230"/>
          <w:marBottom w:val="0"/>
          <w:divBdr>
            <w:top w:val="none" w:sz="0" w:space="0" w:color="auto"/>
            <w:left w:val="none" w:sz="0" w:space="0" w:color="auto"/>
            <w:bottom w:val="none" w:sz="0" w:space="0" w:color="auto"/>
            <w:right w:val="none" w:sz="0" w:space="0" w:color="auto"/>
          </w:divBdr>
        </w:div>
        <w:div w:id="1660452597">
          <w:marLeft w:val="605"/>
          <w:marRight w:val="0"/>
          <w:marTop w:val="230"/>
          <w:marBottom w:val="0"/>
          <w:divBdr>
            <w:top w:val="none" w:sz="0" w:space="0" w:color="auto"/>
            <w:left w:val="none" w:sz="0" w:space="0" w:color="auto"/>
            <w:bottom w:val="none" w:sz="0" w:space="0" w:color="auto"/>
            <w:right w:val="none" w:sz="0" w:space="0" w:color="auto"/>
          </w:divBdr>
        </w:div>
      </w:divsChild>
    </w:div>
    <w:div w:id="861476750">
      <w:bodyDiv w:val="1"/>
      <w:marLeft w:val="0"/>
      <w:marRight w:val="0"/>
      <w:marTop w:val="0"/>
      <w:marBottom w:val="0"/>
      <w:divBdr>
        <w:top w:val="none" w:sz="0" w:space="0" w:color="auto"/>
        <w:left w:val="none" w:sz="0" w:space="0" w:color="auto"/>
        <w:bottom w:val="none" w:sz="0" w:space="0" w:color="auto"/>
        <w:right w:val="none" w:sz="0" w:space="0" w:color="auto"/>
      </w:divBdr>
    </w:div>
    <w:div w:id="866336687">
      <w:bodyDiv w:val="1"/>
      <w:marLeft w:val="0"/>
      <w:marRight w:val="0"/>
      <w:marTop w:val="0"/>
      <w:marBottom w:val="0"/>
      <w:divBdr>
        <w:top w:val="none" w:sz="0" w:space="0" w:color="auto"/>
        <w:left w:val="none" w:sz="0" w:space="0" w:color="auto"/>
        <w:bottom w:val="none" w:sz="0" w:space="0" w:color="auto"/>
        <w:right w:val="none" w:sz="0" w:space="0" w:color="auto"/>
      </w:divBdr>
    </w:div>
    <w:div w:id="866531372">
      <w:bodyDiv w:val="1"/>
      <w:marLeft w:val="0"/>
      <w:marRight w:val="0"/>
      <w:marTop w:val="0"/>
      <w:marBottom w:val="0"/>
      <w:divBdr>
        <w:top w:val="none" w:sz="0" w:space="0" w:color="auto"/>
        <w:left w:val="none" w:sz="0" w:space="0" w:color="auto"/>
        <w:bottom w:val="none" w:sz="0" w:space="0" w:color="auto"/>
        <w:right w:val="none" w:sz="0" w:space="0" w:color="auto"/>
      </w:divBdr>
    </w:div>
    <w:div w:id="868226319">
      <w:bodyDiv w:val="1"/>
      <w:marLeft w:val="0"/>
      <w:marRight w:val="0"/>
      <w:marTop w:val="0"/>
      <w:marBottom w:val="0"/>
      <w:divBdr>
        <w:top w:val="none" w:sz="0" w:space="0" w:color="auto"/>
        <w:left w:val="none" w:sz="0" w:space="0" w:color="auto"/>
        <w:bottom w:val="none" w:sz="0" w:space="0" w:color="auto"/>
        <w:right w:val="none" w:sz="0" w:space="0" w:color="auto"/>
      </w:divBdr>
      <w:divsChild>
        <w:div w:id="331033869">
          <w:marLeft w:val="605"/>
          <w:marRight w:val="0"/>
          <w:marTop w:val="221"/>
          <w:marBottom w:val="0"/>
          <w:divBdr>
            <w:top w:val="none" w:sz="0" w:space="0" w:color="auto"/>
            <w:left w:val="none" w:sz="0" w:space="0" w:color="auto"/>
            <w:bottom w:val="none" w:sz="0" w:space="0" w:color="auto"/>
            <w:right w:val="none" w:sz="0" w:space="0" w:color="auto"/>
          </w:divBdr>
        </w:div>
        <w:div w:id="1092357035">
          <w:marLeft w:val="605"/>
          <w:marRight w:val="0"/>
          <w:marTop w:val="221"/>
          <w:marBottom w:val="0"/>
          <w:divBdr>
            <w:top w:val="none" w:sz="0" w:space="0" w:color="auto"/>
            <w:left w:val="none" w:sz="0" w:space="0" w:color="auto"/>
            <w:bottom w:val="none" w:sz="0" w:space="0" w:color="auto"/>
            <w:right w:val="none" w:sz="0" w:space="0" w:color="auto"/>
          </w:divBdr>
        </w:div>
        <w:div w:id="2013486318">
          <w:marLeft w:val="605"/>
          <w:marRight w:val="0"/>
          <w:marTop w:val="221"/>
          <w:marBottom w:val="0"/>
          <w:divBdr>
            <w:top w:val="none" w:sz="0" w:space="0" w:color="auto"/>
            <w:left w:val="none" w:sz="0" w:space="0" w:color="auto"/>
            <w:bottom w:val="none" w:sz="0" w:space="0" w:color="auto"/>
            <w:right w:val="none" w:sz="0" w:space="0" w:color="auto"/>
          </w:divBdr>
        </w:div>
      </w:divsChild>
    </w:div>
    <w:div w:id="875461694">
      <w:bodyDiv w:val="1"/>
      <w:marLeft w:val="0"/>
      <w:marRight w:val="0"/>
      <w:marTop w:val="0"/>
      <w:marBottom w:val="0"/>
      <w:divBdr>
        <w:top w:val="none" w:sz="0" w:space="0" w:color="auto"/>
        <w:left w:val="none" w:sz="0" w:space="0" w:color="auto"/>
        <w:bottom w:val="none" w:sz="0" w:space="0" w:color="auto"/>
        <w:right w:val="none" w:sz="0" w:space="0" w:color="auto"/>
      </w:divBdr>
      <w:divsChild>
        <w:div w:id="1122770139">
          <w:marLeft w:val="605"/>
          <w:marRight w:val="0"/>
          <w:marTop w:val="230"/>
          <w:marBottom w:val="0"/>
          <w:divBdr>
            <w:top w:val="none" w:sz="0" w:space="0" w:color="auto"/>
            <w:left w:val="none" w:sz="0" w:space="0" w:color="auto"/>
            <w:bottom w:val="none" w:sz="0" w:space="0" w:color="auto"/>
            <w:right w:val="none" w:sz="0" w:space="0" w:color="auto"/>
          </w:divBdr>
        </w:div>
        <w:div w:id="2118327216">
          <w:marLeft w:val="605"/>
          <w:marRight w:val="0"/>
          <w:marTop w:val="230"/>
          <w:marBottom w:val="0"/>
          <w:divBdr>
            <w:top w:val="none" w:sz="0" w:space="0" w:color="auto"/>
            <w:left w:val="none" w:sz="0" w:space="0" w:color="auto"/>
            <w:bottom w:val="none" w:sz="0" w:space="0" w:color="auto"/>
            <w:right w:val="none" w:sz="0" w:space="0" w:color="auto"/>
          </w:divBdr>
        </w:div>
      </w:divsChild>
    </w:div>
    <w:div w:id="919800894">
      <w:bodyDiv w:val="1"/>
      <w:marLeft w:val="0"/>
      <w:marRight w:val="0"/>
      <w:marTop w:val="0"/>
      <w:marBottom w:val="0"/>
      <w:divBdr>
        <w:top w:val="none" w:sz="0" w:space="0" w:color="auto"/>
        <w:left w:val="none" w:sz="0" w:space="0" w:color="auto"/>
        <w:bottom w:val="none" w:sz="0" w:space="0" w:color="auto"/>
        <w:right w:val="none" w:sz="0" w:space="0" w:color="auto"/>
      </w:divBdr>
    </w:div>
    <w:div w:id="948046044">
      <w:bodyDiv w:val="1"/>
      <w:marLeft w:val="0"/>
      <w:marRight w:val="0"/>
      <w:marTop w:val="0"/>
      <w:marBottom w:val="0"/>
      <w:divBdr>
        <w:top w:val="none" w:sz="0" w:space="0" w:color="auto"/>
        <w:left w:val="none" w:sz="0" w:space="0" w:color="auto"/>
        <w:bottom w:val="none" w:sz="0" w:space="0" w:color="auto"/>
        <w:right w:val="none" w:sz="0" w:space="0" w:color="auto"/>
      </w:divBdr>
      <w:divsChild>
        <w:div w:id="1105689412">
          <w:marLeft w:val="605"/>
          <w:marRight w:val="0"/>
          <w:marTop w:val="269"/>
          <w:marBottom w:val="0"/>
          <w:divBdr>
            <w:top w:val="none" w:sz="0" w:space="0" w:color="auto"/>
            <w:left w:val="none" w:sz="0" w:space="0" w:color="auto"/>
            <w:bottom w:val="none" w:sz="0" w:space="0" w:color="auto"/>
            <w:right w:val="none" w:sz="0" w:space="0" w:color="auto"/>
          </w:divBdr>
        </w:div>
        <w:div w:id="1248227357">
          <w:marLeft w:val="605"/>
          <w:marRight w:val="0"/>
          <w:marTop w:val="269"/>
          <w:marBottom w:val="0"/>
          <w:divBdr>
            <w:top w:val="none" w:sz="0" w:space="0" w:color="auto"/>
            <w:left w:val="none" w:sz="0" w:space="0" w:color="auto"/>
            <w:bottom w:val="none" w:sz="0" w:space="0" w:color="auto"/>
            <w:right w:val="none" w:sz="0" w:space="0" w:color="auto"/>
          </w:divBdr>
        </w:div>
        <w:div w:id="2106725931">
          <w:marLeft w:val="605"/>
          <w:marRight w:val="0"/>
          <w:marTop w:val="269"/>
          <w:marBottom w:val="0"/>
          <w:divBdr>
            <w:top w:val="none" w:sz="0" w:space="0" w:color="auto"/>
            <w:left w:val="none" w:sz="0" w:space="0" w:color="auto"/>
            <w:bottom w:val="none" w:sz="0" w:space="0" w:color="auto"/>
            <w:right w:val="none" w:sz="0" w:space="0" w:color="auto"/>
          </w:divBdr>
        </w:div>
      </w:divsChild>
    </w:div>
    <w:div w:id="948706772">
      <w:bodyDiv w:val="1"/>
      <w:marLeft w:val="0"/>
      <w:marRight w:val="0"/>
      <w:marTop w:val="0"/>
      <w:marBottom w:val="0"/>
      <w:divBdr>
        <w:top w:val="none" w:sz="0" w:space="0" w:color="auto"/>
        <w:left w:val="none" w:sz="0" w:space="0" w:color="auto"/>
        <w:bottom w:val="none" w:sz="0" w:space="0" w:color="auto"/>
        <w:right w:val="none" w:sz="0" w:space="0" w:color="auto"/>
      </w:divBdr>
      <w:divsChild>
        <w:div w:id="365954513">
          <w:marLeft w:val="605"/>
          <w:marRight w:val="0"/>
          <w:marTop w:val="230"/>
          <w:marBottom w:val="0"/>
          <w:divBdr>
            <w:top w:val="none" w:sz="0" w:space="0" w:color="auto"/>
            <w:left w:val="none" w:sz="0" w:space="0" w:color="auto"/>
            <w:bottom w:val="none" w:sz="0" w:space="0" w:color="auto"/>
            <w:right w:val="none" w:sz="0" w:space="0" w:color="auto"/>
          </w:divBdr>
        </w:div>
        <w:div w:id="665288350">
          <w:marLeft w:val="605"/>
          <w:marRight w:val="0"/>
          <w:marTop w:val="230"/>
          <w:marBottom w:val="0"/>
          <w:divBdr>
            <w:top w:val="none" w:sz="0" w:space="0" w:color="auto"/>
            <w:left w:val="none" w:sz="0" w:space="0" w:color="auto"/>
            <w:bottom w:val="none" w:sz="0" w:space="0" w:color="auto"/>
            <w:right w:val="none" w:sz="0" w:space="0" w:color="auto"/>
          </w:divBdr>
        </w:div>
        <w:div w:id="761681559">
          <w:marLeft w:val="605"/>
          <w:marRight w:val="0"/>
          <w:marTop w:val="230"/>
          <w:marBottom w:val="0"/>
          <w:divBdr>
            <w:top w:val="none" w:sz="0" w:space="0" w:color="auto"/>
            <w:left w:val="none" w:sz="0" w:space="0" w:color="auto"/>
            <w:bottom w:val="none" w:sz="0" w:space="0" w:color="auto"/>
            <w:right w:val="none" w:sz="0" w:space="0" w:color="auto"/>
          </w:divBdr>
        </w:div>
        <w:div w:id="807472207">
          <w:marLeft w:val="605"/>
          <w:marRight w:val="0"/>
          <w:marTop w:val="230"/>
          <w:marBottom w:val="0"/>
          <w:divBdr>
            <w:top w:val="none" w:sz="0" w:space="0" w:color="auto"/>
            <w:left w:val="none" w:sz="0" w:space="0" w:color="auto"/>
            <w:bottom w:val="none" w:sz="0" w:space="0" w:color="auto"/>
            <w:right w:val="none" w:sz="0" w:space="0" w:color="auto"/>
          </w:divBdr>
        </w:div>
        <w:div w:id="870265529">
          <w:marLeft w:val="605"/>
          <w:marRight w:val="0"/>
          <w:marTop w:val="230"/>
          <w:marBottom w:val="0"/>
          <w:divBdr>
            <w:top w:val="none" w:sz="0" w:space="0" w:color="auto"/>
            <w:left w:val="none" w:sz="0" w:space="0" w:color="auto"/>
            <w:bottom w:val="none" w:sz="0" w:space="0" w:color="auto"/>
            <w:right w:val="none" w:sz="0" w:space="0" w:color="auto"/>
          </w:divBdr>
        </w:div>
        <w:div w:id="1030766848">
          <w:marLeft w:val="605"/>
          <w:marRight w:val="0"/>
          <w:marTop w:val="230"/>
          <w:marBottom w:val="0"/>
          <w:divBdr>
            <w:top w:val="none" w:sz="0" w:space="0" w:color="auto"/>
            <w:left w:val="none" w:sz="0" w:space="0" w:color="auto"/>
            <w:bottom w:val="none" w:sz="0" w:space="0" w:color="auto"/>
            <w:right w:val="none" w:sz="0" w:space="0" w:color="auto"/>
          </w:divBdr>
        </w:div>
        <w:div w:id="1037658889">
          <w:marLeft w:val="605"/>
          <w:marRight w:val="0"/>
          <w:marTop w:val="230"/>
          <w:marBottom w:val="0"/>
          <w:divBdr>
            <w:top w:val="none" w:sz="0" w:space="0" w:color="auto"/>
            <w:left w:val="none" w:sz="0" w:space="0" w:color="auto"/>
            <w:bottom w:val="none" w:sz="0" w:space="0" w:color="auto"/>
            <w:right w:val="none" w:sz="0" w:space="0" w:color="auto"/>
          </w:divBdr>
        </w:div>
        <w:div w:id="1131824335">
          <w:marLeft w:val="605"/>
          <w:marRight w:val="0"/>
          <w:marTop w:val="230"/>
          <w:marBottom w:val="0"/>
          <w:divBdr>
            <w:top w:val="none" w:sz="0" w:space="0" w:color="auto"/>
            <w:left w:val="none" w:sz="0" w:space="0" w:color="auto"/>
            <w:bottom w:val="none" w:sz="0" w:space="0" w:color="auto"/>
            <w:right w:val="none" w:sz="0" w:space="0" w:color="auto"/>
          </w:divBdr>
        </w:div>
      </w:divsChild>
    </w:div>
    <w:div w:id="952632112">
      <w:bodyDiv w:val="1"/>
      <w:marLeft w:val="0"/>
      <w:marRight w:val="0"/>
      <w:marTop w:val="0"/>
      <w:marBottom w:val="0"/>
      <w:divBdr>
        <w:top w:val="none" w:sz="0" w:space="0" w:color="auto"/>
        <w:left w:val="none" w:sz="0" w:space="0" w:color="auto"/>
        <w:bottom w:val="none" w:sz="0" w:space="0" w:color="auto"/>
        <w:right w:val="none" w:sz="0" w:space="0" w:color="auto"/>
      </w:divBdr>
      <w:divsChild>
        <w:div w:id="34162839">
          <w:marLeft w:val="605"/>
          <w:marRight w:val="0"/>
          <w:marTop w:val="269"/>
          <w:marBottom w:val="0"/>
          <w:divBdr>
            <w:top w:val="none" w:sz="0" w:space="0" w:color="auto"/>
            <w:left w:val="none" w:sz="0" w:space="0" w:color="auto"/>
            <w:bottom w:val="none" w:sz="0" w:space="0" w:color="auto"/>
            <w:right w:val="none" w:sz="0" w:space="0" w:color="auto"/>
          </w:divBdr>
        </w:div>
        <w:div w:id="96756742">
          <w:marLeft w:val="605"/>
          <w:marRight w:val="0"/>
          <w:marTop w:val="269"/>
          <w:marBottom w:val="0"/>
          <w:divBdr>
            <w:top w:val="none" w:sz="0" w:space="0" w:color="auto"/>
            <w:left w:val="none" w:sz="0" w:space="0" w:color="auto"/>
            <w:bottom w:val="none" w:sz="0" w:space="0" w:color="auto"/>
            <w:right w:val="none" w:sz="0" w:space="0" w:color="auto"/>
          </w:divBdr>
        </w:div>
        <w:div w:id="262149997">
          <w:marLeft w:val="605"/>
          <w:marRight w:val="0"/>
          <w:marTop w:val="269"/>
          <w:marBottom w:val="0"/>
          <w:divBdr>
            <w:top w:val="none" w:sz="0" w:space="0" w:color="auto"/>
            <w:left w:val="none" w:sz="0" w:space="0" w:color="auto"/>
            <w:bottom w:val="none" w:sz="0" w:space="0" w:color="auto"/>
            <w:right w:val="none" w:sz="0" w:space="0" w:color="auto"/>
          </w:divBdr>
        </w:div>
        <w:div w:id="702708821">
          <w:marLeft w:val="605"/>
          <w:marRight w:val="0"/>
          <w:marTop w:val="269"/>
          <w:marBottom w:val="0"/>
          <w:divBdr>
            <w:top w:val="none" w:sz="0" w:space="0" w:color="auto"/>
            <w:left w:val="none" w:sz="0" w:space="0" w:color="auto"/>
            <w:bottom w:val="none" w:sz="0" w:space="0" w:color="auto"/>
            <w:right w:val="none" w:sz="0" w:space="0" w:color="auto"/>
          </w:divBdr>
        </w:div>
        <w:div w:id="1062293656">
          <w:marLeft w:val="605"/>
          <w:marRight w:val="0"/>
          <w:marTop w:val="269"/>
          <w:marBottom w:val="0"/>
          <w:divBdr>
            <w:top w:val="none" w:sz="0" w:space="0" w:color="auto"/>
            <w:left w:val="none" w:sz="0" w:space="0" w:color="auto"/>
            <w:bottom w:val="none" w:sz="0" w:space="0" w:color="auto"/>
            <w:right w:val="none" w:sz="0" w:space="0" w:color="auto"/>
          </w:divBdr>
        </w:div>
        <w:div w:id="1432896220">
          <w:marLeft w:val="605"/>
          <w:marRight w:val="0"/>
          <w:marTop w:val="269"/>
          <w:marBottom w:val="0"/>
          <w:divBdr>
            <w:top w:val="none" w:sz="0" w:space="0" w:color="auto"/>
            <w:left w:val="none" w:sz="0" w:space="0" w:color="auto"/>
            <w:bottom w:val="none" w:sz="0" w:space="0" w:color="auto"/>
            <w:right w:val="none" w:sz="0" w:space="0" w:color="auto"/>
          </w:divBdr>
        </w:div>
        <w:div w:id="1860387332">
          <w:marLeft w:val="605"/>
          <w:marRight w:val="0"/>
          <w:marTop w:val="269"/>
          <w:marBottom w:val="0"/>
          <w:divBdr>
            <w:top w:val="none" w:sz="0" w:space="0" w:color="auto"/>
            <w:left w:val="none" w:sz="0" w:space="0" w:color="auto"/>
            <w:bottom w:val="none" w:sz="0" w:space="0" w:color="auto"/>
            <w:right w:val="none" w:sz="0" w:space="0" w:color="auto"/>
          </w:divBdr>
        </w:div>
      </w:divsChild>
    </w:div>
    <w:div w:id="968509734">
      <w:bodyDiv w:val="1"/>
      <w:marLeft w:val="0"/>
      <w:marRight w:val="0"/>
      <w:marTop w:val="0"/>
      <w:marBottom w:val="0"/>
      <w:divBdr>
        <w:top w:val="none" w:sz="0" w:space="0" w:color="auto"/>
        <w:left w:val="none" w:sz="0" w:space="0" w:color="auto"/>
        <w:bottom w:val="none" w:sz="0" w:space="0" w:color="auto"/>
        <w:right w:val="none" w:sz="0" w:space="0" w:color="auto"/>
      </w:divBdr>
      <w:divsChild>
        <w:div w:id="62224711">
          <w:marLeft w:val="547"/>
          <w:marRight w:val="0"/>
          <w:marTop w:val="0"/>
          <w:marBottom w:val="0"/>
          <w:divBdr>
            <w:top w:val="none" w:sz="0" w:space="0" w:color="auto"/>
            <w:left w:val="none" w:sz="0" w:space="0" w:color="auto"/>
            <w:bottom w:val="none" w:sz="0" w:space="0" w:color="auto"/>
            <w:right w:val="none" w:sz="0" w:space="0" w:color="auto"/>
          </w:divBdr>
        </w:div>
      </w:divsChild>
    </w:div>
    <w:div w:id="974524805">
      <w:bodyDiv w:val="1"/>
      <w:marLeft w:val="0"/>
      <w:marRight w:val="0"/>
      <w:marTop w:val="0"/>
      <w:marBottom w:val="0"/>
      <w:divBdr>
        <w:top w:val="none" w:sz="0" w:space="0" w:color="auto"/>
        <w:left w:val="none" w:sz="0" w:space="0" w:color="auto"/>
        <w:bottom w:val="none" w:sz="0" w:space="0" w:color="auto"/>
        <w:right w:val="none" w:sz="0" w:space="0" w:color="auto"/>
      </w:divBdr>
      <w:divsChild>
        <w:div w:id="694307230">
          <w:marLeft w:val="605"/>
          <w:marRight w:val="0"/>
          <w:marTop w:val="211"/>
          <w:marBottom w:val="0"/>
          <w:divBdr>
            <w:top w:val="none" w:sz="0" w:space="0" w:color="auto"/>
            <w:left w:val="none" w:sz="0" w:space="0" w:color="auto"/>
            <w:bottom w:val="none" w:sz="0" w:space="0" w:color="auto"/>
            <w:right w:val="none" w:sz="0" w:space="0" w:color="auto"/>
          </w:divBdr>
        </w:div>
        <w:div w:id="768893871">
          <w:marLeft w:val="605"/>
          <w:marRight w:val="0"/>
          <w:marTop w:val="211"/>
          <w:marBottom w:val="0"/>
          <w:divBdr>
            <w:top w:val="none" w:sz="0" w:space="0" w:color="auto"/>
            <w:left w:val="none" w:sz="0" w:space="0" w:color="auto"/>
            <w:bottom w:val="none" w:sz="0" w:space="0" w:color="auto"/>
            <w:right w:val="none" w:sz="0" w:space="0" w:color="auto"/>
          </w:divBdr>
        </w:div>
        <w:div w:id="1210342708">
          <w:marLeft w:val="605"/>
          <w:marRight w:val="0"/>
          <w:marTop w:val="211"/>
          <w:marBottom w:val="0"/>
          <w:divBdr>
            <w:top w:val="none" w:sz="0" w:space="0" w:color="auto"/>
            <w:left w:val="none" w:sz="0" w:space="0" w:color="auto"/>
            <w:bottom w:val="none" w:sz="0" w:space="0" w:color="auto"/>
            <w:right w:val="none" w:sz="0" w:space="0" w:color="auto"/>
          </w:divBdr>
        </w:div>
        <w:div w:id="1554074446">
          <w:marLeft w:val="605"/>
          <w:marRight w:val="0"/>
          <w:marTop w:val="211"/>
          <w:marBottom w:val="0"/>
          <w:divBdr>
            <w:top w:val="none" w:sz="0" w:space="0" w:color="auto"/>
            <w:left w:val="none" w:sz="0" w:space="0" w:color="auto"/>
            <w:bottom w:val="none" w:sz="0" w:space="0" w:color="auto"/>
            <w:right w:val="none" w:sz="0" w:space="0" w:color="auto"/>
          </w:divBdr>
        </w:div>
        <w:div w:id="2012946797">
          <w:marLeft w:val="605"/>
          <w:marRight w:val="0"/>
          <w:marTop w:val="211"/>
          <w:marBottom w:val="0"/>
          <w:divBdr>
            <w:top w:val="none" w:sz="0" w:space="0" w:color="auto"/>
            <w:left w:val="none" w:sz="0" w:space="0" w:color="auto"/>
            <w:bottom w:val="none" w:sz="0" w:space="0" w:color="auto"/>
            <w:right w:val="none" w:sz="0" w:space="0" w:color="auto"/>
          </w:divBdr>
        </w:div>
      </w:divsChild>
    </w:div>
    <w:div w:id="1041368012">
      <w:bodyDiv w:val="1"/>
      <w:marLeft w:val="0"/>
      <w:marRight w:val="0"/>
      <w:marTop w:val="0"/>
      <w:marBottom w:val="0"/>
      <w:divBdr>
        <w:top w:val="none" w:sz="0" w:space="0" w:color="auto"/>
        <w:left w:val="none" w:sz="0" w:space="0" w:color="auto"/>
        <w:bottom w:val="none" w:sz="0" w:space="0" w:color="auto"/>
        <w:right w:val="none" w:sz="0" w:space="0" w:color="auto"/>
      </w:divBdr>
    </w:div>
    <w:div w:id="1052728401">
      <w:bodyDiv w:val="1"/>
      <w:marLeft w:val="0"/>
      <w:marRight w:val="0"/>
      <w:marTop w:val="0"/>
      <w:marBottom w:val="0"/>
      <w:divBdr>
        <w:top w:val="none" w:sz="0" w:space="0" w:color="auto"/>
        <w:left w:val="none" w:sz="0" w:space="0" w:color="auto"/>
        <w:bottom w:val="none" w:sz="0" w:space="0" w:color="auto"/>
        <w:right w:val="none" w:sz="0" w:space="0" w:color="auto"/>
      </w:divBdr>
      <w:divsChild>
        <w:div w:id="645665341">
          <w:marLeft w:val="274"/>
          <w:marRight w:val="0"/>
          <w:marTop w:val="0"/>
          <w:marBottom w:val="180"/>
          <w:divBdr>
            <w:top w:val="none" w:sz="0" w:space="0" w:color="auto"/>
            <w:left w:val="none" w:sz="0" w:space="0" w:color="auto"/>
            <w:bottom w:val="none" w:sz="0" w:space="0" w:color="auto"/>
            <w:right w:val="none" w:sz="0" w:space="0" w:color="auto"/>
          </w:divBdr>
        </w:div>
      </w:divsChild>
    </w:div>
    <w:div w:id="1076049062">
      <w:bodyDiv w:val="1"/>
      <w:marLeft w:val="0"/>
      <w:marRight w:val="0"/>
      <w:marTop w:val="0"/>
      <w:marBottom w:val="0"/>
      <w:divBdr>
        <w:top w:val="none" w:sz="0" w:space="0" w:color="auto"/>
        <w:left w:val="none" w:sz="0" w:space="0" w:color="auto"/>
        <w:bottom w:val="none" w:sz="0" w:space="0" w:color="auto"/>
        <w:right w:val="none" w:sz="0" w:space="0" w:color="auto"/>
      </w:divBdr>
      <w:divsChild>
        <w:div w:id="44187238">
          <w:marLeft w:val="288"/>
          <w:marRight w:val="0"/>
          <w:marTop w:val="120"/>
          <w:marBottom w:val="0"/>
          <w:divBdr>
            <w:top w:val="none" w:sz="0" w:space="0" w:color="auto"/>
            <w:left w:val="none" w:sz="0" w:space="0" w:color="auto"/>
            <w:bottom w:val="none" w:sz="0" w:space="0" w:color="auto"/>
            <w:right w:val="none" w:sz="0" w:space="0" w:color="auto"/>
          </w:divBdr>
        </w:div>
        <w:div w:id="327514513">
          <w:marLeft w:val="288"/>
          <w:marRight w:val="0"/>
          <w:marTop w:val="120"/>
          <w:marBottom w:val="0"/>
          <w:divBdr>
            <w:top w:val="none" w:sz="0" w:space="0" w:color="auto"/>
            <w:left w:val="none" w:sz="0" w:space="0" w:color="auto"/>
            <w:bottom w:val="none" w:sz="0" w:space="0" w:color="auto"/>
            <w:right w:val="none" w:sz="0" w:space="0" w:color="auto"/>
          </w:divBdr>
        </w:div>
        <w:div w:id="408041180">
          <w:marLeft w:val="288"/>
          <w:marRight w:val="0"/>
          <w:marTop w:val="120"/>
          <w:marBottom w:val="0"/>
          <w:divBdr>
            <w:top w:val="none" w:sz="0" w:space="0" w:color="auto"/>
            <w:left w:val="none" w:sz="0" w:space="0" w:color="auto"/>
            <w:bottom w:val="none" w:sz="0" w:space="0" w:color="auto"/>
            <w:right w:val="none" w:sz="0" w:space="0" w:color="auto"/>
          </w:divBdr>
        </w:div>
        <w:div w:id="827751650">
          <w:marLeft w:val="288"/>
          <w:marRight w:val="0"/>
          <w:marTop w:val="120"/>
          <w:marBottom w:val="0"/>
          <w:divBdr>
            <w:top w:val="none" w:sz="0" w:space="0" w:color="auto"/>
            <w:left w:val="none" w:sz="0" w:space="0" w:color="auto"/>
            <w:bottom w:val="none" w:sz="0" w:space="0" w:color="auto"/>
            <w:right w:val="none" w:sz="0" w:space="0" w:color="auto"/>
          </w:divBdr>
        </w:div>
        <w:div w:id="1498299753">
          <w:marLeft w:val="288"/>
          <w:marRight w:val="0"/>
          <w:marTop w:val="120"/>
          <w:marBottom w:val="0"/>
          <w:divBdr>
            <w:top w:val="none" w:sz="0" w:space="0" w:color="auto"/>
            <w:left w:val="none" w:sz="0" w:space="0" w:color="auto"/>
            <w:bottom w:val="none" w:sz="0" w:space="0" w:color="auto"/>
            <w:right w:val="none" w:sz="0" w:space="0" w:color="auto"/>
          </w:divBdr>
        </w:div>
        <w:div w:id="1828352339">
          <w:marLeft w:val="288"/>
          <w:marRight w:val="0"/>
          <w:marTop w:val="120"/>
          <w:marBottom w:val="0"/>
          <w:divBdr>
            <w:top w:val="none" w:sz="0" w:space="0" w:color="auto"/>
            <w:left w:val="none" w:sz="0" w:space="0" w:color="auto"/>
            <w:bottom w:val="none" w:sz="0" w:space="0" w:color="auto"/>
            <w:right w:val="none" w:sz="0" w:space="0" w:color="auto"/>
          </w:divBdr>
        </w:div>
        <w:div w:id="1834686005">
          <w:marLeft w:val="288"/>
          <w:marRight w:val="0"/>
          <w:marTop w:val="120"/>
          <w:marBottom w:val="0"/>
          <w:divBdr>
            <w:top w:val="none" w:sz="0" w:space="0" w:color="auto"/>
            <w:left w:val="none" w:sz="0" w:space="0" w:color="auto"/>
            <w:bottom w:val="none" w:sz="0" w:space="0" w:color="auto"/>
            <w:right w:val="none" w:sz="0" w:space="0" w:color="auto"/>
          </w:divBdr>
        </w:div>
      </w:divsChild>
    </w:div>
    <w:div w:id="1078284042">
      <w:bodyDiv w:val="1"/>
      <w:marLeft w:val="0"/>
      <w:marRight w:val="0"/>
      <w:marTop w:val="0"/>
      <w:marBottom w:val="0"/>
      <w:divBdr>
        <w:top w:val="none" w:sz="0" w:space="0" w:color="auto"/>
        <w:left w:val="none" w:sz="0" w:space="0" w:color="auto"/>
        <w:bottom w:val="none" w:sz="0" w:space="0" w:color="auto"/>
        <w:right w:val="none" w:sz="0" w:space="0" w:color="auto"/>
      </w:divBdr>
      <w:divsChild>
        <w:div w:id="1690255032">
          <w:marLeft w:val="547"/>
          <w:marRight w:val="0"/>
          <w:marTop w:val="0"/>
          <w:marBottom w:val="180"/>
          <w:divBdr>
            <w:top w:val="none" w:sz="0" w:space="0" w:color="auto"/>
            <w:left w:val="none" w:sz="0" w:space="0" w:color="auto"/>
            <w:bottom w:val="none" w:sz="0" w:space="0" w:color="auto"/>
            <w:right w:val="none" w:sz="0" w:space="0" w:color="auto"/>
          </w:divBdr>
        </w:div>
      </w:divsChild>
    </w:div>
    <w:div w:id="1096101352">
      <w:bodyDiv w:val="1"/>
      <w:marLeft w:val="0"/>
      <w:marRight w:val="0"/>
      <w:marTop w:val="0"/>
      <w:marBottom w:val="0"/>
      <w:divBdr>
        <w:top w:val="none" w:sz="0" w:space="0" w:color="auto"/>
        <w:left w:val="none" w:sz="0" w:space="0" w:color="auto"/>
        <w:bottom w:val="none" w:sz="0" w:space="0" w:color="auto"/>
        <w:right w:val="none" w:sz="0" w:space="0" w:color="auto"/>
      </w:divBdr>
    </w:div>
    <w:div w:id="1103188378">
      <w:bodyDiv w:val="1"/>
      <w:marLeft w:val="0"/>
      <w:marRight w:val="0"/>
      <w:marTop w:val="0"/>
      <w:marBottom w:val="0"/>
      <w:divBdr>
        <w:top w:val="none" w:sz="0" w:space="0" w:color="auto"/>
        <w:left w:val="none" w:sz="0" w:space="0" w:color="auto"/>
        <w:bottom w:val="none" w:sz="0" w:space="0" w:color="auto"/>
        <w:right w:val="none" w:sz="0" w:space="0" w:color="auto"/>
      </w:divBdr>
      <w:divsChild>
        <w:div w:id="346518256">
          <w:marLeft w:val="605"/>
          <w:marRight w:val="0"/>
          <w:marTop w:val="230"/>
          <w:marBottom w:val="0"/>
          <w:divBdr>
            <w:top w:val="none" w:sz="0" w:space="0" w:color="auto"/>
            <w:left w:val="none" w:sz="0" w:space="0" w:color="auto"/>
            <w:bottom w:val="none" w:sz="0" w:space="0" w:color="auto"/>
            <w:right w:val="none" w:sz="0" w:space="0" w:color="auto"/>
          </w:divBdr>
        </w:div>
        <w:div w:id="2139755303">
          <w:marLeft w:val="605"/>
          <w:marRight w:val="0"/>
          <w:marTop w:val="230"/>
          <w:marBottom w:val="0"/>
          <w:divBdr>
            <w:top w:val="none" w:sz="0" w:space="0" w:color="auto"/>
            <w:left w:val="none" w:sz="0" w:space="0" w:color="auto"/>
            <w:bottom w:val="none" w:sz="0" w:space="0" w:color="auto"/>
            <w:right w:val="none" w:sz="0" w:space="0" w:color="auto"/>
          </w:divBdr>
        </w:div>
      </w:divsChild>
    </w:div>
    <w:div w:id="1103307293">
      <w:bodyDiv w:val="1"/>
      <w:marLeft w:val="0"/>
      <w:marRight w:val="0"/>
      <w:marTop w:val="0"/>
      <w:marBottom w:val="0"/>
      <w:divBdr>
        <w:top w:val="none" w:sz="0" w:space="0" w:color="auto"/>
        <w:left w:val="none" w:sz="0" w:space="0" w:color="auto"/>
        <w:bottom w:val="none" w:sz="0" w:space="0" w:color="auto"/>
        <w:right w:val="none" w:sz="0" w:space="0" w:color="auto"/>
      </w:divBdr>
    </w:div>
    <w:div w:id="1110470896">
      <w:bodyDiv w:val="1"/>
      <w:marLeft w:val="0"/>
      <w:marRight w:val="0"/>
      <w:marTop w:val="0"/>
      <w:marBottom w:val="0"/>
      <w:divBdr>
        <w:top w:val="none" w:sz="0" w:space="0" w:color="auto"/>
        <w:left w:val="none" w:sz="0" w:space="0" w:color="auto"/>
        <w:bottom w:val="none" w:sz="0" w:space="0" w:color="auto"/>
        <w:right w:val="none" w:sz="0" w:space="0" w:color="auto"/>
      </w:divBdr>
    </w:div>
    <w:div w:id="1132989176">
      <w:bodyDiv w:val="1"/>
      <w:marLeft w:val="0"/>
      <w:marRight w:val="0"/>
      <w:marTop w:val="0"/>
      <w:marBottom w:val="0"/>
      <w:divBdr>
        <w:top w:val="none" w:sz="0" w:space="0" w:color="auto"/>
        <w:left w:val="none" w:sz="0" w:space="0" w:color="auto"/>
        <w:bottom w:val="none" w:sz="0" w:space="0" w:color="auto"/>
        <w:right w:val="none" w:sz="0" w:space="0" w:color="auto"/>
      </w:divBdr>
    </w:div>
    <w:div w:id="1148672612">
      <w:bodyDiv w:val="1"/>
      <w:marLeft w:val="0"/>
      <w:marRight w:val="0"/>
      <w:marTop w:val="0"/>
      <w:marBottom w:val="0"/>
      <w:divBdr>
        <w:top w:val="none" w:sz="0" w:space="0" w:color="auto"/>
        <w:left w:val="none" w:sz="0" w:space="0" w:color="auto"/>
        <w:bottom w:val="none" w:sz="0" w:space="0" w:color="auto"/>
        <w:right w:val="none" w:sz="0" w:space="0" w:color="auto"/>
      </w:divBdr>
      <w:divsChild>
        <w:div w:id="273177146">
          <w:marLeft w:val="605"/>
          <w:marRight w:val="0"/>
          <w:marTop w:val="211"/>
          <w:marBottom w:val="0"/>
          <w:divBdr>
            <w:top w:val="none" w:sz="0" w:space="0" w:color="auto"/>
            <w:left w:val="none" w:sz="0" w:space="0" w:color="auto"/>
            <w:bottom w:val="none" w:sz="0" w:space="0" w:color="auto"/>
            <w:right w:val="none" w:sz="0" w:space="0" w:color="auto"/>
          </w:divBdr>
        </w:div>
        <w:div w:id="303202177">
          <w:marLeft w:val="605"/>
          <w:marRight w:val="0"/>
          <w:marTop w:val="211"/>
          <w:marBottom w:val="0"/>
          <w:divBdr>
            <w:top w:val="none" w:sz="0" w:space="0" w:color="auto"/>
            <w:left w:val="none" w:sz="0" w:space="0" w:color="auto"/>
            <w:bottom w:val="none" w:sz="0" w:space="0" w:color="auto"/>
            <w:right w:val="none" w:sz="0" w:space="0" w:color="auto"/>
          </w:divBdr>
        </w:div>
        <w:div w:id="363941532">
          <w:marLeft w:val="605"/>
          <w:marRight w:val="0"/>
          <w:marTop w:val="211"/>
          <w:marBottom w:val="0"/>
          <w:divBdr>
            <w:top w:val="none" w:sz="0" w:space="0" w:color="auto"/>
            <w:left w:val="none" w:sz="0" w:space="0" w:color="auto"/>
            <w:bottom w:val="none" w:sz="0" w:space="0" w:color="auto"/>
            <w:right w:val="none" w:sz="0" w:space="0" w:color="auto"/>
          </w:divBdr>
        </w:div>
        <w:div w:id="710033911">
          <w:marLeft w:val="605"/>
          <w:marRight w:val="0"/>
          <w:marTop w:val="211"/>
          <w:marBottom w:val="0"/>
          <w:divBdr>
            <w:top w:val="none" w:sz="0" w:space="0" w:color="auto"/>
            <w:left w:val="none" w:sz="0" w:space="0" w:color="auto"/>
            <w:bottom w:val="none" w:sz="0" w:space="0" w:color="auto"/>
            <w:right w:val="none" w:sz="0" w:space="0" w:color="auto"/>
          </w:divBdr>
        </w:div>
        <w:div w:id="835925151">
          <w:marLeft w:val="605"/>
          <w:marRight w:val="0"/>
          <w:marTop w:val="211"/>
          <w:marBottom w:val="0"/>
          <w:divBdr>
            <w:top w:val="none" w:sz="0" w:space="0" w:color="auto"/>
            <w:left w:val="none" w:sz="0" w:space="0" w:color="auto"/>
            <w:bottom w:val="none" w:sz="0" w:space="0" w:color="auto"/>
            <w:right w:val="none" w:sz="0" w:space="0" w:color="auto"/>
          </w:divBdr>
        </w:div>
        <w:div w:id="858933312">
          <w:marLeft w:val="605"/>
          <w:marRight w:val="0"/>
          <w:marTop w:val="211"/>
          <w:marBottom w:val="0"/>
          <w:divBdr>
            <w:top w:val="none" w:sz="0" w:space="0" w:color="auto"/>
            <w:left w:val="none" w:sz="0" w:space="0" w:color="auto"/>
            <w:bottom w:val="none" w:sz="0" w:space="0" w:color="auto"/>
            <w:right w:val="none" w:sz="0" w:space="0" w:color="auto"/>
          </w:divBdr>
        </w:div>
        <w:div w:id="937326493">
          <w:marLeft w:val="605"/>
          <w:marRight w:val="0"/>
          <w:marTop w:val="211"/>
          <w:marBottom w:val="0"/>
          <w:divBdr>
            <w:top w:val="none" w:sz="0" w:space="0" w:color="auto"/>
            <w:left w:val="none" w:sz="0" w:space="0" w:color="auto"/>
            <w:bottom w:val="none" w:sz="0" w:space="0" w:color="auto"/>
            <w:right w:val="none" w:sz="0" w:space="0" w:color="auto"/>
          </w:divBdr>
        </w:div>
        <w:div w:id="1190022945">
          <w:marLeft w:val="605"/>
          <w:marRight w:val="0"/>
          <w:marTop w:val="211"/>
          <w:marBottom w:val="0"/>
          <w:divBdr>
            <w:top w:val="none" w:sz="0" w:space="0" w:color="auto"/>
            <w:left w:val="none" w:sz="0" w:space="0" w:color="auto"/>
            <w:bottom w:val="none" w:sz="0" w:space="0" w:color="auto"/>
            <w:right w:val="none" w:sz="0" w:space="0" w:color="auto"/>
          </w:divBdr>
        </w:div>
        <w:div w:id="2084646547">
          <w:marLeft w:val="605"/>
          <w:marRight w:val="0"/>
          <w:marTop w:val="211"/>
          <w:marBottom w:val="0"/>
          <w:divBdr>
            <w:top w:val="none" w:sz="0" w:space="0" w:color="auto"/>
            <w:left w:val="none" w:sz="0" w:space="0" w:color="auto"/>
            <w:bottom w:val="none" w:sz="0" w:space="0" w:color="auto"/>
            <w:right w:val="none" w:sz="0" w:space="0" w:color="auto"/>
          </w:divBdr>
        </w:div>
      </w:divsChild>
    </w:div>
    <w:div w:id="1168906918">
      <w:bodyDiv w:val="1"/>
      <w:marLeft w:val="0"/>
      <w:marRight w:val="0"/>
      <w:marTop w:val="0"/>
      <w:marBottom w:val="0"/>
      <w:divBdr>
        <w:top w:val="none" w:sz="0" w:space="0" w:color="auto"/>
        <w:left w:val="none" w:sz="0" w:space="0" w:color="auto"/>
        <w:bottom w:val="none" w:sz="0" w:space="0" w:color="auto"/>
        <w:right w:val="none" w:sz="0" w:space="0" w:color="auto"/>
      </w:divBdr>
    </w:div>
    <w:div w:id="1173184845">
      <w:bodyDiv w:val="1"/>
      <w:marLeft w:val="0"/>
      <w:marRight w:val="0"/>
      <w:marTop w:val="0"/>
      <w:marBottom w:val="0"/>
      <w:divBdr>
        <w:top w:val="none" w:sz="0" w:space="0" w:color="auto"/>
        <w:left w:val="none" w:sz="0" w:space="0" w:color="auto"/>
        <w:bottom w:val="none" w:sz="0" w:space="0" w:color="auto"/>
        <w:right w:val="none" w:sz="0" w:space="0" w:color="auto"/>
      </w:divBdr>
    </w:div>
    <w:div w:id="1175420700">
      <w:bodyDiv w:val="1"/>
      <w:marLeft w:val="0"/>
      <w:marRight w:val="0"/>
      <w:marTop w:val="0"/>
      <w:marBottom w:val="0"/>
      <w:divBdr>
        <w:top w:val="none" w:sz="0" w:space="0" w:color="auto"/>
        <w:left w:val="none" w:sz="0" w:space="0" w:color="auto"/>
        <w:bottom w:val="none" w:sz="0" w:space="0" w:color="auto"/>
        <w:right w:val="none" w:sz="0" w:space="0" w:color="auto"/>
      </w:divBdr>
    </w:div>
    <w:div w:id="1185752556">
      <w:bodyDiv w:val="1"/>
      <w:marLeft w:val="0"/>
      <w:marRight w:val="0"/>
      <w:marTop w:val="0"/>
      <w:marBottom w:val="0"/>
      <w:divBdr>
        <w:top w:val="none" w:sz="0" w:space="0" w:color="auto"/>
        <w:left w:val="none" w:sz="0" w:space="0" w:color="auto"/>
        <w:bottom w:val="none" w:sz="0" w:space="0" w:color="auto"/>
        <w:right w:val="none" w:sz="0" w:space="0" w:color="auto"/>
      </w:divBdr>
      <w:divsChild>
        <w:div w:id="282538527">
          <w:marLeft w:val="605"/>
          <w:marRight w:val="0"/>
          <w:marTop w:val="211"/>
          <w:marBottom w:val="0"/>
          <w:divBdr>
            <w:top w:val="none" w:sz="0" w:space="0" w:color="auto"/>
            <w:left w:val="none" w:sz="0" w:space="0" w:color="auto"/>
            <w:bottom w:val="none" w:sz="0" w:space="0" w:color="auto"/>
            <w:right w:val="none" w:sz="0" w:space="0" w:color="auto"/>
          </w:divBdr>
        </w:div>
        <w:div w:id="601227579">
          <w:marLeft w:val="605"/>
          <w:marRight w:val="0"/>
          <w:marTop w:val="211"/>
          <w:marBottom w:val="0"/>
          <w:divBdr>
            <w:top w:val="none" w:sz="0" w:space="0" w:color="auto"/>
            <w:left w:val="none" w:sz="0" w:space="0" w:color="auto"/>
            <w:bottom w:val="none" w:sz="0" w:space="0" w:color="auto"/>
            <w:right w:val="none" w:sz="0" w:space="0" w:color="auto"/>
          </w:divBdr>
        </w:div>
        <w:div w:id="1854370816">
          <w:marLeft w:val="605"/>
          <w:marRight w:val="0"/>
          <w:marTop w:val="211"/>
          <w:marBottom w:val="0"/>
          <w:divBdr>
            <w:top w:val="none" w:sz="0" w:space="0" w:color="auto"/>
            <w:left w:val="none" w:sz="0" w:space="0" w:color="auto"/>
            <w:bottom w:val="none" w:sz="0" w:space="0" w:color="auto"/>
            <w:right w:val="none" w:sz="0" w:space="0" w:color="auto"/>
          </w:divBdr>
        </w:div>
      </w:divsChild>
    </w:div>
    <w:div w:id="1209032786">
      <w:bodyDiv w:val="1"/>
      <w:marLeft w:val="0"/>
      <w:marRight w:val="0"/>
      <w:marTop w:val="0"/>
      <w:marBottom w:val="0"/>
      <w:divBdr>
        <w:top w:val="none" w:sz="0" w:space="0" w:color="auto"/>
        <w:left w:val="none" w:sz="0" w:space="0" w:color="auto"/>
        <w:bottom w:val="none" w:sz="0" w:space="0" w:color="auto"/>
        <w:right w:val="none" w:sz="0" w:space="0" w:color="auto"/>
      </w:divBdr>
      <w:divsChild>
        <w:div w:id="160510247">
          <w:marLeft w:val="547"/>
          <w:marRight w:val="0"/>
          <w:marTop w:val="0"/>
          <w:marBottom w:val="180"/>
          <w:divBdr>
            <w:top w:val="none" w:sz="0" w:space="0" w:color="auto"/>
            <w:left w:val="none" w:sz="0" w:space="0" w:color="auto"/>
            <w:bottom w:val="none" w:sz="0" w:space="0" w:color="auto"/>
            <w:right w:val="none" w:sz="0" w:space="0" w:color="auto"/>
          </w:divBdr>
        </w:div>
      </w:divsChild>
    </w:div>
    <w:div w:id="1250768920">
      <w:bodyDiv w:val="1"/>
      <w:marLeft w:val="0"/>
      <w:marRight w:val="0"/>
      <w:marTop w:val="0"/>
      <w:marBottom w:val="0"/>
      <w:divBdr>
        <w:top w:val="none" w:sz="0" w:space="0" w:color="auto"/>
        <w:left w:val="none" w:sz="0" w:space="0" w:color="auto"/>
        <w:bottom w:val="none" w:sz="0" w:space="0" w:color="auto"/>
        <w:right w:val="none" w:sz="0" w:space="0" w:color="auto"/>
      </w:divBdr>
    </w:div>
    <w:div w:id="1258101217">
      <w:bodyDiv w:val="1"/>
      <w:marLeft w:val="0"/>
      <w:marRight w:val="0"/>
      <w:marTop w:val="0"/>
      <w:marBottom w:val="0"/>
      <w:divBdr>
        <w:top w:val="none" w:sz="0" w:space="0" w:color="auto"/>
        <w:left w:val="none" w:sz="0" w:space="0" w:color="auto"/>
        <w:bottom w:val="none" w:sz="0" w:space="0" w:color="auto"/>
        <w:right w:val="none" w:sz="0" w:space="0" w:color="auto"/>
      </w:divBdr>
    </w:div>
    <w:div w:id="1263537014">
      <w:bodyDiv w:val="1"/>
      <w:marLeft w:val="0"/>
      <w:marRight w:val="0"/>
      <w:marTop w:val="0"/>
      <w:marBottom w:val="0"/>
      <w:divBdr>
        <w:top w:val="none" w:sz="0" w:space="0" w:color="auto"/>
        <w:left w:val="none" w:sz="0" w:space="0" w:color="auto"/>
        <w:bottom w:val="none" w:sz="0" w:space="0" w:color="auto"/>
        <w:right w:val="none" w:sz="0" w:space="0" w:color="auto"/>
      </w:divBdr>
    </w:div>
    <w:div w:id="1263607067">
      <w:bodyDiv w:val="1"/>
      <w:marLeft w:val="0"/>
      <w:marRight w:val="0"/>
      <w:marTop w:val="0"/>
      <w:marBottom w:val="0"/>
      <w:divBdr>
        <w:top w:val="none" w:sz="0" w:space="0" w:color="auto"/>
        <w:left w:val="none" w:sz="0" w:space="0" w:color="auto"/>
        <w:bottom w:val="none" w:sz="0" w:space="0" w:color="auto"/>
        <w:right w:val="none" w:sz="0" w:space="0" w:color="auto"/>
      </w:divBdr>
      <w:divsChild>
        <w:div w:id="348914870">
          <w:marLeft w:val="605"/>
          <w:marRight w:val="0"/>
          <w:marTop w:val="269"/>
          <w:marBottom w:val="0"/>
          <w:divBdr>
            <w:top w:val="none" w:sz="0" w:space="0" w:color="auto"/>
            <w:left w:val="none" w:sz="0" w:space="0" w:color="auto"/>
            <w:bottom w:val="none" w:sz="0" w:space="0" w:color="auto"/>
            <w:right w:val="none" w:sz="0" w:space="0" w:color="auto"/>
          </w:divBdr>
        </w:div>
        <w:div w:id="1888449985">
          <w:marLeft w:val="605"/>
          <w:marRight w:val="0"/>
          <w:marTop w:val="269"/>
          <w:marBottom w:val="0"/>
          <w:divBdr>
            <w:top w:val="none" w:sz="0" w:space="0" w:color="auto"/>
            <w:left w:val="none" w:sz="0" w:space="0" w:color="auto"/>
            <w:bottom w:val="none" w:sz="0" w:space="0" w:color="auto"/>
            <w:right w:val="none" w:sz="0" w:space="0" w:color="auto"/>
          </w:divBdr>
        </w:div>
      </w:divsChild>
    </w:div>
    <w:div w:id="1264991335">
      <w:bodyDiv w:val="1"/>
      <w:marLeft w:val="0"/>
      <w:marRight w:val="0"/>
      <w:marTop w:val="0"/>
      <w:marBottom w:val="0"/>
      <w:divBdr>
        <w:top w:val="none" w:sz="0" w:space="0" w:color="auto"/>
        <w:left w:val="none" w:sz="0" w:space="0" w:color="auto"/>
        <w:bottom w:val="none" w:sz="0" w:space="0" w:color="auto"/>
        <w:right w:val="none" w:sz="0" w:space="0" w:color="auto"/>
      </w:divBdr>
      <w:divsChild>
        <w:div w:id="148794738">
          <w:marLeft w:val="605"/>
          <w:marRight w:val="0"/>
          <w:marTop w:val="211"/>
          <w:marBottom w:val="0"/>
          <w:divBdr>
            <w:top w:val="none" w:sz="0" w:space="0" w:color="auto"/>
            <w:left w:val="none" w:sz="0" w:space="0" w:color="auto"/>
            <w:bottom w:val="none" w:sz="0" w:space="0" w:color="auto"/>
            <w:right w:val="none" w:sz="0" w:space="0" w:color="auto"/>
          </w:divBdr>
        </w:div>
        <w:div w:id="248775281">
          <w:marLeft w:val="605"/>
          <w:marRight w:val="0"/>
          <w:marTop w:val="211"/>
          <w:marBottom w:val="0"/>
          <w:divBdr>
            <w:top w:val="none" w:sz="0" w:space="0" w:color="auto"/>
            <w:left w:val="none" w:sz="0" w:space="0" w:color="auto"/>
            <w:bottom w:val="none" w:sz="0" w:space="0" w:color="auto"/>
            <w:right w:val="none" w:sz="0" w:space="0" w:color="auto"/>
          </w:divBdr>
        </w:div>
        <w:div w:id="289629304">
          <w:marLeft w:val="605"/>
          <w:marRight w:val="0"/>
          <w:marTop w:val="211"/>
          <w:marBottom w:val="0"/>
          <w:divBdr>
            <w:top w:val="none" w:sz="0" w:space="0" w:color="auto"/>
            <w:left w:val="none" w:sz="0" w:space="0" w:color="auto"/>
            <w:bottom w:val="none" w:sz="0" w:space="0" w:color="auto"/>
            <w:right w:val="none" w:sz="0" w:space="0" w:color="auto"/>
          </w:divBdr>
        </w:div>
        <w:div w:id="388698504">
          <w:marLeft w:val="605"/>
          <w:marRight w:val="0"/>
          <w:marTop w:val="211"/>
          <w:marBottom w:val="0"/>
          <w:divBdr>
            <w:top w:val="none" w:sz="0" w:space="0" w:color="auto"/>
            <w:left w:val="none" w:sz="0" w:space="0" w:color="auto"/>
            <w:bottom w:val="none" w:sz="0" w:space="0" w:color="auto"/>
            <w:right w:val="none" w:sz="0" w:space="0" w:color="auto"/>
          </w:divBdr>
        </w:div>
        <w:div w:id="463693002">
          <w:marLeft w:val="605"/>
          <w:marRight w:val="0"/>
          <w:marTop w:val="211"/>
          <w:marBottom w:val="0"/>
          <w:divBdr>
            <w:top w:val="none" w:sz="0" w:space="0" w:color="auto"/>
            <w:left w:val="none" w:sz="0" w:space="0" w:color="auto"/>
            <w:bottom w:val="none" w:sz="0" w:space="0" w:color="auto"/>
            <w:right w:val="none" w:sz="0" w:space="0" w:color="auto"/>
          </w:divBdr>
        </w:div>
        <w:div w:id="584074098">
          <w:marLeft w:val="605"/>
          <w:marRight w:val="0"/>
          <w:marTop w:val="211"/>
          <w:marBottom w:val="0"/>
          <w:divBdr>
            <w:top w:val="none" w:sz="0" w:space="0" w:color="auto"/>
            <w:left w:val="none" w:sz="0" w:space="0" w:color="auto"/>
            <w:bottom w:val="none" w:sz="0" w:space="0" w:color="auto"/>
            <w:right w:val="none" w:sz="0" w:space="0" w:color="auto"/>
          </w:divBdr>
        </w:div>
        <w:div w:id="660280947">
          <w:marLeft w:val="605"/>
          <w:marRight w:val="0"/>
          <w:marTop w:val="211"/>
          <w:marBottom w:val="0"/>
          <w:divBdr>
            <w:top w:val="none" w:sz="0" w:space="0" w:color="auto"/>
            <w:left w:val="none" w:sz="0" w:space="0" w:color="auto"/>
            <w:bottom w:val="none" w:sz="0" w:space="0" w:color="auto"/>
            <w:right w:val="none" w:sz="0" w:space="0" w:color="auto"/>
          </w:divBdr>
        </w:div>
        <w:div w:id="1117141863">
          <w:marLeft w:val="605"/>
          <w:marRight w:val="0"/>
          <w:marTop w:val="211"/>
          <w:marBottom w:val="0"/>
          <w:divBdr>
            <w:top w:val="none" w:sz="0" w:space="0" w:color="auto"/>
            <w:left w:val="none" w:sz="0" w:space="0" w:color="auto"/>
            <w:bottom w:val="none" w:sz="0" w:space="0" w:color="auto"/>
            <w:right w:val="none" w:sz="0" w:space="0" w:color="auto"/>
          </w:divBdr>
        </w:div>
      </w:divsChild>
    </w:div>
    <w:div w:id="1273322891">
      <w:bodyDiv w:val="1"/>
      <w:marLeft w:val="0"/>
      <w:marRight w:val="0"/>
      <w:marTop w:val="0"/>
      <w:marBottom w:val="0"/>
      <w:divBdr>
        <w:top w:val="none" w:sz="0" w:space="0" w:color="auto"/>
        <w:left w:val="none" w:sz="0" w:space="0" w:color="auto"/>
        <w:bottom w:val="none" w:sz="0" w:space="0" w:color="auto"/>
        <w:right w:val="none" w:sz="0" w:space="0" w:color="auto"/>
      </w:divBdr>
    </w:div>
    <w:div w:id="1305237333">
      <w:bodyDiv w:val="1"/>
      <w:marLeft w:val="0"/>
      <w:marRight w:val="0"/>
      <w:marTop w:val="0"/>
      <w:marBottom w:val="0"/>
      <w:divBdr>
        <w:top w:val="none" w:sz="0" w:space="0" w:color="auto"/>
        <w:left w:val="none" w:sz="0" w:space="0" w:color="auto"/>
        <w:bottom w:val="none" w:sz="0" w:space="0" w:color="auto"/>
        <w:right w:val="none" w:sz="0" w:space="0" w:color="auto"/>
      </w:divBdr>
    </w:div>
    <w:div w:id="1311904636">
      <w:bodyDiv w:val="1"/>
      <w:marLeft w:val="0"/>
      <w:marRight w:val="0"/>
      <w:marTop w:val="0"/>
      <w:marBottom w:val="0"/>
      <w:divBdr>
        <w:top w:val="none" w:sz="0" w:space="0" w:color="auto"/>
        <w:left w:val="none" w:sz="0" w:space="0" w:color="auto"/>
        <w:bottom w:val="none" w:sz="0" w:space="0" w:color="auto"/>
        <w:right w:val="none" w:sz="0" w:space="0" w:color="auto"/>
      </w:divBdr>
      <w:divsChild>
        <w:div w:id="2132819147">
          <w:marLeft w:val="0"/>
          <w:marRight w:val="0"/>
          <w:marTop w:val="0"/>
          <w:marBottom w:val="0"/>
          <w:divBdr>
            <w:top w:val="none" w:sz="0" w:space="0" w:color="auto"/>
            <w:left w:val="none" w:sz="0" w:space="0" w:color="auto"/>
            <w:bottom w:val="none" w:sz="0" w:space="0" w:color="auto"/>
            <w:right w:val="none" w:sz="0" w:space="0" w:color="auto"/>
          </w:divBdr>
        </w:div>
      </w:divsChild>
    </w:div>
    <w:div w:id="1317419419">
      <w:bodyDiv w:val="1"/>
      <w:marLeft w:val="0"/>
      <w:marRight w:val="0"/>
      <w:marTop w:val="0"/>
      <w:marBottom w:val="0"/>
      <w:divBdr>
        <w:top w:val="none" w:sz="0" w:space="0" w:color="auto"/>
        <w:left w:val="none" w:sz="0" w:space="0" w:color="auto"/>
        <w:bottom w:val="none" w:sz="0" w:space="0" w:color="auto"/>
        <w:right w:val="none" w:sz="0" w:space="0" w:color="auto"/>
      </w:divBdr>
    </w:div>
    <w:div w:id="1366248747">
      <w:bodyDiv w:val="1"/>
      <w:marLeft w:val="0"/>
      <w:marRight w:val="0"/>
      <w:marTop w:val="0"/>
      <w:marBottom w:val="0"/>
      <w:divBdr>
        <w:top w:val="none" w:sz="0" w:space="0" w:color="auto"/>
        <w:left w:val="none" w:sz="0" w:space="0" w:color="auto"/>
        <w:bottom w:val="none" w:sz="0" w:space="0" w:color="auto"/>
        <w:right w:val="none" w:sz="0" w:space="0" w:color="auto"/>
      </w:divBdr>
    </w:div>
    <w:div w:id="1370186372">
      <w:bodyDiv w:val="1"/>
      <w:marLeft w:val="0"/>
      <w:marRight w:val="0"/>
      <w:marTop w:val="0"/>
      <w:marBottom w:val="0"/>
      <w:divBdr>
        <w:top w:val="none" w:sz="0" w:space="0" w:color="auto"/>
        <w:left w:val="none" w:sz="0" w:space="0" w:color="auto"/>
        <w:bottom w:val="none" w:sz="0" w:space="0" w:color="auto"/>
        <w:right w:val="none" w:sz="0" w:space="0" w:color="auto"/>
      </w:divBdr>
    </w:div>
    <w:div w:id="1372194234">
      <w:bodyDiv w:val="1"/>
      <w:marLeft w:val="0"/>
      <w:marRight w:val="0"/>
      <w:marTop w:val="0"/>
      <w:marBottom w:val="0"/>
      <w:divBdr>
        <w:top w:val="none" w:sz="0" w:space="0" w:color="auto"/>
        <w:left w:val="none" w:sz="0" w:space="0" w:color="auto"/>
        <w:bottom w:val="none" w:sz="0" w:space="0" w:color="auto"/>
        <w:right w:val="none" w:sz="0" w:space="0" w:color="auto"/>
      </w:divBdr>
      <w:divsChild>
        <w:div w:id="751270890">
          <w:marLeft w:val="605"/>
          <w:marRight w:val="0"/>
          <w:marTop w:val="230"/>
          <w:marBottom w:val="0"/>
          <w:divBdr>
            <w:top w:val="none" w:sz="0" w:space="0" w:color="auto"/>
            <w:left w:val="none" w:sz="0" w:space="0" w:color="auto"/>
            <w:bottom w:val="none" w:sz="0" w:space="0" w:color="auto"/>
            <w:right w:val="none" w:sz="0" w:space="0" w:color="auto"/>
          </w:divBdr>
        </w:div>
        <w:div w:id="1044452129">
          <w:marLeft w:val="605"/>
          <w:marRight w:val="0"/>
          <w:marTop w:val="230"/>
          <w:marBottom w:val="0"/>
          <w:divBdr>
            <w:top w:val="none" w:sz="0" w:space="0" w:color="auto"/>
            <w:left w:val="none" w:sz="0" w:space="0" w:color="auto"/>
            <w:bottom w:val="none" w:sz="0" w:space="0" w:color="auto"/>
            <w:right w:val="none" w:sz="0" w:space="0" w:color="auto"/>
          </w:divBdr>
        </w:div>
        <w:div w:id="1258247517">
          <w:marLeft w:val="605"/>
          <w:marRight w:val="0"/>
          <w:marTop w:val="230"/>
          <w:marBottom w:val="0"/>
          <w:divBdr>
            <w:top w:val="none" w:sz="0" w:space="0" w:color="auto"/>
            <w:left w:val="none" w:sz="0" w:space="0" w:color="auto"/>
            <w:bottom w:val="none" w:sz="0" w:space="0" w:color="auto"/>
            <w:right w:val="none" w:sz="0" w:space="0" w:color="auto"/>
          </w:divBdr>
        </w:div>
        <w:div w:id="1989434947">
          <w:marLeft w:val="605"/>
          <w:marRight w:val="0"/>
          <w:marTop w:val="230"/>
          <w:marBottom w:val="0"/>
          <w:divBdr>
            <w:top w:val="none" w:sz="0" w:space="0" w:color="auto"/>
            <w:left w:val="none" w:sz="0" w:space="0" w:color="auto"/>
            <w:bottom w:val="none" w:sz="0" w:space="0" w:color="auto"/>
            <w:right w:val="none" w:sz="0" w:space="0" w:color="auto"/>
          </w:divBdr>
        </w:div>
        <w:div w:id="2110461531">
          <w:marLeft w:val="605"/>
          <w:marRight w:val="0"/>
          <w:marTop w:val="230"/>
          <w:marBottom w:val="0"/>
          <w:divBdr>
            <w:top w:val="none" w:sz="0" w:space="0" w:color="auto"/>
            <w:left w:val="none" w:sz="0" w:space="0" w:color="auto"/>
            <w:bottom w:val="none" w:sz="0" w:space="0" w:color="auto"/>
            <w:right w:val="none" w:sz="0" w:space="0" w:color="auto"/>
          </w:divBdr>
        </w:div>
      </w:divsChild>
    </w:div>
    <w:div w:id="1410543767">
      <w:bodyDiv w:val="1"/>
      <w:marLeft w:val="0"/>
      <w:marRight w:val="0"/>
      <w:marTop w:val="0"/>
      <w:marBottom w:val="0"/>
      <w:divBdr>
        <w:top w:val="none" w:sz="0" w:space="0" w:color="auto"/>
        <w:left w:val="none" w:sz="0" w:space="0" w:color="auto"/>
        <w:bottom w:val="none" w:sz="0" w:space="0" w:color="auto"/>
        <w:right w:val="none" w:sz="0" w:space="0" w:color="auto"/>
      </w:divBdr>
    </w:div>
    <w:div w:id="1413965860">
      <w:bodyDiv w:val="1"/>
      <w:marLeft w:val="0"/>
      <w:marRight w:val="0"/>
      <w:marTop w:val="0"/>
      <w:marBottom w:val="0"/>
      <w:divBdr>
        <w:top w:val="none" w:sz="0" w:space="0" w:color="auto"/>
        <w:left w:val="none" w:sz="0" w:space="0" w:color="auto"/>
        <w:bottom w:val="none" w:sz="0" w:space="0" w:color="auto"/>
        <w:right w:val="none" w:sz="0" w:space="0" w:color="auto"/>
      </w:divBdr>
      <w:divsChild>
        <w:div w:id="163518137">
          <w:marLeft w:val="605"/>
          <w:marRight w:val="0"/>
          <w:marTop w:val="269"/>
          <w:marBottom w:val="0"/>
          <w:divBdr>
            <w:top w:val="none" w:sz="0" w:space="0" w:color="auto"/>
            <w:left w:val="none" w:sz="0" w:space="0" w:color="auto"/>
            <w:bottom w:val="none" w:sz="0" w:space="0" w:color="auto"/>
            <w:right w:val="none" w:sz="0" w:space="0" w:color="auto"/>
          </w:divBdr>
        </w:div>
        <w:div w:id="735906256">
          <w:marLeft w:val="605"/>
          <w:marRight w:val="0"/>
          <w:marTop w:val="269"/>
          <w:marBottom w:val="0"/>
          <w:divBdr>
            <w:top w:val="none" w:sz="0" w:space="0" w:color="auto"/>
            <w:left w:val="none" w:sz="0" w:space="0" w:color="auto"/>
            <w:bottom w:val="none" w:sz="0" w:space="0" w:color="auto"/>
            <w:right w:val="none" w:sz="0" w:space="0" w:color="auto"/>
          </w:divBdr>
        </w:div>
        <w:div w:id="966085266">
          <w:marLeft w:val="605"/>
          <w:marRight w:val="0"/>
          <w:marTop w:val="269"/>
          <w:marBottom w:val="0"/>
          <w:divBdr>
            <w:top w:val="none" w:sz="0" w:space="0" w:color="auto"/>
            <w:left w:val="none" w:sz="0" w:space="0" w:color="auto"/>
            <w:bottom w:val="none" w:sz="0" w:space="0" w:color="auto"/>
            <w:right w:val="none" w:sz="0" w:space="0" w:color="auto"/>
          </w:divBdr>
        </w:div>
        <w:div w:id="1165710297">
          <w:marLeft w:val="605"/>
          <w:marRight w:val="0"/>
          <w:marTop w:val="269"/>
          <w:marBottom w:val="0"/>
          <w:divBdr>
            <w:top w:val="none" w:sz="0" w:space="0" w:color="auto"/>
            <w:left w:val="none" w:sz="0" w:space="0" w:color="auto"/>
            <w:bottom w:val="none" w:sz="0" w:space="0" w:color="auto"/>
            <w:right w:val="none" w:sz="0" w:space="0" w:color="auto"/>
          </w:divBdr>
        </w:div>
        <w:div w:id="1503206237">
          <w:marLeft w:val="605"/>
          <w:marRight w:val="0"/>
          <w:marTop w:val="269"/>
          <w:marBottom w:val="0"/>
          <w:divBdr>
            <w:top w:val="none" w:sz="0" w:space="0" w:color="auto"/>
            <w:left w:val="none" w:sz="0" w:space="0" w:color="auto"/>
            <w:bottom w:val="none" w:sz="0" w:space="0" w:color="auto"/>
            <w:right w:val="none" w:sz="0" w:space="0" w:color="auto"/>
          </w:divBdr>
        </w:div>
        <w:div w:id="1892423434">
          <w:marLeft w:val="605"/>
          <w:marRight w:val="0"/>
          <w:marTop w:val="269"/>
          <w:marBottom w:val="0"/>
          <w:divBdr>
            <w:top w:val="none" w:sz="0" w:space="0" w:color="auto"/>
            <w:left w:val="none" w:sz="0" w:space="0" w:color="auto"/>
            <w:bottom w:val="none" w:sz="0" w:space="0" w:color="auto"/>
            <w:right w:val="none" w:sz="0" w:space="0" w:color="auto"/>
          </w:divBdr>
        </w:div>
        <w:div w:id="2086805339">
          <w:marLeft w:val="605"/>
          <w:marRight w:val="0"/>
          <w:marTop w:val="269"/>
          <w:marBottom w:val="0"/>
          <w:divBdr>
            <w:top w:val="none" w:sz="0" w:space="0" w:color="auto"/>
            <w:left w:val="none" w:sz="0" w:space="0" w:color="auto"/>
            <w:bottom w:val="none" w:sz="0" w:space="0" w:color="auto"/>
            <w:right w:val="none" w:sz="0" w:space="0" w:color="auto"/>
          </w:divBdr>
        </w:div>
      </w:divsChild>
    </w:div>
    <w:div w:id="1442338513">
      <w:bodyDiv w:val="1"/>
      <w:marLeft w:val="0"/>
      <w:marRight w:val="0"/>
      <w:marTop w:val="0"/>
      <w:marBottom w:val="0"/>
      <w:divBdr>
        <w:top w:val="none" w:sz="0" w:space="0" w:color="auto"/>
        <w:left w:val="none" w:sz="0" w:space="0" w:color="auto"/>
        <w:bottom w:val="none" w:sz="0" w:space="0" w:color="auto"/>
        <w:right w:val="none" w:sz="0" w:space="0" w:color="auto"/>
      </w:divBdr>
      <w:divsChild>
        <w:div w:id="526405840">
          <w:marLeft w:val="547"/>
          <w:marRight w:val="0"/>
          <w:marTop w:val="0"/>
          <w:marBottom w:val="180"/>
          <w:divBdr>
            <w:top w:val="none" w:sz="0" w:space="0" w:color="auto"/>
            <w:left w:val="none" w:sz="0" w:space="0" w:color="auto"/>
            <w:bottom w:val="none" w:sz="0" w:space="0" w:color="auto"/>
            <w:right w:val="none" w:sz="0" w:space="0" w:color="auto"/>
          </w:divBdr>
        </w:div>
      </w:divsChild>
    </w:div>
    <w:div w:id="1467310958">
      <w:bodyDiv w:val="1"/>
      <w:marLeft w:val="0"/>
      <w:marRight w:val="0"/>
      <w:marTop w:val="0"/>
      <w:marBottom w:val="0"/>
      <w:divBdr>
        <w:top w:val="none" w:sz="0" w:space="0" w:color="auto"/>
        <w:left w:val="none" w:sz="0" w:space="0" w:color="auto"/>
        <w:bottom w:val="none" w:sz="0" w:space="0" w:color="auto"/>
        <w:right w:val="none" w:sz="0" w:space="0" w:color="auto"/>
      </w:divBdr>
    </w:div>
    <w:div w:id="1482036196">
      <w:bodyDiv w:val="1"/>
      <w:marLeft w:val="0"/>
      <w:marRight w:val="0"/>
      <w:marTop w:val="0"/>
      <w:marBottom w:val="0"/>
      <w:divBdr>
        <w:top w:val="none" w:sz="0" w:space="0" w:color="auto"/>
        <w:left w:val="none" w:sz="0" w:space="0" w:color="auto"/>
        <w:bottom w:val="none" w:sz="0" w:space="0" w:color="auto"/>
        <w:right w:val="none" w:sz="0" w:space="0" w:color="auto"/>
      </w:divBdr>
      <w:divsChild>
        <w:div w:id="180053214">
          <w:marLeft w:val="605"/>
          <w:marRight w:val="0"/>
          <w:marTop w:val="211"/>
          <w:marBottom w:val="0"/>
          <w:divBdr>
            <w:top w:val="none" w:sz="0" w:space="0" w:color="auto"/>
            <w:left w:val="none" w:sz="0" w:space="0" w:color="auto"/>
            <w:bottom w:val="none" w:sz="0" w:space="0" w:color="auto"/>
            <w:right w:val="none" w:sz="0" w:space="0" w:color="auto"/>
          </w:divBdr>
        </w:div>
        <w:div w:id="339236611">
          <w:marLeft w:val="605"/>
          <w:marRight w:val="0"/>
          <w:marTop w:val="211"/>
          <w:marBottom w:val="0"/>
          <w:divBdr>
            <w:top w:val="none" w:sz="0" w:space="0" w:color="auto"/>
            <w:left w:val="none" w:sz="0" w:space="0" w:color="auto"/>
            <w:bottom w:val="none" w:sz="0" w:space="0" w:color="auto"/>
            <w:right w:val="none" w:sz="0" w:space="0" w:color="auto"/>
          </w:divBdr>
        </w:div>
        <w:div w:id="1039358731">
          <w:marLeft w:val="605"/>
          <w:marRight w:val="0"/>
          <w:marTop w:val="211"/>
          <w:marBottom w:val="0"/>
          <w:divBdr>
            <w:top w:val="none" w:sz="0" w:space="0" w:color="auto"/>
            <w:left w:val="none" w:sz="0" w:space="0" w:color="auto"/>
            <w:bottom w:val="none" w:sz="0" w:space="0" w:color="auto"/>
            <w:right w:val="none" w:sz="0" w:space="0" w:color="auto"/>
          </w:divBdr>
        </w:div>
        <w:div w:id="1441341714">
          <w:marLeft w:val="605"/>
          <w:marRight w:val="0"/>
          <w:marTop w:val="211"/>
          <w:marBottom w:val="0"/>
          <w:divBdr>
            <w:top w:val="none" w:sz="0" w:space="0" w:color="auto"/>
            <w:left w:val="none" w:sz="0" w:space="0" w:color="auto"/>
            <w:bottom w:val="none" w:sz="0" w:space="0" w:color="auto"/>
            <w:right w:val="none" w:sz="0" w:space="0" w:color="auto"/>
          </w:divBdr>
        </w:div>
      </w:divsChild>
    </w:div>
    <w:div w:id="1503466059">
      <w:bodyDiv w:val="1"/>
      <w:marLeft w:val="0"/>
      <w:marRight w:val="0"/>
      <w:marTop w:val="0"/>
      <w:marBottom w:val="0"/>
      <w:divBdr>
        <w:top w:val="none" w:sz="0" w:space="0" w:color="auto"/>
        <w:left w:val="none" w:sz="0" w:space="0" w:color="auto"/>
        <w:bottom w:val="none" w:sz="0" w:space="0" w:color="auto"/>
        <w:right w:val="none" w:sz="0" w:space="0" w:color="auto"/>
      </w:divBdr>
      <w:divsChild>
        <w:div w:id="1987394670">
          <w:marLeft w:val="0"/>
          <w:marRight w:val="0"/>
          <w:marTop w:val="0"/>
          <w:marBottom w:val="0"/>
          <w:divBdr>
            <w:top w:val="none" w:sz="0" w:space="0" w:color="auto"/>
            <w:left w:val="none" w:sz="0" w:space="0" w:color="auto"/>
            <w:bottom w:val="none" w:sz="0" w:space="0" w:color="auto"/>
            <w:right w:val="none" w:sz="0" w:space="0" w:color="auto"/>
          </w:divBdr>
          <w:divsChild>
            <w:div w:id="1479876316">
              <w:marLeft w:val="0"/>
              <w:marRight w:val="300"/>
              <w:marTop w:val="0"/>
              <w:marBottom w:val="0"/>
              <w:divBdr>
                <w:top w:val="none" w:sz="0" w:space="0" w:color="auto"/>
                <w:left w:val="none" w:sz="0" w:space="0" w:color="auto"/>
                <w:bottom w:val="none" w:sz="0" w:space="0" w:color="auto"/>
                <w:right w:val="none" w:sz="0" w:space="0" w:color="auto"/>
              </w:divBdr>
              <w:divsChild>
                <w:div w:id="646781126">
                  <w:marLeft w:val="0"/>
                  <w:marRight w:val="0"/>
                  <w:marTop w:val="0"/>
                  <w:marBottom w:val="0"/>
                  <w:divBdr>
                    <w:top w:val="none" w:sz="0" w:space="0" w:color="auto"/>
                    <w:left w:val="none" w:sz="0" w:space="0" w:color="auto"/>
                    <w:bottom w:val="none" w:sz="0" w:space="0" w:color="auto"/>
                    <w:right w:val="none" w:sz="0" w:space="0" w:color="auto"/>
                  </w:divBdr>
                </w:div>
                <w:div w:id="1231039026">
                  <w:marLeft w:val="0"/>
                  <w:marRight w:val="0"/>
                  <w:marTop w:val="0"/>
                  <w:marBottom w:val="30"/>
                  <w:divBdr>
                    <w:top w:val="none" w:sz="0" w:space="0" w:color="auto"/>
                    <w:left w:val="none" w:sz="0" w:space="0" w:color="auto"/>
                    <w:bottom w:val="none" w:sz="0" w:space="0" w:color="auto"/>
                    <w:right w:val="none" w:sz="0" w:space="0" w:color="auto"/>
                  </w:divBdr>
                </w:div>
                <w:div w:id="194530869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535312236">
      <w:bodyDiv w:val="1"/>
      <w:marLeft w:val="0"/>
      <w:marRight w:val="0"/>
      <w:marTop w:val="0"/>
      <w:marBottom w:val="0"/>
      <w:divBdr>
        <w:top w:val="none" w:sz="0" w:space="0" w:color="auto"/>
        <w:left w:val="none" w:sz="0" w:space="0" w:color="auto"/>
        <w:bottom w:val="none" w:sz="0" w:space="0" w:color="auto"/>
        <w:right w:val="none" w:sz="0" w:space="0" w:color="auto"/>
      </w:divBdr>
      <w:divsChild>
        <w:div w:id="455369197">
          <w:marLeft w:val="0"/>
          <w:marRight w:val="0"/>
          <w:marTop w:val="0"/>
          <w:marBottom w:val="0"/>
          <w:divBdr>
            <w:top w:val="none" w:sz="0" w:space="0" w:color="auto"/>
            <w:left w:val="none" w:sz="0" w:space="0" w:color="auto"/>
            <w:bottom w:val="none" w:sz="0" w:space="0" w:color="auto"/>
            <w:right w:val="none" w:sz="0" w:space="0" w:color="auto"/>
          </w:divBdr>
        </w:div>
      </w:divsChild>
    </w:div>
    <w:div w:id="1561939824">
      <w:bodyDiv w:val="1"/>
      <w:marLeft w:val="0"/>
      <w:marRight w:val="0"/>
      <w:marTop w:val="0"/>
      <w:marBottom w:val="0"/>
      <w:divBdr>
        <w:top w:val="none" w:sz="0" w:space="0" w:color="auto"/>
        <w:left w:val="none" w:sz="0" w:space="0" w:color="auto"/>
        <w:bottom w:val="none" w:sz="0" w:space="0" w:color="auto"/>
        <w:right w:val="none" w:sz="0" w:space="0" w:color="auto"/>
      </w:divBdr>
      <w:divsChild>
        <w:div w:id="226115033">
          <w:marLeft w:val="605"/>
          <w:marRight w:val="0"/>
          <w:marTop w:val="269"/>
          <w:marBottom w:val="0"/>
          <w:divBdr>
            <w:top w:val="none" w:sz="0" w:space="0" w:color="auto"/>
            <w:left w:val="none" w:sz="0" w:space="0" w:color="auto"/>
            <w:bottom w:val="none" w:sz="0" w:space="0" w:color="auto"/>
            <w:right w:val="none" w:sz="0" w:space="0" w:color="auto"/>
          </w:divBdr>
        </w:div>
        <w:div w:id="309332978">
          <w:marLeft w:val="605"/>
          <w:marRight w:val="0"/>
          <w:marTop w:val="269"/>
          <w:marBottom w:val="0"/>
          <w:divBdr>
            <w:top w:val="none" w:sz="0" w:space="0" w:color="auto"/>
            <w:left w:val="none" w:sz="0" w:space="0" w:color="auto"/>
            <w:bottom w:val="none" w:sz="0" w:space="0" w:color="auto"/>
            <w:right w:val="none" w:sz="0" w:space="0" w:color="auto"/>
          </w:divBdr>
        </w:div>
        <w:div w:id="1234506959">
          <w:marLeft w:val="605"/>
          <w:marRight w:val="0"/>
          <w:marTop w:val="269"/>
          <w:marBottom w:val="0"/>
          <w:divBdr>
            <w:top w:val="none" w:sz="0" w:space="0" w:color="auto"/>
            <w:left w:val="none" w:sz="0" w:space="0" w:color="auto"/>
            <w:bottom w:val="none" w:sz="0" w:space="0" w:color="auto"/>
            <w:right w:val="none" w:sz="0" w:space="0" w:color="auto"/>
          </w:divBdr>
        </w:div>
      </w:divsChild>
    </w:div>
    <w:div w:id="1581332675">
      <w:bodyDiv w:val="1"/>
      <w:marLeft w:val="0"/>
      <w:marRight w:val="0"/>
      <w:marTop w:val="0"/>
      <w:marBottom w:val="0"/>
      <w:divBdr>
        <w:top w:val="none" w:sz="0" w:space="0" w:color="auto"/>
        <w:left w:val="none" w:sz="0" w:space="0" w:color="auto"/>
        <w:bottom w:val="none" w:sz="0" w:space="0" w:color="auto"/>
        <w:right w:val="none" w:sz="0" w:space="0" w:color="auto"/>
      </w:divBdr>
    </w:div>
    <w:div w:id="1584295518">
      <w:bodyDiv w:val="1"/>
      <w:marLeft w:val="0"/>
      <w:marRight w:val="0"/>
      <w:marTop w:val="0"/>
      <w:marBottom w:val="0"/>
      <w:divBdr>
        <w:top w:val="none" w:sz="0" w:space="0" w:color="auto"/>
        <w:left w:val="none" w:sz="0" w:space="0" w:color="auto"/>
        <w:bottom w:val="none" w:sz="0" w:space="0" w:color="auto"/>
        <w:right w:val="none" w:sz="0" w:space="0" w:color="auto"/>
      </w:divBdr>
      <w:divsChild>
        <w:div w:id="2099515221">
          <w:marLeft w:val="547"/>
          <w:marRight w:val="0"/>
          <w:marTop w:val="0"/>
          <w:marBottom w:val="0"/>
          <w:divBdr>
            <w:top w:val="none" w:sz="0" w:space="0" w:color="auto"/>
            <w:left w:val="none" w:sz="0" w:space="0" w:color="auto"/>
            <w:bottom w:val="none" w:sz="0" w:space="0" w:color="auto"/>
            <w:right w:val="none" w:sz="0" w:space="0" w:color="auto"/>
          </w:divBdr>
        </w:div>
        <w:div w:id="1912080670">
          <w:marLeft w:val="547"/>
          <w:marRight w:val="0"/>
          <w:marTop w:val="0"/>
          <w:marBottom w:val="0"/>
          <w:divBdr>
            <w:top w:val="none" w:sz="0" w:space="0" w:color="auto"/>
            <w:left w:val="none" w:sz="0" w:space="0" w:color="auto"/>
            <w:bottom w:val="none" w:sz="0" w:space="0" w:color="auto"/>
            <w:right w:val="none" w:sz="0" w:space="0" w:color="auto"/>
          </w:divBdr>
        </w:div>
        <w:div w:id="156001038">
          <w:marLeft w:val="547"/>
          <w:marRight w:val="0"/>
          <w:marTop w:val="0"/>
          <w:marBottom w:val="0"/>
          <w:divBdr>
            <w:top w:val="none" w:sz="0" w:space="0" w:color="auto"/>
            <w:left w:val="none" w:sz="0" w:space="0" w:color="auto"/>
            <w:bottom w:val="none" w:sz="0" w:space="0" w:color="auto"/>
            <w:right w:val="none" w:sz="0" w:space="0" w:color="auto"/>
          </w:divBdr>
        </w:div>
        <w:div w:id="582185185">
          <w:marLeft w:val="547"/>
          <w:marRight w:val="0"/>
          <w:marTop w:val="0"/>
          <w:marBottom w:val="0"/>
          <w:divBdr>
            <w:top w:val="none" w:sz="0" w:space="0" w:color="auto"/>
            <w:left w:val="none" w:sz="0" w:space="0" w:color="auto"/>
            <w:bottom w:val="none" w:sz="0" w:space="0" w:color="auto"/>
            <w:right w:val="none" w:sz="0" w:space="0" w:color="auto"/>
          </w:divBdr>
        </w:div>
        <w:div w:id="1567956276">
          <w:marLeft w:val="547"/>
          <w:marRight w:val="0"/>
          <w:marTop w:val="0"/>
          <w:marBottom w:val="0"/>
          <w:divBdr>
            <w:top w:val="none" w:sz="0" w:space="0" w:color="auto"/>
            <w:left w:val="none" w:sz="0" w:space="0" w:color="auto"/>
            <w:bottom w:val="none" w:sz="0" w:space="0" w:color="auto"/>
            <w:right w:val="none" w:sz="0" w:space="0" w:color="auto"/>
          </w:divBdr>
        </w:div>
        <w:div w:id="1184200592">
          <w:marLeft w:val="547"/>
          <w:marRight w:val="0"/>
          <w:marTop w:val="0"/>
          <w:marBottom w:val="0"/>
          <w:divBdr>
            <w:top w:val="none" w:sz="0" w:space="0" w:color="auto"/>
            <w:left w:val="none" w:sz="0" w:space="0" w:color="auto"/>
            <w:bottom w:val="none" w:sz="0" w:space="0" w:color="auto"/>
            <w:right w:val="none" w:sz="0" w:space="0" w:color="auto"/>
          </w:divBdr>
        </w:div>
        <w:div w:id="1118257474">
          <w:marLeft w:val="547"/>
          <w:marRight w:val="0"/>
          <w:marTop w:val="0"/>
          <w:marBottom w:val="0"/>
          <w:divBdr>
            <w:top w:val="none" w:sz="0" w:space="0" w:color="auto"/>
            <w:left w:val="none" w:sz="0" w:space="0" w:color="auto"/>
            <w:bottom w:val="none" w:sz="0" w:space="0" w:color="auto"/>
            <w:right w:val="none" w:sz="0" w:space="0" w:color="auto"/>
          </w:divBdr>
        </w:div>
        <w:div w:id="1005982502">
          <w:marLeft w:val="547"/>
          <w:marRight w:val="0"/>
          <w:marTop w:val="0"/>
          <w:marBottom w:val="0"/>
          <w:divBdr>
            <w:top w:val="none" w:sz="0" w:space="0" w:color="auto"/>
            <w:left w:val="none" w:sz="0" w:space="0" w:color="auto"/>
            <w:bottom w:val="none" w:sz="0" w:space="0" w:color="auto"/>
            <w:right w:val="none" w:sz="0" w:space="0" w:color="auto"/>
          </w:divBdr>
        </w:div>
        <w:div w:id="101844825">
          <w:marLeft w:val="547"/>
          <w:marRight w:val="0"/>
          <w:marTop w:val="0"/>
          <w:marBottom w:val="0"/>
          <w:divBdr>
            <w:top w:val="none" w:sz="0" w:space="0" w:color="auto"/>
            <w:left w:val="none" w:sz="0" w:space="0" w:color="auto"/>
            <w:bottom w:val="none" w:sz="0" w:space="0" w:color="auto"/>
            <w:right w:val="none" w:sz="0" w:space="0" w:color="auto"/>
          </w:divBdr>
        </w:div>
        <w:div w:id="1095857473">
          <w:marLeft w:val="547"/>
          <w:marRight w:val="0"/>
          <w:marTop w:val="0"/>
          <w:marBottom w:val="0"/>
          <w:divBdr>
            <w:top w:val="none" w:sz="0" w:space="0" w:color="auto"/>
            <w:left w:val="none" w:sz="0" w:space="0" w:color="auto"/>
            <w:bottom w:val="none" w:sz="0" w:space="0" w:color="auto"/>
            <w:right w:val="none" w:sz="0" w:space="0" w:color="auto"/>
          </w:divBdr>
        </w:div>
        <w:div w:id="2095010427">
          <w:marLeft w:val="547"/>
          <w:marRight w:val="0"/>
          <w:marTop w:val="0"/>
          <w:marBottom w:val="0"/>
          <w:divBdr>
            <w:top w:val="none" w:sz="0" w:space="0" w:color="auto"/>
            <w:left w:val="none" w:sz="0" w:space="0" w:color="auto"/>
            <w:bottom w:val="none" w:sz="0" w:space="0" w:color="auto"/>
            <w:right w:val="none" w:sz="0" w:space="0" w:color="auto"/>
          </w:divBdr>
        </w:div>
        <w:div w:id="785580857">
          <w:marLeft w:val="547"/>
          <w:marRight w:val="0"/>
          <w:marTop w:val="0"/>
          <w:marBottom w:val="0"/>
          <w:divBdr>
            <w:top w:val="none" w:sz="0" w:space="0" w:color="auto"/>
            <w:left w:val="none" w:sz="0" w:space="0" w:color="auto"/>
            <w:bottom w:val="none" w:sz="0" w:space="0" w:color="auto"/>
            <w:right w:val="none" w:sz="0" w:space="0" w:color="auto"/>
          </w:divBdr>
        </w:div>
        <w:div w:id="1686513018">
          <w:marLeft w:val="547"/>
          <w:marRight w:val="0"/>
          <w:marTop w:val="0"/>
          <w:marBottom w:val="0"/>
          <w:divBdr>
            <w:top w:val="none" w:sz="0" w:space="0" w:color="auto"/>
            <w:left w:val="none" w:sz="0" w:space="0" w:color="auto"/>
            <w:bottom w:val="none" w:sz="0" w:space="0" w:color="auto"/>
            <w:right w:val="none" w:sz="0" w:space="0" w:color="auto"/>
          </w:divBdr>
        </w:div>
      </w:divsChild>
    </w:div>
    <w:div w:id="1644042501">
      <w:bodyDiv w:val="1"/>
      <w:marLeft w:val="0"/>
      <w:marRight w:val="0"/>
      <w:marTop w:val="0"/>
      <w:marBottom w:val="0"/>
      <w:divBdr>
        <w:top w:val="none" w:sz="0" w:space="0" w:color="auto"/>
        <w:left w:val="none" w:sz="0" w:space="0" w:color="auto"/>
        <w:bottom w:val="none" w:sz="0" w:space="0" w:color="auto"/>
        <w:right w:val="none" w:sz="0" w:space="0" w:color="auto"/>
      </w:divBdr>
      <w:divsChild>
        <w:div w:id="1178740751">
          <w:marLeft w:val="547"/>
          <w:marRight w:val="0"/>
          <w:marTop w:val="0"/>
          <w:marBottom w:val="180"/>
          <w:divBdr>
            <w:top w:val="none" w:sz="0" w:space="0" w:color="auto"/>
            <w:left w:val="none" w:sz="0" w:space="0" w:color="auto"/>
            <w:bottom w:val="none" w:sz="0" w:space="0" w:color="auto"/>
            <w:right w:val="none" w:sz="0" w:space="0" w:color="auto"/>
          </w:divBdr>
        </w:div>
      </w:divsChild>
    </w:div>
    <w:div w:id="1685790495">
      <w:bodyDiv w:val="1"/>
      <w:marLeft w:val="0"/>
      <w:marRight w:val="0"/>
      <w:marTop w:val="0"/>
      <w:marBottom w:val="0"/>
      <w:divBdr>
        <w:top w:val="none" w:sz="0" w:space="0" w:color="auto"/>
        <w:left w:val="none" w:sz="0" w:space="0" w:color="auto"/>
        <w:bottom w:val="none" w:sz="0" w:space="0" w:color="auto"/>
        <w:right w:val="none" w:sz="0" w:space="0" w:color="auto"/>
      </w:divBdr>
      <w:divsChild>
        <w:div w:id="1840270741">
          <w:marLeft w:val="0"/>
          <w:marRight w:val="0"/>
          <w:marTop w:val="0"/>
          <w:marBottom w:val="0"/>
          <w:divBdr>
            <w:top w:val="none" w:sz="0" w:space="0" w:color="auto"/>
            <w:left w:val="none" w:sz="0" w:space="0" w:color="auto"/>
            <w:bottom w:val="none" w:sz="0" w:space="0" w:color="auto"/>
            <w:right w:val="none" w:sz="0" w:space="0" w:color="auto"/>
          </w:divBdr>
          <w:divsChild>
            <w:div w:id="450785331">
              <w:marLeft w:val="0"/>
              <w:marRight w:val="300"/>
              <w:marTop w:val="0"/>
              <w:marBottom w:val="0"/>
              <w:divBdr>
                <w:top w:val="none" w:sz="0" w:space="0" w:color="auto"/>
                <w:left w:val="none" w:sz="0" w:space="0" w:color="auto"/>
                <w:bottom w:val="none" w:sz="0" w:space="0" w:color="auto"/>
                <w:right w:val="none" w:sz="0" w:space="0" w:color="auto"/>
              </w:divBdr>
              <w:divsChild>
                <w:div w:id="562911766">
                  <w:marLeft w:val="0"/>
                  <w:marRight w:val="0"/>
                  <w:marTop w:val="0"/>
                  <w:marBottom w:val="30"/>
                  <w:divBdr>
                    <w:top w:val="none" w:sz="0" w:space="0" w:color="auto"/>
                    <w:left w:val="none" w:sz="0" w:space="0" w:color="auto"/>
                    <w:bottom w:val="none" w:sz="0" w:space="0" w:color="auto"/>
                    <w:right w:val="none" w:sz="0" w:space="0" w:color="auto"/>
                  </w:divBdr>
                </w:div>
                <w:div w:id="813109509">
                  <w:marLeft w:val="0"/>
                  <w:marRight w:val="0"/>
                  <w:marTop w:val="0"/>
                  <w:marBottom w:val="0"/>
                  <w:divBdr>
                    <w:top w:val="none" w:sz="0" w:space="0" w:color="auto"/>
                    <w:left w:val="none" w:sz="0" w:space="0" w:color="auto"/>
                    <w:bottom w:val="none" w:sz="0" w:space="0" w:color="auto"/>
                    <w:right w:val="none" w:sz="0" w:space="0" w:color="auto"/>
                  </w:divBdr>
                </w:div>
                <w:div w:id="175631540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699350270">
      <w:bodyDiv w:val="1"/>
      <w:marLeft w:val="0"/>
      <w:marRight w:val="0"/>
      <w:marTop w:val="0"/>
      <w:marBottom w:val="0"/>
      <w:divBdr>
        <w:top w:val="none" w:sz="0" w:space="0" w:color="auto"/>
        <w:left w:val="none" w:sz="0" w:space="0" w:color="auto"/>
        <w:bottom w:val="none" w:sz="0" w:space="0" w:color="auto"/>
        <w:right w:val="none" w:sz="0" w:space="0" w:color="auto"/>
      </w:divBdr>
      <w:divsChild>
        <w:div w:id="959804510">
          <w:marLeft w:val="605"/>
          <w:marRight w:val="0"/>
          <w:marTop w:val="230"/>
          <w:marBottom w:val="0"/>
          <w:divBdr>
            <w:top w:val="none" w:sz="0" w:space="0" w:color="auto"/>
            <w:left w:val="none" w:sz="0" w:space="0" w:color="auto"/>
            <w:bottom w:val="none" w:sz="0" w:space="0" w:color="auto"/>
            <w:right w:val="none" w:sz="0" w:space="0" w:color="auto"/>
          </w:divBdr>
        </w:div>
        <w:div w:id="1135876824">
          <w:marLeft w:val="605"/>
          <w:marRight w:val="0"/>
          <w:marTop w:val="230"/>
          <w:marBottom w:val="0"/>
          <w:divBdr>
            <w:top w:val="none" w:sz="0" w:space="0" w:color="auto"/>
            <w:left w:val="none" w:sz="0" w:space="0" w:color="auto"/>
            <w:bottom w:val="none" w:sz="0" w:space="0" w:color="auto"/>
            <w:right w:val="none" w:sz="0" w:space="0" w:color="auto"/>
          </w:divBdr>
        </w:div>
      </w:divsChild>
    </w:div>
    <w:div w:id="1714888521">
      <w:bodyDiv w:val="1"/>
      <w:marLeft w:val="0"/>
      <w:marRight w:val="0"/>
      <w:marTop w:val="0"/>
      <w:marBottom w:val="0"/>
      <w:divBdr>
        <w:top w:val="none" w:sz="0" w:space="0" w:color="auto"/>
        <w:left w:val="none" w:sz="0" w:space="0" w:color="auto"/>
        <w:bottom w:val="none" w:sz="0" w:space="0" w:color="auto"/>
        <w:right w:val="none" w:sz="0" w:space="0" w:color="auto"/>
      </w:divBdr>
      <w:divsChild>
        <w:div w:id="1011252860">
          <w:marLeft w:val="662"/>
          <w:marRight w:val="0"/>
          <w:marTop w:val="0"/>
          <w:marBottom w:val="0"/>
          <w:divBdr>
            <w:top w:val="none" w:sz="0" w:space="0" w:color="auto"/>
            <w:left w:val="none" w:sz="0" w:space="0" w:color="auto"/>
            <w:bottom w:val="none" w:sz="0" w:space="0" w:color="auto"/>
            <w:right w:val="none" w:sz="0" w:space="0" w:color="auto"/>
          </w:divBdr>
        </w:div>
        <w:div w:id="285353689">
          <w:marLeft w:val="662"/>
          <w:marRight w:val="0"/>
          <w:marTop w:val="0"/>
          <w:marBottom w:val="0"/>
          <w:divBdr>
            <w:top w:val="none" w:sz="0" w:space="0" w:color="auto"/>
            <w:left w:val="none" w:sz="0" w:space="0" w:color="auto"/>
            <w:bottom w:val="none" w:sz="0" w:space="0" w:color="auto"/>
            <w:right w:val="none" w:sz="0" w:space="0" w:color="auto"/>
          </w:divBdr>
        </w:div>
        <w:div w:id="41366048">
          <w:marLeft w:val="662"/>
          <w:marRight w:val="0"/>
          <w:marTop w:val="0"/>
          <w:marBottom w:val="0"/>
          <w:divBdr>
            <w:top w:val="none" w:sz="0" w:space="0" w:color="auto"/>
            <w:left w:val="none" w:sz="0" w:space="0" w:color="auto"/>
            <w:bottom w:val="none" w:sz="0" w:space="0" w:color="auto"/>
            <w:right w:val="none" w:sz="0" w:space="0" w:color="auto"/>
          </w:divBdr>
        </w:div>
        <w:div w:id="822696822">
          <w:marLeft w:val="662"/>
          <w:marRight w:val="0"/>
          <w:marTop w:val="0"/>
          <w:marBottom w:val="0"/>
          <w:divBdr>
            <w:top w:val="none" w:sz="0" w:space="0" w:color="auto"/>
            <w:left w:val="none" w:sz="0" w:space="0" w:color="auto"/>
            <w:bottom w:val="none" w:sz="0" w:space="0" w:color="auto"/>
            <w:right w:val="none" w:sz="0" w:space="0" w:color="auto"/>
          </w:divBdr>
        </w:div>
        <w:div w:id="1058749147">
          <w:marLeft w:val="662"/>
          <w:marRight w:val="0"/>
          <w:marTop w:val="0"/>
          <w:marBottom w:val="0"/>
          <w:divBdr>
            <w:top w:val="none" w:sz="0" w:space="0" w:color="auto"/>
            <w:left w:val="none" w:sz="0" w:space="0" w:color="auto"/>
            <w:bottom w:val="none" w:sz="0" w:space="0" w:color="auto"/>
            <w:right w:val="none" w:sz="0" w:space="0" w:color="auto"/>
          </w:divBdr>
        </w:div>
        <w:div w:id="403912280">
          <w:marLeft w:val="662"/>
          <w:marRight w:val="0"/>
          <w:marTop w:val="0"/>
          <w:marBottom w:val="0"/>
          <w:divBdr>
            <w:top w:val="none" w:sz="0" w:space="0" w:color="auto"/>
            <w:left w:val="none" w:sz="0" w:space="0" w:color="auto"/>
            <w:bottom w:val="none" w:sz="0" w:space="0" w:color="auto"/>
            <w:right w:val="none" w:sz="0" w:space="0" w:color="auto"/>
          </w:divBdr>
        </w:div>
      </w:divsChild>
    </w:div>
    <w:div w:id="1721858767">
      <w:bodyDiv w:val="1"/>
      <w:marLeft w:val="0"/>
      <w:marRight w:val="0"/>
      <w:marTop w:val="0"/>
      <w:marBottom w:val="0"/>
      <w:divBdr>
        <w:top w:val="none" w:sz="0" w:space="0" w:color="auto"/>
        <w:left w:val="none" w:sz="0" w:space="0" w:color="auto"/>
        <w:bottom w:val="none" w:sz="0" w:space="0" w:color="auto"/>
        <w:right w:val="none" w:sz="0" w:space="0" w:color="auto"/>
      </w:divBdr>
    </w:div>
    <w:div w:id="1722169742">
      <w:bodyDiv w:val="1"/>
      <w:marLeft w:val="0"/>
      <w:marRight w:val="0"/>
      <w:marTop w:val="0"/>
      <w:marBottom w:val="0"/>
      <w:divBdr>
        <w:top w:val="none" w:sz="0" w:space="0" w:color="auto"/>
        <w:left w:val="none" w:sz="0" w:space="0" w:color="auto"/>
        <w:bottom w:val="none" w:sz="0" w:space="0" w:color="auto"/>
        <w:right w:val="none" w:sz="0" w:space="0" w:color="auto"/>
      </w:divBdr>
    </w:div>
    <w:div w:id="1729063858">
      <w:bodyDiv w:val="1"/>
      <w:marLeft w:val="0"/>
      <w:marRight w:val="0"/>
      <w:marTop w:val="0"/>
      <w:marBottom w:val="0"/>
      <w:divBdr>
        <w:top w:val="none" w:sz="0" w:space="0" w:color="auto"/>
        <w:left w:val="none" w:sz="0" w:space="0" w:color="auto"/>
        <w:bottom w:val="none" w:sz="0" w:space="0" w:color="auto"/>
        <w:right w:val="none" w:sz="0" w:space="0" w:color="auto"/>
      </w:divBdr>
    </w:div>
    <w:div w:id="1730034247">
      <w:bodyDiv w:val="1"/>
      <w:marLeft w:val="0"/>
      <w:marRight w:val="0"/>
      <w:marTop w:val="0"/>
      <w:marBottom w:val="0"/>
      <w:divBdr>
        <w:top w:val="none" w:sz="0" w:space="0" w:color="auto"/>
        <w:left w:val="none" w:sz="0" w:space="0" w:color="auto"/>
        <w:bottom w:val="none" w:sz="0" w:space="0" w:color="auto"/>
        <w:right w:val="none" w:sz="0" w:space="0" w:color="auto"/>
      </w:divBdr>
    </w:div>
    <w:div w:id="1742483914">
      <w:bodyDiv w:val="1"/>
      <w:marLeft w:val="0"/>
      <w:marRight w:val="0"/>
      <w:marTop w:val="0"/>
      <w:marBottom w:val="0"/>
      <w:divBdr>
        <w:top w:val="none" w:sz="0" w:space="0" w:color="auto"/>
        <w:left w:val="none" w:sz="0" w:space="0" w:color="auto"/>
        <w:bottom w:val="none" w:sz="0" w:space="0" w:color="auto"/>
        <w:right w:val="none" w:sz="0" w:space="0" w:color="auto"/>
      </w:divBdr>
      <w:divsChild>
        <w:div w:id="39978945">
          <w:marLeft w:val="605"/>
          <w:marRight w:val="0"/>
          <w:marTop w:val="211"/>
          <w:marBottom w:val="0"/>
          <w:divBdr>
            <w:top w:val="none" w:sz="0" w:space="0" w:color="auto"/>
            <w:left w:val="none" w:sz="0" w:space="0" w:color="auto"/>
            <w:bottom w:val="none" w:sz="0" w:space="0" w:color="auto"/>
            <w:right w:val="none" w:sz="0" w:space="0" w:color="auto"/>
          </w:divBdr>
        </w:div>
        <w:div w:id="118031997">
          <w:marLeft w:val="605"/>
          <w:marRight w:val="0"/>
          <w:marTop w:val="211"/>
          <w:marBottom w:val="0"/>
          <w:divBdr>
            <w:top w:val="none" w:sz="0" w:space="0" w:color="auto"/>
            <w:left w:val="none" w:sz="0" w:space="0" w:color="auto"/>
            <w:bottom w:val="none" w:sz="0" w:space="0" w:color="auto"/>
            <w:right w:val="none" w:sz="0" w:space="0" w:color="auto"/>
          </w:divBdr>
        </w:div>
        <w:div w:id="370150259">
          <w:marLeft w:val="1051"/>
          <w:marRight w:val="0"/>
          <w:marTop w:val="106"/>
          <w:marBottom w:val="0"/>
          <w:divBdr>
            <w:top w:val="none" w:sz="0" w:space="0" w:color="auto"/>
            <w:left w:val="none" w:sz="0" w:space="0" w:color="auto"/>
            <w:bottom w:val="none" w:sz="0" w:space="0" w:color="auto"/>
            <w:right w:val="none" w:sz="0" w:space="0" w:color="auto"/>
          </w:divBdr>
        </w:div>
        <w:div w:id="468667389">
          <w:marLeft w:val="605"/>
          <w:marRight w:val="0"/>
          <w:marTop w:val="211"/>
          <w:marBottom w:val="0"/>
          <w:divBdr>
            <w:top w:val="none" w:sz="0" w:space="0" w:color="auto"/>
            <w:left w:val="none" w:sz="0" w:space="0" w:color="auto"/>
            <w:bottom w:val="none" w:sz="0" w:space="0" w:color="auto"/>
            <w:right w:val="none" w:sz="0" w:space="0" w:color="auto"/>
          </w:divBdr>
        </w:div>
        <w:div w:id="849371215">
          <w:marLeft w:val="605"/>
          <w:marRight w:val="0"/>
          <w:marTop w:val="211"/>
          <w:marBottom w:val="0"/>
          <w:divBdr>
            <w:top w:val="none" w:sz="0" w:space="0" w:color="auto"/>
            <w:left w:val="none" w:sz="0" w:space="0" w:color="auto"/>
            <w:bottom w:val="none" w:sz="0" w:space="0" w:color="auto"/>
            <w:right w:val="none" w:sz="0" w:space="0" w:color="auto"/>
          </w:divBdr>
        </w:div>
        <w:div w:id="1045065361">
          <w:marLeft w:val="605"/>
          <w:marRight w:val="0"/>
          <w:marTop w:val="211"/>
          <w:marBottom w:val="0"/>
          <w:divBdr>
            <w:top w:val="none" w:sz="0" w:space="0" w:color="auto"/>
            <w:left w:val="none" w:sz="0" w:space="0" w:color="auto"/>
            <w:bottom w:val="none" w:sz="0" w:space="0" w:color="auto"/>
            <w:right w:val="none" w:sz="0" w:space="0" w:color="auto"/>
          </w:divBdr>
        </w:div>
        <w:div w:id="1058211913">
          <w:marLeft w:val="1051"/>
          <w:marRight w:val="0"/>
          <w:marTop w:val="106"/>
          <w:marBottom w:val="0"/>
          <w:divBdr>
            <w:top w:val="none" w:sz="0" w:space="0" w:color="auto"/>
            <w:left w:val="none" w:sz="0" w:space="0" w:color="auto"/>
            <w:bottom w:val="none" w:sz="0" w:space="0" w:color="auto"/>
            <w:right w:val="none" w:sz="0" w:space="0" w:color="auto"/>
          </w:divBdr>
        </w:div>
        <w:div w:id="1310594385">
          <w:marLeft w:val="605"/>
          <w:marRight w:val="0"/>
          <w:marTop w:val="211"/>
          <w:marBottom w:val="0"/>
          <w:divBdr>
            <w:top w:val="none" w:sz="0" w:space="0" w:color="auto"/>
            <w:left w:val="none" w:sz="0" w:space="0" w:color="auto"/>
            <w:bottom w:val="none" w:sz="0" w:space="0" w:color="auto"/>
            <w:right w:val="none" w:sz="0" w:space="0" w:color="auto"/>
          </w:divBdr>
        </w:div>
        <w:div w:id="1371299637">
          <w:marLeft w:val="605"/>
          <w:marRight w:val="0"/>
          <w:marTop w:val="211"/>
          <w:marBottom w:val="0"/>
          <w:divBdr>
            <w:top w:val="none" w:sz="0" w:space="0" w:color="auto"/>
            <w:left w:val="none" w:sz="0" w:space="0" w:color="auto"/>
            <w:bottom w:val="none" w:sz="0" w:space="0" w:color="auto"/>
            <w:right w:val="none" w:sz="0" w:space="0" w:color="auto"/>
          </w:divBdr>
        </w:div>
        <w:div w:id="1389723318">
          <w:marLeft w:val="605"/>
          <w:marRight w:val="0"/>
          <w:marTop w:val="211"/>
          <w:marBottom w:val="0"/>
          <w:divBdr>
            <w:top w:val="none" w:sz="0" w:space="0" w:color="auto"/>
            <w:left w:val="none" w:sz="0" w:space="0" w:color="auto"/>
            <w:bottom w:val="none" w:sz="0" w:space="0" w:color="auto"/>
            <w:right w:val="none" w:sz="0" w:space="0" w:color="auto"/>
          </w:divBdr>
        </w:div>
        <w:div w:id="1420298893">
          <w:marLeft w:val="1051"/>
          <w:marRight w:val="0"/>
          <w:marTop w:val="106"/>
          <w:marBottom w:val="0"/>
          <w:divBdr>
            <w:top w:val="none" w:sz="0" w:space="0" w:color="auto"/>
            <w:left w:val="none" w:sz="0" w:space="0" w:color="auto"/>
            <w:bottom w:val="none" w:sz="0" w:space="0" w:color="auto"/>
            <w:right w:val="none" w:sz="0" w:space="0" w:color="auto"/>
          </w:divBdr>
        </w:div>
        <w:div w:id="1663269580">
          <w:marLeft w:val="605"/>
          <w:marRight w:val="0"/>
          <w:marTop w:val="211"/>
          <w:marBottom w:val="0"/>
          <w:divBdr>
            <w:top w:val="none" w:sz="0" w:space="0" w:color="auto"/>
            <w:left w:val="none" w:sz="0" w:space="0" w:color="auto"/>
            <w:bottom w:val="none" w:sz="0" w:space="0" w:color="auto"/>
            <w:right w:val="none" w:sz="0" w:space="0" w:color="auto"/>
          </w:divBdr>
        </w:div>
        <w:div w:id="2048942465">
          <w:marLeft w:val="605"/>
          <w:marRight w:val="0"/>
          <w:marTop w:val="211"/>
          <w:marBottom w:val="0"/>
          <w:divBdr>
            <w:top w:val="none" w:sz="0" w:space="0" w:color="auto"/>
            <w:left w:val="none" w:sz="0" w:space="0" w:color="auto"/>
            <w:bottom w:val="none" w:sz="0" w:space="0" w:color="auto"/>
            <w:right w:val="none" w:sz="0" w:space="0" w:color="auto"/>
          </w:divBdr>
        </w:div>
      </w:divsChild>
    </w:div>
    <w:div w:id="1746761835">
      <w:bodyDiv w:val="1"/>
      <w:marLeft w:val="0"/>
      <w:marRight w:val="0"/>
      <w:marTop w:val="0"/>
      <w:marBottom w:val="0"/>
      <w:divBdr>
        <w:top w:val="none" w:sz="0" w:space="0" w:color="auto"/>
        <w:left w:val="none" w:sz="0" w:space="0" w:color="auto"/>
        <w:bottom w:val="none" w:sz="0" w:space="0" w:color="auto"/>
        <w:right w:val="none" w:sz="0" w:space="0" w:color="auto"/>
      </w:divBdr>
    </w:div>
    <w:div w:id="1750615276">
      <w:bodyDiv w:val="1"/>
      <w:marLeft w:val="0"/>
      <w:marRight w:val="0"/>
      <w:marTop w:val="0"/>
      <w:marBottom w:val="0"/>
      <w:divBdr>
        <w:top w:val="none" w:sz="0" w:space="0" w:color="auto"/>
        <w:left w:val="none" w:sz="0" w:space="0" w:color="auto"/>
        <w:bottom w:val="none" w:sz="0" w:space="0" w:color="auto"/>
        <w:right w:val="none" w:sz="0" w:space="0" w:color="auto"/>
      </w:divBdr>
      <w:divsChild>
        <w:div w:id="1171482854">
          <w:marLeft w:val="547"/>
          <w:marRight w:val="0"/>
          <w:marTop w:val="0"/>
          <w:marBottom w:val="0"/>
          <w:divBdr>
            <w:top w:val="none" w:sz="0" w:space="0" w:color="auto"/>
            <w:left w:val="none" w:sz="0" w:space="0" w:color="auto"/>
            <w:bottom w:val="none" w:sz="0" w:space="0" w:color="auto"/>
            <w:right w:val="none" w:sz="0" w:space="0" w:color="auto"/>
          </w:divBdr>
        </w:div>
      </w:divsChild>
    </w:div>
    <w:div w:id="1787115664">
      <w:bodyDiv w:val="1"/>
      <w:marLeft w:val="0"/>
      <w:marRight w:val="0"/>
      <w:marTop w:val="0"/>
      <w:marBottom w:val="0"/>
      <w:divBdr>
        <w:top w:val="none" w:sz="0" w:space="0" w:color="auto"/>
        <w:left w:val="none" w:sz="0" w:space="0" w:color="auto"/>
        <w:bottom w:val="none" w:sz="0" w:space="0" w:color="auto"/>
        <w:right w:val="none" w:sz="0" w:space="0" w:color="auto"/>
      </w:divBdr>
      <w:divsChild>
        <w:div w:id="777875069">
          <w:marLeft w:val="835"/>
          <w:marRight w:val="0"/>
          <w:marTop w:val="0"/>
          <w:marBottom w:val="180"/>
          <w:divBdr>
            <w:top w:val="none" w:sz="0" w:space="0" w:color="auto"/>
            <w:left w:val="none" w:sz="0" w:space="0" w:color="auto"/>
            <w:bottom w:val="none" w:sz="0" w:space="0" w:color="auto"/>
            <w:right w:val="none" w:sz="0" w:space="0" w:color="auto"/>
          </w:divBdr>
        </w:div>
        <w:div w:id="983050605">
          <w:marLeft w:val="835"/>
          <w:marRight w:val="0"/>
          <w:marTop w:val="0"/>
          <w:marBottom w:val="180"/>
          <w:divBdr>
            <w:top w:val="none" w:sz="0" w:space="0" w:color="auto"/>
            <w:left w:val="none" w:sz="0" w:space="0" w:color="auto"/>
            <w:bottom w:val="none" w:sz="0" w:space="0" w:color="auto"/>
            <w:right w:val="none" w:sz="0" w:space="0" w:color="auto"/>
          </w:divBdr>
        </w:div>
        <w:div w:id="1217938888">
          <w:marLeft w:val="835"/>
          <w:marRight w:val="0"/>
          <w:marTop w:val="0"/>
          <w:marBottom w:val="180"/>
          <w:divBdr>
            <w:top w:val="none" w:sz="0" w:space="0" w:color="auto"/>
            <w:left w:val="none" w:sz="0" w:space="0" w:color="auto"/>
            <w:bottom w:val="none" w:sz="0" w:space="0" w:color="auto"/>
            <w:right w:val="none" w:sz="0" w:space="0" w:color="auto"/>
          </w:divBdr>
        </w:div>
        <w:div w:id="1396469812">
          <w:marLeft w:val="835"/>
          <w:marRight w:val="0"/>
          <w:marTop w:val="0"/>
          <w:marBottom w:val="180"/>
          <w:divBdr>
            <w:top w:val="none" w:sz="0" w:space="0" w:color="auto"/>
            <w:left w:val="none" w:sz="0" w:space="0" w:color="auto"/>
            <w:bottom w:val="none" w:sz="0" w:space="0" w:color="auto"/>
            <w:right w:val="none" w:sz="0" w:space="0" w:color="auto"/>
          </w:divBdr>
        </w:div>
        <w:div w:id="1669938120">
          <w:marLeft w:val="835"/>
          <w:marRight w:val="0"/>
          <w:marTop w:val="0"/>
          <w:marBottom w:val="180"/>
          <w:divBdr>
            <w:top w:val="none" w:sz="0" w:space="0" w:color="auto"/>
            <w:left w:val="none" w:sz="0" w:space="0" w:color="auto"/>
            <w:bottom w:val="none" w:sz="0" w:space="0" w:color="auto"/>
            <w:right w:val="none" w:sz="0" w:space="0" w:color="auto"/>
          </w:divBdr>
        </w:div>
        <w:div w:id="1835760974">
          <w:marLeft w:val="835"/>
          <w:marRight w:val="0"/>
          <w:marTop w:val="0"/>
          <w:marBottom w:val="180"/>
          <w:divBdr>
            <w:top w:val="none" w:sz="0" w:space="0" w:color="auto"/>
            <w:left w:val="none" w:sz="0" w:space="0" w:color="auto"/>
            <w:bottom w:val="none" w:sz="0" w:space="0" w:color="auto"/>
            <w:right w:val="none" w:sz="0" w:space="0" w:color="auto"/>
          </w:divBdr>
        </w:div>
        <w:div w:id="1858812073">
          <w:marLeft w:val="835"/>
          <w:marRight w:val="0"/>
          <w:marTop w:val="0"/>
          <w:marBottom w:val="180"/>
          <w:divBdr>
            <w:top w:val="none" w:sz="0" w:space="0" w:color="auto"/>
            <w:left w:val="none" w:sz="0" w:space="0" w:color="auto"/>
            <w:bottom w:val="none" w:sz="0" w:space="0" w:color="auto"/>
            <w:right w:val="none" w:sz="0" w:space="0" w:color="auto"/>
          </w:divBdr>
        </w:div>
      </w:divsChild>
    </w:div>
    <w:div w:id="1810127573">
      <w:bodyDiv w:val="1"/>
      <w:marLeft w:val="0"/>
      <w:marRight w:val="0"/>
      <w:marTop w:val="0"/>
      <w:marBottom w:val="0"/>
      <w:divBdr>
        <w:top w:val="none" w:sz="0" w:space="0" w:color="auto"/>
        <w:left w:val="none" w:sz="0" w:space="0" w:color="auto"/>
        <w:bottom w:val="none" w:sz="0" w:space="0" w:color="auto"/>
        <w:right w:val="none" w:sz="0" w:space="0" w:color="auto"/>
      </w:divBdr>
      <w:divsChild>
        <w:div w:id="79570181">
          <w:marLeft w:val="605"/>
          <w:marRight w:val="0"/>
          <w:marTop w:val="269"/>
          <w:marBottom w:val="0"/>
          <w:divBdr>
            <w:top w:val="none" w:sz="0" w:space="0" w:color="auto"/>
            <w:left w:val="none" w:sz="0" w:space="0" w:color="auto"/>
            <w:bottom w:val="none" w:sz="0" w:space="0" w:color="auto"/>
            <w:right w:val="none" w:sz="0" w:space="0" w:color="auto"/>
          </w:divBdr>
        </w:div>
        <w:div w:id="515267074">
          <w:marLeft w:val="605"/>
          <w:marRight w:val="0"/>
          <w:marTop w:val="269"/>
          <w:marBottom w:val="0"/>
          <w:divBdr>
            <w:top w:val="none" w:sz="0" w:space="0" w:color="auto"/>
            <w:left w:val="none" w:sz="0" w:space="0" w:color="auto"/>
            <w:bottom w:val="none" w:sz="0" w:space="0" w:color="auto"/>
            <w:right w:val="none" w:sz="0" w:space="0" w:color="auto"/>
          </w:divBdr>
        </w:div>
        <w:div w:id="1353990527">
          <w:marLeft w:val="605"/>
          <w:marRight w:val="0"/>
          <w:marTop w:val="269"/>
          <w:marBottom w:val="0"/>
          <w:divBdr>
            <w:top w:val="none" w:sz="0" w:space="0" w:color="auto"/>
            <w:left w:val="none" w:sz="0" w:space="0" w:color="auto"/>
            <w:bottom w:val="none" w:sz="0" w:space="0" w:color="auto"/>
            <w:right w:val="none" w:sz="0" w:space="0" w:color="auto"/>
          </w:divBdr>
        </w:div>
        <w:div w:id="1389381889">
          <w:marLeft w:val="605"/>
          <w:marRight w:val="0"/>
          <w:marTop w:val="269"/>
          <w:marBottom w:val="0"/>
          <w:divBdr>
            <w:top w:val="none" w:sz="0" w:space="0" w:color="auto"/>
            <w:left w:val="none" w:sz="0" w:space="0" w:color="auto"/>
            <w:bottom w:val="none" w:sz="0" w:space="0" w:color="auto"/>
            <w:right w:val="none" w:sz="0" w:space="0" w:color="auto"/>
          </w:divBdr>
        </w:div>
        <w:div w:id="1959289523">
          <w:marLeft w:val="605"/>
          <w:marRight w:val="0"/>
          <w:marTop w:val="269"/>
          <w:marBottom w:val="0"/>
          <w:divBdr>
            <w:top w:val="none" w:sz="0" w:space="0" w:color="auto"/>
            <w:left w:val="none" w:sz="0" w:space="0" w:color="auto"/>
            <w:bottom w:val="none" w:sz="0" w:space="0" w:color="auto"/>
            <w:right w:val="none" w:sz="0" w:space="0" w:color="auto"/>
          </w:divBdr>
        </w:div>
        <w:div w:id="2078547496">
          <w:marLeft w:val="605"/>
          <w:marRight w:val="0"/>
          <w:marTop w:val="269"/>
          <w:marBottom w:val="0"/>
          <w:divBdr>
            <w:top w:val="none" w:sz="0" w:space="0" w:color="auto"/>
            <w:left w:val="none" w:sz="0" w:space="0" w:color="auto"/>
            <w:bottom w:val="none" w:sz="0" w:space="0" w:color="auto"/>
            <w:right w:val="none" w:sz="0" w:space="0" w:color="auto"/>
          </w:divBdr>
        </w:div>
      </w:divsChild>
    </w:div>
    <w:div w:id="1825319760">
      <w:bodyDiv w:val="1"/>
      <w:marLeft w:val="0"/>
      <w:marRight w:val="0"/>
      <w:marTop w:val="0"/>
      <w:marBottom w:val="0"/>
      <w:divBdr>
        <w:top w:val="none" w:sz="0" w:space="0" w:color="auto"/>
        <w:left w:val="none" w:sz="0" w:space="0" w:color="auto"/>
        <w:bottom w:val="none" w:sz="0" w:space="0" w:color="auto"/>
        <w:right w:val="none" w:sz="0" w:space="0" w:color="auto"/>
      </w:divBdr>
      <w:divsChild>
        <w:div w:id="2118482664">
          <w:marLeft w:val="115"/>
          <w:marRight w:val="0"/>
          <w:marTop w:val="0"/>
          <w:marBottom w:val="180"/>
          <w:divBdr>
            <w:top w:val="none" w:sz="0" w:space="0" w:color="auto"/>
            <w:left w:val="none" w:sz="0" w:space="0" w:color="auto"/>
            <w:bottom w:val="none" w:sz="0" w:space="0" w:color="auto"/>
            <w:right w:val="none" w:sz="0" w:space="0" w:color="auto"/>
          </w:divBdr>
        </w:div>
        <w:div w:id="1921593550">
          <w:marLeft w:val="115"/>
          <w:marRight w:val="0"/>
          <w:marTop w:val="0"/>
          <w:marBottom w:val="180"/>
          <w:divBdr>
            <w:top w:val="none" w:sz="0" w:space="0" w:color="auto"/>
            <w:left w:val="none" w:sz="0" w:space="0" w:color="auto"/>
            <w:bottom w:val="none" w:sz="0" w:space="0" w:color="auto"/>
            <w:right w:val="none" w:sz="0" w:space="0" w:color="auto"/>
          </w:divBdr>
        </w:div>
        <w:div w:id="311444957">
          <w:marLeft w:val="115"/>
          <w:marRight w:val="0"/>
          <w:marTop w:val="0"/>
          <w:marBottom w:val="180"/>
          <w:divBdr>
            <w:top w:val="none" w:sz="0" w:space="0" w:color="auto"/>
            <w:left w:val="none" w:sz="0" w:space="0" w:color="auto"/>
            <w:bottom w:val="none" w:sz="0" w:space="0" w:color="auto"/>
            <w:right w:val="none" w:sz="0" w:space="0" w:color="auto"/>
          </w:divBdr>
        </w:div>
        <w:div w:id="1679238006">
          <w:marLeft w:val="115"/>
          <w:marRight w:val="0"/>
          <w:marTop w:val="0"/>
          <w:marBottom w:val="180"/>
          <w:divBdr>
            <w:top w:val="none" w:sz="0" w:space="0" w:color="auto"/>
            <w:left w:val="none" w:sz="0" w:space="0" w:color="auto"/>
            <w:bottom w:val="none" w:sz="0" w:space="0" w:color="auto"/>
            <w:right w:val="none" w:sz="0" w:space="0" w:color="auto"/>
          </w:divBdr>
        </w:div>
        <w:div w:id="434374300">
          <w:marLeft w:val="115"/>
          <w:marRight w:val="0"/>
          <w:marTop w:val="0"/>
          <w:marBottom w:val="180"/>
          <w:divBdr>
            <w:top w:val="none" w:sz="0" w:space="0" w:color="auto"/>
            <w:left w:val="none" w:sz="0" w:space="0" w:color="auto"/>
            <w:bottom w:val="none" w:sz="0" w:space="0" w:color="auto"/>
            <w:right w:val="none" w:sz="0" w:space="0" w:color="auto"/>
          </w:divBdr>
        </w:div>
        <w:div w:id="860048042">
          <w:marLeft w:val="115"/>
          <w:marRight w:val="0"/>
          <w:marTop w:val="0"/>
          <w:marBottom w:val="180"/>
          <w:divBdr>
            <w:top w:val="none" w:sz="0" w:space="0" w:color="auto"/>
            <w:left w:val="none" w:sz="0" w:space="0" w:color="auto"/>
            <w:bottom w:val="none" w:sz="0" w:space="0" w:color="auto"/>
            <w:right w:val="none" w:sz="0" w:space="0" w:color="auto"/>
          </w:divBdr>
        </w:div>
      </w:divsChild>
    </w:div>
    <w:div w:id="1835948648">
      <w:bodyDiv w:val="1"/>
      <w:marLeft w:val="0"/>
      <w:marRight w:val="0"/>
      <w:marTop w:val="0"/>
      <w:marBottom w:val="0"/>
      <w:divBdr>
        <w:top w:val="none" w:sz="0" w:space="0" w:color="auto"/>
        <w:left w:val="none" w:sz="0" w:space="0" w:color="auto"/>
        <w:bottom w:val="none" w:sz="0" w:space="0" w:color="auto"/>
        <w:right w:val="none" w:sz="0" w:space="0" w:color="auto"/>
      </w:divBdr>
    </w:div>
    <w:div w:id="1849712811">
      <w:bodyDiv w:val="1"/>
      <w:marLeft w:val="0"/>
      <w:marRight w:val="0"/>
      <w:marTop w:val="0"/>
      <w:marBottom w:val="0"/>
      <w:divBdr>
        <w:top w:val="none" w:sz="0" w:space="0" w:color="auto"/>
        <w:left w:val="none" w:sz="0" w:space="0" w:color="auto"/>
        <w:bottom w:val="none" w:sz="0" w:space="0" w:color="auto"/>
        <w:right w:val="none" w:sz="0" w:space="0" w:color="auto"/>
      </w:divBdr>
    </w:div>
    <w:div w:id="1869641218">
      <w:bodyDiv w:val="1"/>
      <w:marLeft w:val="0"/>
      <w:marRight w:val="0"/>
      <w:marTop w:val="0"/>
      <w:marBottom w:val="0"/>
      <w:divBdr>
        <w:top w:val="none" w:sz="0" w:space="0" w:color="auto"/>
        <w:left w:val="none" w:sz="0" w:space="0" w:color="auto"/>
        <w:bottom w:val="none" w:sz="0" w:space="0" w:color="auto"/>
        <w:right w:val="none" w:sz="0" w:space="0" w:color="auto"/>
      </w:divBdr>
    </w:div>
    <w:div w:id="1880050954">
      <w:bodyDiv w:val="1"/>
      <w:marLeft w:val="0"/>
      <w:marRight w:val="0"/>
      <w:marTop w:val="0"/>
      <w:marBottom w:val="0"/>
      <w:divBdr>
        <w:top w:val="none" w:sz="0" w:space="0" w:color="auto"/>
        <w:left w:val="none" w:sz="0" w:space="0" w:color="auto"/>
        <w:bottom w:val="none" w:sz="0" w:space="0" w:color="auto"/>
        <w:right w:val="none" w:sz="0" w:space="0" w:color="auto"/>
      </w:divBdr>
    </w:div>
    <w:div w:id="1978874893">
      <w:bodyDiv w:val="1"/>
      <w:marLeft w:val="0"/>
      <w:marRight w:val="0"/>
      <w:marTop w:val="0"/>
      <w:marBottom w:val="0"/>
      <w:divBdr>
        <w:top w:val="none" w:sz="0" w:space="0" w:color="auto"/>
        <w:left w:val="none" w:sz="0" w:space="0" w:color="auto"/>
        <w:bottom w:val="none" w:sz="0" w:space="0" w:color="auto"/>
        <w:right w:val="none" w:sz="0" w:space="0" w:color="auto"/>
      </w:divBdr>
      <w:divsChild>
        <w:div w:id="11154871">
          <w:marLeft w:val="605"/>
          <w:marRight w:val="0"/>
          <w:marTop w:val="211"/>
          <w:marBottom w:val="0"/>
          <w:divBdr>
            <w:top w:val="none" w:sz="0" w:space="0" w:color="auto"/>
            <w:left w:val="none" w:sz="0" w:space="0" w:color="auto"/>
            <w:bottom w:val="none" w:sz="0" w:space="0" w:color="auto"/>
            <w:right w:val="none" w:sz="0" w:space="0" w:color="auto"/>
          </w:divBdr>
        </w:div>
        <w:div w:id="267205460">
          <w:marLeft w:val="605"/>
          <w:marRight w:val="0"/>
          <w:marTop w:val="211"/>
          <w:marBottom w:val="0"/>
          <w:divBdr>
            <w:top w:val="none" w:sz="0" w:space="0" w:color="auto"/>
            <w:left w:val="none" w:sz="0" w:space="0" w:color="auto"/>
            <w:bottom w:val="none" w:sz="0" w:space="0" w:color="auto"/>
            <w:right w:val="none" w:sz="0" w:space="0" w:color="auto"/>
          </w:divBdr>
        </w:div>
        <w:div w:id="663240638">
          <w:marLeft w:val="605"/>
          <w:marRight w:val="0"/>
          <w:marTop w:val="211"/>
          <w:marBottom w:val="0"/>
          <w:divBdr>
            <w:top w:val="none" w:sz="0" w:space="0" w:color="auto"/>
            <w:left w:val="none" w:sz="0" w:space="0" w:color="auto"/>
            <w:bottom w:val="none" w:sz="0" w:space="0" w:color="auto"/>
            <w:right w:val="none" w:sz="0" w:space="0" w:color="auto"/>
          </w:divBdr>
        </w:div>
        <w:div w:id="923224738">
          <w:marLeft w:val="605"/>
          <w:marRight w:val="0"/>
          <w:marTop w:val="211"/>
          <w:marBottom w:val="0"/>
          <w:divBdr>
            <w:top w:val="none" w:sz="0" w:space="0" w:color="auto"/>
            <w:left w:val="none" w:sz="0" w:space="0" w:color="auto"/>
            <w:bottom w:val="none" w:sz="0" w:space="0" w:color="auto"/>
            <w:right w:val="none" w:sz="0" w:space="0" w:color="auto"/>
          </w:divBdr>
        </w:div>
        <w:div w:id="1106656250">
          <w:marLeft w:val="605"/>
          <w:marRight w:val="0"/>
          <w:marTop w:val="211"/>
          <w:marBottom w:val="0"/>
          <w:divBdr>
            <w:top w:val="none" w:sz="0" w:space="0" w:color="auto"/>
            <w:left w:val="none" w:sz="0" w:space="0" w:color="auto"/>
            <w:bottom w:val="none" w:sz="0" w:space="0" w:color="auto"/>
            <w:right w:val="none" w:sz="0" w:space="0" w:color="auto"/>
          </w:divBdr>
        </w:div>
        <w:div w:id="1157646783">
          <w:marLeft w:val="605"/>
          <w:marRight w:val="0"/>
          <w:marTop w:val="211"/>
          <w:marBottom w:val="0"/>
          <w:divBdr>
            <w:top w:val="none" w:sz="0" w:space="0" w:color="auto"/>
            <w:left w:val="none" w:sz="0" w:space="0" w:color="auto"/>
            <w:bottom w:val="none" w:sz="0" w:space="0" w:color="auto"/>
            <w:right w:val="none" w:sz="0" w:space="0" w:color="auto"/>
          </w:divBdr>
        </w:div>
        <w:div w:id="1753041904">
          <w:marLeft w:val="605"/>
          <w:marRight w:val="0"/>
          <w:marTop w:val="211"/>
          <w:marBottom w:val="0"/>
          <w:divBdr>
            <w:top w:val="none" w:sz="0" w:space="0" w:color="auto"/>
            <w:left w:val="none" w:sz="0" w:space="0" w:color="auto"/>
            <w:bottom w:val="none" w:sz="0" w:space="0" w:color="auto"/>
            <w:right w:val="none" w:sz="0" w:space="0" w:color="auto"/>
          </w:divBdr>
        </w:div>
        <w:div w:id="1996296249">
          <w:marLeft w:val="605"/>
          <w:marRight w:val="0"/>
          <w:marTop w:val="211"/>
          <w:marBottom w:val="0"/>
          <w:divBdr>
            <w:top w:val="none" w:sz="0" w:space="0" w:color="auto"/>
            <w:left w:val="none" w:sz="0" w:space="0" w:color="auto"/>
            <w:bottom w:val="none" w:sz="0" w:space="0" w:color="auto"/>
            <w:right w:val="none" w:sz="0" w:space="0" w:color="auto"/>
          </w:divBdr>
        </w:div>
        <w:div w:id="2004703609">
          <w:marLeft w:val="605"/>
          <w:marRight w:val="0"/>
          <w:marTop w:val="211"/>
          <w:marBottom w:val="0"/>
          <w:divBdr>
            <w:top w:val="none" w:sz="0" w:space="0" w:color="auto"/>
            <w:left w:val="none" w:sz="0" w:space="0" w:color="auto"/>
            <w:bottom w:val="none" w:sz="0" w:space="0" w:color="auto"/>
            <w:right w:val="none" w:sz="0" w:space="0" w:color="auto"/>
          </w:divBdr>
        </w:div>
      </w:divsChild>
    </w:div>
    <w:div w:id="2030982116">
      <w:bodyDiv w:val="1"/>
      <w:marLeft w:val="0"/>
      <w:marRight w:val="0"/>
      <w:marTop w:val="0"/>
      <w:marBottom w:val="0"/>
      <w:divBdr>
        <w:top w:val="none" w:sz="0" w:space="0" w:color="auto"/>
        <w:left w:val="none" w:sz="0" w:space="0" w:color="auto"/>
        <w:bottom w:val="none" w:sz="0" w:space="0" w:color="auto"/>
        <w:right w:val="none" w:sz="0" w:space="0" w:color="auto"/>
      </w:divBdr>
      <w:divsChild>
        <w:div w:id="2129355205">
          <w:marLeft w:val="360"/>
          <w:marRight w:val="0"/>
          <w:marTop w:val="0"/>
          <w:marBottom w:val="180"/>
          <w:divBdr>
            <w:top w:val="none" w:sz="0" w:space="0" w:color="auto"/>
            <w:left w:val="none" w:sz="0" w:space="0" w:color="auto"/>
            <w:bottom w:val="none" w:sz="0" w:space="0" w:color="auto"/>
            <w:right w:val="none" w:sz="0" w:space="0" w:color="auto"/>
          </w:divBdr>
        </w:div>
      </w:divsChild>
    </w:div>
    <w:div w:id="2056157350">
      <w:bodyDiv w:val="1"/>
      <w:marLeft w:val="0"/>
      <w:marRight w:val="0"/>
      <w:marTop w:val="0"/>
      <w:marBottom w:val="0"/>
      <w:divBdr>
        <w:top w:val="none" w:sz="0" w:space="0" w:color="auto"/>
        <w:left w:val="none" w:sz="0" w:space="0" w:color="auto"/>
        <w:bottom w:val="none" w:sz="0" w:space="0" w:color="auto"/>
        <w:right w:val="none" w:sz="0" w:space="0" w:color="auto"/>
      </w:divBdr>
      <w:divsChild>
        <w:div w:id="1073698889">
          <w:marLeft w:val="605"/>
          <w:marRight w:val="0"/>
          <w:marTop w:val="230"/>
          <w:marBottom w:val="0"/>
          <w:divBdr>
            <w:top w:val="none" w:sz="0" w:space="0" w:color="auto"/>
            <w:left w:val="none" w:sz="0" w:space="0" w:color="auto"/>
            <w:bottom w:val="none" w:sz="0" w:space="0" w:color="auto"/>
            <w:right w:val="none" w:sz="0" w:space="0" w:color="auto"/>
          </w:divBdr>
        </w:div>
        <w:div w:id="1397168559">
          <w:marLeft w:val="605"/>
          <w:marRight w:val="0"/>
          <w:marTop w:val="230"/>
          <w:marBottom w:val="0"/>
          <w:divBdr>
            <w:top w:val="none" w:sz="0" w:space="0" w:color="auto"/>
            <w:left w:val="none" w:sz="0" w:space="0" w:color="auto"/>
            <w:bottom w:val="none" w:sz="0" w:space="0" w:color="auto"/>
            <w:right w:val="none" w:sz="0" w:space="0" w:color="auto"/>
          </w:divBdr>
        </w:div>
        <w:div w:id="1618947210">
          <w:marLeft w:val="605"/>
          <w:marRight w:val="0"/>
          <w:marTop w:val="230"/>
          <w:marBottom w:val="0"/>
          <w:divBdr>
            <w:top w:val="none" w:sz="0" w:space="0" w:color="auto"/>
            <w:left w:val="none" w:sz="0" w:space="0" w:color="auto"/>
            <w:bottom w:val="none" w:sz="0" w:space="0" w:color="auto"/>
            <w:right w:val="none" w:sz="0" w:space="0" w:color="auto"/>
          </w:divBdr>
        </w:div>
        <w:div w:id="1681854422">
          <w:marLeft w:val="605"/>
          <w:marRight w:val="0"/>
          <w:marTop w:val="230"/>
          <w:marBottom w:val="0"/>
          <w:divBdr>
            <w:top w:val="none" w:sz="0" w:space="0" w:color="auto"/>
            <w:left w:val="none" w:sz="0" w:space="0" w:color="auto"/>
            <w:bottom w:val="none" w:sz="0" w:space="0" w:color="auto"/>
            <w:right w:val="none" w:sz="0" w:space="0" w:color="auto"/>
          </w:divBdr>
        </w:div>
        <w:div w:id="1914511555">
          <w:marLeft w:val="605"/>
          <w:marRight w:val="0"/>
          <w:marTop w:val="230"/>
          <w:marBottom w:val="0"/>
          <w:divBdr>
            <w:top w:val="none" w:sz="0" w:space="0" w:color="auto"/>
            <w:left w:val="none" w:sz="0" w:space="0" w:color="auto"/>
            <w:bottom w:val="none" w:sz="0" w:space="0" w:color="auto"/>
            <w:right w:val="none" w:sz="0" w:space="0" w:color="auto"/>
          </w:divBdr>
        </w:div>
        <w:div w:id="2088722273">
          <w:marLeft w:val="605"/>
          <w:marRight w:val="0"/>
          <w:marTop w:val="230"/>
          <w:marBottom w:val="0"/>
          <w:divBdr>
            <w:top w:val="none" w:sz="0" w:space="0" w:color="auto"/>
            <w:left w:val="none" w:sz="0" w:space="0" w:color="auto"/>
            <w:bottom w:val="none" w:sz="0" w:space="0" w:color="auto"/>
            <w:right w:val="none" w:sz="0" w:space="0" w:color="auto"/>
          </w:divBdr>
        </w:div>
        <w:div w:id="2125222924">
          <w:marLeft w:val="605"/>
          <w:marRight w:val="0"/>
          <w:marTop w:val="230"/>
          <w:marBottom w:val="0"/>
          <w:divBdr>
            <w:top w:val="none" w:sz="0" w:space="0" w:color="auto"/>
            <w:left w:val="none" w:sz="0" w:space="0" w:color="auto"/>
            <w:bottom w:val="none" w:sz="0" w:space="0" w:color="auto"/>
            <w:right w:val="none" w:sz="0" w:space="0" w:color="auto"/>
          </w:divBdr>
        </w:div>
        <w:div w:id="2145929891">
          <w:marLeft w:val="605"/>
          <w:marRight w:val="0"/>
          <w:marTop w:val="230"/>
          <w:marBottom w:val="0"/>
          <w:divBdr>
            <w:top w:val="none" w:sz="0" w:space="0" w:color="auto"/>
            <w:left w:val="none" w:sz="0" w:space="0" w:color="auto"/>
            <w:bottom w:val="none" w:sz="0" w:space="0" w:color="auto"/>
            <w:right w:val="none" w:sz="0" w:space="0" w:color="auto"/>
          </w:divBdr>
        </w:div>
      </w:divsChild>
    </w:div>
    <w:div w:id="2072994458">
      <w:bodyDiv w:val="1"/>
      <w:marLeft w:val="0"/>
      <w:marRight w:val="0"/>
      <w:marTop w:val="0"/>
      <w:marBottom w:val="0"/>
      <w:divBdr>
        <w:top w:val="none" w:sz="0" w:space="0" w:color="auto"/>
        <w:left w:val="none" w:sz="0" w:space="0" w:color="auto"/>
        <w:bottom w:val="none" w:sz="0" w:space="0" w:color="auto"/>
        <w:right w:val="none" w:sz="0" w:space="0" w:color="auto"/>
      </w:divBdr>
      <w:divsChild>
        <w:div w:id="1934169533">
          <w:marLeft w:val="547"/>
          <w:marRight w:val="0"/>
          <w:marTop w:val="0"/>
          <w:marBottom w:val="0"/>
          <w:divBdr>
            <w:top w:val="none" w:sz="0" w:space="0" w:color="auto"/>
            <w:left w:val="none" w:sz="0" w:space="0" w:color="auto"/>
            <w:bottom w:val="none" w:sz="0" w:space="0" w:color="auto"/>
            <w:right w:val="none" w:sz="0" w:space="0" w:color="auto"/>
          </w:divBdr>
        </w:div>
      </w:divsChild>
    </w:div>
    <w:div w:id="2099056687">
      <w:bodyDiv w:val="1"/>
      <w:marLeft w:val="0"/>
      <w:marRight w:val="0"/>
      <w:marTop w:val="0"/>
      <w:marBottom w:val="0"/>
      <w:divBdr>
        <w:top w:val="none" w:sz="0" w:space="0" w:color="auto"/>
        <w:left w:val="none" w:sz="0" w:space="0" w:color="auto"/>
        <w:bottom w:val="none" w:sz="0" w:space="0" w:color="auto"/>
        <w:right w:val="none" w:sz="0" w:space="0" w:color="auto"/>
      </w:divBdr>
    </w:div>
    <w:div w:id="2124494884">
      <w:bodyDiv w:val="1"/>
      <w:marLeft w:val="0"/>
      <w:marRight w:val="0"/>
      <w:marTop w:val="0"/>
      <w:marBottom w:val="0"/>
      <w:divBdr>
        <w:top w:val="none" w:sz="0" w:space="0" w:color="auto"/>
        <w:left w:val="none" w:sz="0" w:space="0" w:color="auto"/>
        <w:bottom w:val="none" w:sz="0" w:space="0" w:color="auto"/>
        <w:right w:val="none" w:sz="0" w:space="0" w:color="auto"/>
      </w:divBdr>
    </w:div>
    <w:div w:id="2144081022">
      <w:bodyDiv w:val="1"/>
      <w:marLeft w:val="0"/>
      <w:marRight w:val="0"/>
      <w:marTop w:val="0"/>
      <w:marBottom w:val="0"/>
      <w:divBdr>
        <w:top w:val="none" w:sz="0" w:space="0" w:color="auto"/>
        <w:left w:val="none" w:sz="0" w:space="0" w:color="auto"/>
        <w:bottom w:val="none" w:sz="0" w:space="0" w:color="auto"/>
        <w:right w:val="none" w:sz="0" w:space="0" w:color="auto"/>
      </w:divBdr>
    </w:div>
    <w:div w:id="214684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pyright@health.gov.au"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aicd.companydirectors.com.au/~/media/cd2/resources/director-resources/nfp/pdf/nfp-principles-and-guidance-131015.ashx" TargetMode="External"/><Relationship Id="rId1" Type="http://schemas.openxmlformats.org/officeDocument/2006/relationships/hyperlink" Target="https://ahha.asn.au/sites/default/files/docs/policy-issue/leading_change_in_primary_car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Onl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1CBBA-CEB8-45DD-9B8F-792DBA8E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13032</Words>
  <Characters>74289</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2018-08-08T08:25:00Z</dcterms:created>
  <dcterms:modified xsi:type="dcterms:W3CDTF">2021-04-16T02:57:00Z</dcterms:modified>
</cp:coreProperties>
</file>