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18C5B" w14:textId="5CCD9D12" w:rsidR="00193B3A" w:rsidRDefault="00182C58" w:rsidP="00A52227">
      <w:pPr>
        <w:pStyle w:val="Paragraphtext"/>
        <w:tabs>
          <w:tab w:val="right" w:pos="14459"/>
        </w:tabs>
      </w:pPr>
      <w:r w:rsidRPr="00697060">
        <w:rPr>
          <w:noProof/>
          <w:lang w:eastAsia="en-AU"/>
        </w:rPr>
        <w:drawing>
          <wp:inline distT="0" distB="0" distL="0" distR="0" wp14:anchorId="1545B94F" wp14:editId="61008161">
            <wp:extent cx="1571625" cy="1042165"/>
            <wp:effectExtent l="0" t="0" r="0" b="5715"/>
            <wp:docPr id="6" name="Picture 6" descr="This report is compiled for the Australian Government Department of Health and PHN Commissioning" title="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9" cstate="print"/>
                    <a:stretch>
                      <a:fillRect/>
                    </a:stretch>
                  </pic:blipFill>
                  <pic:spPr>
                    <a:xfrm>
                      <a:off x="0" y="0"/>
                      <a:ext cx="1572640" cy="1042838"/>
                    </a:xfrm>
                    <a:prstGeom prst="rect">
                      <a:avLst/>
                    </a:prstGeom>
                  </pic:spPr>
                </pic:pic>
              </a:graphicData>
            </a:graphic>
          </wp:inline>
        </w:drawing>
      </w:r>
      <w:r w:rsidR="00B7207D">
        <w:tab/>
      </w:r>
      <w:r w:rsidR="00193B3A" w:rsidRPr="00193B3A">
        <w:rPr>
          <w:noProof/>
          <w:lang w:eastAsia="en-AU"/>
        </w:rPr>
        <w:drawing>
          <wp:inline distT="0" distB="0" distL="0" distR="0" wp14:anchorId="5C74C046" wp14:editId="6753CF7B">
            <wp:extent cx="1357573" cy="841972"/>
            <wp:effectExtent l="0" t="0" r="0" b="0"/>
            <wp:docPr id="10" name="Picture 10" descr="This report is compiled for the Australian Government Department of Health and PHN Commissioning" title="PHN Commission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commissioning Logo (D15-12637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581" cy="846939"/>
                    </a:xfrm>
                    <a:prstGeom prst="rect">
                      <a:avLst/>
                    </a:prstGeom>
                  </pic:spPr>
                </pic:pic>
              </a:graphicData>
            </a:graphic>
          </wp:inline>
        </w:drawing>
      </w:r>
    </w:p>
    <w:p w14:paraId="109FF168" w14:textId="77777777" w:rsidR="00182C58" w:rsidRPr="006B50BD" w:rsidRDefault="002027C4" w:rsidP="0083057E">
      <w:pPr>
        <w:pStyle w:val="Title"/>
        <w:jc w:val="center"/>
      </w:pPr>
      <w:r w:rsidRPr="006B50BD">
        <w:t xml:space="preserve">Change Management and Commissioning </w:t>
      </w:r>
      <w:r w:rsidR="00182C58" w:rsidRPr="006B50BD">
        <w:t>Competencies Resources Toolkit</w:t>
      </w:r>
    </w:p>
    <w:p w14:paraId="6DD25466" w14:textId="6DEA3072" w:rsidR="00193B3A" w:rsidRPr="00B7207D" w:rsidRDefault="00B7207D" w:rsidP="00A52227">
      <w:pPr>
        <w:pBdr>
          <w:top w:val="single" w:sz="4" w:space="10" w:color="4F81BD"/>
          <w:bottom w:val="single" w:sz="4" w:space="10" w:color="4F81BD"/>
        </w:pBdr>
        <w:spacing w:before="120" w:after="120" w:line="264" w:lineRule="auto"/>
        <w:ind w:left="864" w:right="864"/>
        <w:jc w:val="center"/>
      </w:pPr>
      <w:r w:rsidRPr="00B7207D">
        <w:rPr>
          <w:noProof/>
          <w:lang w:eastAsia="en-AU"/>
        </w:rPr>
        <w:drawing>
          <wp:inline distT="0" distB="0" distL="0" distR="0" wp14:anchorId="4C51755B" wp14:editId="2A5383F7">
            <wp:extent cx="4652063" cy="3336369"/>
            <wp:effectExtent l="0" t="0" r="0" b="0"/>
            <wp:docPr id="4" name="Picture 3" descr="The PHN Commissioning Framework diagram depicts the full PHN commissioning cycle including the three main phases within the commissioning process. The first phase is titled 'Strategic Planning' and involves both needs assessment and annual planning. The second phase is 'Procuring Services' and involves designing and contracting services and shaping the structure of supply. The third phase in the framework is 'Monitoring and Evaluation' and involves managing performance and evaluation. " title="The PHN Commissioning Framework"/>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652063" cy="3336369"/>
                    </a:xfrm>
                    <a:prstGeom prst="rect">
                      <a:avLst/>
                    </a:prstGeom>
                    <a:noFill/>
                    <a:ln>
                      <a:noFill/>
                    </a:ln>
                    <a:extLst>
                      <a:ext uri="{53640926-AAD7-44D8-BBD7-CCE9431645EC}">
                        <a14:shadowObscured xmlns:a14="http://schemas.microsoft.com/office/drawing/2010/main"/>
                      </a:ext>
                    </a:extLst>
                  </pic:spPr>
                </pic:pic>
              </a:graphicData>
            </a:graphic>
          </wp:inline>
        </w:drawing>
      </w:r>
    </w:p>
    <w:p w14:paraId="008DAB65" w14:textId="34C8DA44" w:rsidR="00A52227" w:rsidRPr="006B50BD" w:rsidRDefault="007F4FFB" w:rsidP="0083057E">
      <w:pPr>
        <w:pStyle w:val="Subtitle"/>
        <w:jc w:val="center"/>
      </w:pPr>
      <w:r>
        <w:rPr>
          <w:rFonts w:eastAsia="Times New Roman"/>
        </w:rPr>
        <w:t>July</w:t>
      </w:r>
      <w:r w:rsidR="00131011" w:rsidRPr="006B50BD">
        <w:t xml:space="preserve"> </w:t>
      </w:r>
      <w:r w:rsidR="00182C58" w:rsidRPr="006B50BD">
        <w:t>2018</w:t>
      </w:r>
    </w:p>
    <w:p w14:paraId="07B92365" w14:textId="77777777" w:rsidR="00182C58" w:rsidRPr="006B50BD" w:rsidRDefault="00182C58" w:rsidP="00193B3A">
      <w:pPr>
        <w:spacing w:line="264" w:lineRule="auto"/>
        <w:jc w:val="center"/>
        <w:sectPr w:rsidR="00182C58" w:rsidRPr="006B50BD" w:rsidSect="00CB6FB7">
          <w:headerReference w:type="default" r:id="rId12"/>
          <w:footerReference w:type="default" r:id="rId13"/>
          <w:footerReference w:type="first" r:id="rId14"/>
          <w:endnotePr>
            <w:numFmt w:val="decimal"/>
          </w:endnotePr>
          <w:type w:val="continuous"/>
          <w:pgSz w:w="16838" w:h="11906" w:orient="landscape" w:code="9"/>
          <w:pgMar w:top="567" w:right="1134" w:bottom="567" w:left="1134" w:header="284" w:footer="284" w:gutter="0"/>
          <w:cols w:space="708"/>
          <w:titlePg/>
          <w:docGrid w:linePitch="360"/>
        </w:sectPr>
      </w:pPr>
    </w:p>
    <w:p w14:paraId="23F4FEBF" w14:textId="371C7F07" w:rsidR="00B7207D" w:rsidRDefault="00182C58" w:rsidP="00B7207D">
      <w:pPr>
        <w:pStyle w:val="SectionHeading"/>
      </w:pPr>
      <w:bookmarkStart w:id="0" w:name="_Toc516153923"/>
      <w:r w:rsidRPr="00182C58">
        <w:lastRenderedPageBreak/>
        <w:t>Acknowledgement</w:t>
      </w:r>
      <w:bookmarkEnd w:id="0"/>
    </w:p>
    <w:p w14:paraId="060065CA" w14:textId="70296115" w:rsidR="00B7207D" w:rsidRDefault="00182C58" w:rsidP="00B7207D">
      <w:pPr>
        <w:pStyle w:val="Paragraphtext"/>
      </w:pPr>
      <w:r w:rsidRPr="00182C58">
        <w:t>This document has been developed by the Australian Government Department of H</w:t>
      </w:r>
      <w:r w:rsidR="00275395">
        <w:t>ealth and PwC</w:t>
      </w:r>
      <w:r w:rsidRPr="00182C58">
        <w:t xml:space="preserve"> as part of a project funded by the Department to develop guidance, tools and training for Primary Health Networks (PHNs) on commissioning. It has been co-designed with PHNs through the PHN Commissioning Working Group and the relevant sub-group</w:t>
      </w:r>
      <w:r w:rsidR="008D2D26">
        <w:t>s</w:t>
      </w:r>
      <w:r w:rsidRPr="00182C58">
        <w:t xml:space="preserve"> and informed by interviews with, and case studies from, some PHNs.</w:t>
      </w:r>
      <w:r w:rsidR="00F61250">
        <w:t xml:space="preserve"> </w:t>
      </w:r>
      <w:r w:rsidRPr="00182C58">
        <w:t>The active contribution of the PHNs in the development of this guide is appreciated.</w:t>
      </w:r>
    </w:p>
    <w:p w14:paraId="3945EE64" w14:textId="77777777" w:rsidR="00B7207D" w:rsidRDefault="00182C58" w:rsidP="00B7207D">
      <w:pPr>
        <w:pStyle w:val="Paragraphtext"/>
      </w:pPr>
      <w:r w:rsidRPr="00182C58">
        <w:t>Helen Dickinson, Associate Professor Public Service Research and Director Public Services Research Centre, University of New South Wales, Canberra ha</w:t>
      </w:r>
      <w:r w:rsidR="008D2D26">
        <w:t>s</w:t>
      </w:r>
      <w:r w:rsidRPr="00182C58">
        <w:t xml:space="preserve"> provided insight on the commissioning evidence base.</w:t>
      </w:r>
    </w:p>
    <w:p w14:paraId="61629983" w14:textId="77777777" w:rsidR="00F61250" w:rsidRDefault="00F61250" w:rsidP="00F61250">
      <w:pPr>
        <w:pStyle w:val="Paragraphtext"/>
        <w:spacing w:line="240" w:lineRule="auto"/>
      </w:pPr>
      <w:bookmarkStart w:id="1" w:name="_Toc516153924"/>
      <w:r>
        <w:t>© Commonwealth of Australia 2018</w:t>
      </w:r>
    </w:p>
    <w:p w14:paraId="1EA831A0" w14:textId="77777777" w:rsidR="00F61250" w:rsidRDefault="00F61250" w:rsidP="00F61250">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5" w:history="1">
        <w:r>
          <w:rPr>
            <w:rStyle w:val="Hyperlink"/>
          </w:rPr>
          <w:t>copyright@health.gov.au</w:t>
        </w:r>
      </w:hyperlink>
      <w:r>
        <w:t>.</w:t>
      </w:r>
    </w:p>
    <w:p w14:paraId="35848458" w14:textId="7BB32428" w:rsidR="00F61250" w:rsidRDefault="00F61250" w:rsidP="00F61250">
      <w:pPr>
        <w:pStyle w:val="Paragraphtext"/>
        <w:spacing w:line="240" w:lineRule="auto"/>
        <w:rPr>
          <w:rFonts w:ascii="Helvetica" w:hAnsi="Helvetica"/>
          <w:color w:val="222222"/>
          <w:sz w:val="20"/>
          <w:szCs w:val="20"/>
        </w:rPr>
      </w:pPr>
      <w:r w:rsidRPr="008E1F69">
        <w:t xml:space="preserve">Preferred citation: </w:t>
      </w:r>
      <w:r w:rsidR="008E1F69" w:rsidRPr="005B1E25">
        <w:rPr>
          <w:szCs w:val="18"/>
        </w:rPr>
        <w:t>Australian Govern</w:t>
      </w:r>
      <w:r w:rsidR="008E1F69">
        <w:rPr>
          <w:szCs w:val="18"/>
        </w:rPr>
        <w:t xml:space="preserve">ment Department of Health. </w:t>
      </w:r>
      <w:proofErr w:type="gramStart"/>
      <w:r w:rsidR="008E1F69">
        <w:rPr>
          <w:szCs w:val="18"/>
        </w:rPr>
        <w:t>(2018</w:t>
      </w:r>
      <w:r w:rsidR="008E1F69" w:rsidRPr="005B1E25">
        <w:rPr>
          <w:szCs w:val="18"/>
        </w:rPr>
        <w:t xml:space="preserve">). </w:t>
      </w:r>
      <w:r w:rsidR="008E1F69">
        <w:rPr>
          <w:i/>
          <w:szCs w:val="18"/>
        </w:rPr>
        <w:t>Change Management and Commissioning Competencies Resources Toolkit.</w:t>
      </w:r>
      <w:proofErr w:type="gramEnd"/>
      <w:r w:rsidR="008E1F69" w:rsidRPr="005B1E25">
        <w:rPr>
          <w:szCs w:val="18"/>
        </w:rPr>
        <w:t xml:space="preserve"> Available at: </w:t>
      </w:r>
      <w:r w:rsidR="008E1F69" w:rsidRPr="0025311D">
        <w:rPr>
          <w:szCs w:val="18"/>
        </w:rPr>
        <w:t>http://www.health.gov.au/internet/main/publishing.nsf/Content/PHNCommissioningResources</w:t>
      </w:r>
    </w:p>
    <w:p w14:paraId="37D5E6CE" w14:textId="77777777" w:rsidR="00F61250" w:rsidRPr="00E13224" w:rsidRDefault="00F61250" w:rsidP="00F61250">
      <w:pPr>
        <w:pStyle w:val="SectionHeading"/>
      </w:pPr>
      <w:bookmarkStart w:id="2" w:name="_Toc511304498"/>
      <w:bookmarkStart w:id="3" w:name="_Toc513536072"/>
      <w:r w:rsidRPr="00E13224">
        <w:t>Disclaimer</w:t>
      </w:r>
      <w:bookmarkEnd w:id="2"/>
      <w:bookmarkEnd w:id="3"/>
    </w:p>
    <w:p w14:paraId="24044793" w14:textId="77777777" w:rsidR="00F61250" w:rsidRPr="00E55F93" w:rsidRDefault="00F61250" w:rsidP="00F61250">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41F36F63" w14:textId="77777777" w:rsidR="00B7207D" w:rsidRDefault="00182C58" w:rsidP="00B7207D">
      <w:pPr>
        <w:pStyle w:val="SectionHeading"/>
      </w:pPr>
      <w:r w:rsidRPr="00182C58">
        <w:t>Note</w:t>
      </w:r>
      <w:bookmarkEnd w:id="1"/>
    </w:p>
    <w:p w14:paraId="45D27D2D" w14:textId="533AAAF7" w:rsidR="00B7207D" w:rsidRPr="00B7207D" w:rsidRDefault="00182C58" w:rsidP="00B7207D">
      <w:pPr>
        <w:pStyle w:val="Paragraphtext"/>
      </w:pPr>
      <w:r w:rsidRPr="00182C58">
        <w:t xml:space="preserve">This </w:t>
      </w:r>
      <w:r w:rsidR="008D2D26">
        <w:t>toolkit</w:t>
      </w:r>
      <w:r w:rsidR="008D2D26" w:rsidRPr="00182C58">
        <w:t xml:space="preserve"> </w:t>
      </w:r>
      <w:r w:rsidRPr="00182C58">
        <w:t>does not override the requirements set out in the PHN Funding Agreement.</w:t>
      </w:r>
      <w:r w:rsidRPr="00B7207D">
        <w:br w:type="page"/>
      </w:r>
    </w:p>
    <w:p w14:paraId="281158B1" w14:textId="08DA9D55" w:rsidR="00B7207D" w:rsidRPr="00FF1BC6" w:rsidRDefault="00B7207D" w:rsidP="00B7207D">
      <w:pPr>
        <w:pStyle w:val="SectionHeading"/>
      </w:pPr>
      <w:bookmarkStart w:id="4" w:name="_Toc516153925"/>
      <w:r>
        <w:lastRenderedPageBreak/>
        <w:t>Table of c</w:t>
      </w:r>
      <w:r w:rsidRPr="009C5804">
        <w:t>ontents</w:t>
      </w:r>
      <w:bookmarkEnd w:id="4"/>
    </w:p>
    <w:p w14:paraId="2BADB080" w14:textId="36EACE03" w:rsidR="00CB6FB7" w:rsidRDefault="00B7207D">
      <w:pPr>
        <w:pStyle w:val="TOC1"/>
        <w:rPr>
          <w:rFonts w:asciiTheme="minorHAnsi" w:eastAsiaTheme="minorEastAsia" w:hAnsiTheme="minorHAnsi" w:cstheme="minorBidi"/>
          <w:noProof/>
          <w:szCs w:val="22"/>
          <w:lang w:val="en-US"/>
        </w:rPr>
      </w:pPr>
      <w:r>
        <w:rPr>
          <w:color w:val="003D69"/>
        </w:rPr>
        <w:fldChar w:fldCharType="begin"/>
      </w:r>
      <w:r>
        <w:rPr>
          <w:color w:val="003D69"/>
        </w:rPr>
        <w:instrText xml:space="preserve"> TOC \o "1-3" \h \z \t "Heading 5,2" </w:instrText>
      </w:r>
      <w:r>
        <w:rPr>
          <w:color w:val="003D69"/>
        </w:rPr>
        <w:fldChar w:fldCharType="separate"/>
      </w:r>
      <w:hyperlink w:anchor="_Toc516153923" w:history="1">
        <w:r w:rsidR="00CB6FB7" w:rsidRPr="00FC24D3">
          <w:rPr>
            <w:rStyle w:val="Hyperlink"/>
            <w:noProof/>
          </w:rPr>
          <w:t>Acknowledgement</w:t>
        </w:r>
        <w:r w:rsidR="00CB6FB7">
          <w:rPr>
            <w:noProof/>
            <w:webHidden/>
          </w:rPr>
          <w:tab/>
        </w:r>
        <w:r w:rsidR="00CB6FB7">
          <w:rPr>
            <w:noProof/>
            <w:webHidden/>
          </w:rPr>
          <w:fldChar w:fldCharType="begin"/>
        </w:r>
        <w:r w:rsidR="00CB6FB7">
          <w:rPr>
            <w:noProof/>
            <w:webHidden/>
          </w:rPr>
          <w:instrText xml:space="preserve"> PAGEREF _Toc516153923 \h </w:instrText>
        </w:r>
        <w:r w:rsidR="00CB6FB7">
          <w:rPr>
            <w:noProof/>
            <w:webHidden/>
          </w:rPr>
        </w:r>
        <w:r w:rsidR="00CB6FB7">
          <w:rPr>
            <w:noProof/>
            <w:webHidden/>
          </w:rPr>
          <w:fldChar w:fldCharType="separate"/>
        </w:r>
        <w:r w:rsidR="00143699">
          <w:rPr>
            <w:noProof/>
            <w:webHidden/>
          </w:rPr>
          <w:t>2</w:t>
        </w:r>
        <w:r w:rsidR="00CB6FB7">
          <w:rPr>
            <w:noProof/>
            <w:webHidden/>
          </w:rPr>
          <w:fldChar w:fldCharType="end"/>
        </w:r>
      </w:hyperlink>
    </w:p>
    <w:p w14:paraId="4158EB01" w14:textId="22886267" w:rsidR="00CB6FB7" w:rsidRDefault="005532A8">
      <w:pPr>
        <w:pStyle w:val="TOC1"/>
        <w:rPr>
          <w:rFonts w:asciiTheme="minorHAnsi" w:eastAsiaTheme="minorEastAsia" w:hAnsiTheme="minorHAnsi" w:cstheme="minorBidi"/>
          <w:noProof/>
          <w:szCs w:val="22"/>
          <w:lang w:val="en-US"/>
        </w:rPr>
      </w:pPr>
      <w:hyperlink w:anchor="_Toc516153924" w:history="1">
        <w:r w:rsidR="00CB6FB7" w:rsidRPr="00FC24D3">
          <w:rPr>
            <w:rStyle w:val="Hyperlink"/>
            <w:noProof/>
          </w:rPr>
          <w:t>Note</w:t>
        </w:r>
        <w:r w:rsidR="00CB6FB7">
          <w:rPr>
            <w:noProof/>
            <w:webHidden/>
          </w:rPr>
          <w:tab/>
        </w:r>
        <w:r w:rsidR="00CB6FB7">
          <w:rPr>
            <w:noProof/>
            <w:webHidden/>
          </w:rPr>
          <w:fldChar w:fldCharType="begin"/>
        </w:r>
        <w:r w:rsidR="00CB6FB7">
          <w:rPr>
            <w:noProof/>
            <w:webHidden/>
          </w:rPr>
          <w:instrText xml:space="preserve"> PAGEREF _Toc516153924 \h </w:instrText>
        </w:r>
        <w:r w:rsidR="00CB6FB7">
          <w:rPr>
            <w:noProof/>
            <w:webHidden/>
          </w:rPr>
        </w:r>
        <w:r w:rsidR="00CB6FB7">
          <w:rPr>
            <w:noProof/>
            <w:webHidden/>
          </w:rPr>
          <w:fldChar w:fldCharType="separate"/>
        </w:r>
        <w:r w:rsidR="00143699">
          <w:rPr>
            <w:noProof/>
            <w:webHidden/>
          </w:rPr>
          <w:t>2</w:t>
        </w:r>
        <w:r w:rsidR="00CB6FB7">
          <w:rPr>
            <w:noProof/>
            <w:webHidden/>
          </w:rPr>
          <w:fldChar w:fldCharType="end"/>
        </w:r>
      </w:hyperlink>
    </w:p>
    <w:p w14:paraId="0B3C4A4D" w14:textId="0EF916D0" w:rsidR="00CB6FB7" w:rsidRDefault="005532A8">
      <w:pPr>
        <w:pStyle w:val="TOC1"/>
        <w:rPr>
          <w:rFonts w:asciiTheme="minorHAnsi" w:eastAsiaTheme="minorEastAsia" w:hAnsiTheme="minorHAnsi" w:cstheme="minorBidi"/>
          <w:noProof/>
          <w:szCs w:val="22"/>
          <w:lang w:val="en-US"/>
        </w:rPr>
      </w:pPr>
      <w:hyperlink w:anchor="_Toc516153925" w:history="1">
        <w:r w:rsidR="00CB6FB7" w:rsidRPr="00FC24D3">
          <w:rPr>
            <w:rStyle w:val="Hyperlink"/>
            <w:noProof/>
          </w:rPr>
          <w:t>Table of contents</w:t>
        </w:r>
        <w:r w:rsidR="00CB6FB7">
          <w:rPr>
            <w:noProof/>
            <w:webHidden/>
          </w:rPr>
          <w:tab/>
        </w:r>
        <w:r w:rsidR="00CB6FB7">
          <w:rPr>
            <w:noProof/>
            <w:webHidden/>
          </w:rPr>
          <w:fldChar w:fldCharType="begin"/>
        </w:r>
        <w:r w:rsidR="00CB6FB7">
          <w:rPr>
            <w:noProof/>
            <w:webHidden/>
          </w:rPr>
          <w:instrText xml:space="preserve"> PAGEREF _Toc516153925 \h </w:instrText>
        </w:r>
        <w:r w:rsidR="00CB6FB7">
          <w:rPr>
            <w:noProof/>
            <w:webHidden/>
          </w:rPr>
        </w:r>
        <w:r w:rsidR="00CB6FB7">
          <w:rPr>
            <w:noProof/>
            <w:webHidden/>
          </w:rPr>
          <w:fldChar w:fldCharType="separate"/>
        </w:r>
        <w:r w:rsidR="00143699">
          <w:rPr>
            <w:noProof/>
            <w:webHidden/>
          </w:rPr>
          <w:t>3</w:t>
        </w:r>
        <w:r w:rsidR="00CB6FB7">
          <w:rPr>
            <w:noProof/>
            <w:webHidden/>
          </w:rPr>
          <w:fldChar w:fldCharType="end"/>
        </w:r>
      </w:hyperlink>
    </w:p>
    <w:p w14:paraId="22FB23A5" w14:textId="0DF419CA" w:rsidR="00CB6FB7" w:rsidRDefault="005532A8">
      <w:pPr>
        <w:pStyle w:val="TOC1"/>
        <w:tabs>
          <w:tab w:val="left" w:pos="440"/>
        </w:tabs>
        <w:rPr>
          <w:rFonts w:asciiTheme="minorHAnsi" w:eastAsiaTheme="minorEastAsia" w:hAnsiTheme="minorHAnsi" w:cstheme="minorBidi"/>
          <w:noProof/>
          <w:szCs w:val="22"/>
          <w:lang w:val="en-US"/>
        </w:rPr>
      </w:pPr>
      <w:hyperlink w:anchor="_Toc516153926" w:history="1">
        <w:r w:rsidR="00CB6FB7" w:rsidRPr="00FC24D3">
          <w:rPr>
            <w:rStyle w:val="Hyperlink"/>
            <w:noProof/>
          </w:rPr>
          <w:t>1</w:t>
        </w:r>
        <w:r w:rsidR="00CB6FB7">
          <w:rPr>
            <w:rFonts w:asciiTheme="minorHAnsi" w:eastAsiaTheme="minorEastAsia" w:hAnsiTheme="minorHAnsi" w:cstheme="minorBidi"/>
            <w:noProof/>
            <w:szCs w:val="22"/>
            <w:lang w:val="en-US"/>
          </w:rPr>
          <w:tab/>
        </w:r>
        <w:r w:rsidR="00CB6FB7" w:rsidRPr="00FC24D3">
          <w:rPr>
            <w:rStyle w:val="Hyperlink"/>
            <w:noProof/>
          </w:rPr>
          <w:t>Overview</w:t>
        </w:r>
        <w:r w:rsidR="00CB6FB7">
          <w:rPr>
            <w:noProof/>
            <w:webHidden/>
          </w:rPr>
          <w:tab/>
        </w:r>
        <w:r w:rsidR="00CB6FB7">
          <w:rPr>
            <w:noProof/>
            <w:webHidden/>
          </w:rPr>
          <w:fldChar w:fldCharType="begin"/>
        </w:r>
        <w:r w:rsidR="00CB6FB7">
          <w:rPr>
            <w:noProof/>
            <w:webHidden/>
          </w:rPr>
          <w:instrText xml:space="preserve"> PAGEREF _Toc516153926 \h </w:instrText>
        </w:r>
        <w:r w:rsidR="00CB6FB7">
          <w:rPr>
            <w:noProof/>
            <w:webHidden/>
          </w:rPr>
        </w:r>
        <w:r w:rsidR="00CB6FB7">
          <w:rPr>
            <w:noProof/>
            <w:webHidden/>
          </w:rPr>
          <w:fldChar w:fldCharType="separate"/>
        </w:r>
        <w:r w:rsidR="00143699">
          <w:rPr>
            <w:noProof/>
            <w:webHidden/>
          </w:rPr>
          <w:t>4</w:t>
        </w:r>
        <w:r w:rsidR="00CB6FB7">
          <w:rPr>
            <w:noProof/>
            <w:webHidden/>
          </w:rPr>
          <w:fldChar w:fldCharType="end"/>
        </w:r>
      </w:hyperlink>
    </w:p>
    <w:p w14:paraId="17934936" w14:textId="2FEC9D9C" w:rsidR="00CB6FB7" w:rsidRDefault="005532A8">
      <w:pPr>
        <w:pStyle w:val="TOC2"/>
        <w:tabs>
          <w:tab w:val="left" w:pos="880"/>
        </w:tabs>
        <w:rPr>
          <w:rFonts w:asciiTheme="minorHAnsi" w:eastAsiaTheme="minorEastAsia" w:hAnsiTheme="minorHAnsi" w:cstheme="minorBidi"/>
          <w:noProof/>
          <w:szCs w:val="22"/>
          <w:lang w:val="en-US"/>
        </w:rPr>
      </w:pPr>
      <w:hyperlink w:anchor="_Toc516153927" w:history="1">
        <w:r w:rsidR="00CB6FB7" w:rsidRPr="00FC24D3">
          <w:rPr>
            <w:rStyle w:val="Hyperlink"/>
            <w:noProof/>
          </w:rPr>
          <w:t>1.1</w:t>
        </w:r>
        <w:r w:rsidR="00CB6FB7">
          <w:rPr>
            <w:rFonts w:asciiTheme="minorHAnsi" w:eastAsiaTheme="minorEastAsia" w:hAnsiTheme="minorHAnsi" w:cstheme="minorBidi"/>
            <w:noProof/>
            <w:szCs w:val="22"/>
            <w:lang w:val="en-US"/>
          </w:rPr>
          <w:tab/>
        </w:r>
        <w:r w:rsidR="00CB6FB7" w:rsidRPr="00FC24D3">
          <w:rPr>
            <w:rStyle w:val="Hyperlink"/>
            <w:noProof/>
          </w:rPr>
          <w:t>Purpose</w:t>
        </w:r>
        <w:r w:rsidR="00CB6FB7">
          <w:rPr>
            <w:noProof/>
            <w:webHidden/>
          </w:rPr>
          <w:tab/>
        </w:r>
        <w:r w:rsidR="00CB6FB7">
          <w:rPr>
            <w:noProof/>
            <w:webHidden/>
          </w:rPr>
          <w:fldChar w:fldCharType="begin"/>
        </w:r>
        <w:r w:rsidR="00CB6FB7">
          <w:rPr>
            <w:noProof/>
            <w:webHidden/>
          </w:rPr>
          <w:instrText xml:space="preserve"> PAGEREF _Toc516153927 \h </w:instrText>
        </w:r>
        <w:r w:rsidR="00CB6FB7">
          <w:rPr>
            <w:noProof/>
            <w:webHidden/>
          </w:rPr>
        </w:r>
        <w:r w:rsidR="00CB6FB7">
          <w:rPr>
            <w:noProof/>
            <w:webHidden/>
          </w:rPr>
          <w:fldChar w:fldCharType="separate"/>
        </w:r>
        <w:r w:rsidR="00143699">
          <w:rPr>
            <w:noProof/>
            <w:webHidden/>
          </w:rPr>
          <w:t>4</w:t>
        </w:r>
        <w:r w:rsidR="00CB6FB7">
          <w:rPr>
            <w:noProof/>
            <w:webHidden/>
          </w:rPr>
          <w:fldChar w:fldCharType="end"/>
        </w:r>
      </w:hyperlink>
    </w:p>
    <w:p w14:paraId="086C4F0C" w14:textId="475CFAE3" w:rsidR="00CB6FB7" w:rsidRDefault="005532A8">
      <w:pPr>
        <w:pStyle w:val="TOC2"/>
        <w:tabs>
          <w:tab w:val="left" w:pos="880"/>
        </w:tabs>
        <w:rPr>
          <w:rFonts w:asciiTheme="minorHAnsi" w:eastAsiaTheme="minorEastAsia" w:hAnsiTheme="minorHAnsi" w:cstheme="minorBidi"/>
          <w:noProof/>
          <w:szCs w:val="22"/>
          <w:lang w:val="en-US"/>
        </w:rPr>
      </w:pPr>
      <w:hyperlink w:anchor="_Toc516153928" w:history="1">
        <w:r w:rsidR="00CB6FB7" w:rsidRPr="00FC24D3">
          <w:rPr>
            <w:rStyle w:val="Hyperlink"/>
            <w:noProof/>
          </w:rPr>
          <w:t>1.2</w:t>
        </w:r>
        <w:r w:rsidR="00CB6FB7">
          <w:rPr>
            <w:rFonts w:asciiTheme="minorHAnsi" w:eastAsiaTheme="minorEastAsia" w:hAnsiTheme="minorHAnsi" w:cstheme="minorBidi"/>
            <w:noProof/>
            <w:szCs w:val="22"/>
            <w:lang w:val="en-US"/>
          </w:rPr>
          <w:tab/>
        </w:r>
        <w:r w:rsidR="00CB6FB7" w:rsidRPr="00FC24D3">
          <w:rPr>
            <w:rStyle w:val="Hyperlink"/>
            <w:noProof/>
          </w:rPr>
          <w:t>Structure</w:t>
        </w:r>
        <w:r w:rsidR="00CB6FB7">
          <w:rPr>
            <w:noProof/>
            <w:webHidden/>
          </w:rPr>
          <w:tab/>
        </w:r>
        <w:r w:rsidR="00CB6FB7">
          <w:rPr>
            <w:noProof/>
            <w:webHidden/>
          </w:rPr>
          <w:fldChar w:fldCharType="begin"/>
        </w:r>
        <w:r w:rsidR="00CB6FB7">
          <w:rPr>
            <w:noProof/>
            <w:webHidden/>
          </w:rPr>
          <w:instrText xml:space="preserve"> PAGEREF _Toc516153928 \h </w:instrText>
        </w:r>
        <w:r w:rsidR="00CB6FB7">
          <w:rPr>
            <w:noProof/>
            <w:webHidden/>
          </w:rPr>
        </w:r>
        <w:r w:rsidR="00CB6FB7">
          <w:rPr>
            <w:noProof/>
            <w:webHidden/>
          </w:rPr>
          <w:fldChar w:fldCharType="separate"/>
        </w:r>
        <w:r w:rsidR="00143699">
          <w:rPr>
            <w:noProof/>
            <w:webHidden/>
          </w:rPr>
          <w:t>4</w:t>
        </w:r>
        <w:r w:rsidR="00CB6FB7">
          <w:rPr>
            <w:noProof/>
            <w:webHidden/>
          </w:rPr>
          <w:fldChar w:fldCharType="end"/>
        </w:r>
      </w:hyperlink>
    </w:p>
    <w:p w14:paraId="3E213C34" w14:textId="24D318EC" w:rsidR="00CB6FB7" w:rsidRDefault="005532A8">
      <w:pPr>
        <w:pStyle w:val="TOC1"/>
        <w:tabs>
          <w:tab w:val="left" w:pos="440"/>
        </w:tabs>
        <w:rPr>
          <w:rFonts w:asciiTheme="minorHAnsi" w:eastAsiaTheme="minorEastAsia" w:hAnsiTheme="minorHAnsi" w:cstheme="minorBidi"/>
          <w:noProof/>
          <w:szCs w:val="22"/>
          <w:lang w:val="en-US"/>
        </w:rPr>
      </w:pPr>
      <w:hyperlink w:anchor="_Toc516153929" w:history="1">
        <w:r w:rsidR="00CB6FB7" w:rsidRPr="00FC24D3">
          <w:rPr>
            <w:rStyle w:val="Hyperlink"/>
            <w:noProof/>
          </w:rPr>
          <w:t>2</w:t>
        </w:r>
        <w:r w:rsidR="00CB6FB7">
          <w:rPr>
            <w:rFonts w:asciiTheme="minorHAnsi" w:eastAsiaTheme="minorEastAsia" w:hAnsiTheme="minorHAnsi" w:cstheme="minorBidi"/>
            <w:noProof/>
            <w:szCs w:val="22"/>
            <w:lang w:val="en-US"/>
          </w:rPr>
          <w:tab/>
        </w:r>
        <w:r w:rsidR="00CB6FB7" w:rsidRPr="00FC24D3">
          <w:rPr>
            <w:rStyle w:val="Hyperlink"/>
            <w:noProof/>
          </w:rPr>
          <w:t>List of tools and resources</w:t>
        </w:r>
        <w:r w:rsidR="00CB6FB7">
          <w:rPr>
            <w:noProof/>
            <w:webHidden/>
          </w:rPr>
          <w:tab/>
        </w:r>
        <w:r w:rsidR="00CB6FB7">
          <w:rPr>
            <w:noProof/>
            <w:webHidden/>
          </w:rPr>
          <w:fldChar w:fldCharType="begin"/>
        </w:r>
        <w:r w:rsidR="00CB6FB7">
          <w:rPr>
            <w:noProof/>
            <w:webHidden/>
          </w:rPr>
          <w:instrText xml:space="preserve"> PAGEREF _Toc516153929 \h </w:instrText>
        </w:r>
        <w:r w:rsidR="00CB6FB7">
          <w:rPr>
            <w:noProof/>
            <w:webHidden/>
          </w:rPr>
        </w:r>
        <w:r w:rsidR="00CB6FB7">
          <w:rPr>
            <w:noProof/>
            <w:webHidden/>
          </w:rPr>
          <w:fldChar w:fldCharType="separate"/>
        </w:r>
        <w:r w:rsidR="00143699">
          <w:rPr>
            <w:noProof/>
            <w:webHidden/>
          </w:rPr>
          <w:t>5</w:t>
        </w:r>
        <w:r w:rsidR="00CB6FB7">
          <w:rPr>
            <w:noProof/>
            <w:webHidden/>
          </w:rPr>
          <w:fldChar w:fldCharType="end"/>
        </w:r>
      </w:hyperlink>
    </w:p>
    <w:p w14:paraId="30188087" w14:textId="3E786454" w:rsidR="00B7207D" w:rsidRPr="00CB6FB7" w:rsidRDefault="00B7207D" w:rsidP="00B7207D">
      <w:r>
        <w:rPr>
          <w:color w:val="003D69"/>
          <w:sz w:val="24"/>
        </w:rPr>
        <w:fldChar w:fldCharType="end"/>
      </w:r>
    </w:p>
    <w:p w14:paraId="6B97D5AE" w14:textId="77777777" w:rsidR="00B7207D" w:rsidRPr="00B7207D" w:rsidRDefault="00B7207D">
      <w:pPr>
        <w:sectPr w:rsidR="00B7207D" w:rsidRPr="00B7207D" w:rsidSect="00CB6FB7">
          <w:headerReference w:type="even" r:id="rId16"/>
          <w:headerReference w:type="default" r:id="rId17"/>
          <w:footerReference w:type="default" r:id="rId18"/>
          <w:headerReference w:type="first" r:id="rId19"/>
          <w:footerReference w:type="first" r:id="rId20"/>
          <w:pgSz w:w="16838" w:h="11906" w:orient="landscape" w:code="9"/>
          <w:pgMar w:top="1440" w:right="1440" w:bottom="1440" w:left="1440" w:header="720" w:footer="720" w:gutter="0"/>
          <w:cols w:space="720"/>
          <w:docGrid w:linePitch="360"/>
        </w:sectPr>
      </w:pPr>
    </w:p>
    <w:p w14:paraId="28F022FA" w14:textId="7AE8C773" w:rsidR="00626FA6" w:rsidRPr="00B7207D" w:rsidRDefault="00626FA6" w:rsidP="00B7207D">
      <w:pPr>
        <w:pStyle w:val="Heading1"/>
      </w:pPr>
      <w:bookmarkStart w:id="5" w:name="_Toc508803735"/>
      <w:bookmarkStart w:id="6" w:name="_Toc514163744"/>
      <w:bookmarkStart w:id="7" w:name="_Toc515886993"/>
      <w:bookmarkStart w:id="8" w:name="_Toc516153926"/>
      <w:r w:rsidRPr="00B7207D">
        <w:lastRenderedPageBreak/>
        <w:t>O</w:t>
      </w:r>
      <w:r w:rsidR="00B7207D" w:rsidRPr="00B7207D">
        <w:t>verview</w:t>
      </w:r>
      <w:bookmarkEnd w:id="5"/>
      <w:bookmarkEnd w:id="6"/>
      <w:bookmarkEnd w:id="7"/>
      <w:bookmarkEnd w:id="8"/>
    </w:p>
    <w:p w14:paraId="64E79CE2" w14:textId="05C674E8" w:rsidR="00626FA6" w:rsidRPr="00B7207D" w:rsidRDefault="00626FA6" w:rsidP="00B7207D">
      <w:pPr>
        <w:pStyle w:val="Heading2"/>
      </w:pPr>
      <w:bookmarkStart w:id="9" w:name="_Toc516153927"/>
      <w:r w:rsidRPr="00B7207D">
        <w:t>Purpose</w:t>
      </w:r>
      <w:bookmarkEnd w:id="9"/>
    </w:p>
    <w:p w14:paraId="247A7879" w14:textId="5D28EAD9" w:rsidR="00626FA6" w:rsidRPr="003D66E6" w:rsidRDefault="00626FA6" w:rsidP="00B7207D">
      <w:pPr>
        <w:pStyle w:val="Paragraphtext"/>
      </w:pPr>
      <w:r>
        <w:t xml:space="preserve">This document provides a list of tools and resources that relate to key commissioning competencies that PHNs may choose to draw upon in developing their capability </w:t>
      </w:r>
      <w:r w:rsidR="0005219E">
        <w:t>in</w:t>
      </w:r>
      <w:r>
        <w:t xml:space="preserve"> commissioning primary health care. This list does not attempt to identify all tools that are available, but identif</w:t>
      </w:r>
      <w:r w:rsidR="008B0EF2">
        <w:t>ies</w:t>
      </w:r>
      <w:r>
        <w:t xml:space="preserve"> some key tools that could be </w:t>
      </w:r>
      <w:r w:rsidR="008B0EF2">
        <w:t xml:space="preserve">useful </w:t>
      </w:r>
      <w:r>
        <w:t>to PHNs.</w:t>
      </w:r>
    </w:p>
    <w:p w14:paraId="096C82CA" w14:textId="5302A385" w:rsidR="00626FA6" w:rsidRPr="00B7207D" w:rsidRDefault="00626FA6" w:rsidP="00B7207D">
      <w:pPr>
        <w:pStyle w:val="Heading2"/>
      </w:pPr>
      <w:bookmarkStart w:id="10" w:name="_Toc516153928"/>
      <w:r w:rsidRPr="00B7207D">
        <w:t>Structure</w:t>
      </w:r>
      <w:bookmarkEnd w:id="10"/>
    </w:p>
    <w:p w14:paraId="3BF9324E" w14:textId="297F953D" w:rsidR="00B7207D" w:rsidRDefault="0021615E" w:rsidP="00B7207D">
      <w:pPr>
        <w:pStyle w:val="Paragraphtext"/>
      </w:pPr>
      <w:r>
        <w:t>T</w:t>
      </w:r>
      <w:r w:rsidR="00626FA6">
        <w:t>his document</w:t>
      </w:r>
      <w:r>
        <w:t xml:space="preserve"> contains a table of tools and </w:t>
      </w:r>
      <w:r w:rsidR="00CD0D9B">
        <w:t>resources</w:t>
      </w:r>
      <w:r w:rsidR="009E1A6F">
        <w:t xml:space="preserve"> </w:t>
      </w:r>
      <w:r w:rsidR="00CD0D9B">
        <w:t>that includes</w:t>
      </w:r>
      <w:r>
        <w:t xml:space="preserve"> a column </w:t>
      </w:r>
      <w:r w:rsidR="009E1A6F">
        <w:t>which</w:t>
      </w:r>
      <w:r w:rsidR="00626FA6">
        <w:t xml:space="preserve"> correspond</w:t>
      </w:r>
      <w:r>
        <w:t>s</w:t>
      </w:r>
      <w:r w:rsidR="00626FA6">
        <w:t xml:space="preserve"> to the key commissioning competencies referred to in the </w:t>
      </w:r>
      <w:r w:rsidR="00BB223A">
        <w:t xml:space="preserve">2018 </w:t>
      </w:r>
      <w:r w:rsidR="00900BAD">
        <w:rPr>
          <w:i/>
        </w:rPr>
        <w:t xml:space="preserve">Change Management </w:t>
      </w:r>
      <w:r w:rsidR="00593490">
        <w:rPr>
          <w:i/>
        </w:rPr>
        <w:t xml:space="preserve">and Commissioning Competencies </w:t>
      </w:r>
      <w:r w:rsidR="00900BAD">
        <w:rPr>
          <w:i/>
        </w:rPr>
        <w:t>G</w:t>
      </w:r>
      <w:r w:rsidR="00A14D6E" w:rsidRPr="00A14D6E">
        <w:rPr>
          <w:i/>
        </w:rPr>
        <w:t>uidance</w:t>
      </w:r>
      <w:r w:rsidR="00A14D6E">
        <w:t>.</w:t>
      </w:r>
    </w:p>
    <w:p w14:paraId="3E9355A1" w14:textId="560E2C94" w:rsidR="00BB223A" w:rsidRPr="00B7207D" w:rsidRDefault="008D2D26" w:rsidP="00B7207D">
      <w:pPr>
        <w:pStyle w:val="Paragraphtext"/>
      </w:pPr>
      <w:r w:rsidRPr="00B7207D">
        <w:t>Other</w:t>
      </w:r>
      <w:r w:rsidR="00B94D44" w:rsidRPr="00B7207D">
        <w:t xml:space="preserve"> guidance and </w:t>
      </w:r>
      <w:r w:rsidR="00BB223A" w:rsidRPr="00B7207D">
        <w:t xml:space="preserve">toolkits that have been </w:t>
      </w:r>
      <w:r w:rsidR="00B94D44" w:rsidRPr="00B7207D">
        <w:t xml:space="preserve">written </w:t>
      </w:r>
      <w:r w:rsidR="00BB223A" w:rsidRPr="00B7207D">
        <w:t>for PHN</w:t>
      </w:r>
      <w:r w:rsidR="00B94D44" w:rsidRPr="00B7207D">
        <w:t>s</w:t>
      </w:r>
      <w:r w:rsidR="0021615E" w:rsidRPr="00B7207D">
        <w:t xml:space="preserve"> (available at:</w:t>
      </w:r>
      <w:r w:rsidR="0021615E" w:rsidRPr="00A52227">
        <w:t xml:space="preserve"> </w:t>
      </w:r>
      <w:hyperlink r:id="rId21" w:history="1">
        <w:r w:rsidR="0021615E" w:rsidRPr="00135FC6">
          <w:rPr>
            <w:rStyle w:val="Hyperlink"/>
            <w:rFonts w:ascii="Calibri" w:hAnsi="Calibri" w:cs="Calibri"/>
          </w:rPr>
          <w:t>http://www.health.gov.au/internet/main/publishing.nsf/Content/PHNCommissioningResources</w:t>
        </w:r>
      </w:hyperlink>
      <w:r w:rsidR="00076E0E">
        <w:rPr>
          <w:rFonts w:cs="Calibri"/>
        </w:rPr>
        <w:t xml:space="preserve">) </w:t>
      </w:r>
      <w:r w:rsidR="00B94D44" w:rsidRPr="00B7207D">
        <w:t xml:space="preserve">that </w:t>
      </w:r>
      <w:r w:rsidR="00BB223A" w:rsidRPr="00B7207D">
        <w:t>can be used in the development of commissioning competencies</w:t>
      </w:r>
      <w:r w:rsidRPr="00B7207D">
        <w:t xml:space="preserve"> include</w:t>
      </w:r>
      <w:r w:rsidR="00076E0E">
        <w:t>:</w:t>
      </w:r>
    </w:p>
    <w:p w14:paraId="41B504F8" w14:textId="26D415B5" w:rsidR="009A487B" w:rsidRDefault="009A487B" w:rsidP="00B7207D">
      <w:pPr>
        <w:pStyle w:val="ListBullet"/>
      </w:pPr>
      <w:r>
        <w:t xml:space="preserve">2018 Market </w:t>
      </w:r>
      <w:r w:rsidR="00076E0E">
        <w:t>Making and Development Guidance</w:t>
      </w:r>
    </w:p>
    <w:p w14:paraId="588C7409" w14:textId="21C454FB" w:rsidR="009A487B" w:rsidRDefault="009A487B" w:rsidP="00B7207D">
      <w:pPr>
        <w:pStyle w:val="ListBullet"/>
      </w:pPr>
      <w:r>
        <w:t>2018 Market</w:t>
      </w:r>
      <w:r w:rsidR="00076E0E">
        <w:t xml:space="preserve"> Making and Development Toolkit</w:t>
      </w:r>
    </w:p>
    <w:p w14:paraId="1F4C6439" w14:textId="179390C2" w:rsidR="009A487B" w:rsidRDefault="009A487B" w:rsidP="00B7207D">
      <w:pPr>
        <w:pStyle w:val="ListBullet"/>
      </w:pPr>
      <w:r>
        <w:t>2018 Change Management and Comm</w:t>
      </w:r>
      <w:r w:rsidR="00076E0E">
        <w:t>issioning Competencies Guidance</w:t>
      </w:r>
    </w:p>
    <w:p w14:paraId="50ADA836" w14:textId="0F975106" w:rsidR="009A487B" w:rsidRDefault="009A487B" w:rsidP="00B7207D">
      <w:pPr>
        <w:pStyle w:val="ListBullet"/>
      </w:pPr>
      <w:r>
        <w:t>2018 Change Management and</w:t>
      </w:r>
      <w:bookmarkStart w:id="11" w:name="_GoBack"/>
      <w:bookmarkEnd w:id="11"/>
      <w:r>
        <w:t xml:space="preserve"> Com</w:t>
      </w:r>
      <w:r w:rsidR="00076E0E">
        <w:t>missioning Competencies Toolkit</w:t>
      </w:r>
    </w:p>
    <w:p w14:paraId="311B00BA" w14:textId="470E5640" w:rsidR="009A487B" w:rsidRPr="00651A38" w:rsidRDefault="00076E0E" w:rsidP="00B7207D">
      <w:pPr>
        <w:pStyle w:val="ListBullet"/>
      </w:pPr>
      <w:r>
        <w:t xml:space="preserve">2018 PHN </w:t>
      </w:r>
      <w:r w:rsidR="00850FBE">
        <w:t xml:space="preserve">Commissioning Competencies </w:t>
      </w:r>
      <w:r>
        <w:t>Self-Assessment Tool</w:t>
      </w:r>
      <w:r w:rsidR="004B2229">
        <w:t xml:space="preserve"> </w:t>
      </w:r>
      <w:r w:rsidR="004B2229" w:rsidRPr="000874B0">
        <w:rPr>
          <w:i/>
        </w:rPr>
        <w:t>(unpublished)</w:t>
      </w:r>
    </w:p>
    <w:p w14:paraId="35F0E6B4" w14:textId="6FBC426C" w:rsidR="009A487B" w:rsidRDefault="009A487B" w:rsidP="00B7207D">
      <w:pPr>
        <w:pStyle w:val="ListBullet"/>
      </w:pPr>
      <w:r>
        <w:t xml:space="preserve">2018 Monitoring </w:t>
      </w:r>
      <w:r w:rsidR="00076E0E">
        <w:t>and Evaluation Guidance</w:t>
      </w:r>
    </w:p>
    <w:p w14:paraId="5DF64EDD" w14:textId="244D0D44" w:rsidR="00DF5ABD" w:rsidRDefault="009A487B" w:rsidP="00C97E5A">
      <w:pPr>
        <w:pStyle w:val="ListBullet"/>
      </w:pPr>
      <w:r>
        <w:t>2018 Monitoring and Evaluation Toolkit</w:t>
      </w:r>
      <w:r w:rsidRPr="00B7207D">
        <w:rPr>
          <w:rStyle w:val="FootnoteReference"/>
        </w:rPr>
        <w:footnoteReference w:id="1"/>
      </w:r>
      <w:r w:rsidR="00DF5ABD">
        <w:br w:type="page"/>
      </w:r>
    </w:p>
    <w:p w14:paraId="4D3C608E" w14:textId="69C3FF06" w:rsidR="00A14D6E" w:rsidRPr="00B7207D" w:rsidRDefault="00A14D6E" w:rsidP="00B7207D">
      <w:pPr>
        <w:pStyle w:val="Heading1"/>
      </w:pPr>
      <w:bookmarkStart w:id="12" w:name="_Toc515886994"/>
      <w:bookmarkStart w:id="13" w:name="_Toc516153929"/>
      <w:bookmarkStart w:id="14" w:name="_Toc508803736"/>
      <w:bookmarkStart w:id="15" w:name="_Toc514163745"/>
      <w:r>
        <w:lastRenderedPageBreak/>
        <w:t>L</w:t>
      </w:r>
      <w:r w:rsidR="00B7207D">
        <w:t>ist of tools and resources</w:t>
      </w:r>
      <w:bookmarkEnd w:id="12"/>
      <w:bookmarkEnd w:id="13"/>
      <w:bookmarkEnd w:id="14"/>
      <w:bookmarkEnd w:id="15"/>
    </w:p>
    <w:p w14:paraId="4F091B10" w14:textId="09C871D7" w:rsidR="006247C6" w:rsidRDefault="006247C6" w:rsidP="00B7207D">
      <w:pPr>
        <w:pStyle w:val="Paragraphtext"/>
      </w:pPr>
      <w:r w:rsidRPr="00C212DE">
        <w:t xml:space="preserve">All </w:t>
      </w:r>
      <w:r w:rsidR="001A70BA">
        <w:t>references marked ‘Accessed o</w:t>
      </w:r>
      <w:r w:rsidRPr="00C212DE">
        <w:t>nline 2018</w:t>
      </w:r>
      <w:r w:rsidR="001A70BA">
        <w:t>’</w:t>
      </w:r>
      <w:r w:rsidRPr="00C212DE">
        <w:t xml:space="preserve"> do not have a specific date when the a</w:t>
      </w:r>
      <w:r w:rsidR="00076E0E">
        <w:t>rticle/reference was published.</w:t>
      </w:r>
    </w:p>
    <w:p w14:paraId="17752FA4" w14:textId="56F33A5D" w:rsidR="0083057E" w:rsidRPr="00B7207D" w:rsidRDefault="0083057E" w:rsidP="0083057E">
      <w:pPr>
        <w:pStyle w:val="Caption"/>
      </w:pPr>
      <w:bookmarkStart w:id="16" w:name="_Toc515288580"/>
      <w:bookmarkStart w:id="17" w:name="_Toc516150686"/>
      <w:r w:rsidRPr="00F52065">
        <w:t xml:space="preserve">Table </w:t>
      </w:r>
      <w:r>
        <w:fldChar w:fldCharType="begin"/>
      </w:r>
      <w:r>
        <w:instrText xml:space="preserve"> SEQ Table \* ARABIC </w:instrText>
      </w:r>
      <w:r>
        <w:fldChar w:fldCharType="separate"/>
      </w:r>
      <w:r w:rsidR="00143699">
        <w:rPr>
          <w:noProof/>
        </w:rPr>
        <w:t>1</w:t>
      </w:r>
      <w:r>
        <w:rPr>
          <w:noProof/>
        </w:rPr>
        <w:fldChar w:fldCharType="end"/>
      </w:r>
      <w:r w:rsidRPr="00F52065">
        <w:t xml:space="preserve">: </w:t>
      </w:r>
      <w:bookmarkEnd w:id="16"/>
      <w:bookmarkEnd w:id="17"/>
      <w:r>
        <w:t>List of tools and resources</w:t>
      </w:r>
    </w:p>
    <w:tbl>
      <w:tblPr>
        <w:tblStyle w:val="PHNBlueTable"/>
        <w:tblW w:w="5081" w:type="pct"/>
        <w:tblInd w:w="-176" w:type="dxa"/>
        <w:tblLayout w:type="fixed"/>
        <w:tblLook w:val="04A0" w:firstRow="1" w:lastRow="0" w:firstColumn="1" w:lastColumn="0" w:noHBand="0" w:noVBand="1"/>
        <w:tblCaption w:val="List of tools and resources"/>
        <w:tblDescription w:val="This table provides a list of tools and resources that PHNs may find useful in building key commissioning competencies. The table includes seven columns and forty-three rows. The columns are: title of the resource; the commissioning competency that it relates to; the author of the resource; the year that the resource was published or accessed; a link to the resource; a description of the resource; and a description of how it can be used to develop commissioning capability. Each row specifies a tool or resource, and includes details about it in each column. "/>
      </w:tblPr>
      <w:tblGrid>
        <w:gridCol w:w="1787"/>
        <w:gridCol w:w="1523"/>
        <w:gridCol w:w="1327"/>
        <w:gridCol w:w="1142"/>
        <w:gridCol w:w="1904"/>
        <w:gridCol w:w="4226"/>
        <w:gridCol w:w="3117"/>
      </w:tblGrid>
      <w:tr w:rsidR="00CB6FB7" w:rsidRPr="00DF5ABD" w14:paraId="3A2B8DAD" w14:textId="7A2213B0" w:rsidTr="004106D7">
        <w:trPr>
          <w:cnfStyle w:val="100000000000" w:firstRow="1" w:lastRow="0" w:firstColumn="0" w:lastColumn="0" w:oddVBand="0" w:evenVBand="0" w:oddHBand="0" w:evenHBand="0" w:firstRowFirstColumn="0" w:firstRowLastColumn="0" w:lastRowFirstColumn="0" w:lastRowLastColumn="0"/>
          <w:trHeight w:val="110"/>
        </w:trPr>
        <w:tc>
          <w:tcPr>
            <w:tcW w:w="1787" w:type="dxa"/>
            <w:shd w:val="clear" w:color="auto" w:fill="8D188D"/>
          </w:tcPr>
          <w:p w14:paraId="1D0EA131" w14:textId="77777777" w:rsidR="00A1335A" w:rsidRPr="000D4C8D" w:rsidRDefault="00A1335A" w:rsidP="00B7207D">
            <w:pPr>
              <w:pStyle w:val="TableHeaderWhite"/>
              <w:rPr>
                <w:b w:val="0"/>
              </w:rPr>
            </w:pPr>
            <w:bookmarkStart w:id="18" w:name="_Toc514163693"/>
            <w:bookmarkEnd w:id="18"/>
            <w:r w:rsidRPr="000D4C8D">
              <w:t>Title</w:t>
            </w:r>
          </w:p>
        </w:tc>
        <w:tc>
          <w:tcPr>
            <w:tcW w:w="1523" w:type="dxa"/>
            <w:shd w:val="clear" w:color="auto" w:fill="8D188D"/>
          </w:tcPr>
          <w:p w14:paraId="60165321" w14:textId="0D81A95C" w:rsidR="00A1335A" w:rsidRPr="000D4C8D" w:rsidRDefault="00A1335A" w:rsidP="00B7207D">
            <w:pPr>
              <w:pStyle w:val="TableHeaderWhite"/>
              <w:rPr>
                <w:b w:val="0"/>
              </w:rPr>
            </w:pPr>
            <w:r>
              <w:t>Competency</w:t>
            </w:r>
          </w:p>
        </w:tc>
        <w:tc>
          <w:tcPr>
            <w:tcW w:w="1327" w:type="dxa"/>
            <w:shd w:val="clear" w:color="auto" w:fill="8D188D"/>
          </w:tcPr>
          <w:p w14:paraId="22838D10" w14:textId="79F209EB" w:rsidR="00A1335A" w:rsidRPr="000D4C8D" w:rsidRDefault="00A1335A" w:rsidP="00B7207D">
            <w:pPr>
              <w:pStyle w:val="TableHeaderWhite"/>
              <w:rPr>
                <w:b w:val="0"/>
              </w:rPr>
            </w:pPr>
            <w:r w:rsidRPr="000D4C8D">
              <w:t>Author</w:t>
            </w:r>
          </w:p>
        </w:tc>
        <w:tc>
          <w:tcPr>
            <w:tcW w:w="1142" w:type="dxa"/>
            <w:shd w:val="clear" w:color="auto" w:fill="8D188D"/>
          </w:tcPr>
          <w:p w14:paraId="497B0FC0" w14:textId="032D2C34" w:rsidR="00A1335A" w:rsidRPr="000D4C8D" w:rsidRDefault="00A1335A" w:rsidP="00B7207D">
            <w:pPr>
              <w:pStyle w:val="TableHeaderWhite"/>
              <w:rPr>
                <w:b w:val="0"/>
              </w:rPr>
            </w:pPr>
            <w:r w:rsidRPr="000D4C8D">
              <w:t>Year</w:t>
            </w:r>
          </w:p>
        </w:tc>
        <w:tc>
          <w:tcPr>
            <w:tcW w:w="1904" w:type="dxa"/>
            <w:shd w:val="clear" w:color="auto" w:fill="8D188D"/>
          </w:tcPr>
          <w:p w14:paraId="5CA5C718" w14:textId="550C0726" w:rsidR="00A1335A" w:rsidRPr="000D4C8D" w:rsidRDefault="00A1335A" w:rsidP="00B7207D">
            <w:pPr>
              <w:pStyle w:val="TableHeaderWhite"/>
              <w:rPr>
                <w:b w:val="0"/>
              </w:rPr>
            </w:pPr>
            <w:r w:rsidRPr="000D4C8D">
              <w:t>Link</w:t>
            </w:r>
          </w:p>
        </w:tc>
        <w:tc>
          <w:tcPr>
            <w:tcW w:w="4226" w:type="dxa"/>
            <w:shd w:val="clear" w:color="auto" w:fill="8D188D"/>
          </w:tcPr>
          <w:p w14:paraId="554A98AF" w14:textId="28A54FAA" w:rsidR="00A1335A" w:rsidRPr="000D4C8D" w:rsidRDefault="00A1335A" w:rsidP="00B7207D">
            <w:pPr>
              <w:pStyle w:val="TableHeaderWhite"/>
              <w:rPr>
                <w:b w:val="0"/>
              </w:rPr>
            </w:pPr>
            <w:r w:rsidRPr="000D4C8D">
              <w:t xml:space="preserve">Description </w:t>
            </w:r>
          </w:p>
        </w:tc>
        <w:tc>
          <w:tcPr>
            <w:tcW w:w="3117" w:type="dxa"/>
            <w:shd w:val="clear" w:color="auto" w:fill="8D188D"/>
          </w:tcPr>
          <w:p w14:paraId="49595BC0" w14:textId="759A5BB1" w:rsidR="00A1335A" w:rsidRPr="000D4C8D" w:rsidRDefault="00A1335A" w:rsidP="00B7207D">
            <w:pPr>
              <w:pStyle w:val="TableHeaderWhite"/>
              <w:rPr>
                <w:b w:val="0"/>
              </w:rPr>
            </w:pPr>
            <w:r w:rsidRPr="000D4C8D">
              <w:t xml:space="preserve">How/when a PHN would use this </w:t>
            </w:r>
          </w:p>
        </w:tc>
      </w:tr>
      <w:tr w:rsidR="00A1335A" w:rsidRPr="00DF5ABD" w14:paraId="60D9B846" w14:textId="77777777" w:rsidTr="004106D7">
        <w:trPr>
          <w:trHeight w:val="712"/>
        </w:trPr>
        <w:tc>
          <w:tcPr>
            <w:tcW w:w="1787" w:type="dxa"/>
          </w:tcPr>
          <w:p w14:paraId="602D10A0" w14:textId="6879B8A3" w:rsidR="00A1335A" w:rsidRPr="00DF5ABD" w:rsidRDefault="00A1335A" w:rsidP="00B7207D">
            <w:pPr>
              <w:pStyle w:val="Tabletextnormal"/>
            </w:pPr>
            <w:r>
              <w:t>Cultural Respect Framework 2016-2026 for Aboriginal and Torres Strait Islander Health</w:t>
            </w:r>
          </w:p>
        </w:tc>
        <w:tc>
          <w:tcPr>
            <w:tcW w:w="1523" w:type="dxa"/>
          </w:tcPr>
          <w:p w14:paraId="6EA1EB81" w14:textId="4D47AC0C" w:rsidR="00A1335A" w:rsidRDefault="00A1335A" w:rsidP="00B7207D">
            <w:pPr>
              <w:pStyle w:val="Tabletextnormal"/>
            </w:pPr>
            <w:r>
              <w:t xml:space="preserve">Leadership and change </w:t>
            </w:r>
            <w:r w:rsidRPr="00A1335A">
              <w:t>management</w:t>
            </w:r>
          </w:p>
        </w:tc>
        <w:tc>
          <w:tcPr>
            <w:tcW w:w="1327" w:type="dxa"/>
          </w:tcPr>
          <w:p w14:paraId="3BE3B20D" w14:textId="48096165" w:rsidR="00A1335A" w:rsidRPr="00E15FCA" w:rsidRDefault="00A1335A" w:rsidP="00B7207D">
            <w:pPr>
              <w:pStyle w:val="Tabletextnormal"/>
            </w:pPr>
            <w:r>
              <w:t>Australian Health Ministers’ Advisory Council</w:t>
            </w:r>
          </w:p>
        </w:tc>
        <w:tc>
          <w:tcPr>
            <w:tcW w:w="1142" w:type="dxa"/>
          </w:tcPr>
          <w:p w14:paraId="29327417" w14:textId="7564F9B3" w:rsidR="00A1335A" w:rsidRPr="00A1335A" w:rsidRDefault="00A1335A" w:rsidP="00B7207D">
            <w:pPr>
              <w:pStyle w:val="Tabletextnormal"/>
            </w:pPr>
            <w:r w:rsidRPr="00A1335A">
              <w:t>2016</w:t>
            </w:r>
          </w:p>
        </w:tc>
        <w:tc>
          <w:tcPr>
            <w:tcW w:w="1904" w:type="dxa"/>
          </w:tcPr>
          <w:p w14:paraId="0F9C6841" w14:textId="42A18551" w:rsidR="00A1335A" w:rsidRPr="00A1335A" w:rsidRDefault="00A1335A" w:rsidP="00B7207D">
            <w:pPr>
              <w:pStyle w:val="Tabletextnormal"/>
            </w:pPr>
            <w:r w:rsidRPr="00A1335A">
              <w:rPr>
                <w:szCs w:val="20"/>
              </w:rPr>
              <w:t>www.coaghealthcouncil.gov.au/Publications/Reports</w:t>
            </w:r>
          </w:p>
        </w:tc>
        <w:tc>
          <w:tcPr>
            <w:tcW w:w="4226" w:type="dxa"/>
          </w:tcPr>
          <w:p w14:paraId="7E584D8A" w14:textId="0D9B4328" w:rsidR="00A1335A" w:rsidRDefault="00A1335A" w:rsidP="00B7207D">
            <w:pPr>
              <w:pStyle w:val="Tabletextnormal"/>
            </w:pPr>
            <w:r>
              <w:t>Developed specifically for the health sector this resource provides a framework to guide strategies to improve culturally respectful services</w:t>
            </w:r>
          </w:p>
        </w:tc>
        <w:tc>
          <w:tcPr>
            <w:tcW w:w="3117" w:type="dxa"/>
          </w:tcPr>
          <w:p w14:paraId="1CA3B5B9" w14:textId="68ED018F" w:rsidR="00A1335A" w:rsidRDefault="00A1335A" w:rsidP="00B7207D">
            <w:pPr>
              <w:pStyle w:val="Tabletextnormal"/>
            </w:pPr>
            <w:r>
              <w:t>In all aspects of the commissioning process when working with Aboriginal or Torres Strait Islander people or communities</w:t>
            </w:r>
          </w:p>
        </w:tc>
      </w:tr>
      <w:tr w:rsidR="00A1335A" w:rsidRPr="00DF5ABD" w14:paraId="45E3D281" w14:textId="77777777" w:rsidTr="004106D7">
        <w:trPr>
          <w:trHeight w:val="712"/>
        </w:trPr>
        <w:tc>
          <w:tcPr>
            <w:tcW w:w="1787" w:type="dxa"/>
          </w:tcPr>
          <w:p w14:paraId="10975723" w14:textId="57B38A43" w:rsidR="00A1335A" w:rsidRPr="00DF5ABD" w:rsidRDefault="00A1335A" w:rsidP="00B7207D">
            <w:pPr>
              <w:pStyle w:val="Tabletextnormal"/>
            </w:pPr>
            <w:r>
              <w:t>Cultural competency in the delivery of health services for indigenous people. Issues Paper No. 13</w:t>
            </w:r>
          </w:p>
        </w:tc>
        <w:tc>
          <w:tcPr>
            <w:tcW w:w="1523" w:type="dxa"/>
          </w:tcPr>
          <w:p w14:paraId="7AB17419" w14:textId="51A01B61" w:rsidR="00A1335A" w:rsidDel="00207FD3" w:rsidRDefault="00A1335A" w:rsidP="00B7207D">
            <w:pPr>
              <w:pStyle w:val="Tabletextnormal"/>
            </w:pPr>
            <w:r>
              <w:t>Leadership and change management</w:t>
            </w:r>
          </w:p>
        </w:tc>
        <w:tc>
          <w:tcPr>
            <w:tcW w:w="1327" w:type="dxa"/>
          </w:tcPr>
          <w:p w14:paraId="18F685A0" w14:textId="1DACAA87" w:rsidR="00A1335A" w:rsidRPr="00E15FCA" w:rsidRDefault="00A1335A" w:rsidP="00B7207D">
            <w:pPr>
              <w:pStyle w:val="Tabletextnormal"/>
            </w:pPr>
            <w:r>
              <w:t xml:space="preserve">Bainbridge R, </w:t>
            </w:r>
            <w:proofErr w:type="spellStart"/>
            <w:r>
              <w:t>McCalman</w:t>
            </w:r>
            <w:proofErr w:type="spellEnd"/>
            <w:r>
              <w:t xml:space="preserve"> J, Clifford A, and </w:t>
            </w:r>
            <w:proofErr w:type="spellStart"/>
            <w:r>
              <w:t>Tsey</w:t>
            </w:r>
            <w:proofErr w:type="spellEnd"/>
            <w:r>
              <w:t xml:space="preserve"> K.</w:t>
            </w:r>
          </w:p>
        </w:tc>
        <w:tc>
          <w:tcPr>
            <w:tcW w:w="1142" w:type="dxa"/>
          </w:tcPr>
          <w:p w14:paraId="44710F89" w14:textId="2A841245" w:rsidR="00A1335A" w:rsidRPr="00A1335A" w:rsidRDefault="00A1335A" w:rsidP="00B7207D">
            <w:pPr>
              <w:pStyle w:val="Tabletextnormal"/>
            </w:pPr>
            <w:r w:rsidRPr="00A1335A">
              <w:t>2015</w:t>
            </w:r>
          </w:p>
        </w:tc>
        <w:tc>
          <w:tcPr>
            <w:tcW w:w="1904" w:type="dxa"/>
          </w:tcPr>
          <w:p w14:paraId="406DCE64" w14:textId="003D7212" w:rsidR="00A1335A" w:rsidRPr="00A1335A" w:rsidRDefault="00A1335A" w:rsidP="00B7207D">
            <w:pPr>
              <w:pStyle w:val="Tabletextnormal"/>
            </w:pPr>
            <w:r w:rsidRPr="00A1335A">
              <w:t>aifs.gov.au/publications/cultural-competency-delivery-health-services-indigenous-people</w:t>
            </w:r>
          </w:p>
        </w:tc>
        <w:tc>
          <w:tcPr>
            <w:tcW w:w="4226" w:type="dxa"/>
          </w:tcPr>
          <w:p w14:paraId="4F93A114" w14:textId="16C2B62F" w:rsidR="00A1335A" w:rsidRDefault="00A1335A" w:rsidP="00B7207D">
            <w:pPr>
              <w:pStyle w:val="Tabletextnormal"/>
            </w:pPr>
            <w:r>
              <w:t>Examination of evidence on cultural competence in health care settings to identify approaches and strategies that can contribute to the development and implementation of indigenous health services and programs</w:t>
            </w:r>
          </w:p>
        </w:tc>
        <w:tc>
          <w:tcPr>
            <w:tcW w:w="3117" w:type="dxa"/>
          </w:tcPr>
          <w:p w14:paraId="6D97526E" w14:textId="74C142B1" w:rsidR="00A1335A" w:rsidRDefault="00A1335A" w:rsidP="00B7207D">
            <w:pPr>
              <w:pStyle w:val="Tabletextnormal"/>
            </w:pPr>
            <w:r>
              <w:t>In all aspects of the commissioning process when working with Aboriginal or Torres Strait Islander people or communities</w:t>
            </w:r>
          </w:p>
        </w:tc>
      </w:tr>
      <w:tr w:rsidR="00A1335A" w:rsidRPr="00DF5ABD" w14:paraId="3A776902" w14:textId="51BBE1E5" w:rsidTr="004106D7">
        <w:trPr>
          <w:trHeight w:val="712"/>
        </w:trPr>
        <w:tc>
          <w:tcPr>
            <w:tcW w:w="1787" w:type="dxa"/>
          </w:tcPr>
          <w:p w14:paraId="33E6F965" w14:textId="77777777" w:rsidR="00A1335A" w:rsidRPr="00DF5ABD" w:rsidRDefault="00A1335A" w:rsidP="00B7207D">
            <w:pPr>
              <w:pStyle w:val="Tabletextnormal"/>
            </w:pPr>
            <w:r w:rsidRPr="00DF5ABD">
              <w:t>Using change concepts for improvement</w:t>
            </w:r>
          </w:p>
        </w:tc>
        <w:tc>
          <w:tcPr>
            <w:tcW w:w="1523" w:type="dxa"/>
          </w:tcPr>
          <w:p w14:paraId="4FA1E34C" w14:textId="06473BF9" w:rsidR="00A1335A" w:rsidRPr="00E15FCA" w:rsidRDefault="00A1335A" w:rsidP="00B7207D">
            <w:pPr>
              <w:pStyle w:val="Tabletextnormal"/>
            </w:pPr>
            <w:r>
              <w:t>Leadership and change management</w:t>
            </w:r>
          </w:p>
        </w:tc>
        <w:tc>
          <w:tcPr>
            <w:tcW w:w="1327" w:type="dxa"/>
          </w:tcPr>
          <w:p w14:paraId="1A89DD17" w14:textId="58310095" w:rsidR="00A1335A" w:rsidRPr="00DF5ABD" w:rsidRDefault="00A1335A" w:rsidP="00B7207D">
            <w:pPr>
              <w:pStyle w:val="Tabletextnormal"/>
            </w:pPr>
            <w:r w:rsidRPr="00E15FCA">
              <w:t>Institute for Healthcare Improvement</w:t>
            </w:r>
            <w:r>
              <w:t xml:space="preserve"> (US)</w:t>
            </w:r>
            <w:r w:rsidRPr="00E15FCA">
              <w:t xml:space="preserve"> </w:t>
            </w:r>
          </w:p>
        </w:tc>
        <w:tc>
          <w:tcPr>
            <w:tcW w:w="1142" w:type="dxa"/>
          </w:tcPr>
          <w:p w14:paraId="63FE177B" w14:textId="17AD76B6" w:rsidR="00A1335A" w:rsidRPr="00DF5ABD" w:rsidRDefault="001A70BA" w:rsidP="00B7207D">
            <w:pPr>
              <w:pStyle w:val="Tabletextnormal"/>
            </w:pPr>
            <w:r>
              <w:rPr>
                <w:rFonts w:cs="Calibri"/>
              </w:rPr>
              <w:t>Accessed o</w:t>
            </w:r>
            <w:r w:rsidRPr="00C212DE">
              <w:rPr>
                <w:rFonts w:cs="Calibri"/>
              </w:rPr>
              <w:t>nline 2018</w:t>
            </w:r>
          </w:p>
        </w:tc>
        <w:tc>
          <w:tcPr>
            <w:tcW w:w="1904" w:type="dxa"/>
          </w:tcPr>
          <w:p w14:paraId="7B69B0A3" w14:textId="11181584" w:rsidR="00A1335A" w:rsidRPr="0038101E" w:rsidRDefault="00A1335A" w:rsidP="00B7207D">
            <w:pPr>
              <w:pStyle w:val="Tabletextnormal"/>
            </w:pPr>
            <w:r w:rsidRPr="00DF5ABD">
              <w:t>www.ihi.org/resources/Pages/Changes/UsingChangeConceptsforImprovement.aspx</w:t>
            </w:r>
          </w:p>
        </w:tc>
        <w:tc>
          <w:tcPr>
            <w:tcW w:w="4226" w:type="dxa"/>
          </w:tcPr>
          <w:p w14:paraId="3EFA5F79" w14:textId="7F260E3E" w:rsidR="00A1335A" w:rsidRPr="00DF5ABD" w:rsidRDefault="00A1335A" w:rsidP="00B7207D">
            <w:pPr>
              <w:pStyle w:val="Tabletextnormal"/>
            </w:pPr>
            <w:r>
              <w:t>An overview of key c</w:t>
            </w:r>
            <w:r w:rsidRPr="00DF5ABD">
              <w:t xml:space="preserve">hange concepts </w:t>
            </w:r>
            <w:r>
              <w:t xml:space="preserve">that can be adopted by PHNs to help both individuals and teams make </w:t>
            </w:r>
            <w:r w:rsidRPr="00DF5ABD">
              <w:t>improvement</w:t>
            </w:r>
            <w:r>
              <w:t xml:space="preserve">s in leadership and change management </w:t>
            </w:r>
          </w:p>
        </w:tc>
        <w:tc>
          <w:tcPr>
            <w:tcW w:w="3117" w:type="dxa"/>
          </w:tcPr>
          <w:p w14:paraId="08260DFE" w14:textId="6FA69E3C" w:rsidR="00A1335A" w:rsidRPr="004E3BC7" w:rsidRDefault="00A1335A" w:rsidP="00B7207D">
            <w:pPr>
              <w:pStyle w:val="Tabletextnormal"/>
            </w:pPr>
            <w:r>
              <w:t>In implementing changes aimed at improvement</w:t>
            </w:r>
          </w:p>
        </w:tc>
      </w:tr>
      <w:tr w:rsidR="00A1335A" w:rsidRPr="00DF5ABD" w14:paraId="4BA5B94D" w14:textId="3BE5B012" w:rsidTr="004106D7">
        <w:trPr>
          <w:trHeight w:val="665"/>
        </w:trPr>
        <w:tc>
          <w:tcPr>
            <w:tcW w:w="1787" w:type="dxa"/>
          </w:tcPr>
          <w:p w14:paraId="12043265" w14:textId="77777777" w:rsidR="00A1335A" w:rsidRPr="00DF5ABD" w:rsidRDefault="00A1335A" w:rsidP="00B7207D">
            <w:pPr>
              <w:pStyle w:val="Tabletextnormal"/>
            </w:pPr>
            <w:r w:rsidRPr="00DF5ABD">
              <w:t>Change management toolkit</w:t>
            </w:r>
          </w:p>
        </w:tc>
        <w:tc>
          <w:tcPr>
            <w:tcW w:w="1523" w:type="dxa"/>
          </w:tcPr>
          <w:p w14:paraId="77416831" w14:textId="75D469DD" w:rsidR="00A1335A" w:rsidRPr="00E15FCA" w:rsidRDefault="00A1335A" w:rsidP="00B7207D">
            <w:pPr>
              <w:pStyle w:val="Tabletextnormal"/>
            </w:pPr>
            <w:r>
              <w:t>Leadership and change management</w:t>
            </w:r>
          </w:p>
        </w:tc>
        <w:tc>
          <w:tcPr>
            <w:tcW w:w="1327" w:type="dxa"/>
          </w:tcPr>
          <w:p w14:paraId="57D5A8B4" w14:textId="1DF1D44F" w:rsidR="00A1335A" w:rsidRPr="00DF5ABD" w:rsidRDefault="00A1335A" w:rsidP="00B7207D">
            <w:pPr>
              <w:pStyle w:val="Tabletextnormal"/>
            </w:pPr>
            <w:r w:rsidRPr="00E15FCA">
              <w:t>University of Bath</w:t>
            </w:r>
            <w:r>
              <w:t xml:space="preserve"> (UK)</w:t>
            </w:r>
          </w:p>
        </w:tc>
        <w:tc>
          <w:tcPr>
            <w:tcW w:w="1142" w:type="dxa"/>
          </w:tcPr>
          <w:p w14:paraId="6140C875" w14:textId="7A466081" w:rsidR="00A1335A" w:rsidRPr="00DF5ABD" w:rsidRDefault="001A70BA" w:rsidP="00B7207D">
            <w:pPr>
              <w:pStyle w:val="Tabletextnormal"/>
            </w:pPr>
            <w:r>
              <w:rPr>
                <w:rFonts w:cs="Calibri"/>
              </w:rPr>
              <w:t>Accessed o</w:t>
            </w:r>
            <w:r w:rsidRPr="00C212DE">
              <w:rPr>
                <w:rFonts w:cs="Calibri"/>
              </w:rPr>
              <w:t>nline 2018</w:t>
            </w:r>
          </w:p>
        </w:tc>
        <w:tc>
          <w:tcPr>
            <w:tcW w:w="1904" w:type="dxa"/>
          </w:tcPr>
          <w:p w14:paraId="40C93AE6" w14:textId="25D7C22C" w:rsidR="00A1335A" w:rsidRPr="0038101E" w:rsidRDefault="00A1335A" w:rsidP="00B7207D">
            <w:pPr>
              <w:pStyle w:val="Tabletextnormal"/>
            </w:pPr>
            <w:r w:rsidRPr="00DF5ABD">
              <w:t>www.bath.ac.uk/hr/learning/change-kit/index.html</w:t>
            </w:r>
          </w:p>
        </w:tc>
        <w:tc>
          <w:tcPr>
            <w:tcW w:w="4226" w:type="dxa"/>
          </w:tcPr>
          <w:p w14:paraId="460DF6CD" w14:textId="3DE10CCA" w:rsidR="00A1335A" w:rsidRPr="00DF5ABD" w:rsidRDefault="00A1335A" w:rsidP="00B7207D">
            <w:pPr>
              <w:pStyle w:val="Tabletextnormal"/>
            </w:pPr>
            <w:r>
              <w:t>A change management toolkit that s</w:t>
            </w:r>
            <w:r w:rsidRPr="00E15FCA">
              <w:t xml:space="preserve">ets out </w:t>
            </w:r>
            <w:r>
              <w:t>what</w:t>
            </w:r>
            <w:r w:rsidRPr="00E15FCA">
              <w:t xml:space="preserve"> </w:t>
            </w:r>
            <w:r>
              <w:t>PHNs</w:t>
            </w:r>
            <w:r w:rsidRPr="00E15FCA">
              <w:t xml:space="preserve"> will need to consider at</w:t>
            </w:r>
            <w:r>
              <w:t xml:space="preserve"> all stages of a change process</w:t>
            </w:r>
          </w:p>
        </w:tc>
        <w:tc>
          <w:tcPr>
            <w:tcW w:w="3117" w:type="dxa"/>
          </w:tcPr>
          <w:p w14:paraId="391EFFBB" w14:textId="434A705A" w:rsidR="00A1335A" w:rsidRPr="00E15FCA" w:rsidRDefault="00A1335A" w:rsidP="00B7207D">
            <w:pPr>
              <w:pStyle w:val="Tabletextnormal"/>
            </w:pPr>
            <w:r>
              <w:t>In</w:t>
            </w:r>
            <w:r w:rsidRPr="00E15FCA">
              <w:t xml:space="preserve"> leading and managing change ac</w:t>
            </w:r>
            <w:r>
              <w:t>ross the primary health system</w:t>
            </w:r>
          </w:p>
        </w:tc>
      </w:tr>
      <w:tr w:rsidR="00A1335A" w:rsidRPr="00DF5ABD" w14:paraId="24892924" w14:textId="282C8E49" w:rsidTr="004106D7">
        <w:trPr>
          <w:trHeight w:val="60"/>
        </w:trPr>
        <w:tc>
          <w:tcPr>
            <w:tcW w:w="1787" w:type="dxa"/>
          </w:tcPr>
          <w:p w14:paraId="2FC2AB18" w14:textId="77777777" w:rsidR="00A1335A" w:rsidRPr="00DF5ABD" w:rsidRDefault="00A1335A" w:rsidP="00B7207D">
            <w:pPr>
              <w:pStyle w:val="Tabletextnormal"/>
            </w:pPr>
            <w:r w:rsidRPr="00DF5ABD">
              <w:t>Your change management toolkit</w:t>
            </w:r>
          </w:p>
        </w:tc>
        <w:tc>
          <w:tcPr>
            <w:tcW w:w="1523" w:type="dxa"/>
          </w:tcPr>
          <w:p w14:paraId="79088A87" w14:textId="70EE3C24" w:rsidR="00A1335A" w:rsidRDefault="00A1335A" w:rsidP="00B7207D">
            <w:pPr>
              <w:pStyle w:val="Tabletextnormal"/>
            </w:pPr>
            <w:r>
              <w:t>Leadership and change management</w:t>
            </w:r>
          </w:p>
        </w:tc>
        <w:tc>
          <w:tcPr>
            <w:tcW w:w="1327" w:type="dxa"/>
          </w:tcPr>
          <w:p w14:paraId="6FECDDFB" w14:textId="50056435" w:rsidR="00A1335A" w:rsidRPr="00DF5ABD" w:rsidRDefault="00A1335A" w:rsidP="00B7207D">
            <w:pPr>
              <w:pStyle w:val="Tabletextnormal"/>
            </w:pPr>
            <w:r>
              <w:t>Mind Tools (US)</w:t>
            </w:r>
          </w:p>
        </w:tc>
        <w:tc>
          <w:tcPr>
            <w:tcW w:w="1142" w:type="dxa"/>
          </w:tcPr>
          <w:p w14:paraId="5F824026" w14:textId="4C553178" w:rsidR="00A1335A" w:rsidRPr="00087E08" w:rsidRDefault="001A70BA" w:rsidP="00B7207D">
            <w:pPr>
              <w:pStyle w:val="Tabletextnormal"/>
              <w:rPr>
                <w:highlight w:val="yellow"/>
              </w:rPr>
            </w:pPr>
            <w:r>
              <w:rPr>
                <w:rFonts w:cs="Calibri"/>
              </w:rPr>
              <w:t>Accessed o</w:t>
            </w:r>
            <w:r w:rsidRPr="00C212DE">
              <w:rPr>
                <w:rFonts w:cs="Calibri"/>
              </w:rPr>
              <w:t>nline 2018</w:t>
            </w:r>
          </w:p>
        </w:tc>
        <w:tc>
          <w:tcPr>
            <w:tcW w:w="1904" w:type="dxa"/>
          </w:tcPr>
          <w:p w14:paraId="324BAC15" w14:textId="0D570C5F" w:rsidR="00A1335A" w:rsidRPr="0038101E" w:rsidRDefault="00A1335A" w:rsidP="00B7207D">
            <w:pPr>
              <w:pStyle w:val="Tabletextnormal"/>
            </w:pPr>
            <w:r w:rsidRPr="00DF5ABD">
              <w:t>www.mindtools.com/pages/article/newPPM_87.htm</w:t>
            </w:r>
          </w:p>
        </w:tc>
        <w:tc>
          <w:tcPr>
            <w:tcW w:w="4226" w:type="dxa"/>
          </w:tcPr>
          <w:p w14:paraId="4C37DF35" w14:textId="33639C46" w:rsidR="00A1335A" w:rsidRDefault="00A1335A" w:rsidP="00B7207D">
            <w:pPr>
              <w:pStyle w:val="Tabletextnormal"/>
            </w:pPr>
            <w:r w:rsidRPr="00DF5ABD">
              <w:t>A suit</w:t>
            </w:r>
            <w:r>
              <w:t>e of</w:t>
            </w:r>
            <w:r w:rsidR="00B7207D">
              <w:t xml:space="preserve"> </w:t>
            </w:r>
            <w:r>
              <w:t>change management</w:t>
            </w:r>
            <w:r w:rsidR="00B7207D">
              <w:t xml:space="preserve"> </w:t>
            </w:r>
            <w:r>
              <w:t>tools for PHNs to consider:</w:t>
            </w:r>
          </w:p>
          <w:p w14:paraId="0720A103" w14:textId="7B0B4D75" w:rsidR="00A1335A" w:rsidRPr="00954603" w:rsidRDefault="00A1335A" w:rsidP="00B7207D">
            <w:pPr>
              <w:pStyle w:val="Tablelistbullet"/>
            </w:pPr>
            <w:r w:rsidRPr="00954603">
              <w:t>A method for identifying, prioritising and</w:t>
            </w:r>
            <w:r w:rsidR="00076E0E">
              <w:t xml:space="preserve"> understanding PHN stakeholders</w:t>
            </w:r>
          </w:p>
          <w:p w14:paraId="366E196B" w14:textId="77777777" w:rsidR="00A1335A" w:rsidRPr="00954603" w:rsidRDefault="00A1335A" w:rsidP="00B7207D">
            <w:pPr>
              <w:pStyle w:val="Tablelistbullet"/>
            </w:pPr>
            <w:r w:rsidRPr="00954603">
              <w:t>A training needs assessment</w:t>
            </w:r>
          </w:p>
          <w:p w14:paraId="586EE4F9" w14:textId="1F7F58BC" w:rsidR="00A1335A" w:rsidRPr="00954603" w:rsidRDefault="00A1335A" w:rsidP="00B7207D">
            <w:pPr>
              <w:pStyle w:val="Tablelistbullet"/>
            </w:pPr>
            <w:r>
              <w:t>I</w:t>
            </w:r>
            <w:r w:rsidRPr="00954603">
              <w:t>mp</w:t>
            </w:r>
            <w:r>
              <w:t xml:space="preserve">act of a proposed change on </w:t>
            </w:r>
            <w:r w:rsidRPr="00954603">
              <w:t>suppliers, inputs, processes, outputs and customers</w:t>
            </w:r>
          </w:p>
          <w:p w14:paraId="5A2A95AD" w14:textId="54C9F719" w:rsidR="00A1335A" w:rsidRPr="00954603" w:rsidRDefault="00A1335A" w:rsidP="00B7207D">
            <w:pPr>
              <w:pStyle w:val="Tablelistbullet"/>
            </w:pPr>
            <w:r w:rsidRPr="00954603">
              <w:t>Actions to identify the components of change and support those impacted by change</w:t>
            </w:r>
          </w:p>
        </w:tc>
        <w:tc>
          <w:tcPr>
            <w:tcW w:w="3117" w:type="dxa"/>
          </w:tcPr>
          <w:p w14:paraId="02EB2351" w14:textId="6EC4F20B" w:rsidR="00A1335A" w:rsidRPr="00E15FCA" w:rsidRDefault="00A1335A" w:rsidP="00B7207D">
            <w:pPr>
              <w:pStyle w:val="Tabletextnormal"/>
            </w:pPr>
            <w:r>
              <w:t>In understanding, planning, implementing and communicating change</w:t>
            </w:r>
          </w:p>
        </w:tc>
      </w:tr>
      <w:tr w:rsidR="00A1335A" w:rsidRPr="00DF5ABD" w14:paraId="14FFB7B5" w14:textId="577375CE" w:rsidTr="004106D7">
        <w:trPr>
          <w:trHeight w:val="1406"/>
        </w:trPr>
        <w:tc>
          <w:tcPr>
            <w:tcW w:w="1787" w:type="dxa"/>
          </w:tcPr>
          <w:p w14:paraId="3CFC068C" w14:textId="5E647A53" w:rsidR="00A1335A" w:rsidRPr="00DF5ABD" w:rsidRDefault="00A1335A" w:rsidP="00B7207D">
            <w:pPr>
              <w:pStyle w:val="Tabletextnormal"/>
            </w:pPr>
            <w:r>
              <w:lastRenderedPageBreak/>
              <w:t>Managing change index</w:t>
            </w:r>
          </w:p>
        </w:tc>
        <w:tc>
          <w:tcPr>
            <w:tcW w:w="1523" w:type="dxa"/>
          </w:tcPr>
          <w:p w14:paraId="2CC3D6C7" w14:textId="7E8630D4" w:rsidR="00A1335A" w:rsidRDefault="00A1335A" w:rsidP="00B7207D">
            <w:pPr>
              <w:pStyle w:val="Tabletextnormal"/>
            </w:pPr>
            <w:r>
              <w:t>Leadership and change management</w:t>
            </w:r>
          </w:p>
        </w:tc>
        <w:tc>
          <w:tcPr>
            <w:tcW w:w="1327" w:type="dxa"/>
          </w:tcPr>
          <w:p w14:paraId="1ED8E4CA" w14:textId="75988D51" w:rsidR="00A1335A" w:rsidRPr="00DF5ABD" w:rsidRDefault="00A1335A" w:rsidP="00B7207D">
            <w:pPr>
              <w:pStyle w:val="Tabletextnormal"/>
            </w:pPr>
            <w:r>
              <w:t>The University of Sheffield (UK)</w:t>
            </w:r>
          </w:p>
        </w:tc>
        <w:tc>
          <w:tcPr>
            <w:tcW w:w="1142" w:type="dxa"/>
          </w:tcPr>
          <w:p w14:paraId="1889A4CC" w14:textId="059E51FF" w:rsidR="00A1335A" w:rsidRPr="00DF5ABD" w:rsidRDefault="001A70BA" w:rsidP="00B7207D">
            <w:pPr>
              <w:pStyle w:val="Tabletextnormal"/>
            </w:pPr>
            <w:r>
              <w:rPr>
                <w:rFonts w:cs="Calibri"/>
              </w:rPr>
              <w:t>Accessed o</w:t>
            </w:r>
            <w:r w:rsidRPr="00C212DE">
              <w:rPr>
                <w:rFonts w:cs="Calibri"/>
              </w:rPr>
              <w:t>nline 2018</w:t>
            </w:r>
          </w:p>
        </w:tc>
        <w:tc>
          <w:tcPr>
            <w:tcW w:w="1904" w:type="dxa"/>
          </w:tcPr>
          <w:p w14:paraId="0022E848" w14:textId="22E3CF05" w:rsidR="00A1335A" w:rsidRDefault="00A1335A" w:rsidP="00B7207D">
            <w:pPr>
              <w:pStyle w:val="Tabletextnormal"/>
            </w:pPr>
            <w:r w:rsidRPr="00DF5ABD">
              <w:t>www.sheffield.ac.uk/hr/guidance/change/toolkit/managingchange</w:t>
            </w:r>
          </w:p>
        </w:tc>
        <w:tc>
          <w:tcPr>
            <w:tcW w:w="4226" w:type="dxa"/>
          </w:tcPr>
          <w:p w14:paraId="2B93F2BE" w14:textId="6092556D" w:rsidR="00A1335A" w:rsidRPr="00DF5ABD" w:rsidRDefault="00A1335A" w:rsidP="00B7207D">
            <w:pPr>
              <w:pStyle w:val="Tabletextnormal"/>
            </w:pPr>
            <w:r w:rsidRPr="00DF5ABD">
              <w:t xml:space="preserve">Tips, guidance, flow charts and </w:t>
            </w:r>
            <w:r>
              <w:t xml:space="preserve">templates for change management, particularly in avoiding duplication in restructuring. Suggested tools that may be relevant to PHNs include </w:t>
            </w:r>
            <w:r w:rsidRPr="00DF5ABD">
              <w:t xml:space="preserve">organisation change management plan template, change wellbeing risk assessment template, more specific timeline and checklists for restructuring and </w:t>
            </w:r>
            <w:r>
              <w:t>duplication</w:t>
            </w:r>
            <w:r w:rsidRPr="00DF5ABD">
              <w:t xml:space="preserve"> which may be relevant to decommissio</w:t>
            </w:r>
            <w:r>
              <w:t>ning and organisational change</w:t>
            </w:r>
          </w:p>
        </w:tc>
        <w:tc>
          <w:tcPr>
            <w:tcW w:w="3117" w:type="dxa"/>
          </w:tcPr>
          <w:p w14:paraId="252394F0" w14:textId="0DD1E495" w:rsidR="00A1335A" w:rsidRPr="00E15FCA" w:rsidRDefault="00A1335A" w:rsidP="00B7207D">
            <w:pPr>
              <w:pStyle w:val="Tabletextnormal"/>
            </w:pPr>
            <w:r>
              <w:t>Restructuring of the PHN or decommissioning</w:t>
            </w:r>
          </w:p>
        </w:tc>
      </w:tr>
      <w:tr w:rsidR="00A1335A" w:rsidRPr="00DF5ABD" w14:paraId="1D306DEF" w14:textId="77777777" w:rsidTr="004106D7">
        <w:trPr>
          <w:trHeight w:val="1046"/>
        </w:trPr>
        <w:tc>
          <w:tcPr>
            <w:tcW w:w="1787" w:type="dxa"/>
          </w:tcPr>
          <w:p w14:paraId="277464A2" w14:textId="58C9984F" w:rsidR="00A1335A" w:rsidRPr="001A1EE3" w:rsidRDefault="00A1335A" w:rsidP="00B7207D">
            <w:pPr>
              <w:pStyle w:val="Tabletextnormal"/>
            </w:pPr>
            <w:r w:rsidRPr="001A1EE3">
              <w:t>Experience based co-design toolkit</w:t>
            </w:r>
          </w:p>
        </w:tc>
        <w:tc>
          <w:tcPr>
            <w:tcW w:w="1523" w:type="dxa"/>
          </w:tcPr>
          <w:p w14:paraId="2ED0C618" w14:textId="56A7CB01" w:rsidR="00A1335A" w:rsidRPr="000D4C8D" w:rsidRDefault="00A1335A" w:rsidP="00B7207D">
            <w:pPr>
              <w:pStyle w:val="Tabletextnormal"/>
            </w:pPr>
            <w:r>
              <w:t>Co-design and community engagement</w:t>
            </w:r>
          </w:p>
        </w:tc>
        <w:tc>
          <w:tcPr>
            <w:tcW w:w="1327" w:type="dxa"/>
          </w:tcPr>
          <w:p w14:paraId="37456D20" w14:textId="529E092C" w:rsidR="00A1335A" w:rsidRPr="000D4C8D" w:rsidRDefault="00A1335A" w:rsidP="00B7207D">
            <w:pPr>
              <w:pStyle w:val="Tabletextnormal"/>
            </w:pPr>
            <w:r w:rsidRPr="000D4C8D">
              <w:t>Australian Healthcare &amp; Hospitals Association</w:t>
            </w:r>
          </w:p>
        </w:tc>
        <w:tc>
          <w:tcPr>
            <w:tcW w:w="1142" w:type="dxa"/>
          </w:tcPr>
          <w:p w14:paraId="7D782908" w14:textId="13350B3A" w:rsidR="00A1335A" w:rsidRPr="000D4C8D" w:rsidRDefault="00A1335A" w:rsidP="00B7207D">
            <w:pPr>
              <w:pStyle w:val="Tabletextnormal"/>
            </w:pPr>
            <w:r w:rsidRPr="000D4C8D">
              <w:t>2017</w:t>
            </w:r>
          </w:p>
        </w:tc>
        <w:tc>
          <w:tcPr>
            <w:tcW w:w="1904" w:type="dxa"/>
          </w:tcPr>
          <w:p w14:paraId="05CB11E5" w14:textId="74FC6D0F" w:rsidR="00A1335A" w:rsidRPr="001A1EE3" w:rsidRDefault="00A1335A" w:rsidP="00B7207D">
            <w:pPr>
              <w:pStyle w:val="Tabletextnormal"/>
            </w:pPr>
            <w:r w:rsidRPr="001A1EE3">
              <w:t>ahha.asn.au/experience-based-co-design-toolkit</w:t>
            </w:r>
          </w:p>
        </w:tc>
        <w:tc>
          <w:tcPr>
            <w:tcW w:w="4226" w:type="dxa"/>
          </w:tcPr>
          <w:p w14:paraId="5A7A2694" w14:textId="7BA76FF2" w:rsidR="00A1335A" w:rsidRPr="000D4C8D" w:rsidRDefault="00A1335A" w:rsidP="00B7207D">
            <w:pPr>
              <w:pStyle w:val="Tabletextnormal"/>
            </w:pPr>
            <w:r>
              <w:t>Brings</w:t>
            </w:r>
            <w:r w:rsidRPr="001A1EE3">
              <w:t xml:space="preserve"> together existing </w:t>
            </w:r>
            <w:r>
              <w:t xml:space="preserve">co-design </w:t>
            </w:r>
            <w:r w:rsidRPr="001A1EE3">
              <w:t>r</w:t>
            </w:r>
            <w:r>
              <w:t xml:space="preserve">esources from the UK and NZ (particularly the two tools below) and contextualises them using </w:t>
            </w:r>
            <w:r w:rsidRPr="001A1EE3">
              <w:t>Australian case studies</w:t>
            </w:r>
          </w:p>
        </w:tc>
        <w:tc>
          <w:tcPr>
            <w:tcW w:w="3117" w:type="dxa"/>
          </w:tcPr>
          <w:p w14:paraId="1B26D1F0" w14:textId="3BDF99FC" w:rsidR="00A1335A" w:rsidRPr="000D4C8D" w:rsidRDefault="00A1335A" w:rsidP="00B7207D">
            <w:pPr>
              <w:pStyle w:val="Tabletextnormal"/>
            </w:pPr>
            <w:r>
              <w:t>For applying an experience</w:t>
            </w:r>
            <w:r w:rsidRPr="001A1EE3">
              <w:t xml:space="preserve"> based </w:t>
            </w:r>
            <w:r>
              <w:br/>
            </w:r>
            <w:r w:rsidRPr="001A1EE3">
              <w:t>co-de</w:t>
            </w:r>
            <w:r>
              <w:t>sign approach In the Australian context</w:t>
            </w:r>
          </w:p>
        </w:tc>
      </w:tr>
      <w:tr w:rsidR="00A1335A" w:rsidRPr="00DF5ABD" w14:paraId="3BEFDFF3" w14:textId="77777777" w:rsidTr="004106D7">
        <w:trPr>
          <w:trHeight w:val="1406"/>
        </w:trPr>
        <w:tc>
          <w:tcPr>
            <w:tcW w:w="1787" w:type="dxa"/>
          </w:tcPr>
          <w:p w14:paraId="6CA53569" w14:textId="2E62ACF7" w:rsidR="00A1335A" w:rsidRPr="001A1EE3" w:rsidRDefault="00A1335A" w:rsidP="00B7207D">
            <w:pPr>
              <w:pStyle w:val="Tabletextnormal"/>
            </w:pPr>
            <w:r w:rsidRPr="001A1EE3">
              <w:t>Practice guide to co-design</w:t>
            </w:r>
          </w:p>
        </w:tc>
        <w:tc>
          <w:tcPr>
            <w:tcW w:w="1523" w:type="dxa"/>
          </w:tcPr>
          <w:p w14:paraId="7AA91317" w14:textId="4087103B" w:rsidR="00A1335A" w:rsidRPr="000D4C8D" w:rsidRDefault="00A1335A" w:rsidP="00B7207D">
            <w:pPr>
              <w:pStyle w:val="Tabletextnormal"/>
            </w:pPr>
            <w:r>
              <w:t>Co-design and community engagement</w:t>
            </w:r>
          </w:p>
        </w:tc>
        <w:tc>
          <w:tcPr>
            <w:tcW w:w="1327" w:type="dxa"/>
          </w:tcPr>
          <w:p w14:paraId="18FF00CC" w14:textId="14CB1931" w:rsidR="00A1335A" w:rsidRPr="000D4C8D" w:rsidRDefault="00A1335A" w:rsidP="00B7207D">
            <w:pPr>
              <w:pStyle w:val="Tabletextnormal"/>
            </w:pPr>
            <w:r w:rsidRPr="000D4C8D">
              <w:t>Central and Eastern Sydney PHN</w:t>
            </w:r>
          </w:p>
        </w:tc>
        <w:tc>
          <w:tcPr>
            <w:tcW w:w="1142" w:type="dxa"/>
          </w:tcPr>
          <w:p w14:paraId="09CE4B22" w14:textId="7BB9A540" w:rsidR="00A1335A" w:rsidRPr="000D4C8D" w:rsidRDefault="00A1335A" w:rsidP="00B7207D">
            <w:pPr>
              <w:pStyle w:val="Tabletextnormal"/>
            </w:pPr>
            <w:r w:rsidRPr="000D4C8D">
              <w:t>2016</w:t>
            </w:r>
          </w:p>
        </w:tc>
        <w:tc>
          <w:tcPr>
            <w:tcW w:w="1904" w:type="dxa"/>
          </w:tcPr>
          <w:p w14:paraId="4A251398" w14:textId="79C3A1A2" w:rsidR="00A1335A" w:rsidRPr="001A1EE3" w:rsidRDefault="00B53695" w:rsidP="00B7207D">
            <w:pPr>
              <w:pStyle w:val="Tabletextnormal"/>
            </w:pPr>
            <w:r w:rsidRPr="00B53695">
              <w:t>https://www.cesphn.org.au/preview/our-region/1270-commissioning-mental-health-services-a-practical-guide-to-co-design-august-2016/file</w:t>
            </w:r>
          </w:p>
        </w:tc>
        <w:tc>
          <w:tcPr>
            <w:tcW w:w="4226" w:type="dxa"/>
          </w:tcPr>
          <w:p w14:paraId="0B6D898F" w14:textId="1B02FF4F" w:rsidR="00A1335A" w:rsidRDefault="00A1335A" w:rsidP="00B7207D">
            <w:pPr>
              <w:pStyle w:val="Tabletextnormal"/>
            </w:pPr>
            <w:r>
              <w:t>A detailed guide on how to carry</w:t>
            </w:r>
            <w:r w:rsidRPr="001A1EE3">
              <w:t xml:space="preserve"> out a co-design workshop for commissioning mental health services</w:t>
            </w:r>
          </w:p>
        </w:tc>
        <w:tc>
          <w:tcPr>
            <w:tcW w:w="3117" w:type="dxa"/>
          </w:tcPr>
          <w:p w14:paraId="0442F68A" w14:textId="5D0928E7" w:rsidR="00A1335A" w:rsidRDefault="00A1335A" w:rsidP="00B7207D">
            <w:pPr>
              <w:pStyle w:val="Tabletextnormal"/>
            </w:pPr>
            <w:r w:rsidRPr="000D4C8D">
              <w:t>Conducting a co-design workshop, particularly for commissioning of mental health services</w:t>
            </w:r>
          </w:p>
        </w:tc>
      </w:tr>
      <w:tr w:rsidR="00A1335A" w:rsidRPr="00DF5ABD" w14:paraId="017482F7" w14:textId="705ECDDC" w:rsidTr="004106D7">
        <w:trPr>
          <w:trHeight w:val="1173"/>
        </w:trPr>
        <w:tc>
          <w:tcPr>
            <w:tcW w:w="1787" w:type="dxa"/>
          </w:tcPr>
          <w:p w14:paraId="779F6FC2" w14:textId="4425595B" w:rsidR="00A1335A" w:rsidRDefault="00A1335A" w:rsidP="00B7207D">
            <w:pPr>
              <w:pStyle w:val="Tabletextnormal"/>
            </w:pPr>
            <w:r>
              <w:t>Co-Design Toolkit</w:t>
            </w:r>
          </w:p>
        </w:tc>
        <w:tc>
          <w:tcPr>
            <w:tcW w:w="1523" w:type="dxa"/>
          </w:tcPr>
          <w:p w14:paraId="2E5325C5" w14:textId="188674B0" w:rsidR="00A1335A" w:rsidRDefault="00A1335A" w:rsidP="00B7207D">
            <w:pPr>
              <w:pStyle w:val="Tabletextnormal"/>
            </w:pPr>
            <w:r>
              <w:t>Co-design and community engagement</w:t>
            </w:r>
          </w:p>
        </w:tc>
        <w:tc>
          <w:tcPr>
            <w:tcW w:w="1327" w:type="dxa"/>
          </w:tcPr>
          <w:p w14:paraId="3A8F4D41" w14:textId="56FE54B0" w:rsidR="00A1335A" w:rsidRDefault="00A1335A" w:rsidP="00B7207D">
            <w:pPr>
              <w:pStyle w:val="Tabletextnormal"/>
            </w:pPr>
            <w:r>
              <w:t>WA Council of Social Service</w:t>
            </w:r>
          </w:p>
        </w:tc>
        <w:tc>
          <w:tcPr>
            <w:tcW w:w="1142" w:type="dxa"/>
          </w:tcPr>
          <w:p w14:paraId="2693801F" w14:textId="5B1C0ECC" w:rsidR="00A1335A" w:rsidRDefault="00A1335A" w:rsidP="00B7207D">
            <w:pPr>
              <w:pStyle w:val="Tabletextnormal"/>
            </w:pPr>
            <w:r>
              <w:t>2017</w:t>
            </w:r>
          </w:p>
        </w:tc>
        <w:tc>
          <w:tcPr>
            <w:tcW w:w="1904" w:type="dxa"/>
          </w:tcPr>
          <w:p w14:paraId="03A6E002" w14:textId="17158342" w:rsidR="00A1335A" w:rsidRPr="00DF5ABD" w:rsidRDefault="00A1335A" w:rsidP="00B7207D">
            <w:pPr>
              <w:pStyle w:val="Tabletextnormal"/>
            </w:pPr>
            <w:r w:rsidRPr="00EA1875">
              <w:t>wacoss.org.au/library/</w:t>
            </w:r>
            <w:proofErr w:type="spellStart"/>
            <w:r w:rsidRPr="00EA1875">
              <w:t>wacoss</w:t>
            </w:r>
            <w:proofErr w:type="spellEnd"/>
            <w:r w:rsidRPr="00EA1875">
              <w:t>-co-design-toolkit/</w:t>
            </w:r>
          </w:p>
        </w:tc>
        <w:tc>
          <w:tcPr>
            <w:tcW w:w="4226" w:type="dxa"/>
          </w:tcPr>
          <w:p w14:paraId="33EC6FCA" w14:textId="1F807E92" w:rsidR="00A1335A" w:rsidRPr="00DF5ABD" w:rsidRDefault="00A1335A" w:rsidP="00B7207D">
            <w:pPr>
              <w:pStyle w:val="Tabletextnormal"/>
            </w:pPr>
            <w:r>
              <w:t>Contains a range of practical tools for effectively engaging funders, community service organisations and the users of community services in the co-design of programs and services</w:t>
            </w:r>
          </w:p>
        </w:tc>
        <w:tc>
          <w:tcPr>
            <w:tcW w:w="3117" w:type="dxa"/>
          </w:tcPr>
          <w:p w14:paraId="108961AA" w14:textId="1F845D5D" w:rsidR="00A1335A" w:rsidRDefault="00A1335A" w:rsidP="00B7207D">
            <w:pPr>
              <w:pStyle w:val="Tabletextnormal"/>
            </w:pPr>
            <w:r>
              <w:t>When engaging funders, community service organisations and the users of community services in the co-design process</w:t>
            </w:r>
          </w:p>
        </w:tc>
      </w:tr>
      <w:tr w:rsidR="00A1335A" w:rsidRPr="00DF5ABD" w14:paraId="77D9BC86" w14:textId="791A61D5" w:rsidTr="004106D7">
        <w:trPr>
          <w:trHeight w:val="210"/>
        </w:trPr>
        <w:tc>
          <w:tcPr>
            <w:tcW w:w="1787" w:type="dxa"/>
          </w:tcPr>
          <w:p w14:paraId="6DE45109" w14:textId="7292428E" w:rsidR="00A1335A" w:rsidRDefault="00A1335A" w:rsidP="00B7207D">
            <w:pPr>
              <w:pStyle w:val="Tabletextnormal"/>
            </w:pPr>
            <w:r w:rsidRPr="001A1EE3">
              <w:t>Cultural safety evaluation tool</w:t>
            </w:r>
          </w:p>
        </w:tc>
        <w:tc>
          <w:tcPr>
            <w:tcW w:w="1523" w:type="dxa"/>
          </w:tcPr>
          <w:p w14:paraId="1C76C285" w14:textId="793741D3" w:rsidR="00A1335A" w:rsidRPr="000D4C8D" w:rsidRDefault="00A1335A" w:rsidP="00B7207D">
            <w:pPr>
              <w:pStyle w:val="Tabletextnormal"/>
            </w:pPr>
            <w:r>
              <w:t>Co-design and community engagement</w:t>
            </w:r>
          </w:p>
        </w:tc>
        <w:tc>
          <w:tcPr>
            <w:tcW w:w="1327" w:type="dxa"/>
          </w:tcPr>
          <w:p w14:paraId="6B05C353" w14:textId="4EF6FCF9" w:rsidR="00A1335A" w:rsidRDefault="00A1335A" w:rsidP="00B7207D">
            <w:pPr>
              <w:pStyle w:val="Tabletextnormal"/>
            </w:pPr>
            <w:r w:rsidRPr="000D4C8D">
              <w:t>Western Health Alliance Limited</w:t>
            </w:r>
            <w:r>
              <w:t xml:space="preserve"> (AUS)</w:t>
            </w:r>
          </w:p>
        </w:tc>
        <w:tc>
          <w:tcPr>
            <w:tcW w:w="1142" w:type="dxa"/>
          </w:tcPr>
          <w:p w14:paraId="57232722" w14:textId="3BAA2944" w:rsidR="00A1335A" w:rsidRDefault="00A1335A" w:rsidP="00B7207D">
            <w:pPr>
              <w:pStyle w:val="Tabletextnormal"/>
            </w:pPr>
            <w:r w:rsidRPr="000D4C8D">
              <w:t>2017</w:t>
            </w:r>
          </w:p>
        </w:tc>
        <w:tc>
          <w:tcPr>
            <w:tcW w:w="1904" w:type="dxa"/>
          </w:tcPr>
          <w:p w14:paraId="7AA1376A" w14:textId="09FDF53E" w:rsidR="00A1335A" w:rsidRPr="00DF5ABD" w:rsidRDefault="00A1335A" w:rsidP="00B7207D">
            <w:pPr>
              <w:pStyle w:val="Tabletextnormal"/>
            </w:pPr>
            <w:r w:rsidRPr="001A1EE3">
              <w:t>www.wnswphn.org.au/uploads/documents/corporate%20documents/WHAL%20Cultural%20Safety%20Framework_Part2_User%20Guide.pdf</w:t>
            </w:r>
          </w:p>
        </w:tc>
        <w:tc>
          <w:tcPr>
            <w:tcW w:w="4226" w:type="dxa"/>
          </w:tcPr>
          <w:p w14:paraId="15D7C536" w14:textId="6EB5EF56" w:rsidR="00A1335A" w:rsidRPr="00DF5ABD" w:rsidRDefault="00A1335A" w:rsidP="00B7207D">
            <w:pPr>
              <w:pStyle w:val="Tabletextnormal"/>
            </w:pPr>
            <w:r w:rsidRPr="000D4C8D">
              <w:t>Guidance for primary health care organisations to assess leve</w:t>
            </w:r>
            <w:r>
              <w:t>ls of cultural safety</w:t>
            </w:r>
          </w:p>
        </w:tc>
        <w:tc>
          <w:tcPr>
            <w:tcW w:w="3117" w:type="dxa"/>
          </w:tcPr>
          <w:p w14:paraId="11B56B15" w14:textId="617E8D13" w:rsidR="00A1335A" w:rsidRDefault="00A1335A" w:rsidP="00B7207D">
            <w:pPr>
              <w:pStyle w:val="Tabletextnormal"/>
            </w:pPr>
            <w:r w:rsidRPr="000D4C8D">
              <w:t>To assess the cultural capability of tenderers for the provision of primary health care and related services</w:t>
            </w:r>
          </w:p>
        </w:tc>
      </w:tr>
      <w:tr w:rsidR="00A1335A" w:rsidRPr="00DF5ABD" w14:paraId="53A7BA1A" w14:textId="141F964A" w:rsidTr="004106D7">
        <w:trPr>
          <w:trHeight w:val="1325"/>
        </w:trPr>
        <w:tc>
          <w:tcPr>
            <w:tcW w:w="1787" w:type="dxa"/>
          </w:tcPr>
          <w:p w14:paraId="5457E5BC" w14:textId="4E816CB5" w:rsidR="00A1335A" w:rsidRDefault="00A1335A" w:rsidP="00B7207D">
            <w:pPr>
              <w:pStyle w:val="Tabletextnormal"/>
            </w:pPr>
            <w:r w:rsidRPr="00B034A9">
              <w:lastRenderedPageBreak/>
              <w:t>Working with Aboriginal people and communities</w:t>
            </w:r>
          </w:p>
        </w:tc>
        <w:tc>
          <w:tcPr>
            <w:tcW w:w="1523" w:type="dxa"/>
          </w:tcPr>
          <w:p w14:paraId="16C23A1D" w14:textId="57E53D34" w:rsidR="00A1335A" w:rsidRPr="000D4C8D" w:rsidRDefault="00A1335A" w:rsidP="00B7207D">
            <w:pPr>
              <w:pStyle w:val="Tabletextnormal"/>
            </w:pPr>
            <w:r>
              <w:t>Co-design and community engagement</w:t>
            </w:r>
          </w:p>
        </w:tc>
        <w:tc>
          <w:tcPr>
            <w:tcW w:w="1327" w:type="dxa"/>
          </w:tcPr>
          <w:p w14:paraId="4B153A95" w14:textId="14054BEB" w:rsidR="00A1335A" w:rsidRDefault="00A1335A" w:rsidP="00B7207D">
            <w:pPr>
              <w:pStyle w:val="Tabletextnormal"/>
            </w:pPr>
            <w:r w:rsidRPr="000D4C8D">
              <w:t>NSW Department of Community Services</w:t>
            </w:r>
          </w:p>
        </w:tc>
        <w:tc>
          <w:tcPr>
            <w:tcW w:w="1142" w:type="dxa"/>
          </w:tcPr>
          <w:p w14:paraId="08754571" w14:textId="41302069" w:rsidR="00A1335A" w:rsidRDefault="00A1335A" w:rsidP="00B7207D">
            <w:pPr>
              <w:pStyle w:val="Tabletextnormal"/>
            </w:pPr>
            <w:r w:rsidRPr="000D4C8D">
              <w:t>2009</w:t>
            </w:r>
          </w:p>
        </w:tc>
        <w:tc>
          <w:tcPr>
            <w:tcW w:w="1904" w:type="dxa"/>
          </w:tcPr>
          <w:p w14:paraId="15F5B554" w14:textId="771E7C76" w:rsidR="00A1335A" w:rsidRPr="00DF5ABD" w:rsidRDefault="00A1335A" w:rsidP="00B7207D">
            <w:pPr>
              <w:pStyle w:val="Tabletextnormal"/>
            </w:pPr>
            <w:r w:rsidRPr="00B034A9">
              <w:t>www.community.nsw.gov.au/__data/assets/pdf_file/0017/321308/working_with_aboriginal.pdf</w:t>
            </w:r>
          </w:p>
        </w:tc>
        <w:tc>
          <w:tcPr>
            <w:tcW w:w="4226" w:type="dxa"/>
          </w:tcPr>
          <w:p w14:paraId="0E3A109D" w14:textId="4D897DF7" w:rsidR="00A1335A" w:rsidRPr="00DF5ABD" w:rsidRDefault="00A1335A" w:rsidP="00B7207D">
            <w:pPr>
              <w:pStyle w:val="Tabletextnormal"/>
            </w:pPr>
            <w:r w:rsidRPr="00B034A9">
              <w:t xml:space="preserve">A practice </w:t>
            </w:r>
            <w:r>
              <w:t xml:space="preserve">guide to engaging and </w:t>
            </w:r>
            <w:r w:rsidRPr="00B034A9">
              <w:t xml:space="preserve">working with Aboriginal </w:t>
            </w:r>
            <w:r>
              <w:t xml:space="preserve">and Torres Strait Islander </w:t>
            </w:r>
            <w:r w:rsidRPr="00B034A9">
              <w:t>people and communities</w:t>
            </w:r>
            <w:r>
              <w:t xml:space="preserve"> in a culturally aware and responsive manner</w:t>
            </w:r>
          </w:p>
        </w:tc>
        <w:tc>
          <w:tcPr>
            <w:tcW w:w="3117" w:type="dxa"/>
          </w:tcPr>
          <w:p w14:paraId="649C1A3E" w14:textId="346BBC23" w:rsidR="00A1335A" w:rsidRDefault="00A1335A" w:rsidP="00B7207D">
            <w:pPr>
              <w:pStyle w:val="Tabletextnormal"/>
            </w:pPr>
            <w:r>
              <w:t>W</w:t>
            </w:r>
            <w:r w:rsidRPr="000D4C8D">
              <w:t>hen engaging with Aboriginal</w:t>
            </w:r>
            <w:r>
              <w:t xml:space="preserve"> and Torres Strait Islander</w:t>
            </w:r>
            <w:r w:rsidRPr="000D4C8D">
              <w:t xml:space="preserve"> people and communities</w:t>
            </w:r>
          </w:p>
        </w:tc>
      </w:tr>
      <w:tr w:rsidR="00A1335A" w:rsidRPr="00DF5ABD" w14:paraId="1EE92D15" w14:textId="034E62B6" w:rsidTr="004106D7">
        <w:trPr>
          <w:trHeight w:val="1259"/>
        </w:trPr>
        <w:tc>
          <w:tcPr>
            <w:tcW w:w="1787" w:type="dxa"/>
          </w:tcPr>
          <w:p w14:paraId="346835D0" w14:textId="56343CC9" w:rsidR="00A1335A" w:rsidRDefault="00A1335A" w:rsidP="00B7207D">
            <w:pPr>
              <w:pStyle w:val="Tabletextnormal"/>
            </w:pPr>
            <w:r>
              <w:t>Public Participation Spectrum</w:t>
            </w:r>
          </w:p>
        </w:tc>
        <w:tc>
          <w:tcPr>
            <w:tcW w:w="1523" w:type="dxa"/>
          </w:tcPr>
          <w:p w14:paraId="02803D72" w14:textId="1069CFFB" w:rsidR="00A1335A" w:rsidRDefault="00A1335A" w:rsidP="00B7207D">
            <w:pPr>
              <w:pStyle w:val="Tabletextnormal"/>
            </w:pPr>
            <w:r>
              <w:t>Co-design and community engagement</w:t>
            </w:r>
          </w:p>
        </w:tc>
        <w:tc>
          <w:tcPr>
            <w:tcW w:w="1327" w:type="dxa"/>
          </w:tcPr>
          <w:p w14:paraId="1CE52D01" w14:textId="2F596A2D" w:rsidR="00A1335A" w:rsidRDefault="00A1335A" w:rsidP="00B7207D">
            <w:pPr>
              <w:pStyle w:val="Tabletextnormal"/>
            </w:pPr>
            <w:r>
              <w:t>International Association for Public Participation Australasia</w:t>
            </w:r>
          </w:p>
        </w:tc>
        <w:tc>
          <w:tcPr>
            <w:tcW w:w="1142" w:type="dxa"/>
          </w:tcPr>
          <w:p w14:paraId="1EFC3AEF" w14:textId="6E583681" w:rsidR="00A1335A" w:rsidRDefault="00A1335A" w:rsidP="00B7207D">
            <w:pPr>
              <w:pStyle w:val="Tabletextnormal"/>
            </w:pPr>
            <w:r>
              <w:t>2014</w:t>
            </w:r>
          </w:p>
        </w:tc>
        <w:tc>
          <w:tcPr>
            <w:tcW w:w="1904" w:type="dxa"/>
          </w:tcPr>
          <w:p w14:paraId="4D6DA5CF" w14:textId="6799C1A7" w:rsidR="00A1335A" w:rsidRPr="00DF5ABD" w:rsidRDefault="00A1335A" w:rsidP="00B7207D">
            <w:pPr>
              <w:pStyle w:val="Tabletextnormal"/>
            </w:pPr>
            <w:r w:rsidRPr="00B034A9">
              <w:t>www.iap2.org.au/Tenant/C0000004/00000001/files/IAP2_Public_Participation_Spectrum.pdf</w:t>
            </w:r>
          </w:p>
        </w:tc>
        <w:tc>
          <w:tcPr>
            <w:tcW w:w="4226" w:type="dxa"/>
          </w:tcPr>
          <w:p w14:paraId="027EDEE1" w14:textId="7453CBF3" w:rsidR="00A1335A" w:rsidRPr="00DF5ABD" w:rsidRDefault="00A1335A" w:rsidP="00B7207D">
            <w:pPr>
              <w:pStyle w:val="Tabletextnormal"/>
            </w:pPr>
            <w:r>
              <w:t>This tool helps define the community’s role in public participation processes in a similar format to a RACI (Responsible, Accountable, Consulted, and Informed)</w:t>
            </w:r>
          </w:p>
        </w:tc>
        <w:tc>
          <w:tcPr>
            <w:tcW w:w="3117" w:type="dxa"/>
          </w:tcPr>
          <w:p w14:paraId="583907B2" w14:textId="0C08958F" w:rsidR="00A1335A" w:rsidRDefault="00A1335A" w:rsidP="00B7207D">
            <w:pPr>
              <w:pStyle w:val="Tabletextnormal"/>
            </w:pPr>
            <w:r>
              <w:t>When including the community in the commissioning process</w:t>
            </w:r>
          </w:p>
        </w:tc>
      </w:tr>
      <w:tr w:rsidR="00A1335A" w:rsidRPr="00DF5ABD" w14:paraId="4FE956CF" w14:textId="3D20C345" w:rsidTr="004106D7">
        <w:trPr>
          <w:trHeight w:val="1406"/>
        </w:trPr>
        <w:tc>
          <w:tcPr>
            <w:tcW w:w="1787" w:type="dxa"/>
          </w:tcPr>
          <w:p w14:paraId="58D1A62D" w14:textId="5F338EB8" w:rsidR="00A1335A" w:rsidRDefault="00A1335A" w:rsidP="00B7207D">
            <w:pPr>
              <w:pStyle w:val="Tabletextnormal"/>
            </w:pPr>
            <w:r w:rsidRPr="001A1EE3">
              <w:t>Health service co-design</w:t>
            </w:r>
          </w:p>
        </w:tc>
        <w:tc>
          <w:tcPr>
            <w:tcW w:w="1523" w:type="dxa"/>
          </w:tcPr>
          <w:p w14:paraId="06F96E8D" w14:textId="465C8CBA" w:rsidR="00A1335A" w:rsidRPr="000D4C8D" w:rsidRDefault="00A1335A" w:rsidP="00B7207D">
            <w:pPr>
              <w:pStyle w:val="Tabletextnormal"/>
            </w:pPr>
            <w:r>
              <w:t>Co-design and community engagement</w:t>
            </w:r>
          </w:p>
        </w:tc>
        <w:tc>
          <w:tcPr>
            <w:tcW w:w="1327" w:type="dxa"/>
          </w:tcPr>
          <w:p w14:paraId="7DE0E941" w14:textId="1DE29003" w:rsidR="00A1335A" w:rsidRDefault="00A1335A" w:rsidP="00B7207D">
            <w:pPr>
              <w:pStyle w:val="Tabletextnormal"/>
            </w:pPr>
            <w:proofErr w:type="spellStart"/>
            <w:r w:rsidRPr="000D4C8D">
              <w:t>Waitemata</w:t>
            </w:r>
            <w:proofErr w:type="spellEnd"/>
            <w:r w:rsidRPr="000D4C8D">
              <w:t xml:space="preserve"> District Health Board</w:t>
            </w:r>
            <w:r>
              <w:t xml:space="preserve"> (NZ)</w:t>
            </w:r>
          </w:p>
        </w:tc>
        <w:tc>
          <w:tcPr>
            <w:tcW w:w="1142" w:type="dxa"/>
          </w:tcPr>
          <w:p w14:paraId="38616BCF" w14:textId="4FE2E10B" w:rsidR="00A1335A" w:rsidRDefault="00A1335A" w:rsidP="00B7207D">
            <w:pPr>
              <w:pStyle w:val="Tabletextnormal"/>
            </w:pPr>
            <w:r w:rsidRPr="000D4C8D">
              <w:t>2010</w:t>
            </w:r>
          </w:p>
        </w:tc>
        <w:tc>
          <w:tcPr>
            <w:tcW w:w="1904" w:type="dxa"/>
          </w:tcPr>
          <w:p w14:paraId="0C71AE28" w14:textId="73801D11" w:rsidR="00A1335A" w:rsidRPr="00DF5ABD" w:rsidRDefault="00A1335A" w:rsidP="00B7207D">
            <w:pPr>
              <w:pStyle w:val="Tabletextnormal"/>
            </w:pPr>
            <w:r w:rsidRPr="001A1EE3">
              <w:t>www.healthcodesign.org.nz/index.html</w:t>
            </w:r>
          </w:p>
        </w:tc>
        <w:tc>
          <w:tcPr>
            <w:tcW w:w="4226" w:type="dxa"/>
          </w:tcPr>
          <w:p w14:paraId="0032F2BA" w14:textId="696AC2F6" w:rsidR="00A1335A" w:rsidRPr="00DF5ABD" w:rsidRDefault="00A1335A" w:rsidP="00B7207D">
            <w:pPr>
              <w:pStyle w:val="Tabletextnormal"/>
            </w:pPr>
            <w:r w:rsidRPr="001A1EE3">
              <w:t>Interactive step by step guide</w:t>
            </w:r>
            <w:r>
              <w:t xml:space="preserve"> and tips for effective</w:t>
            </w:r>
            <w:r w:rsidRPr="001A1EE3">
              <w:t xml:space="preserve"> co-design</w:t>
            </w:r>
            <w:r>
              <w:t xml:space="preserve">. It includes a range of flexible tools, </w:t>
            </w:r>
            <w:r w:rsidRPr="001A1EE3">
              <w:t xml:space="preserve">such as templates for running workshops, patient outcomes statement, patient mapping, </w:t>
            </w:r>
            <w:r>
              <w:t>experience based survey,</w:t>
            </w:r>
            <w:r w:rsidRPr="001A1EE3">
              <w:t xml:space="preserve"> pro</w:t>
            </w:r>
            <w:r>
              <w:t>to</w:t>
            </w:r>
            <w:r w:rsidRPr="001A1EE3">
              <w:t>type selection, service blueprint</w:t>
            </w:r>
            <w:r>
              <w:t xml:space="preserve"> and story guide for interviews</w:t>
            </w:r>
          </w:p>
        </w:tc>
        <w:tc>
          <w:tcPr>
            <w:tcW w:w="3117" w:type="dxa"/>
          </w:tcPr>
          <w:p w14:paraId="3D9673E8" w14:textId="342358B5" w:rsidR="00A1335A" w:rsidRDefault="00A1335A" w:rsidP="00B7207D">
            <w:pPr>
              <w:pStyle w:val="Tabletextnormal"/>
            </w:pPr>
            <w:r w:rsidRPr="000D4C8D">
              <w:t>Implementing an effective co-design approach when working with pa</w:t>
            </w:r>
            <w:r>
              <w:t>tients in service improvements</w:t>
            </w:r>
          </w:p>
        </w:tc>
      </w:tr>
      <w:tr w:rsidR="00A1335A" w:rsidRPr="00DF5ABD" w14:paraId="44E5BA25" w14:textId="77777777" w:rsidTr="004106D7">
        <w:trPr>
          <w:trHeight w:val="1213"/>
        </w:trPr>
        <w:tc>
          <w:tcPr>
            <w:tcW w:w="1787" w:type="dxa"/>
          </w:tcPr>
          <w:p w14:paraId="5886CF45" w14:textId="16C14456" w:rsidR="00A1335A" w:rsidRDefault="00A1335A" w:rsidP="00B7207D">
            <w:pPr>
              <w:pStyle w:val="Tabletextnormal"/>
            </w:pPr>
            <w:r w:rsidRPr="001A1EE3">
              <w:t>Experience based co-design toolkit</w:t>
            </w:r>
          </w:p>
        </w:tc>
        <w:tc>
          <w:tcPr>
            <w:tcW w:w="1523" w:type="dxa"/>
          </w:tcPr>
          <w:p w14:paraId="2CAEF976" w14:textId="678F8C6A" w:rsidR="00A1335A" w:rsidRPr="000D4C8D" w:rsidRDefault="00A1335A" w:rsidP="00B7207D">
            <w:pPr>
              <w:pStyle w:val="Tabletextnormal"/>
            </w:pPr>
            <w:r>
              <w:t>Co-design and community engagement</w:t>
            </w:r>
          </w:p>
        </w:tc>
        <w:tc>
          <w:tcPr>
            <w:tcW w:w="1327" w:type="dxa"/>
          </w:tcPr>
          <w:p w14:paraId="46CA6BD9" w14:textId="0FA9145E" w:rsidR="00A1335A" w:rsidRPr="000D4C8D" w:rsidRDefault="00A1335A" w:rsidP="00B7207D">
            <w:pPr>
              <w:pStyle w:val="Tabletextnormal"/>
            </w:pPr>
            <w:r w:rsidRPr="000D4C8D">
              <w:t>Point of Care Foundation</w:t>
            </w:r>
            <w:r>
              <w:t xml:space="preserve"> (UK)</w:t>
            </w:r>
          </w:p>
        </w:tc>
        <w:tc>
          <w:tcPr>
            <w:tcW w:w="1142" w:type="dxa"/>
          </w:tcPr>
          <w:p w14:paraId="5E983F3E" w14:textId="290E34E2" w:rsidR="00A1335A" w:rsidRDefault="001A70BA" w:rsidP="00B7207D">
            <w:pPr>
              <w:pStyle w:val="Tabletextnormal"/>
            </w:pPr>
            <w:r>
              <w:rPr>
                <w:rFonts w:cs="Calibri"/>
              </w:rPr>
              <w:t>Accessed o</w:t>
            </w:r>
            <w:r w:rsidRPr="00C212DE">
              <w:rPr>
                <w:rFonts w:cs="Calibri"/>
              </w:rPr>
              <w:t>nline 2018</w:t>
            </w:r>
          </w:p>
        </w:tc>
        <w:tc>
          <w:tcPr>
            <w:tcW w:w="1904" w:type="dxa"/>
          </w:tcPr>
          <w:p w14:paraId="11BF1E72" w14:textId="3DD82433" w:rsidR="00A1335A" w:rsidRPr="00B646FB" w:rsidRDefault="00A1335A" w:rsidP="00B7207D">
            <w:pPr>
              <w:pStyle w:val="Tabletextnormal"/>
            </w:pPr>
            <w:r w:rsidRPr="001A1EE3">
              <w:t>www.pointofcarefoundation.org.uk/resource/experience-based-co-design-ebcd-toolkit/</w:t>
            </w:r>
          </w:p>
        </w:tc>
        <w:tc>
          <w:tcPr>
            <w:tcW w:w="4226" w:type="dxa"/>
          </w:tcPr>
          <w:p w14:paraId="6BFFA49F" w14:textId="27F199C9" w:rsidR="00A1335A" w:rsidRPr="000D4C8D" w:rsidRDefault="00A1335A" w:rsidP="00B7207D">
            <w:pPr>
              <w:pStyle w:val="Tabletextnormal"/>
            </w:pPr>
            <w:r w:rsidRPr="001A1EE3">
              <w:t>Step by step guide to carrying out experience based co-design, including short videos from staff and patients involved</w:t>
            </w:r>
          </w:p>
        </w:tc>
        <w:tc>
          <w:tcPr>
            <w:tcW w:w="3117" w:type="dxa"/>
          </w:tcPr>
          <w:p w14:paraId="495B6438" w14:textId="4DC40DE8" w:rsidR="00A1335A" w:rsidRDefault="00A1335A" w:rsidP="00B7207D">
            <w:pPr>
              <w:pStyle w:val="Tabletextnormal"/>
            </w:pPr>
            <w:r w:rsidRPr="000D4C8D">
              <w:t xml:space="preserve">For applying an experienced based </w:t>
            </w:r>
            <w:r>
              <w:br/>
            </w:r>
            <w:r w:rsidRPr="000D4C8D">
              <w:t>co-design approach</w:t>
            </w:r>
          </w:p>
        </w:tc>
      </w:tr>
      <w:tr w:rsidR="00A1335A" w:rsidRPr="00DF5ABD" w14:paraId="376FF60B" w14:textId="77777777" w:rsidTr="004106D7">
        <w:trPr>
          <w:trHeight w:val="1406"/>
        </w:trPr>
        <w:tc>
          <w:tcPr>
            <w:tcW w:w="1787" w:type="dxa"/>
          </w:tcPr>
          <w:p w14:paraId="07DBA895" w14:textId="7DC4B7B9" w:rsidR="00A1335A" w:rsidRPr="001A1EE3" w:rsidRDefault="00A1335A" w:rsidP="00B7207D">
            <w:pPr>
              <w:pStyle w:val="Tabletextnormal"/>
            </w:pPr>
            <w:r>
              <w:t>Patient and Public Engagement Toolkit</w:t>
            </w:r>
          </w:p>
        </w:tc>
        <w:tc>
          <w:tcPr>
            <w:tcW w:w="1523" w:type="dxa"/>
          </w:tcPr>
          <w:p w14:paraId="040B23F1" w14:textId="090ABE57" w:rsidR="00A1335A" w:rsidRPr="000D4C8D" w:rsidRDefault="00A1335A" w:rsidP="00B7207D">
            <w:pPr>
              <w:pStyle w:val="Tabletextnormal"/>
            </w:pPr>
            <w:r>
              <w:t>Co-design and community engagement</w:t>
            </w:r>
          </w:p>
        </w:tc>
        <w:tc>
          <w:tcPr>
            <w:tcW w:w="1327" w:type="dxa"/>
          </w:tcPr>
          <w:p w14:paraId="10DF0B90" w14:textId="77A816E6" w:rsidR="00A1335A" w:rsidRPr="000D4C8D" w:rsidRDefault="00A1335A" w:rsidP="00B7207D">
            <w:pPr>
              <w:pStyle w:val="Tabletextnormal"/>
            </w:pPr>
            <w:r w:rsidRPr="000D4C8D">
              <w:t>South Central WCC Collaborative PPI Programme</w:t>
            </w:r>
            <w:r>
              <w:t xml:space="preserve"> (UK)</w:t>
            </w:r>
          </w:p>
        </w:tc>
        <w:tc>
          <w:tcPr>
            <w:tcW w:w="1142" w:type="dxa"/>
          </w:tcPr>
          <w:p w14:paraId="57CB45F7" w14:textId="09034547" w:rsidR="00A1335A" w:rsidRPr="000D4C8D" w:rsidRDefault="00A1335A" w:rsidP="00B7207D">
            <w:pPr>
              <w:pStyle w:val="Tabletextnormal"/>
            </w:pPr>
            <w:r>
              <w:t>2013</w:t>
            </w:r>
          </w:p>
        </w:tc>
        <w:tc>
          <w:tcPr>
            <w:tcW w:w="1904" w:type="dxa"/>
          </w:tcPr>
          <w:p w14:paraId="2C47E67B" w14:textId="5D8557C8" w:rsidR="00A1335A" w:rsidRPr="001A1EE3" w:rsidRDefault="00A1335A" w:rsidP="00B7207D">
            <w:pPr>
              <w:pStyle w:val="Tabletextnormal"/>
            </w:pPr>
            <w:r w:rsidRPr="00B646FB">
              <w:t>localdemocracyandhealth.files.wordpress.com/2013/09/ppe-toolit-south-central.pdf</w:t>
            </w:r>
          </w:p>
        </w:tc>
        <w:tc>
          <w:tcPr>
            <w:tcW w:w="4226" w:type="dxa"/>
          </w:tcPr>
          <w:p w14:paraId="5D61B6AD" w14:textId="669F7402" w:rsidR="00A1335A" w:rsidRPr="001A1EE3" w:rsidRDefault="00A1335A" w:rsidP="00B7207D">
            <w:pPr>
              <w:pStyle w:val="Tabletextnormal"/>
            </w:pPr>
            <w:r w:rsidRPr="000D4C8D">
              <w:t xml:space="preserve">Practical guidance to enable PHNs </w:t>
            </w:r>
            <w:r>
              <w:t>to engage patients and public</w:t>
            </w:r>
            <w:r w:rsidRPr="000D4C8D">
              <w:t xml:space="preserve"> in how services are </w:t>
            </w:r>
            <w:proofErr w:type="gramStart"/>
            <w:r w:rsidRPr="000D4C8D">
              <w:t>planned,</w:t>
            </w:r>
            <w:proofErr w:type="gramEnd"/>
            <w:r w:rsidRPr="000D4C8D">
              <w:t xml:space="preserve"> developed and delivered. It provides a more pro-active, developmental approach to engaging people, including establishing long-term mechanisms for engagements and high</w:t>
            </w:r>
            <w:r>
              <w:t>lights examples of good practice</w:t>
            </w:r>
          </w:p>
        </w:tc>
        <w:tc>
          <w:tcPr>
            <w:tcW w:w="3117" w:type="dxa"/>
          </w:tcPr>
          <w:p w14:paraId="08A9FB52" w14:textId="21865C1B" w:rsidR="00A1335A" w:rsidRPr="000D4C8D" w:rsidRDefault="00A1335A" w:rsidP="00B7207D">
            <w:pPr>
              <w:pStyle w:val="Tabletextnormal"/>
            </w:pPr>
            <w:r>
              <w:t>Engaging with patients and the public as part of commissioning, particularly ‘hard to reach’ groups</w:t>
            </w:r>
          </w:p>
        </w:tc>
      </w:tr>
      <w:tr w:rsidR="00A1335A" w:rsidRPr="00DF5ABD" w14:paraId="1F376D96" w14:textId="77777777" w:rsidTr="004106D7">
        <w:trPr>
          <w:trHeight w:val="1202"/>
        </w:trPr>
        <w:tc>
          <w:tcPr>
            <w:tcW w:w="1787" w:type="dxa"/>
          </w:tcPr>
          <w:p w14:paraId="1B2A4A4E" w14:textId="51A9D26E" w:rsidR="00A1335A" w:rsidRDefault="00A1335A" w:rsidP="00B7207D">
            <w:pPr>
              <w:pStyle w:val="Tabletextnormal"/>
            </w:pPr>
            <w:r>
              <w:t>Planning in a Commissioning Environment</w:t>
            </w:r>
          </w:p>
        </w:tc>
        <w:tc>
          <w:tcPr>
            <w:tcW w:w="1523" w:type="dxa"/>
          </w:tcPr>
          <w:p w14:paraId="401A070C" w14:textId="7C34BE6F" w:rsidR="00A1335A" w:rsidRDefault="00A1335A" w:rsidP="00B7207D">
            <w:pPr>
              <w:pStyle w:val="Tabletextnormal"/>
            </w:pPr>
            <w:r>
              <w:t>Applying a population health approach</w:t>
            </w:r>
          </w:p>
        </w:tc>
        <w:tc>
          <w:tcPr>
            <w:tcW w:w="1327" w:type="dxa"/>
          </w:tcPr>
          <w:p w14:paraId="40714D01" w14:textId="7C71A369" w:rsidR="00A1335A" w:rsidRDefault="00A1335A" w:rsidP="00B7207D">
            <w:pPr>
              <w:pStyle w:val="Tabletextnormal"/>
            </w:pPr>
            <w:r>
              <w:t>Australian Government Department of Health</w:t>
            </w:r>
          </w:p>
        </w:tc>
        <w:tc>
          <w:tcPr>
            <w:tcW w:w="1142" w:type="dxa"/>
          </w:tcPr>
          <w:p w14:paraId="5CEEB822" w14:textId="77777777" w:rsidR="00A1335A" w:rsidRDefault="00A1335A" w:rsidP="00B7207D">
            <w:pPr>
              <w:pStyle w:val="Tabletextnormal"/>
            </w:pPr>
            <w:r>
              <w:t>2016</w:t>
            </w:r>
          </w:p>
        </w:tc>
        <w:tc>
          <w:tcPr>
            <w:tcW w:w="1904" w:type="dxa"/>
          </w:tcPr>
          <w:p w14:paraId="002B0FDC" w14:textId="0F0C10D7" w:rsidR="00A1335A" w:rsidRPr="0080783A" w:rsidRDefault="00A1335A" w:rsidP="00B7207D">
            <w:pPr>
              <w:pStyle w:val="Tabletextnormal"/>
              <w:rPr>
                <w:b/>
              </w:rPr>
            </w:pPr>
            <w:r w:rsidRPr="00ED380A">
              <w:t>www.health.gov.au/internet/main/publishing.nsf/Content/PHNCommissioningResources</w:t>
            </w:r>
          </w:p>
        </w:tc>
        <w:tc>
          <w:tcPr>
            <w:tcW w:w="4226" w:type="dxa"/>
          </w:tcPr>
          <w:p w14:paraId="0FE6A2B1" w14:textId="74AC2897" w:rsidR="00A1335A" w:rsidRPr="00972EE6" w:rsidRDefault="00A1335A" w:rsidP="00B7207D">
            <w:pPr>
              <w:pStyle w:val="Tabletextnormal"/>
            </w:pPr>
            <w:r w:rsidRPr="00972EE6">
              <w:t>Outlines some of the characteristics</w:t>
            </w:r>
            <w:r>
              <w:t xml:space="preserve"> relevant to planning by PHNs in a commissioning environment</w:t>
            </w:r>
          </w:p>
        </w:tc>
        <w:tc>
          <w:tcPr>
            <w:tcW w:w="3117" w:type="dxa"/>
          </w:tcPr>
          <w:p w14:paraId="1DFC2C21" w14:textId="7390DBCE" w:rsidR="00A1335A" w:rsidRDefault="00A1335A" w:rsidP="00B7207D">
            <w:pPr>
              <w:pStyle w:val="Tabletextnormal"/>
            </w:pPr>
            <w:r>
              <w:t>As part of the annual planning phase</w:t>
            </w:r>
          </w:p>
        </w:tc>
      </w:tr>
      <w:tr w:rsidR="00CB6FB7" w:rsidRPr="00DF5ABD" w14:paraId="0C620C1D" w14:textId="6D993025" w:rsidTr="004106D7">
        <w:trPr>
          <w:trHeight w:val="1406"/>
        </w:trPr>
        <w:tc>
          <w:tcPr>
            <w:tcW w:w="1787" w:type="dxa"/>
          </w:tcPr>
          <w:p w14:paraId="4035132B" w14:textId="71C0E226" w:rsidR="00CB6FB7" w:rsidRDefault="00CB6FB7" w:rsidP="00B7207D">
            <w:pPr>
              <w:pStyle w:val="Tabletextnormal"/>
            </w:pPr>
            <w:r>
              <w:lastRenderedPageBreak/>
              <w:t>Population Health Approaches to Planning (Victorian Healthcare Association)</w:t>
            </w:r>
          </w:p>
        </w:tc>
        <w:tc>
          <w:tcPr>
            <w:tcW w:w="1523" w:type="dxa"/>
          </w:tcPr>
          <w:p w14:paraId="6137DC9A" w14:textId="0E7A9653" w:rsidR="00CB6FB7" w:rsidRDefault="00CB6FB7" w:rsidP="00B7207D">
            <w:pPr>
              <w:pStyle w:val="Tabletextnormal"/>
            </w:pPr>
            <w:r>
              <w:t>Applying a population health approach</w:t>
            </w:r>
          </w:p>
        </w:tc>
        <w:tc>
          <w:tcPr>
            <w:tcW w:w="1327" w:type="dxa"/>
          </w:tcPr>
          <w:p w14:paraId="4F2D21C0" w14:textId="6E16E51E" w:rsidR="00CB6FB7" w:rsidRDefault="00CB6FB7" w:rsidP="00B7207D">
            <w:pPr>
              <w:pStyle w:val="Tabletextnormal"/>
            </w:pPr>
            <w:r>
              <w:t>Monash University</w:t>
            </w:r>
          </w:p>
        </w:tc>
        <w:tc>
          <w:tcPr>
            <w:tcW w:w="1142" w:type="dxa"/>
          </w:tcPr>
          <w:p w14:paraId="1174A762" w14:textId="41FCBD86" w:rsidR="00CB6FB7" w:rsidRDefault="00CB6FB7" w:rsidP="00B7207D">
            <w:pPr>
              <w:pStyle w:val="Tabletextnormal"/>
            </w:pPr>
            <w:r>
              <w:t>2012</w:t>
            </w:r>
          </w:p>
        </w:tc>
        <w:tc>
          <w:tcPr>
            <w:tcW w:w="1904" w:type="dxa"/>
          </w:tcPr>
          <w:p w14:paraId="0424554F" w14:textId="3FE76E74" w:rsidR="00F345BE" w:rsidRDefault="00F345BE" w:rsidP="00F345BE">
            <w:pPr>
              <w:pStyle w:val="Tabletextnormal"/>
            </w:pPr>
            <w:r w:rsidRPr="00BB223A">
              <w:t>vha.org.au/docs/20121003--position-statement--phap.pdf</w:t>
            </w:r>
          </w:p>
          <w:p w14:paraId="00E96FE6" w14:textId="49311535" w:rsidR="00F345BE" w:rsidRDefault="00F345BE" w:rsidP="00F345BE">
            <w:pPr>
              <w:pStyle w:val="Tabletextnormal"/>
            </w:pPr>
            <w:r w:rsidRPr="00BD3FF9">
              <w:t>vha.org.au/docs/population-health-planning-framework_creating-the-leadership-team.pdf</w:t>
            </w:r>
          </w:p>
          <w:p w14:paraId="167686E0" w14:textId="4EFAD1C7" w:rsidR="00F345BE" w:rsidRDefault="00F345BE" w:rsidP="00F345BE">
            <w:pPr>
              <w:pStyle w:val="Tabletextnormal"/>
            </w:pPr>
            <w:r w:rsidRPr="0038334F">
              <w:t>vha.org.au/docs/population-health-planning-framework_analyse-the-planning-context.pdf</w:t>
            </w:r>
          </w:p>
          <w:p w14:paraId="5C20FB51" w14:textId="50EE05E7" w:rsidR="00F345BE" w:rsidRDefault="00F345BE" w:rsidP="00F345BE">
            <w:pPr>
              <w:pStyle w:val="Tabletextnormal"/>
            </w:pPr>
            <w:r w:rsidRPr="0038334F">
              <w:t>vha.org.au/docs/population-health-planning-framework_identify-and-prioritise-the-issues.pdf</w:t>
            </w:r>
          </w:p>
          <w:p w14:paraId="785643C0" w14:textId="73A3A217" w:rsidR="00F345BE" w:rsidRPr="00BB223A" w:rsidRDefault="00F345BE" w:rsidP="00F345BE">
            <w:pPr>
              <w:pStyle w:val="Tabletextnormal"/>
            </w:pPr>
            <w:r w:rsidRPr="00D021DD">
              <w:t>vha.org.au/docs/population-health-planning-framework_identify-and-prioritise-action.pdf</w:t>
            </w:r>
          </w:p>
          <w:p w14:paraId="207225DF" w14:textId="1BFAC457" w:rsidR="00F345BE" w:rsidRDefault="00F345BE" w:rsidP="00F345BE">
            <w:pPr>
              <w:pStyle w:val="Tabletextnormal"/>
            </w:pPr>
            <w:r w:rsidRPr="00295A49">
              <w:t>vha.org.au/docs/population-health-planning-framework_taking-action.pdf</w:t>
            </w:r>
          </w:p>
          <w:p w14:paraId="73BEB913" w14:textId="6D7034D7" w:rsidR="00CB6FB7" w:rsidRPr="00DF5ABD" w:rsidRDefault="00F345BE" w:rsidP="00F345BE">
            <w:pPr>
              <w:pStyle w:val="Tabletextnormal"/>
            </w:pPr>
            <w:r w:rsidRPr="00295A49">
              <w:t>vha.org.au/docs/population-health-planning-framework_evaluate-the-outcomes.pdf</w:t>
            </w:r>
          </w:p>
        </w:tc>
        <w:tc>
          <w:tcPr>
            <w:tcW w:w="4226" w:type="dxa"/>
          </w:tcPr>
          <w:p w14:paraId="177E90DD" w14:textId="77777777" w:rsidR="009A4408" w:rsidRDefault="009A4408" w:rsidP="009A4408">
            <w:pPr>
              <w:pStyle w:val="Tabletextnormal"/>
            </w:pPr>
            <w:r>
              <w:t>Steps and guiding principles in developing an effective population health planning approach</w:t>
            </w:r>
          </w:p>
          <w:p w14:paraId="7B077C0D" w14:textId="77777777" w:rsidR="00CB6FB7" w:rsidRDefault="00CB6FB7" w:rsidP="00CB6FB7">
            <w:pPr>
              <w:pStyle w:val="Tabletextnormal"/>
            </w:pPr>
          </w:p>
          <w:p w14:paraId="074EA281" w14:textId="31262F7C" w:rsidR="007A11E3" w:rsidRDefault="007A11E3" w:rsidP="00CB6FB7">
            <w:pPr>
              <w:pStyle w:val="Tabletextnormal"/>
              <w:rPr>
                <w:b/>
              </w:rPr>
            </w:pPr>
            <w:r w:rsidRPr="00E1191B">
              <w:rPr>
                <w:b/>
              </w:rPr>
              <w:t xml:space="preserve">Step1: Creating the leadership team </w:t>
            </w:r>
          </w:p>
          <w:p w14:paraId="33B13AB6" w14:textId="77777777" w:rsidR="007A11E3" w:rsidRDefault="007A11E3" w:rsidP="00CB6FB7">
            <w:pPr>
              <w:pStyle w:val="Tabletextnormal"/>
              <w:rPr>
                <w:b/>
              </w:rPr>
            </w:pPr>
          </w:p>
          <w:p w14:paraId="20F879F2" w14:textId="77777777" w:rsidR="007A11E3" w:rsidRDefault="007A11E3" w:rsidP="00CB6FB7">
            <w:pPr>
              <w:pStyle w:val="Tabletextnormal"/>
            </w:pPr>
          </w:p>
          <w:p w14:paraId="776B00D8" w14:textId="77777777" w:rsidR="007A11E3" w:rsidRDefault="007A11E3" w:rsidP="00CB6FB7">
            <w:pPr>
              <w:pStyle w:val="Tabletextnormal"/>
            </w:pPr>
          </w:p>
          <w:p w14:paraId="5F0C46B1" w14:textId="77777777" w:rsidR="007A11E3" w:rsidRDefault="007A11E3" w:rsidP="00CB6FB7">
            <w:pPr>
              <w:pStyle w:val="Tabletextnormal"/>
            </w:pPr>
          </w:p>
          <w:p w14:paraId="3EC260C8" w14:textId="5A4596F4" w:rsidR="007A11E3" w:rsidRDefault="007A11E3" w:rsidP="00CB6FB7">
            <w:pPr>
              <w:pStyle w:val="Tabletextnormal"/>
              <w:rPr>
                <w:b/>
              </w:rPr>
            </w:pPr>
            <w:r w:rsidRPr="00E1191B">
              <w:rPr>
                <w:b/>
              </w:rPr>
              <w:t>Step 2: Analysing the planning context</w:t>
            </w:r>
          </w:p>
          <w:p w14:paraId="7D0B1F8B" w14:textId="77777777" w:rsidR="007A11E3" w:rsidRDefault="007A11E3" w:rsidP="00CB6FB7">
            <w:pPr>
              <w:pStyle w:val="Tabletextnormal"/>
              <w:rPr>
                <w:b/>
              </w:rPr>
            </w:pPr>
          </w:p>
          <w:p w14:paraId="2EC61886" w14:textId="77777777" w:rsidR="007A11E3" w:rsidRDefault="007A11E3" w:rsidP="00CB6FB7">
            <w:pPr>
              <w:pStyle w:val="Tabletextnormal"/>
              <w:rPr>
                <w:b/>
              </w:rPr>
            </w:pPr>
          </w:p>
          <w:p w14:paraId="00A79E48" w14:textId="77777777" w:rsidR="007A11E3" w:rsidRDefault="007A11E3" w:rsidP="00CB6FB7">
            <w:pPr>
              <w:pStyle w:val="Tabletextnormal"/>
              <w:rPr>
                <w:b/>
              </w:rPr>
            </w:pPr>
          </w:p>
          <w:p w14:paraId="396FDC37" w14:textId="77777777" w:rsidR="007A11E3" w:rsidRDefault="007A11E3" w:rsidP="00CB6FB7">
            <w:pPr>
              <w:pStyle w:val="Tabletextnormal"/>
              <w:rPr>
                <w:b/>
              </w:rPr>
            </w:pPr>
          </w:p>
          <w:p w14:paraId="678E44EA" w14:textId="77777777" w:rsidR="007A11E3" w:rsidRDefault="007A11E3" w:rsidP="00CB6FB7">
            <w:pPr>
              <w:pStyle w:val="Tabletextnormal"/>
              <w:rPr>
                <w:b/>
              </w:rPr>
            </w:pPr>
            <w:r w:rsidRPr="00E1191B">
              <w:rPr>
                <w:b/>
              </w:rPr>
              <w:t>Step 3: Identifying and prioritising the issues</w:t>
            </w:r>
          </w:p>
          <w:p w14:paraId="57F6A8E3" w14:textId="77777777" w:rsidR="007A11E3" w:rsidRDefault="007A11E3" w:rsidP="00CB6FB7">
            <w:pPr>
              <w:pStyle w:val="Tabletextnormal"/>
              <w:rPr>
                <w:b/>
              </w:rPr>
            </w:pPr>
          </w:p>
          <w:p w14:paraId="2CB9EB2D" w14:textId="77777777" w:rsidR="007A11E3" w:rsidRDefault="007A11E3" w:rsidP="00CB6FB7">
            <w:pPr>
              <w:pStyle w:val="Tabletextnormal"/>
              <w:rPr>
                <w:b/>
              </w:rPr>
            </w:pPr>
          </w:p>
          <w:p w14:paraId="737FE799" w14:textId="77777777" w:rsidR="007A11E3" w:rsidRDefault="007A11E3" w:rsidP="00CB6FB7">
            <w:pPr>
              <w:pStyle w:val="Tabletextnormal"/>
              <w:rPr>
                <w:b/>
              </w:rPr>
            </w:pPr>
          </w:p>
          <w:p w14:paraId="0CE4D903" w14:textId="77777777" w:rsidR="007A11E3" w:rsidRDefault="007A11E3" w:rsidP="00CB6FB7">
            <w:pPr>
              <w:pStyle w:val="Tabletextnormal"/>
              <w:rPr>
                <w:b/>
              </w:rPr>
            </w:pPr>
          </w:p>
          <w:p w14:paraId="7E4B03A9" w14:textId="77777777" w:rsidR="007A11E3" w:rsidRDefault="007A11E3" w:rsidP="00CB6FB7">
            <w:pPr>
              <w:pStyle w:val="Tabletextnormal"/>
              <w:rPr>
                <w:b/>
              </w:rPr>
            </w:pPr>
            <w:r w:rsidRPr="008C7083">
              <w:rPr>
                <w:b/>
              </w:rPr>
              <w:t>Step 4: Identifying and prioritising actions</w:t>
            </w:r>
          </w:p>
          <w:p w14:paraId="1ED8643B" w14:textId="77777777" w:rsidR="007A11E3" w:rsidRDefault="007A11E3" w:rsidP="00CB6FB7">
            <w:pPr>
              <w:pStyle w:val="Tabletextnormal"/>
              <w:rPr>
                <w:b/>
              </w:rPr>
            </w:pPr>
          </w:p>
          <w:p w14:paraId="6E89EC3E" w14:textId="77777777" w:rsidR="007A11E3" w:rsidRDefault="007A11E3" w:rsidP="00CB6FB7">
            <w:pPr>
              <w:pStyle w:val="Tabletextnormal"/>
              <w:rPr>
                <w:b/>
              </w:rPr>
            </w:pPr>
          </w:p>
          <w:p w14:paraId="3C390B4C" w14:textId="77777777" w:rsidR="007A11E3" w:rsidRDefault="007A11E3" w:rsidP="00CB6FB7">
            <w:pPr>
              <w:pStyle w:val="Tabletextnormal"/>
              <w:rPr>
                <w:b/>
              </w:rPr>
            </w:pPr>
          </w:p>
          <w:p w14:paraId="7373375A" w14:textId="77777777" w:rsidR="007A11E3" w:rsidRDefault="007A11E3" w:rsidP="00CB6FB7">
            <w:pPr>
              <w:pStyle w:val="Tabletextnormal"/>
              <w:rPr>
                <w:b/>
              </w:rPr>
            </w:pPr>
          </w:p>
          <w:p w14:paraId="04A81AF7" w14:textId="77777777" w:rsidR="007A11E3" w:rsidRDefault="007A11E3" w:rsidP="00CB6FB7">
            <w:pPr>
              <w:pStyle w:val="Tabletextnormal"/>
              <w:rPr>
                <w:b/>
              </w:rPr>
            </w:pPr>
            <w:r w:rsidRPr="008C7083">
              <w:rPr>
                <w:b/>
              </w:rPr>
              <w:t>Step 5: Taking action</w:t>
            </w:r>
          </w:p>
          <w:p w14:paraId="401F16C6" w14:textId="77777777" w:rsidR="007A11E3" w:rsidRDefault="007A11E3" w:rsidP="00CB6FB7">
            <w:pPr>
              <w:pStyle w:val="Tabletextnormal"/>
              <w:rPr>
                <w:b/>
              </w:rPr>
            </w:pPr>
          </w:p>
          <w:p w14:paraId="03B987BE" w14:textId="77777777" w:rsidR="007A11E3" w:rsidRDefault="007A11E3" w:rsidP="00CB6FB7">
            <w:pPr>
              <w:pStyle w:val="Tabletextnormal"/>
              <w:rPr>
                <w:b/>
              </w:rPr>
            </w:pPr>
          </w:p>
          <w:p w14:paraId="7F994761" w14:textId="77777777" w:rsidR="007A11E3" w:rsidRDefault="007A11E3" w:rsidP="00CB6FB7">
            <w:pPr>
              <w:pStyle w:val="Tabletextnormal"/>
              <w:rPr>
                <w:b/>
              </w:rPr>
            </w:pPr>
          </w:p>
          <w:p w14:paraId="71438AAF" w14:textId="2AEFFFFA" w:rsidR="007A11E3" w:rsidRPr="00DF5ABD" w:rsidRDefault="007A11E3" w:rsidP="00CB6FB7">
            <w:pPr>
              <w:pStyle w:val="Tabletextnormal"/>
            </w:pPr>
            <w:r w:rsidRPr="008C7083">
              <w:rPr>
                <w:b/>
              </w:rPr>
              <w:t>Step 6: Evaluating the outcomes</w:t>
            </w:r>
          </w:p>
        </w:tc>
        <w:tc>
          <w:tcPr>
            <w:tcW w:w="3117" w:type="dxa"/>
          </w:tcPr>
          <w:p w14:paraId="472C5FBF" w14:textId="0B2215D7" w:rsidR="009A4408" w:rsidRDefault="00F345BE" w:rsidP="00F345BE">
            <w:pPr>
              <w:pStyle w:val="Tabletextnormal"/>
            </w:pPr>
            <w:r>
              <w:t xml:space="preserve">In applying a population heath planning approach throughout the commissioning framework </w:t>
            </w:r>
          </w:p>
        </w:tc>
      </w:tr>
      <w:tr w:rsidR="00A1335A" w:rsidRPr="00DF5ABD" w14:paraId="7EC7E265" w14:textId="246EFAF8" w:rsidTr="004106D7">
        <w:trPr>
          <w:trHeight w:val="1406"/>
        </w:trPr>
        <w:tc>
          <w:tcPr>
            <w:tcW w:w="1787" w:type="dxa"/>
          </w:tcPr>
          <w:p w14:paraId="2E34742D" w14:textId="13D11B4D" w:rsidR="00A1335A" w:rsidRDefault="00A1335A" w:rsidP="00B7207D">
            <w:pPr>
              <w:pStyle w:val="Tabletextnormal"/>
            </w:pPr>
            <w:r w:rsidRPr="00C04A57">
              <w:lastRenderedPageBreak/>
              <w:t>A Diagnostic Framework for Addressing Inequalities in Outcome at Population Level from Evidence-based Alcohol Harm Reduction Interventions</w:t>
            </w:r>
          </w:p>
        </w:tc>
        <w:tc>
          <w:tcPr>
            <w:tcW w:w="1523" w:type="dxa"/>
          </w:tcPr>
          <w:p w14:paraId="059C03F1" w14:textId="0FE59425" w:rsidR="00A1335A" w:rsidRDefault="00A1335A" w:rsidP="00B7207D">
            <w:pPr>
              <w:pStyle w:val="Tabletextnormal"/>
            </w:pPr>
            <w:r>
              <w:t>Applying a population health approach</w:t>
            </w:r>
          </w:p>
        </w:tc>
        <w:tc>
          <w:tcPr>
            <w:tcW w:w="1327" w:type="dxa"/>
          </w:tcPr>
          <w:p w14:paraId="2D59AB67" w14:textId="379EF1D1" w:rsidR="00A1335A" w:rsidRDefault="00A1335A" w:rsidP="00B7207D">
            <w:pPr>
              <w:pStyle w:val="Tabletextnormal"/>
            </w:pPr>
            <w:r>
              <w:t>Department of Health (UK)</w:t>
            </w:r>
          </w:p>
        </w:tc>
        <w:tc>
          <w:tcPr>
            <w:tcW w:w="1142" w:type="dxa"/>
          </w:tcPr>
          <w:p w14:paraId="64116C14" w14:textId="646F3C53" w:rsidR="00A1335A" w:rsidRDefault="00A1335A" w:rsidP="00B7207D">
            <w:pPr>
              <w:pStyle w:val="Tabletextnormal"/>
            </w:pPr>
            <w:r>
              <w:t>2011</w:t>
            </w:r>
          </w:p>
        </w:tc>
        <w:tc>
          <w:tcPr>
            <w:tcW w:w="1904" w:type="dxa"/>
          </w:tcPr>
          <w:p w14:paraId="0B6C170E" w14:textId="1BB27D61" w:rsidR="00A1335A" w:rsidRPr="00DF5ABD" w:rsidRDefault="00A1335A" w:rsidP="00B7207D">
            <w:pPr>
              <w:pStyle w:val="Tabletextnormal"/>
            </w:pPr>
            <w:r w:rsidRPr="00295A49">
              <w:t>www.gov.uk/government/uploads/system/uploads/attachment_data/file/215394/dh_130530.pdf</w:t>
            </w:r>
          </w:p>
        </w:tc>
        <w:tc>
          <w:tcPr>
            <w:tcW w:w="4226" w:type="dxa"/>
          </w:tcPr>
          <w:p w14:paraId="4CBD3B1E" w14:textId="79569CC9" w:rsidR="00A1335A" w:rsidRPr="00DF5ABD" w:rsidRDefault="00A1335A" w:rsidP="00CB6FB7">
            <w:pPr>
              <w:pStyle w:val="Tabletextnormal"/>
            </w:pPr>
            <w:r>
              <w:t xml:space="preserve">Example of carrying out a population health approach to addressing inequalities in outcomes at a population level. The example is for </w:t>
            </w:r>
            <w:r w:rsidRPr="00C04A57">
              <w:t>address</w:t>
            </w:r>
            <w:r>
              <w:t>ing</w:t>
            </w:r>
            <w:r w:rsidRPr="00C04A57">
              <w:t xml:space="preserve"> the impact of harmful and hazardous alcohol use on recognised inequalities in health,</w:t>
            </w:r>
            <w:r>
              <w:t xml:space="preserve"> including in relation to</w:t>
            </w:r>
            <w:r w:rsidRPr="00C04A57">
              <w:t xml:space="preserve"> cancer, st</w:t>
            </w:r>
            <w:r>
              <w:t>roke and coronary heart disease</w:t>
            </w:r>
          </w:p>
        </w:tc>
        <w:tc>
          <w:tcPr>
            <w:tcW w:w="3117" w:type="dxa"/>
          </w:tcPr>
          <w:p w14:paraId="1291CF3C" w14:textId="405E4247" w:rsidR="00A1335A" w:rsidRDefault="00A1335A" w:rsidP="00B7207D">
            <w:pPr>
              <w:pStyle w:val="Tabletextnormal"/>
            </w:pPr>
            <w:r>
              <w:t xml:space="preserve">It may be used to carry out a </w:t>
            </w:r>
            <w:r w:rsidRPr="00C04A57">
              <w:t xml:space="preserve">stock-take or </w:t>
            </w:r>
            <w:r>
              <w:t xml:space="preserve">to run a facilitated workshop that </w:t>
            </w:r>
            <w:r w:rsidRPr="00C04A57">
              <w:t>provides advice on achieving best outcomes at</w:t>
            </w:r>
            <w:r>
              <w:t xml:space="preserve"> a population level</w:t>
            </w:r>
          </w:p>
        </w:tc>
      </w:tr>
      <w:tr w:rsidR="00A1335A" w:rsidRPr="00DF5ABD" w14:paraId="692F1274" w14:textId="7354DF1D" w:rsidTr="004106D7">
        <w:trPr>
          <w:trHeight w:val="1406"/>
        </w:trPr>
        <w:tc>
          <w:tcPr>
            <w:tcW w:w="1787" w:type="dxa"/>
          </w:tcPr>
          <w:p w14:paraId="3539D732" w14:textId="74FA8605" w:rsidR="00A1335A" w:rsidRDefault="00A1335A" w:rsidP="00B7207D">
            <w:pPr>
              <w:pStyle w:val="Tabletextnormal"/>
            </w:pPr>
            <w:r>
              <w:t>Wider determinants of health</w:t>
            </w:r>
          </w:p>
        </w:tc>
        <w:tc>
          <w:tcPr>
            <w:tcW w:w="1523" w:type="dxa"/>
          </w:tcPr>
          <w:p w14:paraId="0D3D4974" w14:textId="75710670" w:rsidR="00A1335A" w:rsidRDefault="00A1335A" w:rsidP="00B7207D">
            <w:pPr>
              <w:pStyle w:val="Tabletextnormal"/>
            </w:pPr>
            <w:r>
              <w:t>Applying a population health approach</w:t>
            </w:r>
          </w:p>
        </w:tc>
        <w:tc>
          <w:tcPr>
            <w:tcW w:w="1327" w:type="dxa"/>
          </w:tcPr>
          <w:p w14:paraId="07015EA0" w14:textId="598F9D0C" w:rsidR="00A1335A" w:rsidRDefault="00A1335A" w:rsidP="00B7207D">
            <w:pPr>
              <w:pStyle w:val="Tabletextnormal"/>
            </w:pPr>
            <w:r>
              <w:t>Public Health England (UK)</w:t>
            </w:r>
          </w:p>
        </w:tc>
        <w:tc>
          <w:tcPr>
            <w:tcW w:w="1142" w:type="dxa"/>
          </w:tcPr>
          <w:p w14:paraId="5A97E236" w14:textId="18FF00E2" w:rsidR="00A1335A" w:rsidRDefault="00A1335A" w:rsidP="00B7207D">
            <w:pPr>
              <w:pStyle w:val="Tabletextnormal"/>
            </w:pPr>
            <w:r>
              <w:t>2017</w:t>
            </w:r>
          </w:p>
        </w:tc>
        <w:tc>
          <w:tcPr>
            <w:tcW w:w="1904" w:type="dxa"/>
          </w:tcPr>
          <w:p w14:paraId="0FCE1367" w14:textId="7C35049A" w:rsidR="00A1335A" w:rsidRPr="00DF5ABD" w:rsidRDefault="00A1335A" w:rsidP="00B7207D">
            <w:pPr>
              <w:pStyle w:val="Tabletextnormal"/>
            </w:pPr>
            <w:r w:rsidRPr="00C04A57">
              <w:t>fingertips.phe.org.uk/profile/wider-determinants/data#page/0/gid/1938133043/pat/6/par/E12000004/ati/102/are/E06000015</w:t>
            </w:r>
          </w:p>
        </w:tc>
        <w:tc>
          <w:tcPr>
            <w:tcW w:w="4226" w:type="dxa"/>
          </w:tcPr>
          <w:p w14:paraId="6FCB0B77" w14:textId="2AEE44B5" w:rsidR="00A1335A" w:rsidRPr="00DF5ABD" w:rsidRDefault="00A1335A" w:rsidP="00B7207D">
            <w:pPr>
              <w:pStyle w:val="Tabletextnormal"/>
            </w:pPr>
            <w:r>
              <w:t>Example of a data visualisation tool used to identify and assess the wider determinants of health in the UK</w:t>
            </w:r>
          </w:p>
        </w:tc>
        <w:tc>
          <w:tcPr>
            <w:tcW w:w="3117" w:type="dxa"/>
          </w:tcPr>
          <w:p w14:paraId="5B83C525" w14:textId="7B216186" w:rsidR="00A1335A" w:rsidRPr="00BB351A" w:rsidRDefault="00A1335A" w:rsidP="00B7207D">
            <w:pPr>
              <w:pStyle w:val="Tabletextnormal"/>
              <w:rPr>
                <w:highlight w:val="cyan"/>
              </w:rPr>
            </w:pPr>
            <w:r w:rsidRPr="00BB351A">
              <w:t>In considering the wider determinants of health</w:t>
            </w:r>
            <w:r>
              <w:t xml:space="preserve"> and how they could be factored into PHNs’ commissioning processes</w:t>
            </w:r>
          </w:p>
        </w:tc>
      </w:tr>
      <w:tr w:rsidR="00A1335A" w:rsidRPr="00DF5ABD" w14:paraId="4B1DC4C9" w14:textId="0E421577" w:rsidTr="004106D7">
        <w:trPr>
          <w:trHeight w:val="1406"/>
        </w:trPr>
        <w:tc>
          <w:tcPr>
            <w:tcW w:w="1787" w:type="dxa"/>
          </w:tcPr>
          <w:p w14:paraId="496578D5" w14:textId="1C4689CA" w:rsidR="00A1335A" w:rsidRDefault="00A1335A" w:rsidP="00B7207D">
            <w:pPr>
              <w:pStyle w:val="Tabletextnormal"/>
            </w:pPr>
            <w:r>
              <w:t>The Collective Impact framework</w:t>
            </w:r>
          </w:p>
        </w:tc>
        <w:tc>
          <w:tcPr>
            <w:tcW w:w="1523" w:type="dxa"/>
          </w:tcPr>
          <w:p w14:paraId="055366AC" w14:textId="0C10DCF8" w:rsidR="00A1335A" w:rsidRPr="000D4C8D" w:rsidRDefault="00A1335A" w:rsidP="00B7207D">
            <w:pPr>
              <w:pStyle w:val="Tabletextnormal"/>
            </w:pPr>
            <w:r>
              <w:t>Collaborative arrangements</w:t>
            </w:r>
          </w:p>
        </w:tc>
        <w:tc>
          <w:tcPr>
            <w:tcW w:w="1327" w:type="dxa"/>
          </w:tcPr>
          <w:p w14:paraId="54D95C78" w14:textId="569DF943" w:rsidR="00A1335A" w:rsidRDefault="00A1335A" w:rsidP="00B7207D">
            <w:pPr>
              <w:pStyle w:val="Tabletextnormal"/>
            </w:pPr>
            <w:r w:rsidRPr="000D4C8D">
              <w:t xml:space="preserve">John </w:t>
            </w:r>
            <w:proofErr w:type="spellStart"/>
            <w:r w:rsidRPr="000D4C8D">
              <w:t>Kania</w:t>
            </w:r>
            <w:proofErr w:type="spellEnd"/>
            <w:r w:rsidRPr="000D4C8D">
              <w:t>,</w:t>
            </w:r>
            <w:r w:rsidR="00B7207D">
              <w:t xml:space="preserve"> </w:t>
            </w:r>
            <w:r w:rsidRPr="000D4C8D">
              <w:t>Mark Kramer and Collaboration for impact</w:t>
            </w:r>
            <w:r>
              <w:t xml:space="preserve"> (Australia)</w:t>
            </w:r>
          </w:p>
        </w:tc>
        <w:tc>
          <w:tcPr>
            <w:tcW w:w="1142" w:type="dxa"/>
          </w:tcPr>
          <w:p w14:paraId="31BD404F" w14:textId="1EED54E9" w:rsidR="00A1335A" w:rsidRDefault="001A70BA" w:rsidP="00B7207D">
            <w:pPr>
              <w:pStyle w:val="Tabletextnormal"/>
            </w:pPr>
            <w:r>
              <w:rPr>
                <w:rFonts w:cs="Calibri"/>
              </w:rPr>
              <w:t>Accessed o</w:t>
            </w:r>
            <w:r w:rsidRPr="00C212DE">
              <w:rPr>
                <w:rFonts w:cs="Calibri"/>
              </w:rPr>
              <w:t>nline 2018</w:t>
            </w:r>
          </w:p>
        </w:tc>
        <w:tc>
          <w:tcPr>
            <w:tcW w:w="1904" w:type="dxa"/>
          </w:tcPr>
          <w:p w14:paraId="4458F2F0" w14:textId="6A5B4626" w:rsidR="00A1335A" w:rsidRPr="00DF5ABD" w:rsidRDefault="00A1335A" w:rsidP="00B7207D">
            <w:pPr>
              <w:pStyle w:val="Tabletextnormal"/>
            </w:pPr>
            <w:r w:rsidRPr="000D4C8D">
              <w:t>www.collaborationforimpact.com/collective-impact/</w:t>
            </w:r>
          </w:p>
        </w:tc>
        <w:tc>
          <w:tcPr>
            <w:tcW w:w="4226" w:type="dxa"/>
          </w:tcPr>
          <w:p w14:paraId="236CABAB" w14:textId="7B337CAD" w:rsidR="00A1335A" w:rsidRPr="00DF5ABD" w:rsidRDefault="00A1335A" w:rsidP="00B7207D">
            <w:pPr>
              <w:pStyle w:val="Tabletextnormal"/>
            </w:pPr>
            <w:r>
              <w:t xml:space="preserve">An </w:t>
            </w:r>
            <w:r w:rsidRPr="005E06E9">
              <w:t>innovative and structured approach to making collaboration work across government, business, philanthropy, non-profit organisations and citizens to achieve signif</w:t>
            </w:r>
            <w:r>
              <w:t>icant and lasting social change</w:t>
            </w:r>
          </w:p>
        </w:tc>
        <w:tc>
          <w:tcPr>
            <w:tcW w:w="3117" w:type="dxa"/>
          </w:tcPr>
          <w:p w14:paraId="1B0287BB" w14:textId="6507EB27" w:rsidR="00A1335A" w:rsidRDefault="00A1335A" w:rsidP="00B7207D">
            <w:pPr>
              <w:pStyle w:val="Tabletextnormal"/>
            </w:pPr>
            <w:r>
              <w:t>To tackle deeply entrenched and complex social problems</w:t>
            </w:r>
          </w:p>
        </w:tc>
      </w:tr>
      <w:tr w:rsidR="00A1335A" w:rsidRPr="00DF5ABD" w14:paraId="371CE794" w14:textId="23687B36" w:rsidTr="004106D7">
        <w:trPr>
          <w:trHeight w:val="1406"/>
        </w:trPr>
        <w:tc>
          <w:tcPr>
            <w:tcW w:w="1787" w:type="dxa"/>
          </w:tcPr>
          <w:p w14:paraId="10CC9109" w14:textId="5920D742" w:rsidR="00A1335A" w:rsidRDefault="00A1335A" w:rsidP="00B7207D">
            <w:pPr>
              <w:pStyle w:val="Tabletextnormal"/>
            </w:pPr>
            <w:r>
              <w:t>Partnerships analysis tool</w:t>
            </w:r>
          </w:p>
        </w:tc>
        <w:tc>
          <w:tcPr>
            <w:tcW w:w="1523" w:type="dxa"/>
          </w:tcPr>
          <w:p w14:paraId="088075D2" w14:textId="7DF9C751" w:rsidR="00A1335A" w:rsidRDefault="00A1335A" w:rsidP="00B7207D">
            <w:pPr>
              <w:pStyle w:val="Tabletextnormal"/>
            </w:pPr>
            <w:r>
              <w:t>Collaborative arrangements</w:t>
            </w:r>
          </w:p>
        </w:tc>
        <w:tc>
          <w:tcPr>
            <w:tcW w:w="1327" w:type="dxa"/>
          </w:tcPr>
          <w:p w14:paraId="12E4D1CD" w14:textId="21A12D0E" w:rsidR="00A1335A" w:rsidRDefault="00A1335A" w:rsidP="00B7207D">
            <w:pPr>
              <w:pStyle w:val="Tabletextnormal"/>
            </w:pPr>
            <w:r>
              <w:t>VicHealth (AUS)</w:t>
            </w:r>
          </w:p>
        </w:tc>
        <w:tc>
          <w:tcPr>
            <w:tcW w:w="1142" w:type="dxa"/>
          </w:tcPr>
          <w:p w14:paraId="6F515C8B" w14:textId="50DFB926" w:rsidR="00A1335A" w:rsidRDefault="00A1335A" w:rsidP="00B7207D">
            <w:pPr>
              <w:pStyle w:val="Tabletextnormal"/>
            </w:pPr>
            <w:r>
              <w:t>2016</w:t>
            </w:r>
          </w:p>
        </w:tc>
        <w:tc>
          <w:tcPr>
            <w:tcW w:w="1904" w:type="dxa"/>
          </w:tcPr>
          <w:p w14:paraId="1F582DBE" w14:textId="450DDCA0" w:rsidR="00A1335A" w:rsidRPr="00DF5ABD" w:rsidRDefault="00A1335A" w:rsidP="00B7207D">
            <w:pPr>
              <w:pStyle w:val="Tabletextnormal"/>
            </w:pPr>
            <w:r w:rsidRPr="00F47BEB">
              <w:t>www.vichealth.vic.gov.au/-/media/ResourceCentre/PublicationsandResources/General/The-partnerships-analysis-tool/The-partnerships-analysis-tool.doc?la=en&amp;hash=3D6CED6E3A4EFC5A9722B8D8F6D096A51A3EBA2D</w:t>
            </w:r>
          </w:p>
        </w:tc>
        <w:tc>
          <w:tcPr>
            <w:tcW w:w="4226" w:type="dxa"/>
          </w:tcPr>
          <w:p w14:paraId="14DFA592" w14:textId="0142FC47" w:rsidR="00A1335A" w:rsidRPr="00DF5ABD" w:rsidRDefault="00A1335A" w:rsidP="00B7207D">
            <w:pPr>
              <w:pStyle w:val="Tabletextnormal"/>
            </w:pPr>
            <w:r>
              <w:t>A tool for</w:t>
            </w:r>
            <w:r w:rsidRPr="00F47BEB">
              <w:t xml:space="preserve"> establishing, developing and maintaining partnerships for health promotion</w:t>
            </w:r>
          </w:p>
        </w:tc>
        <w:tc>
          <w:tcPr>
            <w:tcW w:w="3117" w:type="dxa"/>
          </w:tcPr>
          <w:p w14:paraId="62DF99D2" w14:textId="7BD53438" w:rsidR="00A1335A" w:rsidRDefault="00A1335A" w:rsidP="00B7207D">
            <w:pPr>
              <w:pStyle w:val="Tabletextnormal"/>
            </w:pPr>
            <w:r>
              <w:t>For PHNs entering into or working as a partnership, this tool helps assess, monitor and maximise the partnership’s ongoing effectiveness</w:t>
            </w:r>
          </w:p>
        </w:tc>
      </w:tr>
      <w:tr w:rsidR="00A1335A" w:rsidRPr="00DF5ABD" w14:paraId="15F62A21" w14:textId="77777777" w:rsidTr="004106D7">
        <w:trPr>
          <w:trHeight w:val="1406"/>
        </w:trPr>
        <w:tc>
          <w:tcPr>
            <w:tcW w:w="1787" w:type="dxa"/>
          </w:tcPr>
          <w:p w14:paraId="2DBD6C6C" w14:textId="1482F7A1" w:rsidR="00A1335A" w:rsidRDefault="00A1335A" w:rsidP="00B7207D">
            <w:pPr>
              <w:pStyle w:val="Tabletextnormal"/>
            </w:pPr>
            <w:r>
              <w:lastRenderedPageBreak/>
              <w:t>Partnership assessment tool</w:t>
            </w:r>
          </w:p>
        </w:tc>
        <w:tc>
          <w:tcPr>
            <w:tcW w:w="1523" w:type="dxa"/>
          </w:tcPr>
          <w:p w14:paraId="58BD56E3" w14:textId="72607B97" w:rsidR="00A1335A" w:rsidRDefault="00A1335A" w:rsidP="00B7207D">
            <w:pPr>
              <w:pStyle w:val="Tabletextnormal"/>
            </w:pPr>
            <w:r>
              <w:t>Collaborative arrangements</w:t>
            </w:r>
          </w:p>
        </w:tc>
        <w:tc>
          <w:tcPr>
            <w:tcW w:w="1327" w:type="dxa"/>
          </w:tcPr>
          <w:p w14:paraId="56F53EC7" w14:textId="4AA759AD" w:rsidR="00A1335A" w:rsidRDefault="00A1335A" w:rsidP="00B7207D">
            <w:pPr>
              <w:pStyle w:val="Tabletextnormal"/>
            </w:pPr>
            <w:r>
              <w:t>Canadian Coalition for Global health Research (Canada)</w:t>
            </w:r>
          </w:p>
        </w:tc>
        <w:tc>
          <w:tcPr>
            <w:tcW w:w="1142" w:type="dxa"/>
          </w:tcPr>
          <w:p w14:paraId="19764671" w14:textId="0588EF15" w:rsidR="00A1335A" w:rsidRDefault="00A1335A" w:rsidP="00B7207D">
            <w:pPr>
              <w:pStyle w:val="Tabletextnormal"/>
            </w:pPr>
            <w:r>
              <w:t>2009</w:t>
            </w:r>
          </w:p>
        </w:tc>
        <w:tc>
          <w:tcPr>
            <w:tcW w:w="1904" w:type="dxa"/>
          </w:tcPr>
          <w:p w14:paraId="697910F9" w14:textId="7148BDEF" w:rsidR="00A1335A" w:rsidRPr="00F47BEB" w:rsidRDefault="00A1335A" w:rsidP="00B7207D">
            <w:pPr>
              <w:pStyle w:val="Tabletextnormal"/>
            </w:pPr>
            <w:r w:rsidRPr="00F47BEB">
              <w:t>www.ccghr.ca/wp-content/uploads/2013/05/PAT_Interactive_e-1.pdf</w:t>
            </w:r>
          </w:p>
        </w:tc>
        <w:tc>
          <w:tcPr>
            <w:tcW w:w="4226" w:type="dxa"/>
          </w:tcPr>
          <w:p w14:paraId="648D1BF0" w14:textId="0EAB7AB4" w:rsidR="00A1335A" w:rsidRDefault="00A1335A" w:rsidP="00B7207D">
            <w:pPr>
              <w:pStyle w:val="Tabletextnormal"/>
            </w:pPr>
            <w:r w:rsidRPr="00F47BEB">
              <w:t>The tool is composed of a series of questions and exercises that, through subsequent discussions, will equip parties entering into health research partnerships with the means of assessing their partnership</w:t>
            </w:r>
            <w:r>
              <w:t>. It assesses the partnership</w:t>
            </w:r>
            <w:r w:rsidRPr="00F47BEB">
              <w:t xml:space="preserve"> through four stages: Inception, Implementation, Dissemination and “Go</w:t>
            </w:r>
            <w:r>
              <w:t>od endings and new beginnings”</w:t>
            </w:r>
          </w:p>
        </w:tc>
        <w:tc>
          <w:tcPr>
            <w:tcW w:w="3117" w:type="dxa"/>
          </w:tcPr>
          <w:p w14:paraId="1475AD38" w14:textId="638F0F0D" w:rsidR="00A1335A" w:rsidRDefault="00A1335A" w:rsidP="00B7207D">
            <w:pPr>
              <w:pStyle w:val="Tabletextnormal"/>
            </w:pPr>
            <w:r>
              <w:t>Assessing PHN’s partnerships at inception, their ongoing operations and at the end</w:t>
            </w:r>
          </w:p>
        </w:tc>
      </w:tr>
      <w:tr w:rsidR="00A1335A" w:rsidRPr="00DF5ABD" w14:paraId="1C6E25C8" w14:textId="77777777" w:rsidTr="004106D7">
        <w:trPr>
          <w:trHeight w:val="1406"/>
        </w:trPr>
        <w:tc>
          <w:tcPr>
            <w:tcW w:w="1787" w:type="dxa"/>
          </w:tcPr>
          <w:p w14:paraId="498C25F7" w14:textId="44794A31" w:rsidR="00A1335A" w:rsidRDefault="00A1335A" w:rsidP="00B7207D">
            <w:pPr>
              <w:pStyle w:val="Tabletextnormal"/>
            </w:pPr>
            <w:r>
              <w:t xml:space="preserve">Assessment scale for </w:t>
            </w:r>
            <w:proofErr w:type="spellStart"/>
            <w:r>
              <w:t>collaboratives</w:t>
            </w:r>
            <w:proofErr w:type="spellEnd"/>
          </w:p>
        </w:tc>
        <w:tc>
          <w:tcPr>
            <w:tcW w:w="1523" w:type="dxa"/>
          </w:tcPr>
          <w:p w14:paraId="1366FDE7" w14:textId="7A7231C9" w:rsidR="00A1335A" w:rsidRDefault="00A1335A" w:rsidP="00B7207D">
            <w:pPr>
              <w:pStyle w:val="Tabletextnormal"/>
            </w:pPr>
            <w:r>
              <w:t>Collaborative engagements</w:t>
            </w:r>
          </w:p>
        </w:tc>
        <w:tc>
          <w:tcPr>
            <w:tcW w:w="1327" w:type="dxa"/>
          </w:tcPr>
          <w:p w14:paraId="209961AE" w14:textId="721B5236" w:rsidR="00A1335A" w:rsidRDefault="00A1335A" w:rsidP="00B7207D">
            <w:pPr>
              <w:pStyle w:val="Tabletextnormal"/>
            </w:pPr>
            <w:r>
              <w:t>Institute for Healthcare Improvement (USA)</w:t>
            </w:r>
          </w:p>
        </w:tc>
        <w:tc>
          <w:tcPr>
            <w:tcW w:w="1142" w:type="dxa"/>
          </w:tcPr>
          <w:p w14:paraId="374507BC" w14:textId="73C40196" w:rsidR="00A1335A" w:rsidRDefault="00A1335A" w:rsidP="00B7207D">
            <w:pPr>
              <w:pStyle w:val="Tabletextnormal"/>
            </w:pPr>
            <w:r>
              <w:t>2018</w:t>
            </w:r>
          </w:p>
        </w:tc>
        <w:tc>
          <w:tcPr>
            <w:tcW w:w="1904" w:type="dxa"/>
          </w:tcPr>
          <w:p w14:paraId="6E4681A0" w14:textId="417DCCC1" w:rsidR="00A1335A" w:rsidRPr="00CB6FB7" w:rsidRDefault="005532A8" w:rsidP="00B7207D">
            <w:pPr>
              <w:pStyle w:val="Tabletextnormal"/>
            </w:pPr>
            <w:hyperlink r:id="rId22" w:history="1">
              <w:r w:rsidR="00A1335A" w:rsidRPr="00CB6FB7">
                <w:t>www.ihi.org/resources/Pages/Tools/AssessmentScaleforCollaboratives.aspx</w:t>
              </w:r>
            </w:hyperlink>
          </w:p>
        </w:tc>
        <w:tc>
          <w:tcPr>
            <w:tcW w:w="4226" w:type="dxa"/>
          </w:tcPr>
          <w:p w14:paraId="21E7B829" w14:textId="542CC0DE" w:rsidR="00A1335A" w:rsidRPr="00F47BEB" w:rsidRDefault="00A1335A" w:rsidP="00B7207D">
            <w:pPr>
              <w:pStyle w:val="Tabletextnormal"/>
            </w:pPr>
            <w:r>
              <w:t>This scale provides a basic template to assess a team’s progress throughout an IHI Breakthrough Series Collaborative or other improvement project</w:t>
            </w:r>
          </w:p>
        </w:tc>
        <w:tc>
          <w:tcPr>
            <w:tcW w:w="3117" w:type="dxa"/>
          </w:tcPr>
          <w:p w14:paraId="5190B910" w14:textId="2D89CD78" w:rsidR="00A1335A" w:rsidRDefault="00A1335A" w:rsidP="00B7207D">
            <w:pPr>
              <w:pStyle w:val="Tabletextnormal"/>
            </w:pPr>
            <w:r>
              <w:t>The template can be used by PHNs as a guide to create an assessment scale to evaluate project teams when planning an improvement project</w:t>
            </w:r>
          </w:p>
        </w:tc>
      </w:tr>
      <w:tr w:rsidR="00A1335A" w:rsidRPr="00DF5ABD" w14:paraId="6D27F637" w14:textId="77777777" w:rsidTr="004106D7">
        <w:trPr>
          <w:trHeight w:val="1406"/>
        </w:trPr>
        <w:tc>
          <w:tcPr>
            <w:tcW w:w="1787" w:type="dxa"/>
          </w:tcPr>
          <w:p w14:paraId="67D38B69" w14:textId="182F1475" w:rsidR="00A1335A" w:rsidRDefault="00A1335A" w:rsidP="00B7207D">
            <w:pPr>
              <w:pStyle w:val="Tabletextnormal"/>
            </w:pPr>
            <w:r>
              <w:t>Collaborative commissioning framework</w:t>
            </w:r>
          </w:p>
        </w:tc>
        <w:tc>
          <w:tcPr>
            <w:tcW w:w="1523" w:type="dxa"/>
          </w:tcPr>
          <w:p w14:paraId="0926044C" w14:textId="09ECD573" w:rsidR="00A1335A" w:rsidRDefault="00A1335A" w:rsidP="00B7207D">
            <w:pPr>
              <w:pStyle w:val="Tabletextnormal"/>
            </w:pPr>
            <w:r>
              <w:t>Collaborative arrangements</w:t>
            </w:r>
          </w:p>
        </w:tc>
        <w:tc>
          <w:tcPr>
            <w:tcW w:w="1327" w:type="dxa"/>
          </w:tcPr>
          <w:p w14:paraId="3998252B" w14:textId="044E4644" w:rsidR="00A1335A" w:rsidRDefault="00A1335A" w:rsidP="00B7207D">
            <w:pPr>
              <w:pStyle w:val="Tabletextnormal"/>
            </w:pPr>
            <w:r>
              <w:t>National Health Service (NHS) (UK)</w:t>
            </w:r>
          </w:p>
        </w:tc>
        <w:tc>
          <w:tcPr>
            <w:tcW w:w="1142" w:type="dxa"/>
          </w:tcPr>
          <w:p w14:paraId="1CD6BD49" w14:textId="20E920F9" w:rsidR="00A1335A" w:rsidRDefault="00A1335A" w:rsidP="00B7207D">
            <w:pPr>
              <w:pStyle w:val="Tabletextnormal"/>
            </w:pPr>
            <w:r>
              <w:t>2012</w:t>
            </w:r>
          </w:p>
        </w:tc>
        <w:tc>
          <w:tcPr>
            <w:tcW w:w="1904" w:type="dxa"/>
          </w:tcPr>
          <w:p w14:paraId="75286B1D" w14:textId="2AA2B29F" w:rsidR="00A1335A" w:rsidRPr="00F47BEB" w:rsidRDefault="00A1335A" w:rsidP="00B7207D">
            <w:pPr>
              <w:pStyle w:val="Tabletextnormal"/>
            </w:pPr>
            <w:r w:rsidRPr="00F47BEB">
              <w:t>www.england.nhs.uk/wp-content/uploads/2012/03/collab-commiss-frame.pdf</w:t>
            </w:r>
          </w:p>
        </w:tc>
        <w:tc>
          <w:tcPr>
            <w:tcW w:w="4226" w:type="dxa"/>
          </w:tcPr>
          <w:p w14:paraId="2AA23052" w14:textId="3EAB4026" w:rsidR="00A1335A" w:rsidRPr="00F47BEB" w:rsidRDefault="00A1335A" w:rsidP="00B7207D">
            <w:pPr>
              <w:pStyle w:val="Tabletextnormal"/>
            </w:pPr>
            <w:r>
              <w:t>The framework has a series of questions to help decide what arrangements are needed for collaborative commissioning, and when. It also considers the advantages and disadvantages of various collaborative commissioning models</w:t>
            </w:r>
          </w:p>
        </w:tc>
        <w:tc>
          <w:tcPr>
            <w:tcW w:w="3117" w:type="dxa"/>
          </w:tcPr>
          <w:p w14:paraId="2B248C23" w14:textId="4AC8C919" w:rsidR="00A1335A" w:rsidRDefault="00A1335A" w:rsidP="00B7207D">
            <w:pPr>
              <w:pStyle w:val="Tabletextnormal"/>
            </w:pPr>
            <w:r>
              <w:t>Commissioning with other PHNs or commissioners</w:t>
            </w:r>
          </w:p>
        </w:tc>
      </w:tr>
      <w:tr w:rsidR="00A1335A" w:rsidRPr="00DF5ABD" w14:paraId="68724395" w14:textId="4CCAB1E7" w:rsidTr="004106D7">
        <w:trPr>
          <w:trHeight w:val="1406"/>
        </w:trPr>
        <w:tc>
          <w:tcPr>
            <w:tcW w:w="1787" w:type="dxa"/>
          </w:tcPr>
          <w:p w14:paraId="14E92978" w14:textId="029797EE" w:rsidR="00A1335A" w:rsidRDefault="00A1335A" w:rsidP="00B7207D">
            <w:pPr>
              <w:pStyle w:val="Tabletextnormal"/>
            </w:pPr>
            <w:r w:rsidRPr="001A1EE3">
              <w:t>The partnership assessment tool</w:t>
            </w:r>
          </w:p>
        </w:tc>
        <w:tc>
          <w:tcPr>
            <w:tcW w:w="1523" w:type="dxa"/>
          </w:tcPr>
          <w:p w14:paraId="439A0A8F" w14:textId="5DC53FC4" w:rsidR="00A1335A" w:rsidRDefault="00A1335A" w:rsidP="00B7207D">
            <w:pPr>
              <w:pStyle w:val="Tabletextnormal"/>
            </w:pPr>
            <w:r>
              <w:t>Collaborative arrangements</w:t>
            </w:r>
          </w:p>
        </w:tc>
        <w:tc>
          <w:tcPr>
            <w:tcW w:w="1327" w:type="dxa"/>
          </w:tcPr>
          <w:p w14:paraId="4FE8B02B" w14:textId="48E395D2" w:rsidR="00A1335A" w:rsidRDefault="00A1335A" w:rsidP="00B7207D">
            <w:pPr>
              <w:pStyle w:val="Tabletextnormal"/>
            </w:pPr>
            <w:r>
              <w:t>Nuffield Institute for Health, Stra</w:t>
            </w:r>
            <w:r w:rsidR="00076E0E">
              <w:t>tegic Partnering Workforce (UK)</w:t>
            </w:r>
          </w:p>
        </w:tc>
        <w:tc>
          <w:tcPr>
            <w:tcW w:w="1142" w:type="dxa"/>
          </w:tcPr>
          <w:p w14:paraId="2CBB37B7" w14:textId="6539DAAB" w:rsidR="00A1335A" w:rsidRDefault="00A1335A" w:rsidP="00B7207D">
            <w:pPr>
              <w:pStyle w:val="Tabletextnormal"/>
            </w:pPr>
            <w:r>
              <w:t>2003</w:t>
            </w:r>
          </w:p>
        </w:tc>
        <w:tc>
          <w:tcPr>
            <w:tcW w:w="1904" w:type="dxa"/>
          </w:tcPr>
          <w:p w14:paraId="25553602" w14:textId="0762EAB3" w:rsidR="00A1335A" w:rsidRPr="00DF5ABD" w:rsidRDefault="00A1335A" w:rsidP="00B7207D">
            <w:pPr>
              <w:pStyle w:val="Tabletextnormal"/>
            </w:pPr>
            <w:r w:rsidRPr="00BD3FF9">
              <w:t>www.iape.org.il/upload/AssessingStrategicPartnership.pdf</w:t>
            </w:r>
          </w:p>
        </w:tc>
        <w:tc>
          <w:tcPr>
            <w:tcW w:w="4226" w:type="dxa"/>
          </w:tcPr>
          <w:p w14:paraId="5105ABFD" w14:textId="5CD53A1F" w:rsidR="00A1335A" w:rsidRPr="00DF5ABD" w:rsidRDefault="00A1335A" w:rsidP="00B7207D">
            <w:pPr>
              <w:pStyle w:val="Tabletextnormal"/>
            </w:pPr>
            <w:r w:rsidRPr="00F47BEB">
              <w:t xml:space="preserve"> A tool for assessing the effectiveness of a partnership</w:t>
            </w:r>
            <w:r>
              <w:t>, by identifying problem areas</w:t>
            </w:r>
          </w:p>
        </w:tc>
        <w:tc>
          <w:tcPr>
            <w:tcW w:w="3117" w:type="dxa"/>
          </w:tcPr>
          <w:p w14:paraId="61A3EAC4" w14:textId="0D71CA0F" w:rsidR="00A1335A" w:rsidRDefault="00A1335A" w:rsidP="00B7207D">
            <w:pPr>
              <w:pStyle w:val="Tabletextnormal"/>
            </w:pPr>
            <w:r>
              <w:t>PHNs wanting to develop their partnerships (not for assessing local partner performance)</w:t>
            </w:r>
          </w:p>
        </w:tc>
      </w:tr>
      <w:tr w:rsidR="00A1335A" w:rsidRPr="00DF5ABD" w14:paraId="53282B83" w14:textId="77777777" w:rsidTr="004106D7">
        <w:trPr>
          <w:trHeight w:val="1406"/>
        </w:trPr>
        <w:tc>
          <w:tcPr>
            <w:tcW w:w="1787" w:type="dxa"/>
          </w:tcPr>
          <w:p w14:paraId="61351613" w14:textId="685B3322" w:rsidR="00A1335A" w:rsidRPr="00D277B6" w:rsidRDefault="00A1335A" w:rsidP="00B7207D">
            <w:pPr>
              <w:pStyle w:val="Tabletextnormal"/>
            </w:pPr>
            <w:r w:rsidRPr="00D277B6">
              <w:t>R</w:t>
            </w:r>
            <w:r>
              <w:t>eview of Australian Government Health Workforce Programs</w:t>
            </w:r>
          </w:p>
        </w:tc>
        <w:tc>
          <w:tcPr>
            <w:tcW w:w="1523" w:type="dxa"/>
          </w:tcPr>
          <w:p w14:paraId="5031FF6B" w14:textId="732C3BBC" w:rsidR="00A1335A" w:rsidRPr="00D277B6" w:rsidRDefault="00A1335A" w:rsidP="00B7207D">
            <w:pPr>
              <w:pStyle w:val="Tabletextnormal"/>
            </w:pPr>
            <w:r w:rsidRPr="00D277B6">
              <w:t>Market management</w:t>
            </w:r>
          </w:p>
        </w:tc>
        <w:tc>
          <w:tcPr>
            <w:tcW w:w="1327" w:type="dxa"/>
          </w:tcPr>
          <w:p w14:paraId="4C9CC858" w14:textId="1A6EA53B" w:rsidR="00A1335A" w:rsidRPr="00D277B6" w:rsidRDefault="00A1335A" w:rsidP="00B7207D">
            <w:pPr>
              <w:pStyle w:val="Tabletextnormal"/>
            </w:pPr>
            <w:r w:rsidRPr="00D277B6">
              <w:t>Australian Government Department of Health</w:t>
            </w:r>
          </w:p>
        </w:tc>
        <w:tc>
          <w:tcPr>
            <w:tcW w:w="1142" w:type="dxa"/>
          </w:tcPr>
          <w:p w14:paraId="35BEC8F6" w14:textId="280C109C" w:rsidR="00A1335A" w:rsidRPr="00D277B6" w:rsidRDefault="00A1335A" w:rsidP="00B7207D">
            <w:pPr>
              <w:pStyle w:val="Tabletextnormal"/>
            </w:pPr>
            <w:r>
              <w:t>2013</w:t>
            </w:r>
          </w:p>
        </w:tc>
        <w:tc>
          <w:tcPr>
            <w:tcW w:w="1904" w:type="dxa"/>
          </w:tcPr>
          <w:p w14:paraId="73305BE8" w14:textId="0E065E39" w:rsidR="00A1335A" w:rsidRPr="00D277B6" w:rsidRDefault="00A1335A" w:rsidP="00B7207D">
            <w:pPr>
              <w:pStyle w:val="Tabletextnormal"/>
            </w:pPr>
            <w:r w:rsidRPr="00D277B6">
              <w:t>www.health.gov.au/internet/main/publishing.nsf/content/review-australian-government-health-workforce-programs</w:t>
            </w:r>
          </w:p>
        </w:tc>
        <w:tc>
          <w:tcPr>
            <w:tcW w:w="4226" w:type="dxa"/>
          </w:tcPr>
          <w:p w14:paraId="2142CB9E" w14:textId="5DF763FE" w:rsidR="00A1335A" w:rsidRPr="00CB7100" w:rsidRDefault="00A1335A" w:rsidP="00B7207D">
            <w:pPr>
              <w:pStyle w:val="Tabletextnormal"/>
              <w:rPr>
                <w:szCs w:val="20"/>
              </w:rPr>
            </w:pPr>
            <w:r w:rsidRPr="00A1335A">
              <w:rPr>
                <w:szCs w:val="20"/>
              </w:rPr>
              <w:t>Pr</w:t>
            </w:r>
            <w:r w:rsidRPr="00A52227">
              <w:t>ovides detailed analysis of programs to develop healthcare workforces</w:t>
            </w:r>
          </w:p>
        </w:tc>
        <w:tc>
          <w:tcPr>
            <w:tcW w:w="3117" w:type="dxa"/>
          </w:tcPr>
          <w:p w14:paraId="1A8A3B73" w14:textId="10A78F3A" w:rsidR="00A1335A" w:rsidRPr="00D277B6" w:rsidRDefault="00A1335A" w:rsidP="00B7207D">
            <w:pPr>
              <w:pStyle w:val="Tabletextnormal"/>
            </w:pPr>
            <w:r>
              <w:t>In engaging current and future workforces</w:t>
            </w:r>
          </w:p>
        </w:tc>
      </w:tr>
      <w:tr w:rsidR="00A1335A" w:rsidRPr="00DF5ABD" w14:paraId="31CBF4DE" w14:textId="77777777" w:rsidTr="004106D7">
        <w:trPr>
          <w:trHeight w:val="1406"/>
        </w:trPr>
        <w:tc>
          <w:tcPr>
            <w:tcW w:w="1787" w:type="dxa"/>
          </w:tcPr>
          <w:p w14:paraId="166BBE5E" w14:textId="7AB44C55" w:rsidR="00A1335A" w:rsidRDefault="00A1335A" w:rsidP="00B7207D">
            <w:pPr>
              <w:pStyle w:val="Tabletextnormal"/>
            </w:pPr>
            <w:r>
              <w:lastRenderedPageBreak/>
              <w:t>Health Workforce Programmes</w:t>
            </w:r>
          </w:p>
        </w:tc>
        <w:tc>
          <w:tcPr>
            <w:tcW w:w="1523" w:type="dxa"/>
          </w:tcPr>
          <w:p w14:paraId="5E747746" w14:textId="02FC8CF8" w:rsidR="00A1335A" w:rsidRDefault="00A1335A" w:rsidP="00B7207D">
            <w:pPr>
              <w:pStyle w:val="Tabletextnormal"/>
            </w:pPr>
            <w:r>
              <w:t>Market management</w:t>
            </w:r>
          </w:p>
        </w:tc>
        <w:tc>
          <w:tcPr>
            <w:tcW w:w="1327" w:type="dxa"/>
          </w:tcPr>
          <w:p w14:paraId="3E72E20F" w14:textId="2FD64F54" w:rsidR="00A1335A" w:rsidRPr="00A7084F" w:rsidRDefault="00A1335A" w:rsidP="00B7207D">
            <w:pPr>
              <w:pStyle w:val="Tabletextnormal"/>
            </w:pPr>
            <w:r>
              <w:t>Australian Government Department of Health</w:t>
            </w:r>
          </w:p>
        </w:tc>
        <w:tc>
          <w:tcPr>
            <w:tcW w:w="1142" w:type="dxa"/>
          </w:tcPr>
          <w:p w14:paraId="58571EFB" w14:textId="5F14DEF6" w:rsidR="00A1335A" w:rsidRDefault="00A1335A" w:rsidP="00B7207D">
            <w:pPr>
              <w:pStyle w:val="Tabletextnormal"/>
            </w:pPr>
            <w:r>
              <w:t>2016</w:t>
            </w:r>
          </w:p>
        </w:tc>
        <w:tc>
          <w:tcPr>
            <w:tcW w:w="1904" w:type="dxa"/>
          </w:tcPr>
          <w:p w14:paraId="214C729B" w14:textId="2F940293" w:rsidR="00A1335A" w:rsidRPr="005202C8" w:rsidRDefault="00A1335A" w:rsidP="00B7207D">
            <w:pPr>
              <w:pStyle w:val="Tabletextnormal"/>
            </w:pPr>
            <w:r w:rsidRPr="00D277B6">
              <w:t>www.health.gov.au/internet/main/publishing.nsf/Content/work-prog</w:t>
            </w:r>
          </w:p>
        </w:tc>
        <w:tc>
          <w:tcPr>
            <w:tcW w:w="4226" w:type="dxa"/>
          </w:tcPr>
          <w:p w14:paraId="0CD55B9C" w14:textId="26A88123" w:rsidR="00A1335A" w:rsidRPr="00047758" w:rsidRDefault="00A1335A" w:rsidP="00B7207D">
            <w:pPr>
              <w:pStyle w:val="Tabletextnormal"/>
            </w:pPr>
            <w:r>
              <w:t>A list of Australian Government programs to improve the adequacy, quality and distribution of Australia’s health workforce</w:t>
            </w:r>
          </w:p>
        </w:tc>
        <w:tc>
          <w:tcPr>
            <w:tcW w:w="3117" w:type="dxa"/>
          </w:tcPr>
          <w:p w14:paraId="70282518" w14:textId="4C9CBFEA" w:rsidR="00A1335A" w:rsidRPr="00047758" w:rsidRDefault="00A1335A" w:rsidP="00B7207D">
            <w:pPr>
              <w:pStyle w:val="Tabletextnormal"/>
            </w:pPr>
            <w:r>
              <w:t>In engaging current and future workforces</w:t>
            </w:r>
          </w:p>
        </w:tc>
      </w:tr>
      <w:tr w:rsidR="00A1335A" w:rsidRPr="00DF5ABD" w14:paraId="36182A71" w14:textId="24D5DBCE" w:rsidTr="004106D7">
        <w:trPr>
          <w:trHeight w:val="1406"/>
        </w:trPr>
        <w:tc>
          <w:tcPr>
            <w:tcW w:w="1787" w:type="dxa"/>
          </w:tcPr>
          <w:p w14:paraId="41B90626" w14:textId="1CAD7151" w:rsidR="00A1335A" w:rsidRPr="001A1EE3" w:rsidRDefault="00A1335A" w:rsidP="00B7207D">
            <w:pPr>
              <w:pStyle w:val="Tabletextnormal"/>
            </w:pPr>
            <w:r>
              <w:t>Market Shaping Toolkit</w:t>
            </w:r>
          </w:p>
        </w:tc>
        <w:tc>
          <w:tcPr>
            <w:tcW w:w="1523" w:type="dxa"/>
          </w:tcPr>
          <w:p w14:paraId="57E4F172" w14:textId="2DB8A856" w:rsidR="00A1335A" w:rsidRPr="00A7084F" w:rsidRDefault="00A1335A" w:rsidP="00B7207D">
            <w:pPr>
              <w:pStyle w:val="Tabletextnormal"/>
            </w:pPr>
            <w:r>
              <w:t>Market management</w:t>
            </w:r>
          </w:p>
        </w:tc>
        <w:tc>
          <w:tcPr>
            <w:tcW w:w="1327" w:type="dxa"/>
          </w:tcPr>
          <w:p w14:paraId="722DC3D5" w14:textId="6EA3F8DD" w:rsidR="00A1335A" w:rsidRDefault="00A1335A" w:rsidP="00B7207D">
            <w:pPr>
              <w:pStyle w:val="Tabletextnormal"/>
            </w:pPr>
            <w:r w:rsidRPr="00A7084F">
              <w:t>Institute of Public Care at Oxford Brookes University</w:t>
            </w:r>
            <w:r>
              <w:t xml:space="preserve"> (UK)</w:t>
            </w:r>
          </w:p>
        </w:tc>
        <w:tc>
          <w:tcPr>
            <w:tcW w:w="1142" w:type="dxa"/>
          </w:tcPr>
          <w:p w14:paraId="60BEAF06" w14:textId="11C70DAB" w:rsidR="00A1335A" w:rsidRDefault="00A1335A" w:rsidP="00B7207D">
            <w:pPr>
              <w:pStyle w:val="Tabletextnormal"/>
            </w:pPr>
            <w:r>
              <w:t>2015</w:t>
            </w:r>
          </w:p>
        </w:tc>
        <w:tc>
          <w:tcPr>
            <w:tcW w:w="1904" w:type="dxa"/>
          </w:tcPr>
          <w:p w14:paraId="0E4D61B5" w14:textId="678F3D08" w:rsidR="00A1335A" w:rsidRPr="00BD3FF9" w:rsidRDefault="00A1335A" w:rsidP="00B7207D">
            <w:pPr>
              <w:pStyle w:val="Tabletextnormal"/>
            </w:pPr>
            <w:r w:rsidRPr="005202C8">
              <w:t>ipc.brookes.ac.uk/what-we-do/what-we-do/market-shaping/market-shaping-toolkit.html</w:t>
            </w:r>
          </w:p>
        </w:tc>
        <w:tc>
          <w:tcPr>
            <w:tcW w:w="4226" w:type="dxa"/>
          </w:tcPr>
          <w:p w14:paraId="1E6F3A58" w14:textId="77777777" w:rsidR="00A1335A" w:rsidRPr="00047758" w:rsidRDefault="00A1335A" w:rsidP="00B7207D">
            <w:pPr>
              <w:pStyle w:val="Tabletextnormal"/>
            </w:pPr>
            <w:r w:rsidRPr="00047758">
              <w:t>The toolkit gives some new ideas and suggestions about who to engage with, why and how, in local care markets. It has 5 tools</w:t>
            </w:r>
            <w:r>
              <w:t>:</w:t>
            </w:r>
          </w:p>
          <w:p w14:paraId="2C1E0E66" w14:textId="77777777" w:rsidR="00A1335A" w:rsidRPr="00047758" w:rsidRDefault="00A1335A" w:rsidP="00B7207D">
            <w:pPr>
              <w:pStyle w:val="Tablelistbullet"/>
            </w:pPr>
            <w:r w:rsidRPr="00047758">
              <w:t>Guide to care provider business</w:t>
            </w:r>
          </w:p>
          <w:p w14:paraId="181B1D06" w14:textId="77777777" w:rsidR="00A1335A" w:rsidRPr="00047758" w:rsidRDefault="00A1335A" w:rsidP="00B7207D">
            <w:pPr>
              <w:pStyle w:val="Tablelistbullet"/>
            </w:pPr>
            <w:r w:rsidRPr="00047758">
              <w:t>What is a market positon statement and why is it important to providers</w:t>
            </w:r>
          </w:p>
          <w:p w14:paraId="63352AF8" w14:textId="77777777" w:rsidR="00A1335A" w:rsidRPr="00047758" w:rsidRDefault="00A1335A" w:rsidP="00B7207D">
            <w:pPr>
              <w:pStyle w:val="Tablelistbullet"/>
            </w:pPr>
            <w:r w:rsidRPr="00047758">
              <w:t>Fostering innovation in care and support</w:t>
            </w:r>
          </w:p>
          <w:p w14:paraId="09BE6A5A" w14:textId="03016559" w:rsidR="00A1335A" w:rsidRPr="00047758" w:rsidRDefault="00A1335A" w:rsidP="00B7207D">
            <w:pPr>
              <w:pStyle w:val="Tablelistbullet"/>
            </w:pPr>
            <w:r w:rsidRPr="00047758">
              <w:t xml:space="preserve">Good practice for engagement with </w:t>
            </w:r>
            <w:r>
              <w:t>Subject Matter Experts (</w:t>
            </w:r>
            <w:r w:rsidRPr="00047758">
              <w:t>SMEs</w:t>
            </w:r>
            <w:r w:rsidR="00076E0E">
              <w:t>)</w:t>
            </w:r>
          </w:p>
          <w:p w14:paraId="49AA1F24" w14:textId="53EFFA5C" w:rsidR="00A1335A" w:rsidRPr="00F47BEB" w:rsidRDefault="00A1335A" w:rsidP="00B7207D">
            <w:pPr>
              <w:pStyle w:val="Tablelistbullet"/>
            </w:pPr>
            <w:r w:rsidRPr="00047758">
              <w:t>A checklist for SME procurement</w:t>
            </w:r>
          </w:p>
        </w:tc>
        <w:tc>
          <w:tcPr>
            <w:tcW w:w="3117" w:type="dxa"/>
          </w:tcPr>
          <w:p w14:paraId="1E797F5F" w14:textId="1936247C" w:rsidR="00A1335A" w:rsidRDefault="00A1335A" w:rsidP="00B7207D">
            <w:pPr>
              <w:pStyle w:val="Tabletextnormal"/>
            </w:pPr>
            <w:r w:rsidRPr="00047758">
              <w:t>In engaging in market shaping, and to work together to develop innovati</w:t>
            </w:r>
            <w:r>
              <w:t>ve practice to meet local needs</w:t>
            </w:r>
          </w:p>
        </w:tc>
      </w:tr>
      <w:tr w:rsidR="00A1335A" w:rsidRPr="00DF5ABD" w14:paraId="380C756D" w14:textId="2AB9EBFA" w:rsidTr="004106D7">
        <w:trPr>
          <w:trHeight w:val="1406"/>
        </w:trPr>
        <w:tc>
          <w:tcPr>
            <w:tcW w:w="1787" w:type="dxa"/>
          </w:tcPr>
          <w:p w14:paraId="700901BC" w14:textId="44E0DF08" w:rsidR="00A1335A" w:rsidRPr="001A1EE3" w:rsidRDefault="00A1335A" w:rsidP="00B7207D">
            <w:pPr>
              <w:pStyle w:val="Tabletextnormal"/>
            </w:pPr>
            <w:r w:rsidRPr="00047758">
              <w:t>Stronger partnerships for better outcomes: A protocol for market relations</w:t>
            </w:r>
          </w:p>
        </w:tc>
        <w:tc>
          <w:tcPr>
            <w:tcW w:w="1523" w:type="dxa"/>
          </w:tcPr>
          <w:p w14:paraId="3DA020FA" w14:textId="201EC576" w:rsidR="00A1335A" w:rsidRPr="00047758" w:rsidRDefault="00A1335A" w:rsidP="00B7207D">
            <w:pPr>
              <w:pStyle w:val="Tabletextnormal"/>
            </w:pPr>
            <w:r>
              <w:t>Market management</w:t>
            </w:r>
          </w:p>
        </w:tc>
        <w:tc>
          <w:tcPr>
            <w:tcW w:w="1327" w:type="dxa"/>
          </w:tcPr>
          <w:p w14:paraId="24946EC0" w14:textId="452AAD9D" w:rsidR="00A1335A" w:rsidRDefault="00A1335A" w:rsidP="00B7207D">
            <w:pPr>
              <w:pStyle w:val="Tabletextnormal"/>
            </w:pPr>
            <w:r w:rsidRPr="00047758">
              <w:t>Dr Sam Bennett, Groundswell Partnership on behalf of Think Local Act Personal</w:t>
            </w:r>
            <w:r>
              <w:t xml:space="preserve"> (UK)</w:t>
            </w:r>
          </w:p>
        </w:tc>
        <w:tc>
          <w:tcPr>
            <w:tcW w:w="1142" w:type="dxa"/>
          </w:tcPr>
          <w:p w14:paraId="6D69937D" w14:textId="1C641597" w:rsidR="00A1335A" w:rsidRDefault="00A1335A" w:rsidP="00B7207D">
            <w:pPr>
              <w:pStyle w:val="Tabletextnormal"/>
            </w:pPr>
            <w:r>
              <w:t>2012</w:t>
            </w:r>
          </w:p>
        </w:tc>
        <w:tc>
          <w:tcPr>
            <w:tcW w:w="1904" w:type="dxa"/>
          </w:tcPr>
          <w:p w14:paraId="064C1727" w14:textId="7D253AB0" w:rsidR="00A1335A" w:rsidRPr="00B26FC2" w:rsidRDefault="00A1335A" w:rsidP="00B7207D">
            <w:pPr>
              <w:pStyle w:val="Tabletextnormal"/>
            </w:pPr>
            <w:r w:rsidRPr="00B26FC2">
              <w:t>www.thinklocalactpersonal.org.uk/_assets/NMDF/StrongerPartnerships_final.pdf</w:t>
            </w:r>
          </w:p>
        </w:tc>
        <w:tc>
          <w:tcPr>
            <w:tcW w:w="4226" w:type="dxa"/>
          </w:tcPr>
          <w:p w14:paraId="3020E6A5" w14:textId="27D8EF64" w:rsidR="00A1335A" w:rsidRPr="00F47BEB" w:rsidRDefault="00A1335A" w:rsidP="00B7207D">
            <w:pPr>
              <w:pStyle w:val="Tabletextnormal"/>
            </w:pPr>
            <w:r w:rsidRPr="00047758">
              <w:t>A set of principles and behaviours that will enhance the environment in which good adult social care and sup</w:t>
            </w:r>
            <w:r>
              <w:t>port is developed and sustained</w:t>
            </w:r>
          </w:p>
        </w:tc>
        <w:tc>
          <w:tcPr>
            <w:tcW w:w="3117" w:type="dxa"/>
          </w:tcPr>
          <w:p w14:paraId="793D199C" w14:textId="5ADCBD4D" w:rsidR="00A1335A" w:rsidRDefault="00A1335A" w:rsidP="00B7207D">
            <w:pPr>
              <w:pStyle w:val="Tabletextnormal"/>
            </w:pPr>
            <w:r>
              <w:t>In understanding, engaging and intervening in markets (noting its focus on social care in the UK context)</w:t>
            </w:r>
          </w:p>
        </w:tc>
      </w:tr>
      <w:tr w:rsidR="00A1335A" w:rsidRPr="00DF5ABD" w14:paraId="5A239EEF" w14:textId="17F0D621" w:rsidTr="004106D7">
        <w:trPr>
          <w:trHeight w:val="1406"/>
        </w:trPr>
        <w:tc>
          <w:tcPr>
            <w:tcW w:w="1787" w:type="dxa"/>
          </w:tcPr>
          <w:p w14:paraId="44274666" w14:textId="01D90F00" w:rsidR="00A1335A" w:rsidRPr="001A1EE3" w:rsidRDefault="00A1335A" w:rsidP="00B7207D">
            <w:pPr>
              <w:pStyle w:val="Tabletextnormal"/>
            </w:pPr>
            <w:r>
              <w:t>Assessing social care market and provider sustainability</w:t>
            </w:r>
          </w:p>
        </w:tc>
        <w:tc>
          <w:tcPr>
            <w:tcW w:w="1523" w:type="dxa"/>
          </w:tcPr>
          <w:p w14:paraId="6D02A7F2" w14:textId="5789FEA8" w:rsidR="00A1335A" w:rsidRDefault="00A1335A" w:rsidP="00B7207D">
            <w:pPr>
              <w:pStyle w:val="Tabletextnormal"/>
            </w:pPr>
            <w:r>
              <w:t>Market management</w:t>
            </w:r>
          </w:p>
        </w:tc>
        <w:tc>
          <w:tcPr>
            <w:tcW w:w="1327" w:type="dxa"/>
          </w:tcPr>
          <w:p w14:paraId="31C4982A" w14:textId="3EFA4DE7" w:rsidR="00A1335A" w:rsidRDefault="00A1335A" w:rsidP="00B7207D">
            <w:pPr>
              <w:pStyle w:val="Tabletextnormal"/>
            </w:pPr>
            <w:proofErr w:type="spellStart"/>
            <w:r>
              <w:t>CordisBright</w:t>
            </w:r>
            <w:proofErr w:type="spellEnd"/>
            <w:r>
              <w:t xml:space="preserve"> (UK)</w:t>
            </w:r>
          </w:p>
        </w:tc>
        <w:tc>
          <w:tcPr>
            <w:tcW w:w="1142" w:type="dxa"/>
          </w:tcPr>
          <w:p w14:paraId="5E0E4651" w14:textId="469D0BBC" w:rsidR="00A1335A" w:rsidRDefault="00A1335A" w:rsidP="00B7207D">
            <w:pPr>
              <w:pStyle w:val="Tabletextnormal"/>
            </w:pPr>
            <w:r>
              <w:t>2015</w:t>
            </w:r>
          </w:p>
        </w:tc>
        <w:tc>
          <w:tcPr>
            <w:tcW w:w="1904" w:type="dxa"/>
          </w:tcPr>
          <w:p w14:paraId="64AC8111" w14:textId="18496987" w:rsidR="00A1335A" w:rsidRPr="00BD3FF9" w:rsidRDefault="00A1335A" w:rsidP="00B7207D">
            <w:pPr>
              <w:pStyle w:val="Tabletextnormal"/>
            </w:pPr>
            <w:r w:rsidRPr="00C24DEA">
              <w:t>www.cordisbright.co.uk/news/post.php?s=social-care-market-sustainability</w:t>
            </w:r>
          </w:p>
        </w:tc>
        <w:tc>
          <w:tcPr>
            <w:tcW w:w="4226" w:type="dxa"/>
          </w:tcPr>
          <w:p w14:paraId="486493D0" w14:textId="77777777" w:rsidR="00A1335A" w:rsidRDefault="00A1335A" w:rsidP="00B7207D">
            <w:pPr>
              <w:pStyle w:val="Tabletextnormal"/>
            </w:pPr>
            <w:r>
              <w:t>A toolkit that helps:</w:t>
            </w:r>
          </w:p>
          <w:p w14:paraId="55876D26" w14:textId="77777777" w:rsidR="00A1335A" w:rsidRDefault="00A1335A" w:rsidP="00B7207D">
            <w:pPr>
              <w:pStyle w:val="Tablelistbullet"/>
            </w:pPr>
            <w:r>
              <w:t>Determine local market segmentation</w:t>
            </w:r>
          </w:p>
          <w:p w14:paraId="47733BCC" w14:textId="77777777" w:rsidR="00A1335A" w:rsidRDefault="00A1335A" w:rsidP="00B7207D">
            <w:pPr>
              <w:pStyle w:val="Tablelistbullet"/>
            </w:pPr>
            <w:r>
              <w:t>Evaluate external indicators</w:t>
            </w:r>
          </w:p>
          <w:p w14:paraId="2AC9D7A7" w14:textId="77777777" w:rsidR="00A1335A" w:rsidRDefault="00A1335A" w:rsidP="00B7207D">
            <w:pPr>
              <w:pStyle w:val="Tablelistbullet"/>
            </w:pPr>
            <w:r>
              <w:t>Evaluate sub market composition indicators</w:t>
            </w:r>
          </w:p>
          <w:p w14:paraId="1C62F3A4" w14:textId="77777777" w:rsidR="00A1335A" w:rsidRDefault="00A1335A" w:rsidP="00B7207D">
            <w:pPr>
              <w:pStyle w:val="Tablelistbullet"/>
            </w:pPr>
            <w:r>
              <w:t>Form a judgement on sustainability and decide which ‘hard to replace’ providers to monitor</w:t>
            </w:r>
          </w:p>
          <w:p w14:paraId="48E05BBE" w14:textId="1B29A97B" w:rsidR="00A1335A" w:rsidRPr="00F47BEB" w:rsidRDefault="00A1335A" w:rsidP="00B7207D">
            <w:pPr>
              <w:pStyle w:val="Tablelistbullet"/>
            </w:pPr>
            <w:r>
              <w:t>Understand and monitor the sustainability of ‘hard to replace’ providers</w:t>
            </w:r>
          </w:p>
        </w:tc>
        <w:tc>
          <w:tcPr>
            <w:tcW w:w="3117" w:type="dxa"/>
          </w:tcPr>
          <w:p w14:paraId="622C5772" w14:textId="7CE87045" w:rsidR="00A1335A" w:rsidRDefault="00A1335A" w:rsidP="00B7207D">
            <w:pPr>
              <w:pStyle w:val="Tabletextnormal"/>
            </w:pPr>
            <w:r>
              <w:t>In evaluating and monitoring markets (noting its focus on social care in the UK context)</w:t>
            </w:r>
          </w:p>
        </w:tc>
      </w:tr>
      <w:tr w:rsidR="00A1335A" w:rsidRPr="00DF5ABD" w14:paraId="4B972F13" w14:textId="554664F1" w:rsidTr="004106D7">
        <w:trPr>
          <w:trHeight w:val="960"/>
        </w:trPr>
        <w:tc>
          <w:tcPr>
            <w:tcW w:w="1787" w:type="dxa"/>
          </w:tcPr>
          <w:p w14:paraId="591B2734" w14:textId="7F212559" w:rsidR="00A1335A" w:rsidRPr="001A1EE3" w:rsidRDefault="00A1335A" w:rsidP="00B7207D">
            <w:pPr>
              <w:pStyle w:val="Tabletextnormal"/>
            </w:pPr>
            <w:r>
              <w:lastRenderedPageBreak/>
              <w:t xml:space="preserve">Commissioning for market diversity </w:t>
            </w:r>
          </w:p>
        </w:tc>
        <w:tc>
          <w:tcPr>
            <w:tcW w:w="1523" w:type="dxa"/>
          </w:tcPr>
          <w:p w14:paraId="6F8C395F" w14:textId="63FB551C" w:rsidR="00A1335A" w:rsidRDefault="00A1335A" w:rsidP="00B7207D">
            <w:pPr>
              <w:pStyle w:val="Tabletextnormal"/>
            </w:pPr>
            <w:r>
              <w:t>Market management</w:t>
            </w:r>
          </w:p>
        </w:tc>
        <w:tc>
          <w:tcPr>
            <w:tcW w:w="1327" w:type="dxa"/>
          </w:tcPr>
          <w:p w14:paraId="01BBE28A" w14:textId="38436AB5" w:rsidR="00A1335A" w:rsidRDefault="00A1335A" w:rsidP="00B7207D">
            <w:pPr>
              <w:pStyle w:val="Tabletextnormal"/>
            </w:pPr>
            <w:r>
              <w:t>Think Local Act Personal (UK)</w:t>
            </w:r>
          </w:p>
        </w:tc>
        <w:tc>
          <w:tcPr>
            <w:tcW w:w="1142" w:type="dxa"/>
          </w:tcPr>
          <w:p w14:paraId="1FEE8A26" w14:textId="11D808E3" w:rsidR="00A1335A" w:rsidRDefault="00A1335A" w:rsidP="00B7207D">
            <w:pPr>
              <w:pStyle w:val="Tabletextnormal"/>
            </w:pPr>
            <w:r>
              <w:t>2015</w:t>
            </w:r>
          </w:p>
        </w:tc>
        <w:tc>
          <w:tcPr>
            <w:tcW w:w="1904" w:type="dxa"/>
          </w:tcPr>
          <w:p w14:paraId="1D368842" w14:textId="53620F9F" w:rsidR="00A1335A" w:rsidRPr="00BD3FF9" w:rsidRDefault="00A1335A" w:rsidP="00B7207D">
            <w:pPr>
              <w:pStyle w:val="Tabletextnormal"/>
            </w:pPr>
            <w:r w:rsidRPr="00047758">
              <w:t>www.thinklocalactpersonal.org.uk/_assets/Resources/NMDF/TLAPTopTips.pdf</w:t>
            </w:r>
          </w:p>
        </w:tc>
        <w:tc>
          <w:tcPr>
            <w:tcW w:w="4226" w:type="dxa"/>
          </w:tcPr>
          <w:p w14:paraId="50161C26" w14:textId="2857916D" w:rsidR="00A1335A" w:rsidRPr="00F47BEB" w:rsidRDefault="00A1335A" w:rsidP="00B7207D">
            <w:pPr>
              <w:pStyle w:val="Tabletextnormal"/>
            </w:pPr>
            <w:r>
              <w:t>Tips and case studies of commissioning for market diversity in the social care market</w:t>
            </w:r>
          </w:p>
        </w:tc>
        <w:tc>
          <w:tcPr>
            <w:tcW w:w="3117" w:type="dxa"/>
          </w:tcPr>
          <w:p w14:paraId="7B42C547" w14:textId="729FFBAF" w:rsidR="00A1335A" w:rsidRDefault="00A1335A" w:rsidP="00B7207D">
            <w:pPr>
              <w:pStyle w:val="Tabletextnormal"/>
            </w:pPr>
            <w:r>
              <w:t>In developing greater market diversity (noting its focus on social care in the UK context)</w:t>
            </w:r>
          </w:p>
        </w:tc>
      </w:tr>
      <w:tr w:rsidR="00A1335A" w:rsidRPr="00DF5ABD" w14:paraId="537948AA" w14:textId="4A209C0F" w:rsidTr="004106D7">
        <w:trPr>
          <w:trHeight w:val="1406"/>
        </w:trPr>
        <w:tc>
          <w:tcPr>
            <w:tcW w:w="1787" w:type="dxa"/>
          </w:tcPr>
          <w:p w14:paraId="62CD9A40" w14:textId="35A2C9EF" w:rsidR="00A1335A" w:rsidRPr="001A1EE3" w:rsidRDefault="00A1335A" w:rsidP="00B7207D">
            <w:pPr>
              <w:pStyle w:val="Tabletextnormal"/>
            </w:pPr>
            <w:r w:rsidRPr="00047758">
              <w:t>Working with Care Providers to Understand Costs</w:t>
            </w:r>
          </w:p>
        </w:tc>
        <w:tc>
          <w:tcPr>
            <w:tcW w:w="1523" w:type="dxa"/>
          </w:tcPr>
          <w:p w14:paraId="1CA21F2A" w14:textId="3BFD0A75" w:rsidR="00A1335A" w:rsidRDefault="00A1335A" w:rsidP="00B7207D">
            <w:pPr>
              <w:pStyle w:val="Tabletextnormal"/>
            </w:pPr>
            <w:r>
              <w:t>Market management</w:t>
            </w:r>
          </w:p>
        </w:tc>
        <w:tc>
          <w:tcPr>
            <w:tcW w:w="1327" w:type="dxa"/>
          </w:tcPr>
          <w:p w14:paraId="04A377A0" w14:textId="70A6DE30" w:rsidR="00A1335A" w:rsidRDefault="00A1335A" w:rsidP="00B7207D">
            <w:pPr>
              <w:pStyle w:val="Tabletextnormal"/>
            </w:pPr>
            <w:r>
              <w:t>The Chartered Institute of Public Finance &amp; Accountancy (UK)</w:t>
            </w:r>
          </w:p>
        </w:tc>
        <w:tc>
          <w:tcPr>
            <w:tcW w:w="1142" w:type="dxa"/>
          </w:tcPr>
          <w:p w14:paraId="0E30D798" w14:textId="27D99AEC" w:rsidR="00A1335A" w:rsidRDefault="00A1335A" w:rsidP="00B7207D">
            <w:pPr>
              <w:pStyle w:val="Tabletextnormal"/>
            </w:pPr>
            <w:r>
              <w:t>2017</w:t>
            </w:r>
          </w:p>
        </w:tc>
        <w:tc>
          <w:tcPr>
            <w:tcW w:w="1904" w:type="dxa"/>
          </w:tcPr>
          <w:p w14:paraId="02CBAAFA" w14:textId="73FE2DB6" w:rsidR="00A1335A" w:rsidRPr="00BD3FF9" w:rsidRDefault="00A1335A" w:rsidP="00B7207D">
            <w:pPr>
              <w:pStyle w:val="Tabletextnormal"/>
            </w:pPr>
            <w:r w:rsidRPr="00047758">
              <w:t>www.cipfa.org/policy-and-guidance/reports/working-with-care-providers-to-understand-costs</w:t>
            </w:r>
          </w:p>
        </w:tc>
        <w:tc>
          <w:tcPr>
            <w:tcW w:w="4226" w:type="dxa"/>
          </w:tcPr>
          <w:p w14:paraId="5A6AFA9B" w14:textId="4272CFD9" w:rsidR="00A1335A" w:rsidRPr="00F47BEB" w:rsidRDefault="00A1335A" w:rsidP="00B7207D">
            <w:pPr>
              <w:pStyle w:val="Tabletextnormal"/>
            </w:pPr>
            <w:r>
              <w:t>E</w:t>
            </w:r>
            <w:r w:rsidRPr="00047758">
              <w:t>xamples of collaborative and innovative approaches to costing, and identified means of generating efficiency</w:t>
            </w:r>
            <w:r>
              <w:t xml:space="preserve"> savings in, commissioning care</w:t>
            </w:r>
          </w:p>
        </w:tc>
        <w:tc>
          <w:tcPr>
            <w:tcW w:w="3117" w:type="dxa"/>
          </w:tcPr>
          <w:p w14:paraId="551CF895" w14:textId="64600AED" w:rsidR="00A1335A" w:rsidRDefault="00A1335A" w:rsidP="00B7207D">
            <w:pPr>
              <w:pStyle w:val="Tabletextnormal"/>
            </w:pPr>
            <w:r w:rsidRPr="00047758">
              <w:t>When PHNs work with providers to better understand costs and move towards more advanced payment r</w:t>
            </w:r>
            <w:r w:rsidR="00076E0E">
              <w:t xml:space="preserve">egimes in a sustainable </w:t>
            </w:r>
            <w:r>
              <w:t>manner</w:t>
            </w:r>
          </w:p>
        </w:tc>
      </w:tr>
      <w:tr w:rsidR="00A1335A" w:rsidRPr="00DF5ABD" w14:paraId="0A4388E8" w14:textId="5794DF1D" w:rsidTr="004106D7">
        <w:trPr>
          <w:trHeight w:val="1406"/>
        </w:trPr>
        <w:tc>
          <w:tcPr>
            <w:tcW w:w="1787" w:type="dxa"/>
          </w:tcPr>
          <w:p w14:paraId="7826FDB1" w14:textId="4129B74E" w:rsidR="00A1335A" w:rsidRPr="001A1EE3" w:rsidRDefault="00A1335A" w:rsidP="00B7207D">
            <w:pPr>
              <w:pStyle w:val="Tabletextnormal"/>
            </w:pPr>
            <w:r w:rsidRPr="00A7084F">
              <w:t>Developing a Market Position Statement: A Commissioner’s Toolkit</w:t>
            </w:r>
          </w:p>
        </w:tc>
        <w:tc>
          <w:tcPr>
            <w:tcW w:w="1523" w:type="dxa"/>
          </w:tcPr>
          <w:p w14:paraId="1268FE85" w14:textId="75870AEF" w:rsidR="00A1335A" w:rsidRPr="00A7084F" w:rsidRDefault="00A1335A" w:rsidP="00B7207D">
            <w:pPr>
              <w:pStyle w:val="Tabletextnormal"/>
            </w:pPr>
            <w:r>
              <w:t>Market management</w:t>
            </w:r>
          </w:p>
        </w:tc>
        <w:tc>
          <w:tcPr>
            <w:tcW w:w="1327" w:type="dxa"/>
          </w:tcPr>
          <w:p w14:paraId="0ADF676A" w14:textId="3746E4C7" w:rsidR="00A1335A" w:rsidRDefault="00A1335A" w:rsidP="00B7207D">
            <w:pPr>
              <w:pStyle w:val="Tabletextnormal"/>
            </w:pPr>
            <w:r w:rsidRPr="00A7084F">
              <w:t>Institute of Public Care at Oxford Brookes University</w:t>
            </w:r>
            <w:r>
              <w:t xml:space="preserve"> (UK)</w:t>
            </w:r>
          </w:p>
        </w:tc>
        <w:tc>
          <w:tcPr>
            <w:tcW w:w="1142" w:type="dxa"/>
          </w:tcPr>
          <w:p w14:paraId="378F0794" w14:textId="62191AE3" w:rsidR="00A1335A" w:rsidRDefault="00A1335A" w:rsidP="00B7207D">
            <w:pPr>
              <w:pStyle w:val="Tabletextnormal"/>
            </w:pPr>
            <w:r>
              <w:t>2014</w:t>
            </w:r>
          </w:p>
        </w:tc>
        <w:tc>
          <w:tcPr>
            <w:tcW w:w="1904" w:type="dxa"/>
          </w:tcPr>
          <w:p w14:paraId="052289D8" w14:textId="792C8EFB" w:rsidR="00A1335A" w:rsidRPr="00BD3FF9" w:rsidRDefault="00A1335A" w:rsidP="00B7207D">
            <w:pPr>
              <w:pStyle w:val="Tabletextnormal"/>
            </w:pPr>
            <w:r w:rsidRPr="00047758">
              <w:t>ipc.brookes.ac.uk/publications/140312_MPS_Toolkit_2014_English_inc_links_PDF.pdf</w:t>
            </w:r>
          </w:p>
        </w:tc>
        <w:tc>
          <w:tcPr>
            <w:tcW w:w="4226" w:type="dxa"/>
          </w:tcPr>
          <w:p w14:paraId="190EC51D" w14:textId="499C9C16" w:rsidR="00A1335A" w:rsidRPr="00F47BEB" w:rsidRDefault="00A1335A" w:rsidP="00B7207D">
            <w:pPr>
              <w:pStyle w:val="Tabletextnormal"/>
            </w:pPr>
            <w:r w:rsidRPr="00A7084F">
              <w:t>Guidance for commissioners of adult and children’s social care on how to develop a market positi</w:t>
            </w:r>
            <w:r>
              <w:t>on statement</w:t>
            </w:r>
          </w:p>
        </w:tc>
        <w:tc>
          <w:tcPr>
            <w:tcW w:w="3117" w:type="dxa"/>
          </w:tcPr>
          <w:p w14:paraId="66ACB25D" w14:textId="606132F9" w:rsidR="00A1335A" w:rsidRDefault="00A1335A" w:rsidP="00B7207D">
            <w:pPr>
              <w:pStyle w:val="Tabletextnormal"/>
            </w:pPr>
            <w:r>
              <w:t>In developing a market position statement, which could build on a PHN’s needs assessment (noting its focus on social care in the UK context)</w:t>
            </w:r>
          </w:p>
        </w:tc>
      </w:tr>
      <w:tr w:rsidR="00A1335A" w:rsidRPr="00DF5ABD" w14:paraId="15E49B9E" w14:textId="0ECA6D54" w:rsidTr="004106D7">
        <w:trPr>
          <w:trHeight w:val="1406"/>
        </w:trPr>
        <w:tc>
          <w:tcPr>
            <w:tcW w:w="1787" w:type="dxa"/>
          </w:tcPr>
          <w:p w14:paraId="73740511" w14:textId="786A113C" w:rsidR="00A1335A" w:rsidRPr="001A1EE3" w:rsidRDefault="00A1335A" w:rsidP="00B7207D">
            <w:pPr>
              <w:pStyle w:val="Tabletextnormal"/>
            </w:pPr>
            <w:r w:rsidRPr="00A7084F">
              <w:t>A practical guide to workforce shaping and commissioning for better outcomes</w:t>
            </w:r>
          </w:p>
        </w:tc>
        <w:tc>
          <w:tcPr>
            <w:tcW w:w="1523" w:type="dxa"/>
          </w:tcPr>
          <w:p w14:paraId="49EC50E1" w14:textId="58BB6A42" w:rsidR="00A1335A" w:rsidRDefault="00A1335A" w:rsidP="00B7207D">
            <w:pPr>
              <w:pStyle w:val="Tabletextnormal"/>
            </w:pPr>
            <w:r>
              <w:t>Market management</w:t>
            </w:r>
          </w:p>
        </w:tc>
        <w:tc>
          <w:tcPr>
            <w:tcW w:w="1327" w:type="dxa"/>
          </w:tcPr>
          <w:p w14:paraId="44F353B6" w14:textId="26A49AB5" w:rsidR="00A1335A" w:rsidRDefault="00A1335A" w:rsidP="00B7207D">
            <w:pPr>
              <w:pStyle w:val="Tabletextnormal"/>
            </w:pPr>
            <w:r>
              <w:t>Skills for Care (UK)</w:t>
            </w:r>
          </w:p>
        </w:tc>
        <w:tc>
          <w:tcPr>
            <w:tcW w:w="1142" w:type="dxa"/>
          </w:tcPr>
          <w:p w14:paraId="45DF54BE" w14:textId="7829576B" w:rsidR="00A1335A" w:rsidRDefault="00A1335A" w:rsidP="00B7207D">
            <w:pPr>
              <w:pStyle w:val="Tabletextnormal"/>
            </w:pPr>
            <w:r>
              <w:t>2017</w:t>
            </w:r>
          </w:p>
        </w:tc>
        <w:tc>
          <w:tcPr>
            <w:tcW w:w="1904" w:type="dxa"/>
          </w:tcPr>
          <w:p w14:paraId="23C2DEE2" w14:textId="3D763ABB" w:rsidR="00A1335A" w:rsidRPr="00BD3FF9" w:rsidRDefault="00A1335A" w:rsidP="00B7207D">
            <w:pPr>
              <w:pStyle w:val="Tabletextnormal"/>
            </w:pPr>
            <w:r w:rsidRPr="00A7084F">
              <w:t>www.skillsforcare.org.uk/Documents/Leadership-and-management/Workforce-commissioning/Workforce-shaping-and-commissioning-for-better-outcomes.pdf</w:t>
            </w:r>
          </w:p>
        </w:tc>
        <w:tc>
          <w:tcPr>
            <w:tcW w:w="4226" w:type="dxa"/>
          </w:tcPr>
          <w:p w14:paraId="05ED401F" w14:textId="73964414" w:rsidR="00A1335A" w:rsidRPr="00F47BEB" w:rsidRDefault="00A1335A" w:rsidP="00B7207D">
            <w:pPr>
              <w:pStyle w:val="Tabletextnormal"/>
            </w:pPr>
            <w:r w:rsidRPr="00A7084F">
              <w:t xml:space="preserve">The key steps and processes needed to commission the right workforce. This includes the steps to ‘analyse, plan, implement and review’ the workforce requirements required within your local area. It provides prompts for discussion and can be </w:t>
            </w:r>
            <w:r>
              <w:t>adapted to local circumstances</w:t>
            </w:r>
          </w:p>
        </w:tc>
        <w:tc>
          <w:tcPr>
            <w:tcW w:w="3117" w:type="dxa"/>
          </w:tcPr>
          <w:p w14:paraId="79C1ABB1" w14:textId="07DEA75B" w:rsidR="00A1335A" w:rsidRDefault="00A1335A" w:rsidP="00B7207D">
            <w:pPr>
              <w:pStyle w:val="Tabletextnormal"/>
            </w:pPr>
            <w:r w:rsidRPr="00A7084F">
              <w:t>In shaping the local workforce to develop a flourishing market. It can be used by PHNs for any workforce transformation, from short term redesign of a single service to developing long-term inte</w:t>
            </w:r>
            <w:r>
              <w:t>grated services across an area</w:t>
            </w:r>
          </w:p>
        </w:tc>
      </w:tr>
      <w:tr w:rsidR="00A1335A" w:rsidRPr="00DF5ABD" w14:paraId="21E16432" w14:textId="19F6B58A" w:rsidTr="004106D7">
        <w:trPr>
          <w:trHeight w:val="1406"/>
        </w:trPr>
        <w:tc>
          <w:tcPr>
            <w:tcW w:w="1787" w:type="dxa"/>
          </w:tcPr>
          <w:p w14:paraId="3110E33F" w14:textId="18242C33" w:rsidR="00A1335A" w:rsidRPr="001A1EE3" w:rsidRDefault="00A1335A" w:rsidP="00B7207D">
            <w:pPr>
              <w:pStyle w:val="Tabletextnormal"/>
            </w:pPr>
            <w:r w:rsidRPr="00B034A9">
              <w:t>Decommissioning Toolkit</w:t>
            </w:r>
            <w:r>
              <w:t xml:space="preserve"> </w:t>
            </w:r>
          </w:p>
        </w:tc>
        <w:tc>
          <w:tcPr>
            <w:tcW w:w="1523" w:type="dxa"/>
          </w:tcPr>
          <w:p w14:paraId="18B25F79" w14:textId="28E8547F" w:rsidR="00A1335A" w:rsidRDefault="00A1335A" w:rsidP="00B7207D">
            <w:pPr>
              <w:pStyle w:val="Tabletextnormal"/>
            </w:pPr>
            <w:r>
              <w:t>Market management</w:t>
            </w:r>
          </w:p>
        </w:tc>
        <w:tc>
          <w:tcPr>
            <w:tcW w:w="1327" w:type="dxa"/>
          </w:tcPr>
          <w:p w14:paraId="6FEAB3A3" w14:textId="29AAE21C" w:rsidR="00A1335A" w:rsidRDefault="00A1335A" w:rsidP="00B7207D">
            <w:pPr>
              <w:pStyle w:val="Tabletextnormal"/>
            </w:pPr>
            <w:r>
              <w:t>UK National Audit Office (UK)</w:t>
            </w:r>
          </w:p>
        </w:tc>
        <w:tc>
          <w:tcPr>
            <w:tcW w:w="1142" w:type="dxa"/>
          </w:tcPr>
          <w:p w14:paraId="19FA668F" w14:textId="66BE96D8" w:rsidR="00A1335A" w:rsidRDefault="00A1335A" w:rsidP="00B7207D">
            <w:pPr>
              <w:pStyle w:val="Tabletextnormal"/>
            </w:pPr>
            <w:r>
              <w:t>2011</w:t>
            </w:r>
          </w:p>
        </w:tc>
        <w:tc>
          <w:tcPr>
            <w:tcW w:w="1904" w:type="dxa"/>
          </w:tcPr>
          <w:p w14:paraId="363D369E" w14:textId="7BB7E209" w:rsidR="00A1335A" w:rsidRPr="00BD3FF9" w:rsidRDefault="00A1335A" w:rsidP="00B7207D">
            <w:pPr>
              <w:pStyle w:val="Tabletextnormal"/>
            </w:pPr>
            <w:r w:rsidRPr="00B034A9">
              <w:t>www.nao.org.uk/decommissioning/</w:t>
            </w:r>
          </w:p>
        </w:tc>
        <w:tc>
          <w:tcPr>
            <w:tcW w:w="4226" w:type="dxa"/>
          </w:tcPr>
          <w:p w14:paraId="65652DDA" w14:textId="28D23C2A" w:rsidR="00A1335A" w:rsidRPr="00F47BEB" w:rsidRDefault="00A1335A" w:rsidP="00B7207D">
            <w:pPr>
              <w:pStyle w:val="Tabletextnormal"/>
            </w:pPr>
            <w:r w:rsidRPr="00E57516">
              <w:t xml:space="preserve">Toolkit with underlying principles and some </w:t>
            </w:r>
            <w:r w:rsidRPr="00E22CD1">
              <w:t>pre-conditions</w:t>
            </w:r>
            <w:r w:rsidRPr="00E57516">
              <w:t xml:space="preserve"> for successful decommissioning. It includes a staged approach to the</w:t>
            </w:r>
            <w:r w:rsidRPr="00E22CD1">
              <w:t xml:space="preserve"> issues that arise and good practice that should be applied at different stages of decommissioning</w:t>
            </w:r>
          </w:p>
        </w:tc>
        <w:tc>
          <w:tcPr>
            <w:tcW w:w="3117" w:type="dxa"/>
          </w:tcPr>
          <w:p w14:paraId="759CF7F5" w14:textId="53900435" w:rsidR="00A1335A" w:rsidRDefault="00A1335A" w:rsidP="00B7207D">
            <w:pPr>
              <w:pStyle w:val="Tabletextnormal"/>
            </w:pPr>
            <w:r w:rsidRPr="00E57516">
              <w:t xml:space="preserve">Planning for and managing the decommissioning of public services delivered </w:t>
            </w:r>
            <w:r>
              <w:t xml:space="preserve">by </w:t>
            </w:r>
            <w:r w:rsidRPr="00E57516">
              <w:t>not for profit</w:t>
            </w:r>
            <w:r>
              <w:t xml:space="preserve"> organisation</w:t>
            </w:r>
            <w:r w:rsidRPr="00E57516">
              <w:t>s</w:t>
            </w:r>
          </w:p>
        </w:tc>
      </w:tr>
      <w:tr w:rsidR="00A1335A" w:rsidRPr="00DF5ABD" w14:paraId="586F1F91" w14:textId="77777777" w:rsidTr="004106D7">
        <w:trPr>
          <w:trHeight w:val="1406"/>
        </w:trPr>
        <w:tc>
          <w:tcPr>
            <w:tcW w:w="1787" w:type="dxa"/>
          </w:tcPr>
          <w:p w14:paraId="45F68FDB" w14:textId="478D62BC" w:rsidR="00A1335A" w:rsidRPr="006E37F6" w:rsidRDefault="00A1335A" w:rsidP="00B7207D">
            <w:pPr>
              <w:pStyle w:val="Tabletextnormal"/>
            </w:pPr>
            <w:r>
              <w:lastRenderedPageBreak/>
              <w:t>Good Governance Principles and Guidance for Not-for-Profit Organisations</w:t>
            </w:r>
          </w:p>
        </w:tc>
        <w:tc>
          <w:tcPr>
            <w:tcW w:w="1523" w:type="dxa"/>
          </w:tcPr>
          <w:p w14:paraId="7DB130E8" w14:textId="73FE62E7" w:rsidR="00A1335A" w:rsidRDefault="00A1335A" w:rsidP="00B7207D">
            <w:pPr>
              <w:pStyle w:val="Tabletextnormal"/>
            </w:pPr>
            <w:r>
              <w:t>Organisational capability</w:t>
            </w:r>
          </w:p>
        </w:tc>
        <w:tc>
          <w:tcPr>
            <w:tcW w:w="1327" w:type="dxa"/>
          </w:tcPr>
          <w:p w14:paraId="1EF9A8D1" w14:textId="7306D58C" w:rsidR="00A1335A" w:rsidRPr="00E57516" w:rsidRDefault="00A1335A" w:rsidP="00B7207D">
            <w:pPr>
              <w:pStyle w:val="Tabletextnormal"/>
            </w:pPr>
            <w:r>
              <w:t>Australian Institute of company Directors (AICD) (</w:t>
            </w:r>
            <w:proofErr w:type="spellStart"/>
            <w:r>
              <w:t>Aus</w:t>
            </w:r>
            <w:proofErr w:type="spellEnd"/>
            <w:r>
              <w:t>)</w:t>
            </w:r>
          </w:p>
        </w:tc>
        <w:tc>
          <w:tcPr>
            <w:tcW w:w="1142" w:type="dxa"/>
          </w:tcPr>
          <w:p w14:paraId="6ACE0EBF" w14:textId="540D5DE5" w:rsidR="00A1335A" w:rsidRDefault="00A1335A" w:rsidP="00B7207D">
            <w:pPr>
              <w:pStyle w:val="Tabletextnormal"/>
            </w:pPr>
            <w:r>
              <w:t>2013</w:t>
            </w:r>
          </w:p>
        </w:tc>
        <w:tc>
          <w:tcPr>
            <w:tcW w:w="1904" w:type="dxa"/>
          </w:tcPr>
          <w:p w14:paraId="7E18B7C2" w14:textId="67E7C3F5" w:rsidR="00A1335A" w:rsidRPr="006E37F6" w:rsidRDefault="00A1335A" w:rsidP="00B7207D">
            <w:pPr>
              <w:pStyle w:val="Tabletextnormal"/>
            </w:pPr>
            <w:r w:rsidRPr="005C1CC9">
              <w:t>aicd.companydirectors.com.au/~/media/cd2/resources/director-resources/nfp/pdf/nfp-principles-and-guidance-131015.ashx</w:t>
            </w:r>
          </w:p>
        </w:tc>
        <w:tc>
          <w:tcPr>
            <w:tcW w:w="4226" w:type="dxa"/>
          </w:tcPr>
          <w:p w14:paraId="154E8FC8" w14:textId="56FE447D" w:rsidR="00A1335A" w:rsidRPr="00E22CD1" w:rsidRDefault="00A1335A" w:rsidP="00B7207D">
            <w:pPr>
              <w:pStyle w:val="Tabletextnormal"/>
            </w:pPr>
            <w:r>
              <w:t xml:space="preserve">Principles and guidance designed to promote and facilitate conversations and activities of </w:t>
            </w:r>
            <w:r>
              <w:br/>
              <w:t>not-for-profit organisations to achieve good governance</w:t>
            </w:r>
          </w:p>
        </w:tc>
        <w:tc>
          <w:tcPr>
            <w:tcW w:w="3117" w:type="dxa"/>
          </w:tcPr>
          <w:p w14:paraId="01EE9A57" w14:textId="4D548FDA" w:rsidR="00A1335A" w:rsidRPr="00E57516" w:rsidRDefault="00A1335A" w:rsidP="00B7207D">
            <w:pPr>
              <w:pStyle w:val="Tabletextnormal"/>
            </w:pPr>
            <w:r>
              <w:t>In assessing the PHN Board, Clinical Council and Community Advisory Committee</w:t>
            </w:r>
          </w:p>
        </w:tc>
      </w:tr>
      <w:tr w:rsidR="00A1335A" w:rsidRPr="00DF5ABD" w14:paraId="517851B2" w14:textId="77777777" w:rsidTr="004106D7">
        <w:trPr>
          <w:trHeight w:val="965"/>
        </w:trPr>
        <w:tc>
          <w:tcPr>
            <w:tcW w:w="1787" w:type="dxa"/>
          </w:tcPr>
          <w:p w14:paraId="69B98F18" w14:textId="26349445" w:rsidR="00A1335A" w:rsidRDefault="00A1335A" w:rsidP="00B7207D">
            <w:pPr>
              <w:pStyle w:val="Tabletextnormal"/>
            </w:pPr>
            <w:r>
              <w:t>Conflicts of interest</w:t>
            </w:r>
          </w:p>
        </w:tc>
        <w:tc>
          <w:tcPr>
            <w:tcW w:w="1523" w:type="dxa"/>
          </w:tcPr>
          <w:p w14:paraId="6387C623" w14:textId="01251ECC" w:rsidR="00A1335A" w:rsidRDefault="00A1335A" w:rsidP="00B7207D">
            <w:pPr>
              <w:pStyle w:val="Tabletextnormal"/>
            </w:pPr>
            <w:r>
              <w:t>Organisational capability</w:t>
            </w:r>
          </w:p>
        </w:tc>
        <w:tc>
          <w:tcPr>
            <w:tcW w:w="1327" w:type="dxa"/>
          </w:tcPr>
          <w:p w14:paraId="0EB37C0A" w14:textId="479E0B1D" w:rsidR="00A1335A" w:rsidRDefault="00A1335A" w:rsidP="00B7207D">
            <w:pPr>
              <w:pStyle w:val="Tabletextnormal"/>
            </w:pPr>
            <w:r>
              <w:t>Australian Charities and Not-for-Profits Commission</w:t>
            </w:r>
          </w:p>
        </w:tc>
        <w:tc>
          <w:tcPr>
            <w:tcW w:w="1142" w:type="dxa"/>
          </w:tcPr>
          <w:p w14:paraId="16AA49D3" w14:textId="1AEFF784" w:rsidR="00A1335A" w:rsidRDefault="00A1335A" w:rsidP="00B7207D">
            <w:pPr>
              <w:pStyle w:val="Tabletextnormal"/>
            </w:pPr>
            <w:r>
              <w:t>2018</w:t>
            </w:r>
          </w:p>
        </w:tc>
        <w:tc>
          <w:tcPr>
            <w:tcW w:w="1904" w:type="dxa"/>
          </w:tcPr>
          <w:p w14:paraId="1DDEF45A" w14:textId="37D22AC5" w:rsidR="00A1335A" w:rsidRPr="005C1CC9" w:rsidRDefault="00A1335A" w:rsidP="00B7207D">
            <w:pPr>
              <w:pStyle w:val="Tabletextnormal"/>
            </w:pPr>
            <w:r w:rsidRPr="00EF62ED">
              <w:t>www.acnc.gov.au/ACNC/Publications/COIguide/COIguide8.aspx</w:t>
            </w:r>
          </w:p>
        </w:tc>
        <w:tc>
          <w:tcPr>
            <w:tcW w:w="4226" w:type="dxa"/>
          </w:tcPr>
          <w:p w14:paraId="0D50EC3A" w14:textId="61A2239D" w:rsidR="00A1335A" w:rsidRDefault="00A1335A" w:rsidP="00B7207D">
            <w:pPr>
              <w:pStyle w:val="Tabletextnormal"/>
            </w:pPr>
            <w:r w:rsidRPr="006E37F6">
              <w:t>A variety of templates su</w:t>
            </w:r>
            <w:r>
              <w:t>ch as declarations of interests</w:t>
            </w:r>
          </w:p>
        </w:tc>
        <w:tc>
          <w:tcPr>
            <w:tcW w:w="3117" w:type="dxa"/>
          </w:tcPr>
          <w:p w14:paraId="74832424" w14:textId="243D2477" w:rsidR="00A1335A" w:rsidRDefault="00A1335A" w:rsidP="00B7207D">
            <w:pPr>
              <w:pStyle w:val="Tabletextnormal"/>
            </w:pPr>
            <w:r w:rsidRPr="00E57516">
              <w:t>In managing conflicts of interest, including declaring interests by governance groups</w:t>
            </w:r>
          </w:p>
        </w:tc>
      </w:tr>
      <w:tr w:rsidR="00A1335A" w:rsidRPr="00DF5ABD" w14:paraId="09A6CFA9" w14:textId="77777777" w:rsidTr="004106D7">
        <w:trPr>
          <w:trHeight w:val="1406"/>
        </w:trPr>
        <w:tc>
          <w:tcPr>
            <w:tcW w:w="1787" w:type="dxa"/>
          </w:tcPr>
          <w:p w14:paraId="095C3AD4" w14:textId="02B2753C" w:rsidR="00A1335A" w:rsidRPr="006E37F6" w:rsidRDefault="00A1335A" w:rsidP="00B7207D">
            <w:pPr>
              <w:pStyle w:val="Tabletextnormal"/>
            </w:pPr>
            <w:r w:rsidRPr="006E37F6">
              <w:t>Conflicts of interest</w:t>
            </w:r>
          </w:p>
        </w:tc>
        <w:tc>
          <w:tcPr>
            <w:tcW w:w="1523" w:type="dxa"/>
          </w:tcPr>
          <w:p w14:paraId="3ECAD336" w14:textId="081B3AB9" w:rsidR="00A1335A" w:rsidRPr="00E57516" w:rsidRDefault="00A1335A" w:rsidP="00B7207D">
            <w:pPr>
              <w:pStyle w:val="Tabletextnormal"/>
            </w:pPr>
            <w:r>
              <w:t>Organisational capability</w:t>
            </w:r>
          </w:p>
        </w:tc>
        <w:tc>
          <w:tcPr>
            <w:tcW w:w="1327" w:type="dxa"/>
          </w:tcPr>
          <w:p w14:paraId="32498B18" w14:textId="53B73E74" w:rsidR="00A1335A" w:rsidRPr="00E57516" w:rsidRDefault="00A1335A" w:rsidP="00B7207D">
            <w:pPr>
              <w:pStyle w:val="Tabletextnormal"/>
            </w:pPr>
            <w:r w:rsidRPr="00E57516">
              <w:t>NHS</w:t>
            </w:r>
            <w:r>
              <w:t xml:space="preserve"> (UK)</w:t>
            </w:r>
          </w:p>
        </w:tc>
        <w:tc>
          <w:tcPr>
            <w:tcW w:w="1142" w:type="dxa"/>
          </w:tcPr>
          <w:p w14:paraId="4A69D469" w14:textId="685B9280" w:rsidR="00A1335A" w:rsidRPr="00B7207D" w:rsidRDefault="00B7207D" w:rsidP="00B7207D">
            <w:pPr>
              <w:pStyle w:val="Tabletextnormal"/>
            </w:pPr>
            <w:r>
              <w:t>2017</w:t>
            </w:r>
          </w:p>
        </w:tc>
        <w:tc>
          <w:tcPr>
            <w:tcW w:w="1904" w:type="dxa"/>
          </w:tcPr>
          <w:p w14:paraId="59069EED" w14:textId="7B6FB70A" w:rsidR="00A1335A" w:rsidRPr="00B7207D" w:rsidRDefault="005532A8" w:rsidP="00B7207D">
            <w:pPr>
              <w:pStyle w:val="Tabletextnormal"/>
            </w:pPr>
            <w:hyperlink r:id="rId23" w:history="1">
              <w:r w:rsidR="00A1335A" w:rsidRPr="00B7207D">
                <w:rPr>
                  <w:rStyle w:val="Hyperlink"/>
                  <w:rFonts w:asciiTheme="minorHAnsi" w:hAnsiTheme="minorHAnsi"/>
                  <w:color w:val="000000" w:themeColor="text1"/>
                  <w:sz w:val="18"/>
                  <w:u w:val="none"/>
                </w:rPr>
                <w:t>www.england.nhs.uk/commissioning/pc-co-comms/coi/</w:t>
              </w:r>
            </w:hyperlink>
          </w:p>
        </w:tc>
        <w:tc>
          <w:tcPr>
            <w:tcW w:w="4226" w:type="dxa"/>
          </w:tcPr>
          <w:p w14:paraId="6E0BE1AE" w14:textId="07CDFA04" w:rsidR="00A1335A" w:rsidRPr="00B7207D" w:rsidRDefault="00A1335A" w:rsidP="00B7207D">
            <w:pPr>
              <w:pStyle w:val="Tabletextnormal"/>
            </w:pPr>
            <w:r w:rsidRPr="00B7207D">
              <w:t>A variety of templates such as declarations of interests</w:t>
            </w:r>
          </w:p>
        </w:tc>
        <w:tc>
          <w:tcPr>
            <w:tcW w:w="3117" w:type="dxa"/>
          </w:tcPr>
          <w:p w14:paraId="58DDCC84" w14:textId="1F61F01A" w:rsidR="00A1335A" w:rsidRPr="00E57516" w:rsidRDefault="00A1335A" w:rsidP="00B7207D">
            <w:pPr>
              <w:pStyle w:val="Tabletextnormal"/>
            </w:pPr>
            <w:r w:rsidRPr="00E57516">
              <w:t>In managing conflicts of interest, including declaring interests by governance groups</w:t>
            </w:r>
          </w:p>
        </w:tc>
      </w:tr>
      <w:tr w:rsidR="00A1335A" w:rsidRPr="00DF5ABD" w14:paraId="413E2C59" w14:textId="58B8415D" w:rsidTr="004106D7">
        <w:trPr>
          <w:trHeight w:val="1406"/>
        </w:trPr>
        <w:tc>
          <w:tcPr>
            <w:tcW w:w="1787" w:type="dxa"/>
          </w:tcPr>
          <w:p w14:paraId="193797FE" w14:textId="072BFED8" w:rsidR="00A1335A" w:rsidRPr="001A1EE3" w:rsidRDefault="00A1335A" w:rsidP="00B7207D">
            <w:pPr>
              <w:pStyle w:val="Tabletextnormal"/>
            </w:pPr>
            <w:r w:rsidRPr="006E37F6">
              <w:t>Good governance</w:t>
            </w:r>
          </w:p>
        </w:tc>
        <w:tc>
          <w:tcPr>
            <w:tcW w:w="1523" w:type="dxa"/>
          </w:tcPr>
          <w:p w14:paraId="077ABBAD" w14:textId="17A8910B" w:rsidR="00A1335A" w:rsidRPr="00E57516" w:rsidRDefault="00A1335A" w:rsidP="00B7207D">
            <w:pPr>
              <w:pStyle w:val="Tabletextnormal"/>
            </w:pPr>
            <w:r>
              <w:t>Organisational capability</w:t>
            </w:r>
          </w:p>
        </w:tc>
        <w:tc>
          <w:tcPr>
            <w:tcW w:w="1327" w:type="dxa"/>
          </w:tcPr>
          <w:p w14:paraId="04CEAA4B" w14:textId="673A8456" w:rsidR="00A1335A" w:rsidRDefault="00A1335A" w:rsidP="00B7207D">
            <w:pPr>
              <w:pStyle w:val="Tabletextnormal"/>
            </w:pPr>
            <w:r w:rsidRPr="00E57516">
              <w:t>GGI Limited, NHS England</w:t>
            </w:r>
            <w:r>
              <w:t xml:space="preserve"> (UK) </w:t>
            </w:r>
          </w:p>
        </w:tc>
        <w:tc>
          <w:tcPr>
            <w:tcW w:w="1142" w:type="dxa"/>
          </w:tcPr>
          <w:p w14:paraId="0767A982" w14:textId="41B24699" w:rsidR="00A1335A" w:rsidRDefault="00A1335A" w:rsidP="00B7207D">
            <w:pPr>
              <w:pStyle w:val="Tabletextnormal"/>
            </w:pPr>
            <w:r>
              <w:t>2015</w:t>
            </w:r>
          </w:p>
        </w:tc>
        <w:tc>
          <w:tcPr>
            <w:tcW w:w="1904" w:type="dxa"/>
          </w:tcPr>
          <w:p w14:paraId="2EDEA4CA" w14:textId="30BE8EBC" w:rsidR="00A1335A" w:rsidRPr="00BD3FF9" w:rsidRDefault="00A1335A" w:rsidP="00B7207D">
            <w:pPr>
              <w:pStyle w:val="Tabletextnormal"/>
            </w:pPr>
            <w:r w:rsidRPr="006E37F6">
              <w:t>www.ccggovernance.org/</w:t>
            </w:r>
          </w:p>
        </w:tc>
        <w:tc>
          <w:tcPr>
            <w:tcW w:w="4226" w:type="dxa"/>
          </w:tcPr>
          <w:p w14:paraId="2EA44C48" w14:textId="77777777" w:rsidR="00A1335A" w:rsidRDefault="00A1335A" w:rsidP="00B7207D">
            <w:pPr>
              <w:pStyle w:val="Tabletextnormal"/>
            </w:pPr>
            <w:r w:rsidRPr="00E22CD1">
              <w:t xml:space="preserve">A suite of tools </w:t>
            </w:r>
            <w:r>
              <w:t xml:space="preserve">developed </w:t>
            </w:r>
            <w:r w:rsidRPr="00E22CD1">
              <w:t>for</w:t>
            </w:r>
            <w:r>
              <w:t xml:space="preserve"> UK</w:t>
            </w:r>
            <w:r w:rsidRPr="00E22CD1">
              <w:t xml:space="preserve"> Clinical Commissioning Groups to test whether they are achieving good governance outcomes including:</w:t>
            </w:r>
          </w:p>
          <w:p w14:paraId="3B87DB43" w14:textId="6AF91C89" w:rsidR="00B7207D" w:rsidRDefault="00A1335A" w:rsidP="00B7207D">
            <w:pPr>
              <w:pStyle w:val="Tablelistbullet"/>
            </w:pPr>
            <w:r>
              <w:t>A</w:t>
            </w:r>
            <w:r w:rsidR="00B7207D">
              <w:t xml:space="preserve"> </w:t>
            </w:r>
            <w:r w:rsidRPr="00E22CD1">
              <w:t>maturity matrix to guide self-assessment against good governance outcomes</w:t>
            </w:r>
          </w:p>
          <w:p w14:paraId="661BFA0D" w14:textId="77777777" w:rsidR="00B7207D" w:rsidRDefault="00A1335A" w:rsidP="00B7207D">
            <w:pPr>
              <w:pStyle w:val="Tablelistbullet"/>
            </w:pPr>
            <w:r>
              <w:t>A</w:t>
            </w:r>
            <w:r w:rsidRPr="00E22CD1">
              <w:t xml:space="preserve"> survey a</w:t>
            </w:r>
            <w:r>
              <w:t>nd peer review guide to</w:t>
            </w:r>
            <w:r w:rsidRPr="00E22CD1">
              <w:t xml:space="preserve"> learn from the views of stakeholders on good governance</w:t>
            </w:r>
          </w:p>
          <w:p w14:paraId="0A392685" w14:textId="77777777" w:rsidR="00B7207D" w:rsidRDefault="00A1335A" w:rsidP="00B7207D">
            <w:pPr>
              <w:pStyle w:val="Tablelistbullet"/>
            </w:pPr>
            <w:r>
              <w:t>A</w:t>
            </w:r>
            <w:r w:rsidRPr="00E22CD1">
              <w:t>n observ</w:t>
            </w:r>
            <w:r>
              <w:t>ation guide to review</w:t>
            </w:r>
            <w:r w:rsidR="00B7207D">
              <w:t xml:space="preserve"> meetings</w:t>
            </w:r>
          </w:p>
          <w:p w14:paraId="2E649494" w14:textId="05A03E06" w:rsidR="00A1335A" w:rsidRPr="00F47BEB" w:rsidRDefault="00A1335A" w:rsidP="00B7207D">
            <w:pPr>
              <w:pStyle w:val="Tablelistbullet"/>
            </w:pPr>
            <w:r>
              <w:t>A</w:t>
            </w:r>
            <w:r w:rsidRPr="00E22CD1">
              <w:t xml:space="preserve"> standards and evidence tool to document the achievement of good governance</w:t>
            </w:r>
          </w:p>
        </w:tc>
        <w:tc>
          <w:tcPr>
            <w:tcW w:w="3117" w:type="dxa"/>
          </w:tcPr>
          <w:p w14:paraId="63A4B845" w14:textId="707F04F7" w:rsidR="00A1335A" w:rsidRDefault="00A1335A" w:rsidP="00B7207D">
            <w:pPr>
              <w:pStyle w:val="Tabletextnormal"/>
            </w:pPr>
            <w:r w:rsidRPr="00E57516">
              <w:t>In assessing the PHN Board, Clinical Council and Community Advisory Committee</w:t>
            </w:r>
          </w:p>
        </w:tc>
      </w:tr>
      <w:tr w:rsidR="00A1335A" w:rsidRPr="00DF5ABD" w14:paraId="095AAB12" w14:textId="304E33E6" w:rsidTr="0076726E">
        <w:trPr>
          <w:cantSplit/>
          <w:trHeight w:val="1406"/>
        </w:trPr>
        <w:tc>
          <w:tcPr>
            <w:tcW w:w="1787" w:type="dxa"/>
          </w:tcPr>
          <w:p w14:paraId="5069085D" w14:textId="49CA8937" w:rsidR="00A1335A" w:rsidRPr="001A1EE3" w:rsidRDefault="00A1335A" w:rsidP="00B7207D">
            <w:pPr>
              <w:pStyle w:val="Tabletextnormal"/>
            </w:pPr>
            <w:r w:rsidRPr="006E37F6">
              <w:lastRenderedPageBreak/>
              <w:t xml:space="preserve">Workforce capacity planning </w:t>
            </w:r>
            <w:r>
              <w:t>Model</w:t>
            </w:r>
          </w:p>
        </w:tc>
        <w:tc>
          <w:tcPr>
            <w:tcW w:w="1523" w:type="dxa"/>
          </w:tcPr>
          <w:p w14:paraId="65577F0A" w14:textId="4954CAA3" w:rsidR="00A1335A" w:rsidRPr="00E57516" w:rsidRDefault="00A1335A" w:rsidP="00B7207D">
            <w:pPr>
              <w:pStyle w:val="Tabletextnormal"/>
            </w:pPr>
            <w:r>
              <w:t>Organisational capability</w:t>
            </w:r>
          </w:p>
        </w:tc>
        <w:tc>
          <w:tcPr>
            <w:tcW w:w="1327" w:type="dxa"/>
          </w:tcPr>
          <w:p w14:paraId="6872CA80" w14:textId="1ECBA871" w:rsidR="00A1335A" w:rsidRDefault="00A1335A" w:rsidP="00B7207D">
            <w:pPr>
              <w:pStyle w:val="Tabletextnormal"/>
            </w:pPr>
            <w:r w:rsidRPr="00E57516">
              <w:t>Skills for Care and the National Skills Academy for Social Care</w:t>
            </w:r>
            <w:r>
              <w:t xml:space="preserve"> (UK)</w:t>
            </w:r>
          </w:p>
        </w:tc>
        <w:tc>
          <w:tcPr>
            <w:tcW w:w="1142" w:type="dxa"/>
          </w:tcPr>
          <w:p w14:paraId="16CF6DDD" w14:textId="3424D835" w:rsidR="00A1335A" w:rsidRDefault="00A1335A" w:rsidP="00B7207D">
            <w:pPr>
              <w:pStyle w:val="Tabletextnormal"/>
            </w:pPr>
            <w:r>
              <w:t>2014</w:t>
            </w:r>
          </w:p>
        </w:tc>
        <w:tc>
          <w:tcPr>
            <w:tcW w:w="1904" w:type="dxa"/>
          </w:tcPr>
          <w:p w14:paraId="2EB67733" w14:textId="74F20C29" w:rsidR="00A1335A" w:rsidRPr="00BD3FF9" w:rsidRDefault="00A1335A" w:rsidP="00B7207D">
            <w:pPr>
              <w:pStyle w:val="Tabletextnormal"/>
            </w:pPr>
            <w:r w:rsidRPr="00D021DD">
              <w:t>www.skillsforcare.org.uk/Documents/Standards-legislation/Care-Act/Workforce-capacity-planning/Workforce-capacity-planning-model.pdf</w:t>
            </w:r>
          </w:p>
        </w:tc>
        <w:tc>
          <w:tcPr>
            <w:tcW w:w="4226" w:type="dxa"/>
          </w:tcPr>
          <w:p w14:paraId="2907B70C" w14:textId="38ADC5BE" w:rsidR="00A1335A" w:rsidRPr="00F47BEB" w:rsidRDefault="00A1335A" w:rsidP="00B7207D">
            <w:pPr>
              <w:pStyle w:val="Tabletextnormal"/>
            </w:pPr>
            <w:r w:rsidRPr="00E57516">
              <w:t>Six inter-linked activities that use a set of prescribed questions to identify workforce capacity issues</w:t>
            </w:r>
          </w:p>
        </w:tc>
        <w:tc>
          <w:tcPr>
            <w:tcW w:w="3117" w:type="dxa"/>
          </w:tcPr>
          <w:p w14:paraId="280600D5" w14:textId="7C0C19B5" w:rsidR="00A1335A" w:rsidRDefault="00A1335A" w:rsidP="00B7207D">
            <w:pPr>
              <w:pStyle w:val="Tabletextnormal"/>
            </w:pPr>
            <w:r w:rsidRPr="00E57516">
              <w:t>In analysing the PHN’s workforce capacity and making informed decisions about how the workforce might need to change</w:t>
            </w:r>
          </w:p>
        </w:tc>
      </w:tr>
      <w:tr w:rsidR="00A1335A" w:rsidRPr="00DF5ABD" w14:paraId="736FDA56" w14:textId="33FE334B" w:rsidTr="004106D7">
        <w:trPr>
          <w:trHeight w:val="1000"/>
        </w:trPr>
        <w:tc>
          <w:tcPr>
            <w:tcW w:w="1787" w:type="dxa"/>
          </w:tcPr>
          <w:p w14:paraId="2F9888DD" w14:textId="79FED7A5" w:rsidR="00A1335A" w:rsidRPr="001A1EE3" w:rsidRDefault="00A1335A" w:rsidP="00B7207D">
            <w:pPr>
              <w:pStyle w:val="Tabletextnormal"/>
            </w:pPr>
            <w:r w:rsidRPr="006E37F6">
              <w:t>Project planning form</w:t>
            </w:r>
          </w:p>
        </w:tc>
        <w:tc>
          <w:tcPr>
            <w:tcW w:w="1523" w:type="dxa"/>
          </w:tcPr>
          <w:p w14:paraId="7FE9529F" w14:textId="54EEACE0" w:rsidR="00A1335A" w:rsidRPr="00E57516" w:rsidRDefault="00A1335A" w:rsidP="00B7207D">
            <w:pPr>
              <w:pStyle w:val="Tabletextnormal"/>
            </w:pPr>
            <w:r>
              <w:t>Organisational capability</w:t>
            </w:r>
          </w:p>
        </w:tc>
        <w:tc>
          <w:tcPr>
            <w:tcW w:w="1327" w:type="dxa"/>
          </w:tcPr>
          <w:p w14:paraId="09C75A59" w14:textId="3E32D3F2" w:rsidR="00A1335A" w:rsidRDefault="00A1335A" w:rsidP="00B7207D">
            <w:pPr>
              <w:pStyle w:val="Tabletextnormal"/>
            </w:pPr>
            <w:r w:rsidRPr="00E57516">
              <w:t>Institute for Healthcare Improvement</w:t>
            </w:r>
            <w:r>
              <w:t xml:space="preserve"> (UK)</w:t>
            </w:r>
          </w:p>
        </w:tc>
        <w:tc>
          <w:tcPr>
            <w:tcW w:w="1142" w:type="dxa"/>
          </w:tcPr>
          <w:p w14:paraId="3FE1CB48" w14:textId="46850CFD" w:rsidR="00A1335A" w:rsidRDefault="00A1335A" w:rsidP="00B7207D">
            <w:pPr>
              <w:pStyle w:val="Tabletextnormal"/>
            </w:pPr>
            <w:r>
              <w:t>2018</w:t>
            </w:r>
          </w:p>
        </w:tc>
        <w:tc>
          <w:tcPr>
            <w:tcW w:w="1904" w:type="dxa"/>
          </w:tcPr>
          <w:p w14:paraId="54405B2A" w14:textId="04C984B3" w:rsidR="00A1335A" w:rsidRPr="00BD3FF9" w:rsidRDefault="00A1335A" w:rsidP="00B7207D">
            <w:pPr>
              <w:pStyle w:val="Tabletextnormal"/>
            </w:pPr>
            <w:r w:rsidRPr="006E37F6">
              <w:t>www.ihi.org/resources/Pages/Tools/ProjectPlanningForm.aspx</w:t>
            </w:r>
          </w:p>
        </w:tc>
        <w:tc>
          <w:tcPr>
            <w:tcW w:w="4226" w:type="dxa"/>
          </w:tcPr>
          <w:p w14:paraId="43F63FDC" w14:textId="626B3960" w:rsidR="00A1335A" w:rsidRPr="00F47BEB" w:rsidRDefault="00A1335A" w:rsidP="00B7207D">
            <w:pPr>
              <w:pStyle w:val="Tabletextnormal"/>
            </w:pPr>
            <w:r w:rsidRPr="00E57516">
              <w:t>The form allows teams to identify drivers, goals measures and actions to plan for an improvement project</w:t>
            </w:r>
          </w:p>
        </w:tc>
        <w:tc>
          <w:tcPr>
            <w:tcW w:w="3117" w:type="dxa"/>
          </w:tcPr>
          <w:p w14:paraId="58FCC073" w14:textId="79501C13" w:rsidR="00A1335A" w:rsidRDefault="00A1335A" w:rsidP="00B7207D">
            <w:pPr>
              <w:pStyle w:val="Tabletextnormal"/>
            </w:pPr>
            <w:r w:rsidRPr="00E57516">
              <w:t>A project management tool for use by PHNs at the beginning of an impr</w:t>
            </w:r>
            <w:r>
              <w:t>ovement project to</w:t>
            </w:r>
            <w:r w:rsidRPr="00E57516">
              <w:t xml:space="preserve"> plan for implem</w:t>
            </w:r>
            <w:r>
              <w:t>entation</w:t>
            </w:r>
          </w:p>
        </w:tc>
      </w:tr>
      <w:tr w:rsidR="00A1335A" w:rsidRPr="00DF5ABD" w14:paraId="13F200A4" w14:textId="0D92108B" w:rsidTr="004106D7">
        <w:trPr>
          <w:trHeight w:val="1406"/>
        </w:trPr>
        <w:tc>
          <w:tcPr>
            <w:tcW w:w="1787" w:type="dxa"/>
          </w:tcPr>
          <w:p w14:paraId="550E85C2" w14:textId="115200C3" w:rsidR="00A1335A" w:rsidRPr="001A1EE3" w:rsidRDefault="00A1335A" w:rsidP="00B7207D">
            <w:pPr>
              <w:pStyle w:val="Tabletextnormal"/>
            </w:pPr>
            <w:r>
              <w:t>Online Library of Quality, Service Improvement and Redesign Tools</w:t>
            </w:r>
          </w:p>
        </w:tc>
        <w:tc>
          <w:tcPr>
            <w:tcW w:w="1523" w:type="dxa"/>
          </w:tcPr>
          <w:p w14:paraId="4A5B389A" w14:textId="636AE929" w:rsidR="00A1335A" w:rsidRDefault="00A1335A" w:rsidP="00B7207D">
            <w:pPr>
              <w:pStyle w:val="Tabletextnormal"/>
            </w:pPr>
            <w:r>
              <w:t>Organisational capability</w:t>
            </w:r>
          </w:p>
        </w:tc>
        <w:tc>
          <w:tcPr>
            <w:tcW w:w="1327" w:type="dxa"/>
          </w:tcPr>
          <w:p w14:paraId="292E5658" w14:textId="0D90E237" w:rsidR="00A1335A" w:rsidRDefault="00A1335A" w:rsidP="00B7207D">
            <w:pPr>
              <w:pStyle w:val="Tabletextnormal"/>
            </w:pPr>
            <w:r>
              <w:t xml:space="preserve">NHS (UK) </w:t>
            </w:r>
          </w:p>
        </w:tc>
        <w:tc>
          <w:tcPr>
            <w:tcW w:w="1142" w:type="dxa"/>
          </w:tcPr>
          <w:p w14:paraId="71B332E6" w14:textId="53C405C9" w:rsidR="00A1335A" w:rsidRDefault="00A1335A" w:rsidP="00B7207D">
            <w:pPr>
              <w:pStyle w:val="Tabletextnormal"/>
            </w:pPr>
            <w:r>
              <w:t>2017</w:t>
            </w:r>
          </w:p>
        </w:tc>
        <w:tc>
          <w:tcPr>
            <w:tcW w:w="1904" w:type="dxa"/>
          </w:tcPr>
          <w:p w14:paraId="02B4A5F5" w14:textId="41F4679F" w:rsidR="00A1335A" w:rsidRPr="00BD3FF9" w:rsidRDefault="00A1335A" w:rsidP="00B7207D">
            <w:pPr>
              <w:pStyle w:val="Tabletextnormal"/>
            </w:pPr>
            <w:r w:rsidRPr="00E57516">
              <w:t>improvement.nhs.uk/resources/managing-conflict/</w:t>
            </w:r>
          </w:p>
        </w:tc>
        <w:tc>
          <w:tcPr>
            <w:tcW w:w="4226" w:type="dxa"/>
          </w:tcPr>
          <w:p w14:paraId="674F59FB" w14:textId="1A157148" w:rsidR="00A1335A" w:rsidRPr="00F47BEB" w:rsidRDefault="00A1335A" w:rsidP="00B7207D">
            <w:pPr>
              <w:pStyle w:val="Tabletextnormal"/>
            </w:pPr>
            <w:r>
              <w:t xml:space="preserve">A range of brief simple tools that can be used throughout commissioning health care </w:t>
            </w:r>
            <w:r w:rsidR="001E5ED9">
              <w:t xml:space="preserve">services, </w:t>
            </w:r>
            <w:r>
              <w:t>broken down by the 6 stages of project management. A few tools to note include project management and conflicts of interest tools</w:t>
            </w:r>
          </w:p>
        </w:tc>
        <w:tc>
          <w:tcPr>
            <w:tcW w:w="3117" w:type="dxa"/>
          </w:tcPr>
          <w:p w14:paraId="6A3BD1F1" w14:textId="66622332" w:rsidR="00A1335A" w:rsidRDefault="00A1335A" w:rsidP="00B7207D">
            <w:pPr>
              <w:pStyle w:val="Tabletextnormal"/>
            </w:pPr>
            <w:r w:rsidRPr="00E57516">
              <w:t>In applying project management throughout the commissioning framework</w:t>
            </w:r>
          </w:p>
        </w:tc>
      </w:tr>
    </w:tbl>
    <w:p w14:paraId="223382A8" w14:textId="2DDECE1D" w:rsidR="00140825" w:rsidRDefault="00140825" w:rsidP="00626D17"/>
    <w:sectPr w:rsidR="00140825" w:rsidSect="00CB6FB7">
      <w:headerReference w:type="default" r:id="rId24"/>
      <w:pgSz w:w="16838" w:h="11906" w:orient="landscape" w:code="9"/>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D9A97" w14:textId="77777777" w:rsidR="00E75543" w:rsidRDefault="00E75543" w:rsidP="00522B83">
      <w:r>
        <w:separator/>
      </w:r>
    </w:p>
  </w:endnote>
  <w:endnote w:type="continuationSeparator" w:id="0">
    <w:p w14:paraId="3AAED951" w14:textId="77777777" w:rsidR="00E75543" w:rsidRDefault="00E75543" w:rsidP="0052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tersea-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910571"/>
      <w:docPartObj>
        <w:docPartGallery w:val="Page Numbers (Bottom of Page)"/>
        <w:docPartUnique/>
      </w:docPartObj>
    </w:sdtPr>
    <w:sdtEndPr>
      <w:rPr>
        <w:noProof/>
      </w:rPr>
    </w:sdtEndPr>
    <w:sdtContent>
      <w:p w14:paraId="383B4816" w14:textId="217FFD1C" w:rsidR="00B7207D" w:rsidRDefault="00505C47">
        <w:pPr>
          <w:pStyle w:val="Footer"/>
          <w:jc w:val="right"/>
        </w:pPr>
        <w:r>
          <w:fldChar w:fldCharType="begin"/>
        </w:r>
        <w:r>
          <w:instrText xml:space="preserve"> PAGE   \* MERGEFORMAT </w:instrText>
        </w:r>
        <w:r>
          <w:fldChar w:fldCharType="separate"/>
        </w:r>
        <w:r w:rsidR="00CB6FB7">
          <w:rPr>
            <w:noProof/>
          </w:rPr>
          <w:t>2</w:t>
        </w:r>
        <w:r>
          <w:rPr>
            <w:noProof/>
          </w:rPr>
          <w:fldChar w:fldCharType="end"/>
        </w:r>
      </w:p>
    </w:sdtContent>
  </w:sdt>
  <w:p w14:paraId="25C2D142" w14:textId="08DD98CB" w:rsidR="00505C47" w:rsidRDefault="00505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95180" w14:textId="77777777" w:rsidR="00B7207D" w:rsidRDefault="00B7207D">
    <w:pPr>
      <w:pStyle w:val="Footer"/>
      <w:jc w:val="center"/>
    </w:pPr>
  </w:p>
  <w:p w14:paraId="7FE38C8F" w14:textId="77777777" w:rsidR="00505C47" w:rsidRPr="00BD4E04" w:rsidRDefault="00505C47" w:rsidP="00977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11128"/>
      <w:docPartObj>
        <w:docPartGallery w:val="Page Numbers (Bottom of Page)"/>
        <w:docPartUnique/>
      </w:docPartObj>
    </w:sdtPr>
    <w:sdtEndPr>
      <w:rPr>
        <w:noProof/>
      </w:rPr>
    </w:sdtEndPr>
    <w:sdtContent>
      <w:p w14:paraId="3E93DA19" w14:textId="0D7C11AB" w:rsidR="00505C47" w:rsidRPr="00B7207D" w:rsidRDefault="001B4036" w:rsidP="00B7207D">
        <w:pPr>
          <w:pStyle w:val="Footer"/>
        </w:pPr>
        <w:fldSimple w:instr=" STYLEREF  Title  \* MERGEFORMAT ">
          <w:r w:rsidR="005532A8">
            <w:rPr>
              <w:noProof/>
            </w:rPr>
            <w:t>Change Management and Commissioning Competencies Resources Toolkit</w:t>
          </w:r>
        </w:fldSimple>
        <w:r w:rsidR="00B7207D">
          <w:ptab w:relativeTo="margin" w:alignment="right" w:leader="none"/>
        </w:r>
        <w:r w:rsidR="00B7207D" w:rsidRPr="00C170A9">
          <w:fldChar w:fldCharType="begin"/>
        </w:r>
        <w:r w:rsidR="00B7207D" w:rsidRPr="00C170A9">
          <w:instrText xml:space="preserve"> PAGE   \* MERGEFORMAT </w:instrText>
        </w:r>
        <w:r w:rsidR="00B7207D" w:rsidRPr="00C170A9">
          <w:fldChar w:fldCharType="separate"/>
        </w:r>
        <w:r w:rsidR="005532A8">
          <w:rPr>
            <w:noProof/>
          </w:rPr>
          <w:t>5</w:t>
        </w:r>
        <w:r w:rsidR="00B7207D" w:rsidRPr="00C170A9">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00718"/>
      <w:docPartObj>
        <w:docPartGallery w:val="Page Numbers (Bottom of Page)"/>
        <w:docPartUnique/>
      </w:docPartObj>
    </w:sdtPr>
    <w:sdtEndPr>
      <w:rPr>
        <w:noProof/>
      </w:rPr>
    </w:sdtEndPr>
    <w:sdtContent>
      <w:p w14:paraId="216C856B" w14:textId="77777777" w:rsidR="00B7207D" w:rsidRDefault="00505C4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68657E65" w14:textId="099482D9" w:rsidR="00505C47" w:rsidRDefault="00505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DB5C0" w14:textId="77777777" w:rsidR="00E75543" w:rsidRDefault="00E75543" w:rsidP="00522B83">
      <w:r>
        <w:separator/>
      </w:r>
    </w:p>
  </w:footnote>
  <w:footnote w:type="continuationSeparator" w:id="0">
    <w:p w14:paraId="09B6BA29" w14:textId="77777777" w:rsidR="00E75543" w:rsidRDefault="00E75543" w:rsidP="00522B83">
      <w:r>
        <w:continuationSeparator/>
      </w:r>
    </w:p>
  </w:footnote>
  <w:footnote w:id="1">
    <w:p w14:paraId="2904A73B" w14:textId="1777C16C" w:rsidR="00505C47" w:rsidRDefault="00505C47">
      <w:pPr>
        <w:pStyle w:val="FootnoteText"/>
      </w:pPr>
      <w:r>
        <w:rPr>
          <w:rStyle w:val="FootnoteReference"/>
        </w:rPr>
        <w:footnoteRef/>
      </w:r>
      <w:r>
        <w:t xml:space="preserve"> </w:t>
      </w:r>
      <w:proofErr w:type="gramStart"/>
      <w:r w:rsidRPr="005B1E25">
        <w:rPr>
          <w:szCs w:val="18"/>
        </w:rPr>
        <w:t>Australian Govern</w:t>
      </w:r>
      <w:r>
        <w:rPr>
          <w:szCs w:val="18"/>
        </w:rPr>
        <w:t>ment Department of Health.</w:t>
      </w:r>
      <w:proofErr w:type="gramEnd"/>
      <w:r>
        <w:rPr>
          <w:szCs w:val="18"/>
        </w:rPr>
        <w:t xml:space="preserve"> </w:t>
      </w:r>
      <w:proofErr w:type="gramStart"/>
      <w:r>
        <w:rPr>
          <w:szCs w:val="18"/>
        </w:rPr>
        <w:t>(2018</w:t>
      </w:r>
      <w:r w:rsidRPr="005B1E25">
        <w:rPr>
          <w:szCs w:val="18"/>
        </w:rPr>
        <w:t xml:space="preserve">). </w:t>
      </w:r>
      <w:r w:rsidRPr="005B1E25">
        <w:rPr>
          <w:i/>
          <w:szCs w:val="18"/>
        </w:rPr>
        <w:t xml:space="preserve">PHN </w:t>
      </w:r>
      <w:r>
        <w:rPr>
          <w:i/>
          <w:szCs w:val="18"/>
        </w:rPr>
        <w:t>Commissioning Resources</w:t>
      </w:r>
      <w:r w:rsidRPr="005B1E25">
        <w:rPr>
          <w:szCs w:val="18"/>
        </w:rPr>
        <w:t>.</w:t>
      </w:r>
      <w:proofErr w:type="gramEnd"/>
      <w:r w:rsidRPr="005B1E25">
        <w:rPr>
          <w:szCs w:val="18"/>
        </w:rPr>
        <w:t xml:space="preserve"> Available at: </w:t>
      </w:r>
      <w:r w:rsidRPr="0025311D">
        <w:rPr>
          <w:szCs w:val="18"/>
        </w:rPr>
        <w:t>http://www.health.gov.au/internet/main/publishing.nsf/Content/PHNCommissioningResources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7C8F" w14:textId="560FF84D" w:rsidR="00505C47" w:rsidRPr="00CE353A" w:rsidRDefault="00505C47" w:rsidP="00CE353A">
    <w:pPr>
      <w:pStyle w:val="Header"/>
      <w:jc w:val="center"/>
      <w:rPr>
        <w:rFonts w:ascii="Calibri" w:hAnsi="Calibri"/>
        <w:color w:val="FF0000"/>
      </w:rPr>
    </w:pPr>
    <w:r>
      <w:rPr>
        <w:rFonts w:ascii="Calibri" w:hAnsi="Calibri"/>
        <w:color w:val="FF0000"/>
      </w:rPr>
      <w:t>VERSION FOR TRAINING PURPOSES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E519" w14:textId="3BFE4EC1" w:rsidR="00505C47" w:rsidRDefault="00505C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07C4" w14:textId="6EA17F8C" w:rsidR="00B7207D" w:rsidRPr="0023645F" w:rsidRDefault="00B7207D" w:rsidP="00B7207D">
    <w:pPr>
      <w:pStyle w:val="Header"/>
    </w:pPr>
    <w:r w:rsidRPr="0023645F">
      <w:ptab w:relativeTo="margin" w:alignment="left" w:leader="none"/>
    </w:r>
    <w:r>
      <w:ptab w:relativeTo="margin" w:alignment="right" w:leader="none"/>
    </w:r>
    <w:fldSimple w:instr=" STYLEREF  &quot;Section Heading&quot;  \* MERGEFORMAT ">
      <w:r w:rsidR="005532A8">
        <w:rPr>
          <w:noProof/>
        </w:rPr>
        <w:t>Table of contents</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E2EC1" w14:textId="77777777" w:rsidR="00B7207D" w:rsidRDefault="00505C47" w:rsidP="00F40F7C">
    <w:pPr>
      <w:pStyle w:val="Header"/>
      <w:jc w:val="center"/>
    </w:pPr>
    <w:r>
      <w:rPr>
        <w:color w:val="FF0000"/>
      </w:rPr>
      <w:t>Consultation draft – NOT FOR FURTHER DISTRIBUTION</w:t>
    </w:r>
  </w:p>
  <w:p w14:paraId="7FD0CBDF" w14:textId="78C88FB6" w:rsidR="00505C47" w:rsidRDefault="00505C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0FDBD" w14:textId="3C2745F9" w:rsidR="00B7207D" w:rsidRPr="0023645F" w:rsidRDefault="00B7207D" w:rsidP="00B7207D">
    <w:pPr>
      <w:pStyle w:val="Header"/>
    </w:pPr>
    <w:r w:rsidRPr="0023645F">
      <w:ptab w:relativeTo="margin" w:alignment="left" w:leader="none"/>
    </w:r>
    <w:r>
      <w:ptab w:relativeTo="margin" w:alignment="right" w:leader="none"/>
    </w:r>
    <w:fldSimple w:instr=" STYLEREF  &quot;Heading 1&quot;  \* MERGEFORMAT ">
      <w:r w:rsidR="005532A8">
        <w:rPr>
          <w:noProof/>
        </w:rPr>
        <w:t>List of tools and resources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2">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5">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7">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C2463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1"/>
  </w:num>
  <w:num w:numId="4">
    <w:abstractNumId w:val="9"/>
  </w:num>
  <w:num w:numId="5">
    <w:abstractNumId w:val="5"/>
  </w:num>
  <w:num w:numId="6">
    <w:abstractNumId w:val="6"/>
  </w:num>
  <w:num w:numId="7">
    <w:abstractNumId w:val="3"/>
  </w:num>
  <w:num w:numId="8">
    <w:abstractNumId w:val="7"/>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3A"/>
    <w:rsid w:val="00010AE7"/>
    <w:rsid w:val="00027B27"/>
    <w:rsid w:val="00047758"/>
    <w:rsid w:val="0005219E"/>
    <w:rsid w:val="00053566"/>
    <w:rsid w:val="00055E98"/>
    <w:rsid w:val="00066D2C"/>
    <w:rsid w:val="00076E0E"/>
    <w:rsid w:val="000850FC"/>
    <w:rsid w:val="0008542A"/>
    <w:rsid w:val="00087E08"/>
    <w:rsid w:val="000B1430"/>
    <w:rsid w:val="000B36E6"/>
    <w:rsid w:val="000C35C8"/>
    <w:rsid w:val="000D1054"/>
    <w:rsid w:val="000D4C8D"/>
    <w:rsid w:val="00110689"/>
    <w:rsid w:val="00115E98"/>
    <w:rsid w:val="00121BC9"/>
    <w:rsid w:val="0012569A"/>
    <w:rsid w:val="00131011"/>
    <w:rsid w:val="00135FC6"/>
    <w:rsid w:val="00140825"/>
    <w:rsid w:val="00143699"/>
    <w:rsid w:val="00157BE0"/>
    <w:rsid w:val="00167FB0"/>
    <w:rsid w:val="001721AB"/>
    <w:rsid w:val="00173072"/>
    <w:rsid w:val="00182C58"/>
    <w:rsid w:val="0018331E"/>
    <w:rsid w:val="00193B3A"/>
    <w:rsid w:val="00193B8F"/>
    <w:rsid w:val="001955B5"/>
    <w:rsid w:val="001A1EE3"/>
    <w:rsid w:val="001A70BA"/>
    <w:rsid w:val="001B06F8"/>
    <w:rsid w:val="001B3851"/>
    <w:rsid w:val="001B4036"/>
    <w:rsid w:val="001E3F45"/>
    <w:rsid w:val="001E5ED9"/>
    <w:rsid w:val="001F7A4E"/>
    <w:rsid w:val="002027C4"/>
    <w:rsid w:val="00207FD3"/>
    <w:rsid w:val="0021615E"/>
    <w:rsid w:val="00244172"/>
    <w:rsid w:val="0025100C"/>
    <w:rsid w:val="00275395"/>
    <w:rsid w:val="00276969"/>
    <w:rsid w:val="00286503"/>
    <w:rsid w:val="0029007E"/>
    <w:rsid w:val="00292D00"/>
    <w:rsid w:val="00295A49"/>
    <w:rsid w:val="002E3053"/>
    <w:rsid w:val="002E67C7"/>
    <w:rsid w:val="0031240B"/>
    <w:rsid w:val="0031530A"/>
    <w:rsid w:val="0031791D"/>
    <w:rsid w:val="0032253E"/>
    <w:rsid w:val="00375FCA"/>
    <w:rsid w:val="003800AA"/>
    <w:rsid w:val="0038101E"/>
    <w:rsid w:val="0038334F"/>
    <w:rsid w:val="003A1089"/>
    <w:rsid w:val="003A21EE"/>
    <w:rsid w:val="003B1231"/>
    <w:rsid w:val="003D334B"/>
    <w:rsid w:val="003D4523"/>
    <w:rsid w:val="003D66E6"/>
    <w:rsid w:val="003D7E60"/>
    <w:rsid w:val="003E13A1"/>
    <w:rsid w:val="003E4A6B"/>
    <w:rsid w:val="003E6DFE"/>
    <w:rsid w:val="003F1015"/>
    <w:rsid w:val="003F1103"/>
    <w:rsid w:val="004036AA"/>
    <w:rsid w:val="004106D7"/>
    <w:rsid w:val="0042400C"/>
    <w:rsid w:val="00424251"/>
    <w:rsid w:val="00425204"/>
    <w:rsid w:val="00433A57"/>
    <w:rsid w:val="00455FB8"/>
    <w:rsid w:val="0046315C"/>
    <w:rsid w:val="00470B96"/>
    <w:rsid w:val="00475809"/>
    <w:rsid w:val="00480A67"/>
    <w:rsid w:val="00482A76"/>
    <w:rsid w:val="004858F1"/>
    <w:rsid w:val="00495876"/>
    <w:rsid w:val="004A42B6"/>
    <w:rsid w:val="004B2229"/>
    <w:rsid w:val="004B6C34"/>
    <w:rsid w:val="004C5F8C"/>
    <w:rsid w:val="004D39DB"/>
    <w:rsid w:val="004E1B67"/>
    <w:rsid w:val="004E3BC7"/>
    <w:rsid w:val="004F2F67"/>
    <w:rsid w:val="00505C47"/>
    <w:rsid w:val="0051121E"/>
    <w:rsid w:val="005112F0"/>
    <w:rsid w:val="005127C4"/>
    <w:rsid w:val="005202C8"/>
    <w:rsid w:val="00522B83"/>
    <w:rsid w:val="0053162D"/>
    <w:rsid w:val="00531A89"/>
    <w:rsid w:val="0053484B"/>
    <w:rsid w:val="0054043A"/>
    <w:rsid w:val="005532A8"/>
    <w:rsid w:val="00564EA5"/>
    <w:rsid w:val="0058581B"/>
    <w:rsid w:val="00593490"/>
    <w:rsid w:val="005C1CC9"/>
    <w:rsid w:val="005C2D3E"/>
    <w:rsid w:val="005D280F"/>
    <w:rsid w:val="005D5DA1"/>
    <w:rsid w:val="005E06E9"/>
    <w:rsid w:val="005E3F9B"/>
    <w:rsid w:val="00601925"/>
    <w:rsid w:val="006071F7"/>
    <w:rsid w:val="006247C6"/>
    <w:rsid w:val="00626D17"/>
    <w:rsid w:val="00626FA6"/>
    <w:rsid w:val="00635418"/>
    <w:rsid w:val="00651A38"/>
    <w:rsid w:val="00653F21"/>
    <w:rsid w:val="00655843"/>
    <w:rsid w:val="006720E6"/>
    <w:rsid w:val="00676CCA"/>
    <w:rsid w:val="0068731F"/>
    <w:rsid w:val="0069746D"/>
    <w:rsid w:val="006B50BD"/>
    <w:rsid w:val="006C0B1B"/>
    <w:rsid w:val="006E37F6"/>
    <w:rsid w:val="00715E83"/>
    <w:rsid w:val="0072074B"/>
    <w:rsid w:val="00725E5A"/>
    <w:rsid w:val="00726141"/>
    <w:rsid w:val="00741391"/>
    <w:rsid w:val="007526FE"/>
    <w:rsid w:val="0076726E"/>
    <w:rsid w:val="00780A68"/>
    <w:rsid w:val="00790488"/>
    <w:rsid w:val="00792DD8"/>
    <w:rsid w:val="007A11E3"/>
    <w:rsid w:val="007A2ACD"/>
    <w:rsid w:val="007E66AD"/>
    <w:rsid w:val="007F4FFB"/>
    <w:rsid w:val="0080376D"/>
    <w:rsid w:val="0080783A"/>
    <w:rsid w:val="0083057E"/>
    <w:rsid w:val="00850FBE"/>
    <w:rsid w:val="008568A7"/>
    <w:rsid w:val="00862646"/>
    <w:rsid w:val="008848FC"/>
    <w:rsid w:val="008873F8"/>
    <w:rsid w:val="008B0EF2"/>
    <w:rsid w:val="008C7083"/>
    <w:rsid w:val="008C7B20"/>
    <w:rsid w:val="008D2D26"/>
    <w:rsid w:val="008D6EC9"/>
    <w:rsid w:val="008E1452"/>
    <w:rsid w:val="008E1F69"/>
    <w:rsid w:val="008E6D50"/>
    <w:rsid w:val="00900BAD"/>
    <w:rsid w:val="00917DBF"/>
    <w:rsid w:val="00921745"/>
    <w:rsid w:val="00933A0C"/>
    <w:rsid w:val="00943842"/>
    <w:rsid w:val="00954603"/>
    <w:rsid w:val="00972EE6"/>
    <w:rsid w:val="00975C8C"/>
    <w:rsid w:val="00977B9E"/>
    <w:rsid w:val="009A4408"/>
    <w:rsid w:val="009A487B"/>
    <w:rsid w:val="009B43F8"/>
    <w:rsid w:val="009B7EF6"/>
    <w:rsid w:val="009C78D5"/>
    <w:rsid w:val="009E1A6F"/>
    <w:rsid w:val="009E520B"/>
    <w:rsid w:val="009E5CBC"/>
    <w:rsid w:val="00A0144A"/>
    <w:rsid w:val="00A1335A"/>
    <w:rsid w:val="00A14D6E"/>
    <w:rsid w:val="00A1677A"/>
    <w:rsid w:val="00A25640"/>
    <w:rsid w:val="00A35339"/>
    <w:rsid w:val="00A52227"/>
    <w:rsid w:val="00A55836"/>
    <w:rsid w:val="00A7084F"/>
    <w:rsid w:val="00A845E5"/>
    <w:rsid w:val="00AA762C"/>
    <w:rsid w:val="00AD6347"/>
    <w:rsid w:val="00AE408D"/>
    <w:rsid w:val="00AF20AF"/>
    <w:rsid w:val="00AF333E"/>
    <w:rsid w:val="00B01831"/>
    <w:rsid w:val="00B034A9"/>
    <w:rsid w:val="00B138D3"/>
    <w:rsid w:val="00B25EB3"/>
    <w:rsid w:val="00B26FC2"/>
    <w:rsid w:val="00B42450"/>
    <w:rsid w:val="00B53695"/>
    <w:rsid w:val="00B57E14"/>
    <w:rsid w:val="00B634E6"/>
    <w:rsid w:val="00B646FB"/>
    <w:rsid w:val="00B7207D"/>
    <w:rsid w:val="00B72502"/>
    <w:rsid w:val="00B75567"/>
    <w:rsid w:val="00B833EB"/>
    <w:rsid w:val="00B923EB"/>
    <w:rsid w:val="00B94D44"/>
    <w:rsid w:val="00BA2FA7"/>
    <w:rsid w:val="00BA4FEC"/>
    <w:rsid w:val="00BB0886"/>
    <w:rsid w:val="00BB223A"/>
    <w:rsid w:val="00BB351A"/>
    <w:rsid w:val="00BB4F3F"/>
    <w:rsid w:val="00BC1234"/>
    <w:rsid w:val="00BD3FF9"/>
    <w:rsid w:val="00BE4E6C"/>
    <w:rsid w:val="00C04A57"/>
    <w:rsid w:val="00C212DE"/>
    <w:rsid w:val="00C24DEA"/>
    <w:rsid w:val="00C30A42"/>
    <w:rsid w:val="00C320DE"/>
    <w:rsid w:val="00C32225"/>
    <w:rsid w:val="00C40413"/>
    <w:rsid w:val="00C413BC"/>
    <w:rsid w:val="00C60DC1"/>
    <w:rsid w:val="00C91597"/>
    <w:rsid w:val="00C933B5"/>
    <w:rsid w:val="00C941D9"/>
    <w:rsid w:val="00CB6FB7"/>
    <w:rsid w:val="00CB7100"/>
    <w:rsid w:val="00CC4B9E"/>
    <w:rsid w:val="00CD0D9B"/>
    <w:rsid w:val="00CE353A"/>
    <w:rsid w:val="00D021DD"/>
    <w:rsid w:val="00D1085E"/>
    <w:rsid w:val="00D277B6"/>
    <w:rsid w:val="00D32F34"/>
    <w:rsid w:val="00D54F1F"/>
    <w:rsid w:val="00D8260D"/>
    <w:rsid w:val="00DC20C2"/>
    <w:rsid w:val="00DC3020"/>
    <w:rsid w:val="00DD001D"/>
    <w:rsid w:val="00DD506B"/>
    <w:rsid w:val="00DD5087"/>
    <w:rsid w:val="00DF5ABD"/>
    <w:rsid w:val="00E00CAE"/>
    <w:rsid w:val="00E1191B"/>
    <w:rsid w:val="00E15FCA"/>
    <w:rsid w:val="00E22CD1"/>
    <w:rsid w:val="00E252EF"/>
    <w:rsid w:val="00E45510"/>
    <w:rsid w:val="00E47E0E"/>
    <w:rsid w:val="00E508B3"/>
    <w:rsid w:val="00E51812"/>
    <w:rsid w:val="00E57516"/>
    <w:rsid w:val="00E75543"/>
    <w:rsid w:val="00E81E63"/>
    <w:rsid w:val="00EA1875"/>
    <w:rsid w:val="00ED380A"/>
    <w:rsid w:val="00EF62ED"/>
    <w:rsid w:val="00F1238B"/>
    <w:rsid w:val="00F345BE"/>
    <w:rsid w:val="00F3645D"/>
    <w:rsid w:val="00F40F7C"/>
    <w:rsid w:val="00F43D8D"/>
    <w:rsid w:val="00F47286"/>
    <w:rsid w:val="00F47BEB"/>
    <w:rsid w:val="00F54CAB"/>
    <w:rsid w:val="00F61250"/>
    <w:rsid w:val="00F6234E"/>
    <w:rsid w:val="00F72225"/>
    <w:rsid w:val="00F77829"/>
    <w:rsid w:val="00F95260"/>
    <w:rsid w:val="00F96558"/>
    <w:rsid w:val="00FC03FC"/>
    <w:rsid w:val="00FF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71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qFormat="1"/>
    <w:lsdException w:name="caption" w:uiPriority="0" w:qFormat="1"/>
    <w:lsdException w:name="annotation reference" w:uiPriority="0"/>
    <w:lsdException w:name="endnote reference" w:uiPriority="0"/>
    <w:lsdException w:name="endnote text" w:uiPriority="0"/>
    <w:lsdException w:name="List Bullet"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207D"/>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B7207D"/>
    <w:pPr>
      <w:keepNext/>
      <w:numPr>
        <w:numId w:val="10"/>
      </w:numPr>
      <w:spacing w:before="240" w:after="60"/>
      <w:outlineLvl w:val="0"/>
    </w:pPr>
    <w:rPr>
      <w:rFonts w:cs="Arial"/>
      <w:b/>
      <w:bCs/>
      <w:color w:val="153A6E"/>
      <w:kern w:val="28"/>
      <w:sz w:val="36"/>
      <w:szCs w:val="32"/>
    </w:rPr>
  </w:style>
  <w:style w:type="paragraph" w:styleId="Heading2">
    <w:name w:val="heading 2"/>
    <w:next w:val="Normal"/>
    <w:link w:val="Heading2Char"/>
    <w:qFormat/>
    <w:rsid w:val="00B7207D"/>
    <w:pPr>
      <w:keepNext/>
      <w:numPr>
        <w:ilvl w:val="1"/>
        <w:numId w:val="10"/>
      </w:numPr>
      <w:spacing w:before="240" w:after="60" w:line="240" w:lineRule="auto"/>
      <w:outlineLvl w:val="1"/>
    </w:pPr>
    <w:rPr>
      <w:rFonts w:ascii="Arial" w:eastAsia="Times New Roman" w:hAnsi="Arial" w:cs="Arial"/>
      <w:b/>
      <w:bCs/>
      <w:iCs/>
      <w:color w:val="153A6E"/>
      <w:sz w:val="32"/>
      <w:szCs w:val="32"/>
      <w:lang w:val="en-AU"/>
    </w:rPr>
  </w:style>
  <w:style w:type="paragraph" w:styleId="Heading3">
    <w:name w:val="heading 3"/>
    <w:basedOn w:val="Heading2"/>
    <w:next w:val="Normal"/>
    <w:link w:val="Heading3Char"/>
    <w:qFormat/>
    <w:rsid w:val="00B7207D"/>
    <w:pPr>
      <w:numPr>
        <w:ilvl w:val="2"/>
      </w:numPr>
      <w:spacing w:before="180"/>
      <w:outlineLvl w:val="2"/>
    </w:pPr>
    <w:rPr>
      <w:bCs w:val="0"/>
      <w:sz w:val="28"/>
      <w:szCs w:val="28"/>
    </w:rPr>
  </w:style>
  <w:style w:type="paragraph" w:styleId="Heading4">
    <w:name w:val="heading 4"/>
    <w:basedOn w:val="Normal"/>
    <w:next w:val="Normal"/>
    <w:link w:val="Heading4Char"/>
    <w:qFormat/>
    <w:rsid w:val="00B7207D"/>
    <w:pPr>
      <w:keepNext/>
      <w:spacing w:before="240" w:after="60"/>
      <w:outlineLvl w:val="3"/>
    </w:pPr>
    <w:rPr>
      <w:b/>
      <w:bCs/>
      <w:color w:val="153A6E"/>
      <w:sz w:val="24"/>
      <w:szCs w:val="28"/>
    </w:rPr>
  </w:style>
  <w:style w:type="paragraph" w:styleId="Heading5">
    <w:name w:val="heading 5"/>
    <w:basedOn w:val="Normal"/>
    <w:next w:val="Normal"/>
    <w:link w:val="Heading5Char"/>
    <w:rsid w:val="00B7207D"/>
    <w:pPr>
      <w:keepNext/>
      <w:numPr>
        <w:ilvl w:val="4"/>
        <w:numId w:val="10"/>
      </w:numPr>
      <w:spacing w:before="240" w:after="60"/>
      <w:outlineLvl w:val="4"/>
    </w:pPr>
    <w:rPr>
      <w:b/>
      <w:bCs/>
      <w:iCs/>
      <w:szCs w:val="26"/>
    </w:rPr>
  </w:style>
  <w:style w:type="paragraph" w:styleId="Heading6">
    <w:name w:val="heading 6"/>
    <w:basedOn w:val="Normal"/>
    <w:next w:val="Normal"/>
    <w:link w:val="Heading6Char"/>
    <w:rsid w:val="00B7207D"/>
    <w:pPr>
      <w:keepNext/>
      <w:numPr>
        <w:ilvl w:val="5"/>
        <w:numId w:val="10"/>
      </w:numPr>
      <w:spacing w:before="240" w:after="60"/>
      <w:outlineLvl w:val="5"/>
    </w:pPr>
    <w:rPr>
      <w:b/>
      <w:bCs/>
      <w:i/>
      <w:szCs w:val="22"/>
    </w:rPr>
  </w:style>
  <w:style w:type="paragraph" w:styleId="Heading7">
    <w:name w:val="heading 7"/>
    <w:basedOn w:val="Normal"/>
    <w:next w:val="Normal"/>
    <w:link w:val="Heading7Char"/>
    <w:semiHidden/>
    <w:unhideWhenUsed/>
    <w:qFormat/>
    <w:rsid w:val="00B7207D"/>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207D"/>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207D"/>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7207D"/>
    <w:pPr>
      <w:tabs>
        <w:tab w:val="center" w:pos="4513"/>
        <w:tab w:val="right" w:pos="9026"/>
      </w:tabs>
    </w:pPr>
  </w:style>
  <w:style w:type="character" w:customStyle="1" w:styleId="HeaderChar">
    <w:name w:val="Header Char"/>
    <w:basedOn w:val="DefaultParagraphFont"/>
    <w:link w:val="Header"/>
    <w:rsid w:val="00B7207D"/>
    <w:rPr>
      <w:rFonts w:ascii="Arial" w:eastAsia="Times New Roman" w:hAnsi="Arial" w:cs="Times New Roman"/>
      <w:sz w:val="22"/>
      <w:szCs w:val="24"/>
      <w:lang w:val="en-AU"/>
    </w:rPr>
  </w:style>
  <w:style w:type="paragraph" w:styleId="Footer">
    <w:name w:val="footer"/>
    <w:basedOn w:val="Normal"/>
    <w:link w:val="FooterChar"/>
    <w:uiPriority w:val="99"/>
    <w:qFormat/>
    <w:rsid w:val="00B7207D"/>
    <w:pPr>
      <w:tabs>
        <w:tab w:val="center" w:pos="4513"/>
        <w:tab w:val="right" w:pos="9026"/>
      </w:tabs>
    </w:pPr>
    <w:rPr>
      <w:sz w:val="20"/>
    </w:rPr>
  </w:style>
  <w:style w:type="character" w:customStyle="1" w:styleId="FooterChar">
    <w:name w:val="Footer Char"/>
    <w:basedOn w:val="DefaultParagraphFont"/>
    <w:link w:val="Footer"/>
    <w:uiPriority w:val="99"/>
    <w:rsid w:val="00B7207D"/>
    <w:rPr>
      <w:rFonts w:ascii="Arial" w:eastAsia="Times New Roman" w:hAnsi="Arial" w:cs="Times New Roman"/>
      <w:szCs w:val="24"/>
      <w:lang w:val="en-AU"/>
    </w:rPr>
  </w:style>
  <w:style w:type="table" w:customStyle="1" w:styleId="DefenceTable">
    <w:name w:val="Defence Table"/>
    <w:basedOn w:val="TableNormal"/>
    <w:rsid w:val="00B7207D"/>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BalloonText">
    <w:name w:val="Balloon Text"/>
    <w:basedOn w:val="Normal"/>
    <w:link w:val="BalloonTextChar"/>
    <w:rsid w:val="00B7207D"/>
    <w:rPr>
      <w:rFonts w:ascii="Tahoma" w:hAnsi="Tahoma" w:cs="Tahoma"/>
      <w:sz w:val="16"/>
      <w:szCs w:val="16"/>
    </w:rPr>
  </w:style>
  <w:style w:type="character" w:customStyle="1" w:styleId="BalloonTextChar">
    <w:name w:val="Balloon Text Char"/>
    <w:basedOn w:val="DefaultParagraphFont"/>
    <w:link w:val="BalloonText"/>
    <w:rsid w:val="00B7207D"/>
    <w:rPr>
      <w:rFonts w:ascii="Tahoma" w:eastAsia="Times New Roman" w:hAnsi="Tahoma" w:cs="Tahoma"/>
      <w:sz w:val="16"/>
      <w:szCs w:val="16"/>
      <w:lang w:val="en-AU"/>
    </w:rPr>
  </w:style>
  <w:style w:type="character" w:customStyle="1" w:styleId="Heading1Char">
    <w:name w:val="Heading 1 Char"/>
    <w:basedOn w:val="DefaultParagraphFont"/>
    <w:link w:val="Heading1"/>
    <w:rsid w:val="00B7207D"/>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917DBF"/>
    <w:rPr>
      <w:rFonts w:ascii="Arial" w:eastAsia="Times New Roman" w:hAnsi="Arial" w:cs="Arial"/>
      <w:b/>
      <w:bCs/>
      <w:iCs/>
      <w:color w:val="153A6E"/>
      <w:sz w:val="32"/>
      <w:szCs w:val="32"/>
      <w:lang w:val="en-AU"/>
    </w:rPr>
  </w:style>
  <w:style w:type="paragraph" w:styleId="ListParagraph">
    <w:name w:val="List Paragraph"/>
    <w:aliases w:val="List Paragraph1,Recommendation,Body text"/>
    <w:basedOn w:val="Normal"/>
    <w:link w:val="ListParagraphChar"/>
    <w:uiPriority w:val="34"/>
    <w:rsid w:val="00B7207D"/>
    <w:pPr>
      <w:ind w:left="720"/>
      <w:contextualSpacing/>
    </w:pPr>
  </w:style>
  <w:style w:type="character" w:styleId="CommentReference">
    <w:name w:val="annotation reference"/>
    <w:basedOn w:val="DefaultParagraphFont"/>
    <w:rsid w:val="00B7207D"/>
    <w:rPr>
      <w:sz w:val="16"/>
      <w:szCs w:val="16"/>
    </w:rPr>
  </w:style>
  <w:style w:type="paragraph" w:styleId="CommentText">
    <w:name w:val="annotation text"/>
    <w:basedOn w:val="Normal"/>
    <w:link w:val="CommentTextChar"/>
    <w:rsid w:val="00B7207D"/>
    <w:rPr>
      <w:sz w:val="20"/>
      <w:szCs w:val="20"/>
    </w:rPr>
  </w:style>
  <w:style w:type="character" w:customStyle="1" w:styleId="CommentTextChar">
    <w:name w:val="Comment Text Char"/>
    <w:basedOn w:val="DefaultParagraphFont"/>
    <w:link w:val="CommentText"/>
    <w:rsid w:val="00B7207D"/>
    <w:rPr>
      <w:rFonts w:ascii="Arial" w:eastAsia="Times New Roman" w:hAnsi="Arial" w:cs="Times New Roman"/>
      <w:lang w:val="en-AU"/>
    </w:rPr>
  </w:style>
  <w:style w:type="table" w:styleId="TableGrid">
    <w:name w:val="Table Grid"/>
    <w:aliases w:val="Table - Top"/>
    <w:basedOn w:val="TableNormal"/>
    <w:rsid w:val="00B7207D"/>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7207D"/>
    <w:rPr>
      <w:rFonts w:ascii="Arial" w:hAnsi="Arial"/>
      <w:color w:val="0000FF" w:themeColor="hyperlink"/>
      <w:sz w:val="22"/>
      <w:u w:val="single"/>
    </w:rPr>
  </w:style>
  <w:style w:type="paragraph" w:styleId="FootnoteText">
    <w:name w:val="footnote text"/>
    <w:basedOn w:val="Normal"/>
    <w:link w:val="FootnoteTextChar"/>
    <w:uiPriority w:val="99"/>
    <w:qFormat/>
    <w:rsid w:val="00B7207D"/>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B7207D"/>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B7207D"/>
    <w:rPr>
      <w:vertAlign w:val="superscript"/>
    </w:rPr>
  </w:style>
  <w:style w:type="character" w:customStyle="1" w:styleId="Heading5Char">
    <w:name w:val="Heading 5 Char"/>
    <w:basedOn w:val="DefaultParagraphFont"/>
    <w:link w:val="Heading5"/>
    <w:rsid w:val="00522B83"/>
    <w:rPr>
      <w:rFonts w:ascii="Arial" w:eastAsia="Times New Roman" w:hAnsi="Arial" w:cs="Times New Roman"/>
      <w:b/>
      <w:bCs/>
      <w:iCs/>
      <w:sz w:val="22"/>
      <w:szCs w:val="26"/>
      <w:lang w:val="en-AU"/>
    </w:rPr>
  </w:style>
  <w:style w:type="paragraph" w:styleId="TOC1">
    <w:name w:val="toc 1"/>
    <w:basedOn w:val="Normal"/>
    <w:next w:val="Normal"/>
    <w:autoRedefine/>
    <w:uiPriority w:val="39"/>
    <w:rsid w:val="00B7207D"/>
    <w:pPr>
      <w:tabs>
        <w:tab w:val="right" w:leader="dot" w:pos="9736"/>
      </w:tabs>
      <w:spacing w:after="100"/>
    </w:pPr>
  </w:style>
  <w:style w:type="paragraph" w:styleId="CommentSubject">
    <w:name w:val="annotation subject"/>
    <w:basedOn w:val="CommentText"/>
    <w:next w:val="CommentText"/>
    <w:link w:val="CommentSubjectChar"/>
    <w:rsid w:val="00B7207D"/>
    <w:rPr>
      <w:b/>
      <w:bCs/>
    </w:rPr>
  </w:style>
  <w:style w:type="character" w:customStyle="1" w:styleId="CommentSubjectChar">
    <w:name w:val="Comment Subject Char"/>
    <w:basedOn w:val="CommentTextChar"/>
    <w:link w:val="CommentSubject"/>
    <w:rsid w:val="00B7207D"/>
    <w:rPr>
      <w:rFonts w:ascii="Arial" w:eastAsia="Times New Roman" w:hAnsi="Arial" w:cs="Times New Roman"/>
      <w:b/>
      <w:bCs/>
      <w:lang w:val="en-AU"/>
    </w:rPr>
  </w:style>
  <w:style w:type="character" w:customStyle="1" w:styleId="ListParagraphChar">
    <w:name w:val="List Paragraph Char"/>
    <w:aliases w:val="List Paragraph1 Char,Recommendation Char,Body text Char"/>
    <w:link w:val="ListParagraph"/>
    <w:uiPriority w:val="34"/>
    <w:locked/>
    <w:rsid w:val="00B7207D"/>
    <w:rPr>
      <w:rFonts w:ascii="Arial" w:eastAsia="Times New Roman" w:hAnsi="Arial" w:cs="Times New Roman"/>
      <w:sz w:val="22"/>
      <w:szCs w:val="24"/>
      <w:lang w:val="en-AU"/>
    </w:rPr>
  </w:style>
  <w:style w:type="paragraph" w:styleId="Caption">
    <w:name w:val="caption"/>
    <w:basedOn w:val="Normal"/>
    <w:next w:val="Normal"/>
    <w:unhideWhenUsed/>
    <w:qFormat/>
    <w:rsid w:val="00B7207D"/>
    <w:pPr>
      <w:keepNext/>
      <w:keepLines/>
      <w:spacing w:after="200"/>
    </w:pPr>
    <w:rPr>
      <w:b/>
      <w:bCs/>
      <w:color w:val="000000" w:themeColor="text1"/>
      <w:szCs w:val="18"/>
    </w:rPr>
  </w:style>
  <w:style w:type="paragraph" w:styleId="TableofFigures">
    <w:name w:val="table of figures"/>
    <w:basedOn w:val="Normal"/>
    <w:next w:val="Normal"/>
    <w:uiPriority w:val="99"/>
    <w:rsid w:val="00B7207D"/>
  </w:style>
  <w:style w:type="character" w:customStyle="1" w:styleId="Heading3Char">
    <w:name w:val="Heading 3 Char"/>
    <w:link w:val="Heading3"/>
    <w:rsid w:val="00B7207D"/>
    <w:rPr>
      <w:rFonts w:ascii="Arial" w:eastAsia="Times New Roman" w:hAnsi="Arial" w:cs="Arial"/>
      <w:b/>
      <w:iCs/>
      <w:color w:val="153A6E"/>
      <w:sz w:val="28"/>
      <w:szCs w:val="28"/>
      <w:lang w:val="en-AU"/>
    </w:rPr>
  </w:style>
  <w:style w:type="paragraph" w:customStyle="1" w:styleId="lead">
    <w:name w:val="lead"/>
    <w:basedOn w:val="Normal"/>
    <w:rsid w:val="001E3F45"/>
    <w:pPr>
      <w:spacing w:before="100" w:beforeAutospacing="1" w:after="100" w:afterAutospacing="1"/>
    </w:pPr>
    <w:rPr>
      <w:rFonts w:ascii="Times New Roman" w:hAnsi="Times New Roman"/>
      <w:sz w:val="24"/>
      <w:lang w:eastAsia="en-AU"/>
    </w:rPr>
  </w:style>
  <w:style w:type="character" w:customStyle="1" w:styleId="Style2Char">
    <w:name w:val="Style2 Char"/>
    <w:link w:val="Style2"/>
    <w:locked/>
    <w:rsid w:val="000B36E6"/>
    <w:rPr>
      <w:rFonts w:ascii="Calibri" w:hAnsi="Calibri" w:cs="Battersea-Light"/>
      <w:color w:val="000000"/>
      <w:sz w:val="48"/>
      <w:szCs w:val="48"/>
    </w:rPr>
  </w:style>
  <w:style w:type="paragraph" w:customStyle="1" w:styleId="Style2">
    <w:name w:val="Style2"/>
    <w:basedOn w:val="Normal"/>
    <w:link w:val="Style2Char"/>
    <w:qFormat/>
    <w:rsid w:val="000B36E6"/>
    <w:pPr>
      <w:widowControl w:val="0"/>
      <w:suppressAutoHyphens/>
      <w:autoSpaceDE w:val="0"/>
      <w:autoSpaceDN w:val="0"/>
      <w:adjustRightInd w:val="0"/>
      <w:spacing w:before="340" w:after="85" w:line="520" w:lineRule="atLeast"/>
    </w:pPr>
    <w:rPr>
      <w:rFonts w:ascii="Calibri" w:hAnsi="Calibri" w:cs="Battersea-Light"/>
      <w:color w:val="000000"/>
      <w:sz w:val="48"/>
      <w:szCs w:val="48"/>
    </w:rPr>
  </w:style>
  <w:style w:type="character" w:styleId="Strong">
    <w:name w:val="Strong"/>
    <w:basedOn w:val="DefaultParagraphFont"/>
    <w:rsid w:val="00B7207D"/>
    <w:rPr>
      <w:b/>
      <w:bCs/>
    </w:rPr>
  </w:style>
  <w:style w:type="character" w:customStyle="1" w:styleId="Heading6Char">
    <w:name w:val="Heading 6 Char"/>
    <w:basedOn w:val="DefaultParagraphFont"/>
    <w:link w:val="Heading6"/>
    <w:rsid w:val="00C24DEA"/>
    <w:rPr>
      <w:rFonts w:ascii="Arial" w:eastAsia="Times New Roman" w:hAnsi="Arial" w:cs="Times New Roman"/>
      <w:b/>
      <w:bCs/>
      <w:i/>
      <w:sz w:val="22"/>
      <w:szCs w:val="22"/>
      <w:lang w:val="en-AU"/>
    </w:rPr>
  </w:style>
  <w:style w:type="paragraph" w:styleId="TOCHeading">
    <w:name w:val="TOC Heading"/>
    <w:basedOn w:val="Heading1"/>
    <w:next w:val="Normal"/>
    <w:uiPriority w:val="39"/>
    <w:unhideWhenUsed/>
    <w:qFormat/>
    <w:rsid w:val="00B7207D"/>
    <w:pPr>
      <w:keepLines/>
      <w:spacing w:before="480" w:after="0" w:line="276" w:lineRule="auto"/>
      <w:ind w:left="431" w:hanging="431"/>
      <w:outlineLvl w:val="9"/>
    </w:pPr>
    <w:rPr>
      <w:rFonts w:asciiTheme="majorHAnsi" w:eastAsiaTheme="majorEastAsia" w:hAnsiTheme="majorHAnsi" w:cstheme="majorBidi"/>
      <w:color w:val="A44E00" w:themeColor="accent1" w:themeShade="BF"/>
      <w:kern w:val="0"/>
      <w:sz w:val="28"/>
      <w:szCs w:val="28"/>
      <w:lang w:val="en-US" w:eastAsia="ja-JP"/>
    </w:rPr>
  </w:style>
  <w:style w:type="paragraph" w:styleId="TOC2">
    <w:name w:val="toc 2"/>
    <w:basedOn w:val="Normal"/>
    <w:next w:val="Normal"/>
    <w:autoRedefine/>
    <w:uiPriority w:val="39"/>
    <w:rsid w:val="00CB6FB7"/>
    <w:pPr>
      <w:tabs>
        <w:tab w:val="right" w:pos="9735"/>
      </w:tabs>
      <w:spacing w:after="100"/>
      <w:ind w:left="220"/>
    </w:pPr>
  </w:style>
  <w:style w:type="paragraph" w:styleId="Revision">
    <w:name w:val="Revision"/>
    <w:hidden/>
    <w:uiPriority w:val="99"/>
    <w:semiHidden/>
    <w:rsid w:val="00ED380A"/>
    <w:pPr>
      <w:spacing w:after="0" w:line="240" w:lineRule="auto"/>
    </w:pPr>
  </w:style>
  <w:style w:type="paragraph" w:styleId="TOC3">
    <w:name w:val="toc 3"/>
    <w:basedOn w:val="Normal"/>
    <w:next w:val="Normal"/>
    <w:autoRedefine/>
    <w:uiPriority w:val="39"/>
    <w:rsid w:val="00B7207D"/>
    <w:pPr>
      <w:spacing w:after="100"/>
      <w:ind w:left="440"/>
    </w:pPr>
  </w:style>
  <w:style w:type="paragraph" w:customStyle="1" w:styleId="SectionHeading">
    <w:name w:val="Section Heading"/>
    <w:basedOn w:val="Heading1"/>
    <w:next w:val="Paragraphtext"/>
    <w:qFormat/>
    <w:rsid w:val="00B7207D"/>
    <w:pPr>
      <w:numPr>
        <w:numId w:val="0"/>
      </w:numPr>
      <w:spacing w:before="360"/>
    </w:pPr>
  </w:style>
  <w:style w:type="paragraph" w:customStyle="1" w:styleId="Appendicessubheadings">
    <w:name w:val="Appendices sub headings"/>
    <w:basedOn w:val="Heading3"/>
    <w:link w:val="AppendicessubheadingsChar"/>
    <w:rsid w:val="00B7207D"/>
    <w:rPr>
      <w:color w:val="003D69"/>
    </w:rPr>
  </w:style>
  <w:style w:type="character" w:customStyle="1" w:styleId="AppendicessubheadingsChar">
    <w:name w:val="Appendices sub headings Char"/>
    <w:basedOn w:val="Heading3Char"/>
    <w:link w:val="Appendicessubheadings"/>
    <w:rsid w:val="00B7207D"/>
    <w:rPr>
      <w:rFonts w:ascii="Arial" w:eastAsia="Times New Roman" w:hAnsi="Arial" w:cs="Arial"/>
      <w:b/>
      <w:iCs/>
      <w:color w:val="003D69"/>
      <w:sz w:val="28"/>
      <w:szCs w:val="28"/>
      <w:lang w:val="en-AU"/>
    </w:rPr>
  </w:style>
  <w:style w:type="paragraph" w:customStyle="1" w:styleId="Body">
    <w:name w:val="Body"/>
    <w:basedOn w:val="Normal"/>
    <w:qFormat/>
    <w:rsid w:val="00B7207D"/>
    <w:pPr>
      <w:spacing w:after="180"/>
    </w:pPr>
    <w:rPr>
      <w:color w:val="003D69"/>
    </w:rPr>
  </w:style>
  <w:style w:type="paragraph" w:styleId="BodyText">
    <w:name w:val="Body Text"/>
    <w:basedOn w:val="Normal"/>
    <w:link w:val="BodyTextChar"/>
    <w:rsid w:val="00B7207D"/>
    <w:pPr>
      <w:spacing w:after="120"/>
    </w:pPr>
  </w:style>
  <w:style w:type="character" w:customStyle="1" w:styleId="BodyTextChar">
    <w:name w:val="Body Text Char"/>
    <w:basedOn w:val="DefaultParagraphFont"/>
    <w:link w:val="BodyText"/>
    <w:rsid w:val="00B7207D"/>
    <w:rPr>
      <w:rFonts w:ascii="Arial" w:eastAsia="Times New Roman" w:hAnsi="Arial" w:cs="Times New Roman"/>
      <w:sz w:val="22"/>
      <w:szCs w:val="24"/>
      <w:lang w:val="en-AU"/>
    </w:rPr>
  </w:style>
  <w:style w:type="character" w:styleId="BookTitle">
    <w:name w:val="Book Title"/>
    <w:basedOn w:val="DefaultParagraphFont"/>
    <w:uiPriority w:val="33"/>
    <w:rsid w:val="00B7207D"/>
    <w:rPr>
      <w:b/>
      <w:bCs/>
      <w:smallCaps/>
      <w:spacing w:val="5"/>
    </w:rPr>
  </w:style>
  <w:style w:type="numbering" w:customStyle="1" w:styleId="Bullet">
    <w:name w:val="Bullet"/>
    <w:rsid w:val="00B7207D"/>
    <w:pPr>
      <w:numPr>
        <w:numId w:val="1"/>
      </w:numPr>
    </w:pPr>
  </w:style>
  <w:style w:type="paragraph" w:customStyle="1" w:styleId="Default">
    <w:name w:val="Default"/>
    <w:rsid w:val="00B7207D"/>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paragraph" w:styleId="DocumentMap">
    <w:name w:val="Document Map"/>
    <w:basedOn w:val="Normal"/>
    <w:link w:val="DocumentMapChar"/>
    <w:semiHidden/>
    <w:unhideWhenUsed/>
    <w:rsid w:val="00B7207D"/>
    <w:rPr>
      <w:rFonts w:ascii="Times New Roman" w:hAnsi="Times New Roman"/>
      <w:sz w:val="24"/>
    </w:rPr>
  </w:style>
  <w:style w:type="character" w:customStyle="1" w:styleId="DocumentMapChar">
    <w:name w:val="Document Map Char"/>
    <w:basedOn w:val="DefaultParagraphFont"/>
    <w:link w:val="DocumentMap"/>
    <w:semiHidden/>
    <w:rsid w:val="00B7207D"/>
    <w:rPr>
      <w:rFonts w:ascii="Times New Roman" w:eastAsia="Times New Roman" w:hAnsi="Times New Roman" w:cs="Times New Roman"/>
      <w:sz w:val="24"/>
      <w:szCs w:val="24"/>
      <w:lang w:val="en-AU"/>
    </w:rPr>
  </w:style>
  <w:style w:type="character" w:styleId="Emphasis">
    <w:name w:val="Emphasis"/>
    <w:basedOn w:val="DefaultParagraphFont"/>
    <w:uiPriority w:val="20"/>
    <w:rsid w:val="00B7207D"/>
    <w:rPr>
      <w:i/>
      <w:iCs/>
    </w:rPr>
  </w:style>
  <w:style w:type="character" w:styleId="EndnoteReference">
    <w:name w:val="endnote reference"/>
    <w:basedOn w:val="DefaultParagraphFont"/>
    <w:rsid w:val="00B7207D"/>
    <w:rPr>
      <w:vertAlign w:val="superscript"/>
    </w:rPr>
  </w:style>
  <w:style w:type="paragraph" w:styleId="EndnoteText">
    <w:name w:val="endnote text"/>
    <w:basedOn w:val="Normal"/>
    <w:link w:val="EndnoteTextChar"/>
    <w:rsid w:val="00B7207D"/>
    <w:rPr>
      <w:sz w:val="20"/>
      <w:szCs w:val="20"/>
    </w:rPr>
  </w:style>
  <w:style w:type="character" w:customStyle="1" w:styleId="EndnoteTextChar">
    <w:name w:val="Endnote Text Char"/>
    <w:basedOn w:val="DefaultParagraphFont"/>
    <w:link w:val="EndnoteText"/>
    <w:rsid w:val="00B7207D"/>
    <w:rPr>
      <w:rFonts w:ascii="Arial" w:eastAsia="Times New Roman" w:hAnsi="Arial" w:cs="Times New Roman"/>
      <w:lang w:val="en-AU"/>
    </w:rPr>
  </w:style>
  <w:style w:type="paragraph" w:customStyle="1" w:styleId="FigureTitle">
    <w:name w:val="Figure Title"/>
    <w:next w:val="Normal"/>
    <w:qFormat/>
    <w:rsid w:val="00B7207D"/>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B7207D"/>
    <w:rPr>
      <w:color w:val="0000FF" w:themeColor="followedHyperlink"/>
      <w:u w:val="single"/>
    </w:rPr>
  </w:style>
  <w:style w:type="paragraph" w:customStyle="1" w:styleId="Footertext">
    <w:name w:val="Footer text"/>
    <w:rsid w:val="00B7207D"/>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B7207D"/>
    <w:pPr>
      <w:spacing w:before="240" w:after="240" w:line="240" w:lineRule="atLeast"/>
    </w:pPr>
    <w:rPr>
      <w:color w:val="000000" w:themeColor="text1"/>
    </w:rPr>
  </w:style>
  <w:style w:type="paragraph" w:customStyle="1" w:styleId="Hangingindent1">
    <w:name w:val="Hanging indent 1"/>
    <w:basedOn w:val="Paragraphtext"/>
    <w:rsid w:val="00B7207D"/>
    <w:pPr>
      <w:tabs>
        <w:tab w:val="left" w:pos="357"/>
      </w:tabs>
      <w:ind w:left="357" w:hanging="357"/>
    </w:pPr>
  </w:style>
  <w:style w:type="paragraph" w:customStyle="1" w:styleId="headertext">
    <w:name w:val="header text"/>
    <w:rsid w:val="00B7207D"/>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B7207D"/>
    <w:pPr>
      <w:ind w:left="431" w:hanging="431"/>
    </w:pPr>
    <w:rPr>
      <w:color w:val="D72F0D"/>
    </w:rPr>
  </w:style>
  <w:style w:type="paragraph" w:customStyle="1" w:styleId="Heading1Purple">
    <w:name w:val="Heading 1 Purple"/>
    <w:basedOn w:val="Heading1"/>
    <w:next w:val="Normal"/>
    <w:rsid w:val="00B7207D"/>
    <w:pPr>
      <w:ind w:left="431" w:hanging="431"/>
    </w:pPr>
    <w:rPr>
      <w:color w:val="8D188D"/>
    </w:rPr>
  </w:style>
  <w:style w:type="paragraph" w:customStyle="1" w:styleId="Heading2Orange">
    <w:name w:val="Heading 2 Orange"/>
    <w:basedOn w:val="Heading2"/>
    <w:next w:val="Normal"/>
    <w:rsid w:val="00B7207D"/>
    <w:pPr>
      <w:ind w:left="578" w:hanging="578"/>
    </w:pPr>
  </w:style>
  <w:style w:type="paragraph" w:customStyle="1" w:styleId="Heading2Purple">
    <w:name w:val="Heading 2 Purple"/>
    <w:basedOn w:val="Heading2"/>
    <w:next w:val="Normal"/>
    <w:qFormat/>
    <w:rsid w:val="00B7207D"/>
    <w:pPr>
      <w:spacing w:before="180"/>
      <w:ind w:left="578" w:hanging="578"/>
    </w:pPr>
    <w:rPr>
      <w:color w:val="8D188D"/>
    </w:rPr>
  </w:style>
  <w:style w:type="character" w:customStyle="1" w:styleId="Heading4Char">
    <w:name w:val="Heading 4 Char"/>
    <w:basedOn w:val="DefaultParagraphFont"/>
    <w:link w:val="Heading4"/>
    <w:rsid w:val="00B7207D"/>
    <w:rPr>
      <w:rFonts w:ascii="Arial" w:eastAsia="Times New Roman" w:hAnsi="Arial" w:cs="Times New Roman"/>
      <w:b/>
      <w:bCs/>
      <w:color w:val="153A6E"/>
      <w:sz w:val="24"/>
      <w:szCs w:val="28"/>
      <w:lang w:val="en-AU"/>
    </w:rPr>
  </w:style>
  <w:style w:type="character" w:customStyle="1" w:styleId="Heading7Char">
    <w:name w:val="Heading 7 Char"/>
    <w:basedOn w:val="DefaultParagraphFont"/>
    <w:link w:val="Heading7"/>
    <w:semiHidden/>
    <w:rsid w:val="00B7207D"/>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B7207D"/>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B7207D"/>
    <w:rPr>
      <w:rFonts w:asciiTheme="majorHAnsi" w:eastAsiaTheme="majorEastAsia" w:hAnsiTheme="majorHAnsi" w:cstheme="majorBidi"/>
      <w:i/>
      <w:iCs/>
      <w:color w:val="404040" w:themeColor="text1" w:themeTint="BF"/>
      <w:lang w:val="en-AU"/>
    </w:rPr>
  </w:style>
  <w:style w:type="paragraph" w:customStyle="1" w:styleId="Indent1">
    <w:name w:val="Indent 1"/>
    <w:basedOn w:val="Paragraphtext"/>
    <w:rsid w:val="00B7207D"/>
    <w:pPr>
      <w:ind w:left="284"/>
    </w:pPr>
  </w:style>
  <w:style w:type="paragraph" w:customStyle="1" w:styleId="Indent2">
    <w:name w:val="Indent 2"/>
    <w:basedOn w:val="Indent1"/>
    <w:rsid w:val="00B7207D"/>
    <w:pPr>
      <w:numPr>
        <w:ilvl w:val="2"/>
      </w:numPr>
      <w:ind w:left="284"/>
    </w:pPr>
  </w:style>
  <w:style w:type="paragraph" w:customStyle="1" w:styleId="Indent3">
    <w:name w:val="Indent 3"/>
    <w:basedOn w:val="Indent2"/>
    <w:rsid w:val="00B7207D"/>
    <w:pPr>
      <w:numPr>
        <w:ilvl w:val="3"/>
      </w:numPr>
      <w:ind w:left="284"/>
    </w:pPr>
  </w:style>
  <w:style w:type="paragraph" w:customStyle="1" w:styleId="Indent4">
    <w:name w:val="Indent 4"/>
    <w:basedOn w:val="Indent3"/>
    <w:rsid w:val="00B7207D"/>
    <w:pPr>
      <w:numPr>
        <w:ilvl w:val="4"/>
      </w:numPr>
      <w:ind w:left="284"/>
    </w:pPr>
  </w:style>
  <w:style w:type="paragraph" w:customStyle="1" w:styleId="Indent5">
    <w:name w:val="Indent 5"/>
    <w:basedOn w:val="Indent4"/>
    <w:rsid w:val="00B7207D"/>
    <w:pPr>
      <w:numPr>
        <w:ilvl w:val="5"/>
      </w:numPr>
      <w:ind w:left="284"/>
    </w:pPr>
  </w:style>
  <w:style w:type="paragraph" w:customStyle="1" w:styleId="Indent6">
    <w:name w:val="Indent 6"/>
    <w:basedOn w:val="Indent5"/>
    <w:rsid w:val="00B7207D"/>
    <w:pPr>
      <w:numPr>
        <w:ilvl w:val="6"/>
      </w:numPr>
      <w:ind w:left="284"/>
    </w:pPr>
  </w:style>
  <w:style w:type="paragraph" w:customStyle="1" w:styleId="Indent7">
    <w:name w:val="Indent 7"/>
    <w:basedOn w:val="Indent6"/>
    <w:rsid w:val="00B7207D"/>
    <w:pPr>
      <w:numPr>
        <w:ilvl w:val="7"/>
      </w:numPr>
      <w:ind w:left="284"/>
    </w:pPr>
  </w:style>
  <w:style w:type="paragraph" w:customStyle="1" w:styleId="Indent8">
    <w:name w:val="Indent 8"/>
    <w:basedOn w:val="Indent7"/>
    <w:rsid w:val="00B7207D"/>
    <w:pPr>
      <w:numPr>
        <w:ilvl w:val="8"/>
      </w:numPr>
      <w:ind w:left="284"/>
    </w:pPr>
  </w:style>
  <w:style w:type="character" w:styleId="IntenseEmphasis">
    <w:name w:val="Intense Emphasis"/>
    <w:basedOn w:val="DefaultParagraphFont"/>
    <w:uiPriority w:val="21"/>
    <w:rsid w:val="00B7207D"/>
    <w:rPr>
      <w:b/>
      <w:bCs/>
      <w:i/>
      <w:iCs/>
      <w:color w:val="DC6900" w:themeColor="accent1"/>
    </w:rPr>
  </w:style>
  <w:style w:type="paragraph" w:styleId="IntenseQuote">
    <w:name w:val="Intense Quote"/>
    <w:basedOn w:val="Normal"/>
    <w:next w:val="Normal"/>
    <w:link w:val="IntenseQuoteChar"/>
    <w:uiPriority w:val="30"/>
    <w:rsid w:val="00B7207D"/>
    <w:pPr>
      <w:pBdr>
        <w:bottom w:val="single" w:sz="4" w:space="4" w:color="DC6900" w:themeColor="accent1"/>
      </w:pBdr>
      <w:spacing w:before="200" w:after="280"/>
      <w:ind w:left="936" w:right="936"/>
    </w:pPr>
    <w:rPr>
      <w:b/>
      <w:bCs/>
      <w:i/>
      <w:iCs/>
      <w:color w:val="DC6900" w:themeColor="accent1"/>
    </w:rPr>
  </w:style>
  <w:style w:type="character" w:customStyle="1" w:styleId="IntenseQuoteChar">
    <w:name w:val="Intense Quote Char"/>
    <w:basedOn w:val="DefaultParagraphFont"/>
    <w:link w:val="IntenseQuote"/>
    <w:uiPriority w:val="30"/>
    <w:rsid w:val="00B7207D"/>
    <w:rPr>
      <w:rFonts w:ascii="Arial" w:eastAsia="Times New Roman" w:hAnsi="Arial" w:cs="Times New Roman"/>
      <w:b/>
      <w:bCs/>
      <w:i/>
      <w:iCs/>
      <w:color w:val="DC6900" w:themeColor="accent1"/>
      <w:sz w:val="22"/>
      <w:szCs w:val="24"/>
      <w:lang w:val="en-AU"/>
    </w:rPr>
  </w:style>
  <w:style w:type="character" w:styleId="IntenseReference">
    <w:name w:val="Intense Reference"/>
    <w:basedOn w:val="DefaultParagraphFont"/>
    <w:uiPriority w:val="32"/>
    <w:rsid w:val="00B7207D"/>
    <w:rPr>
      <w:b/>
      <w:bCs/>
      <w:i/>
      <w:smallCaps/>
      <w:color w:val="FFB600" w:themeColor="accent2"/>
      <w:spacing w:val="5"/>
      <w:u w:val="none"/>
    </w:rPr>
  </w:style>
  <w:style w:type="numbering" w:customStyle="1" w:styleId="List18">
    <w:name w:val="List 18"/>
    <w:basedOn w:val="NoList"/>
    <w:rsid w:val="00B7207D"/>
    <w:pPr>
      <w:numPr>
        <w:numId w:val="2"/>
      </w:numPr>
    </w:pPr>
  </w:style>
  <w:style w:type="numbering" w:customStyle="1" w:styleId="List9">
    <w:name w:val="List 9"/>
    <w:basedOn w:val="NoList"/>
    <w:rsid w:val="00B7207D"/>
    <w:pPr>
      <w:numPr>
        <w:numId w:val="3"/>
      </w:numPr>
    </w:pPr>
  </w:style>
  <w:style w:type="paragraph" w:styleId="ListBullet2">
    <w:name w:val="List Bullet 2"/>
    <w:basedOn w:val="Normal"/>
    <w:rsid w:val="00B7207D"/>
    <w:pPr>
      <w:numPr>
        <w:ilvl w:val="1"/>
        <w:numId w:val="4"/>
      </w:numPr>
      <w:spacing w:before="120" w:after="120"/>
    </w:pPr>
  </w:style>
  <w:style w:type="paragraph" w:styleId="ListBullet3">
    <w:name w:val="List Bullet 3"/>
    <w:basedOn w:val="ListBullet2"/>
    <w:rsid w:val="00B7207D"/>
    <w:pPr>
      <w:numPr>
        <w:ilvl w:val="2"/>
      </w:numPr>
    </w:pPr>
  </w:style>
  <w:style w:type="paragraph" w:styleId="ListBullet4">
    <w:name w:val="List Bullet 4"/>
    <w:basedOn w:val="ListBullet3"/>
    <w:unhideWhenUsed/>
    <w:rsid w:val="00B7207D"/>
    <w:pPr>
      <w:numPr>
        <w:ilvl w:val="3"/>
      </w:numPr>
    </w:pPr>
  </w:style>
  <w:style w:type="paragraph" w:styleId="ListBullet5">
    <w:name w:val="List Bullet 5"/>
    <w:basedOn w:val="ListBullet4"/>
    <w:unhideWhenUsed/>
    <w:rsid w:val="00B7207D"/>
    <w:pPr>
      <w:numPr>
        <w:ilvl w:val="0"/>
        <w:numId w:val="0"/>
      </w:numPr>
    </w:pPr>
  </w:style>
  <w:style w:type="paragraph" w:styleId="ListBullet">
    <w:name w:val="List Bullet"/>
    <w:aliases w:val="List First Level,Bullet List"/>
    <w:basedOn w:val="Normal"/>
    <w:qFormat/>
    <w:rsid w:val="00B7207D"/>
    <w:pPr>
      <w:numPr>
        <w:numId w:val="4"/>
      </w:numPr>
      <w:spacing w:before="120" w:line="240" w:lineRule="exact"/>
    </w:pPr>
    <w:rPr>
      <w:color w:val="000000" w:themeColor="text1"/>
    </w:rPr>
  </w:style>
  <w:style w:type="paragraph" w:styleId="ListNumber2">
    <w:name w:val="List Number 2"/>
    <w:aliases w:val="List Second Level"/>
    <w:basedOn w:val="ListBullet"/>
    <w:qFormat/>
    <w:rsid w:val="00B7207D"/>
    <w:pPr>
      <w:ind w:left="568" w:hanging="284"/>
    </w:pPr>
  </w:style>
  <w:style w:type="paragraph" w:styleId="ListNumber3">
    <w:name w:val="List Number 3"/>
    <w:aliases w:val="List Third Level"/>
    <w:basedOn w:val="ListNumber2"/>
    <w:qFormat/>
    <w:rsid w:val="00B7207D"/>
    <w:pPr>
      <w:numPr>
        <w:numId w:val="5"/>
      </w:numPr>
      <w:tabs>
        <w:tab w:val="num" w:pos="1440"/>
      </w:tabs>
      <w:spacing w:line="276" w:lineRule="auto"/>
    </w:pPr>
    <w:rPr>
      <w:rFonts w:eastAsia="Cambria"/>
      <w:color w:val="auto"/>
      <w:szCs w:val="22"/>
      <w:lang w:val="en-US"/>
    </w:rPr>
  </w:style>
  <w:style w:type="paragraph" w:customStyle="1" w:styleId="MajorHeading">
    <w:name w:val="Major Heading"/>
    <w:basedOn w:val="Normal"/>
    <w:rsid w:val="00B7207D"/>
    <w:pPr>
      <w:keepNext/>
      <w:keepLines/>
      <w:spacing w:before="240" w:after="60"/>
    </w:pPr>
    <w:rPr>
      <w:b/>
      <w:color w:val="003D69"/>
    </w:rPr>
  </w:style>
  <w:style w:type="paragraph" w:customStyle="1" w:styleId="MLNormal">
    <w:name w:val="ML Normal"/>
    <w:basedOn w:val="Normal"/>
    <w:link w:val="MLNormalChar"/>
    <w:rsid w:val="00B7207D"/>
    <w:pPr>
      <w:numPr>
        <w:numId w:val="6"/>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B7207D"/>
    <w:rPr>
      <w:rFonts w:asciiTheme="minorHAnsi" w:eastAsia="Times New Roman" w:hAnsiTheme="minorHAnsi" w:cs="Arial"/>
      <w:snapToGrid w:val="0"/>
      <w:lang w:val="en-AU"/>
    </w:rPr>
  </w:style>
  <w:style w:type="paragraph" w:customStyle="1" w:styleId="MLNormalAftertable">
    <w:name w:val="ML Normal_After table"/>
    <w:basedOn w:val="MLNormal"/>
    <w:rsid w:val="00B7207D"/>
    <w:pPr>
      <w:numPr>
        <w:numId w:val="0"/>
      </w:numPr>
      <w:spacing w:before="120" w:after="120"/>
      <w:ind w:left="720" w:hanging="360"/>
    </w:pPr>
    <w:rPr>
      <w:lang w:val="en-GB"/>
    </w:rPr>
  </w:style>
  <w:style w:type="paragraph" w:styleId="NoSpacing">
    <w:name w:val="No Spacing"/>
    <w:uiPriority w:val="1"/>
    <w:rsid w:val="00B7207D"/>
    <w:pPr>
      <w:spacing w:after="0" w:line="240" w:lineRule="auto"/>
    </w:pPr>
    <w:rPr>
      <w:rFonts w:ascii="Times New Roman" w:eastAsia="Times New Roman" w:hAnsi="Times New Roman" w:cs="Times New Roman"/>
      <w:sz w:val="24"/>
      <w:szCs w:val="24"/>
      <w:lang w:val="en-AU"/>
    </w:rPr>
  </w:style>
  <w:style w:type="table" w:customStyle="1" w:styleId="PGNGreyTable">
    <w:name w:val="PGN Grey Table"/>
    <w:basedOn w:val="TableNormal"/>
    <w:uiPriority w:val="99"/>
    <w:rsid w:val="00B7207D"/>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B7207D"/>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B7207D"/>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B7207D"/>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B7207D"/>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B7207D"/>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B7207D"/>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table" w:customStyle="1" w:styleId="PwCTableText">
    <w:name w:val="PwC Table Text"/>
    <w:basedOn w:val="TableNormal"/>
    <w:uiPriority w:val="99"/>
    <w:qFormat/>
    <w:rsid w:val="00B7207D"/>
    <w:pPr>
      <w:spacing w:before="60" w:after="60" w:line="240" w:lineRule="auto"/>
    </w:pPr>
    <w:rPr>
      <w:lang w:val="en-GB"/>
    </w:rPr>
    <w:tblPr>
      <w:tblStyleRowBandSize w:val="1"/>
      <w:tblBorders>
        <w:insideH w:val="dotted" w:sz="4" w:space="0" w:color="DC6900" w:themeColor="text2"/>
      </w:tblBorders>
    </w:tblPr>
    <w:tblStylePr w:type="firstRow">
      <w:rPr>
        <w:b/>
      </w:rPr>
      <w:tblPr/>
      <w:tcPr>
        <w:tcBorders>
          <w:top w:val="single" w:sz="6" w:space="0" w:color="DC6900" w:themeColor="text2"/>
          <w:bottom w:val="single" w:sz="6" w:space="0" w:color="DC6900" w:themeColor="text2"/>
        </w:tcBorders>
      </w:tcPr>
    </w:tblStylePr>
    <w:tblStylePr w:type="lastRow">
      <w:rPr>
        <w:b/>
      </w:rPr>
      <w:tblPr/>
      <w:tcPr>
        <w:tcBorders>
          <w:top w:val="single" w:sz="6" w:space="0" w:color="DC6900" w:themeColor="text2"/>
          <w:bottom w:val="single" w:sz="6" w:space="0" w:color="DC6900" w:themeColor="text2"/>
        </w:tcBorders>
      </w:tcPr>
    </w:tblStylePr>
    <w:tblStylePr w:type="band1Horz">
      <w:tblPr/>
      <w:tcPr>
        <w:tcBorders>
          <w:bottom w:val="nil"/>
        </w:tcBorders>
      </w:tcPr>
    </w:tblStylePr>
  </w:style>
  <w:style w:type="paragraph" w:styleId="Quote">
    <w:name w:val="Quote"/>
    <w:next w:val="Normal"/>
    <w:link w:val="QuoteChar"/>
    <w:uiPriority w:val="29"/>
    <w:qFormat/>
    <w:rsid w:val="00B7207D"/>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B7207D"/>
    <w:rPr>
      <w:rFonts w:ascii="Arial" w:eastAsia="Times New Roman" w:hAnsi="Arial" w:cs="Times New Roman"/>
      <w:i/>
      <w:iCs/>
      <w:color w:val="000000" w:themeColor="text1"/>
      <w:sz w:val="22"/>
      <w:szCs w:val="24"/>
      <w:lang w:val="en-AU"/>
    </w:rPr>
  </w:style>
  <w:style w:type="paragraph" w:customStyle="1" w:styleId="Subheading">
    <w:name w:val="Sub heading"/>
    <w:basedOn w:val="Normal"/>
    <w:next w:val="Body"/>
    <w:autoRedefine/>
    <w:qFormat/>
    <w:rsid w:val="00B7207D"/>
    <w:pPr>
      <w:keepNext/>
      <w:spacing w:after="80"/>
    </w:pPr>
    <w:rPr>
      <w:b/>
      <w:color w:val="003D69"/>
      <w:sz w:val="24"/>
    </w:rPr>
  </w:style>
  <w:style w:type="paragraph" w:customStyle="1" w:styleId="Subsubheading">
    <w:name w:val="Sub sub heading"/>
    <w:basedOn w:val="Body"/>
    <w:next w:val="Body"/>
    <w:qFormat/>
    <w:rsid w:val="00B7207D"/>
    <w:pPr>
      <w:keepNext/>
      <w:spacing w:after="80"/>
    </w:pPr>
    <w:rPr>
      <w:i/>
    </w:rPr>
  </w:style>
  <w:style w:type="paragraph" w:customStyle="1" w:styleId="Sub-heading">
    <w:name w:val="Sub-heading"/>
    <w:basedOn w:val="Normal"/>
    <w:link w:val="Sub-headingChar"/>
    <w:autoRedefine/>
    <w:rsid w:val="00B7207D"/>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B7207D"/>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B7207D"/>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B7207D"/>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B7207D"/>
    <w:rPr>
      <w:i/>
      <w:iCs/>
      <w:color w:val="808080" w:themeColor="text1" w:themeTint="7F"/>
    </w:rPr>
  </w:style>
  <w:style w:type="character" w:styleId="SubtleReference">
    <w:name w:val="Subtle Reference"/>
    <w:basedOn w:val="DefaultParagraphFont"/>
    <w:uiPriority w:val="31"/>
    <w:rsid w:val="00B7207D"/>
    <w:rPr>
      <w:smallCaps/>
      <w:color w:val="FFB600" w:themeColor="accent2"/>
      <w:u w:val="single"/>
    </w:rPr>
  </w:style>
  <w:style w:type="paragraph" w:customStyle="1" w:styleId="TableBullet1Small">
    <w:name w:val="Table Bullet 1 Small"/>
    <w:basedOn w:val="Normal"/>
    <w:rsid w:val="00B7207D"/>
    <w:pPr>
      <w:numPr>
        <w:numId w:val="7"/>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B7207D"/>
    <w:pPr>
      <w:numPr>
        <w:ilvl w:val="1"/>
      </w:numPr>
    </w:pPr>
  </w:style>
  <w:style w:type="paragraph" w:customStyle="1" w:styleId="TableBullet3Small">
    <w:name w:val="Table Bullet 3 Small"/>
    <w:basedOn w:val="TableBullet2Small"/>
    <w:rsid w:val="00B7207D"/>
    <w:pPr>
      <w:numPr>
        <w:ilvl w:val="2"/>
      </w:numPr>
    </w:pPr>
    <w:rPr>
      <w:szCs w:val="16"/>
    </w:rPr>
  </w:style>
  <w:style w:type="paragraph" w:customStyle="1" w:styleId="TableColumnHeadingNormal">
    <w:name w:val="Table Column Heading Normal"/>
    <w:basedOn w:val="Normal"/>
    <w:link w:val="TableColumnHeadingNormalChar"/>
    <w:rsid w:val="00B7207D"/>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B7207D"/>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B7207D"/>
    <w:pPr>
      <w:spacing w:after="0" w:line="240" w:lineRule="auto"/>
    </w:pPr>
    <w:rPr>
      <w:sz w:val="22"/>
      <w:szCs w:val="22"/>
      <w:lang w:val="en-AU"/>
    </w:rPr>
    <w:tblPr>
      <w:tblBorders>
        <w:top w:val="single" w:sz="6" w:space="0" w:color="DC6900" w:themeColor="text2"/>
        <w:left w:val="single" w:sz="6" w:space="0" w:color="DC6900" w:themeColor="text2"/>
        <w:bottom w:val="single" w:sz="6" w:space="0" w:color="DC6900" w:themeColor="text2"/>
        <w:right w:val="single" w:sz="6" w:space="0" w:color="DC6900" w:themeColor="text2"/>
        <w:insideH w:val="single" w:sz="6" w:space="0" w:color="DC6900" w:themeColor="text2"/>
        <w:insideV w:val="single" w:sz="6" w:space="0" w:color="DC6900" w:themeColor="text2"/>
      </w:tblBorders>
    </w:tblPr>
    <w:tblStylePr w:type="firstRow">
      <w:tblPr/>
      <w:trPr>
        <w:tblHeader/>
      </w:trPr>
      <w:tcPr>
        <w:shd w:val="clear" w:color="auto" w:fill="DC6900" w:themeFill="text2"/>
      </w:tcPr>
    </w:tblStylePr>
  </w:style>
  <w:style w:type="table" w:customStyle="1" w:styleId="TableGrid2">
    <w:name w:val="Table Grid2"/>
    <w:basedOn w:val="TableNormal"/>
    <w:next w:val="TableGrid"/>
    <w:uiPriority w:val="59"/>
    <w:rsid w:val="00B7207D"/>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B7207D"/>
    <w:pPr>
      <w:spacing w:before="80" w:after="80"/>
    </w:pPr>
    <w:rPr>
      <w:rFonts w:eastAsia="Cambria"/>
      <w:b/>
      <w:color w:val="000000" w:themeColor="text1"/>
      <w:szCs w:val="22"/>
      <w:lang w:val="en-US"/>
    </w:rPr>
  </w:style>
  <w:style w:type="paragraph" w:customStyle="1" w:styleId="TableHeaderteal">
    <w:name w:val="Table Header teal"/>
    <w:qFormat/>
    <w:rsid w:val="00B7207D"/>
    <w:pPr>
      <w:spacing w:after="0" w:line="240" w:lineRule="auto"/>
    </w:pPr>
    <w:rPr>
      <w:rFonts w:ascii="Arial" w:eastAsia="Cambria" w:hAnsi="Arial" w:cs="Times New Roman"/>
      <w:b/>
      <w:color w:val="000000" w:themeColor="text1"/>
      <w:sz w:val="22"/>
      <w:szCs w:val="22"/>
    </w:rPr>
  </w:style>
  <w:style w:type="paragraph" w:customStyle="1" w:styleId="TableHeaderWhite">
    <w:name w:val="Table Header White"/>
    <w:qFormat/>
    <w:rsid w:val="00B7207D"/>
    <w:pPr>
      <w:spacing w:before="80" w:after="80" w:line="240" w:lineRule="auto"/>
    </w:pPr>
    <w:rPr>
      <w:rFonts w:ascii="Arial" w:eastAsia="Cambria" w:hAnsi="Arial" w:cs="Times New Roman"/>
      <w:color w:val="FFFFFF" w:themeColor="background1"/>
      <w:sz w:val="18"/>
      <w:szCs w:val="22"/>
    </w:rPr>
  </w:style>
  <w:style w:type="paragraph" w:customStyle="1" w:styleId="Tablelistbullet">
    <w:name w:val="Table list bullet"/>
    <w:basedOn w:val="Normal"/>
    <w:qFormat/>
    <w:rsid w:val="00CB6FB7"/>
    <w:pPr>
      <w:numPr>
        <w:numId w:val="8"/>
      </w:numPr>
      <w:spacing w:before="60" w:after="60"/>
      <w:ind w:left="227" w:hanging="227"/>
    </w:pPr>
    <w:rPr>
      <w:color w:val="000000" w:themeColor="text1"/>
      <w:sz w:val="18"/>
      <w:szCs w:val="20"/>
    </w:rPr>
  </w:style>
  <w:style w:type="paragraph" w:customStyle="1" w:styleId="Tablelistnumber">
    <w:name w:val="Table list number"/>
    <w:basedOn w:val="Normal"/>
    <w:qFormat/>
    <w:rsid w:val="00B7207D"/>
    <w:pPr>
      <w:numPr>
        <w:numId w:val="9"/>
      </w:numPr>
      <w:spacing w:before="80" w:after="80"/>
    </w:pPr>
    <w:rPr>
      <w:bCs/>
      <w:color w:val="000000" w:themeColor="text1"/>
      <w14:numSpacing w14:val="proportional"/>
    </w:rPr>
  </w:style>
  <w:style w:type="paragraph" w:customStyle="1" w:styleId="Tabletextnormal">
    <w:name w:val="Table text normal"/>
    <w:basedOn w:val="Normal"/>
    <w:rsid w:val="00CB6FB7"/>
    <w:pPr>
      <w:spacing w:before="60" w:after="60"/>
    </w:pPr>
    <w:rPr>
      <w:rFonts w:asciiTheme="minorHAnsi" w:hAnsiTheme="minorHAnsi"/>
      <w:color w:val="000000" w:themeColor="text1"/>
      <w:sz w:val="18"/>
      <w:szCs w:val="22"/>
      <w:lang w:val="en-GB"/>
    </w:rPr>
  </w:style>
  <w:style w:type="paragraph" w:styleId="Title">
    <w:name w:val="Title"/>
    <w:next w:val="Normal"/>
    <w:link w:val="TitleChar"/>
    <w:qFormat/>
    <w:rsid w:val="006B50BD"/>
    <w:pPr>
      <w:tabs>
        <w:tab w:val="left" w:pos="6792"/>
      </w:tabs>
      <w:spacing w:after="0" w:line="240" w:lineRule="auto"/>
      <w:contextualSpacing/>
    </w:pPr>
    <w:rPr>
      <w:rFonts w:ascii="Arial" w:eastAsiaTheme="majorEastAsia" w:hAnsi="Arial" w:cstheme="majorBidi"/>
      <w:b/>
      <w:color w:val="153A6E"/>
      <w:kern w:val="28"/>
      <w:sz w:val="60"/>
      <w:szCs w:val="80"/>
      <w:lang w:val="en-AU"/>
    </w:rPr>
  </w:style>
  <w:style w:type="character" w:customStyle="1" w:styleId="TitleChar">
    <w:name w:val="Title Char"/>
    <w:basedOn w:val="DefaultParagraphFont"/>
    <w:link w:val="Title"/>
    <w:rsid w:val="006B50BD"/>
    <w:rPr>
      <w:rFonts w:ascii="Arial" w:eastAsiaTheme="majorEastAsia" w:hAnsi="Arial" w:cstheme="majorBidi"/>
      <w:b/>
      <w:color w:val="153A6E"/>
      <w:kern w:val="28"/>
      <w:sz w:val="60"/>
      <w:szCs w:val="80"/>
      <w:lang w:val="en-AU"/>
    </w:rPr>
  </w:style>
  <w:style w:type="paragraph" w:styleId="TOC4">
    <w:name w:val="toc 4"/>
    <w:basedOn w:val="Normal"/>
    <w:next w:val="Normal"/>
    <w:autoRedefine/>
    <w:uiPriority w:val="39"/>
    <w:rsid w:val="00B7207D"/>
    <w:pPr>
      <w:spacing w:after="100"/>
      <w:ind w:left="660"/>
    </w:pPr>
    <w:rPr>
      <w:i/>
      <w:sz w:val="20"/>
    </w:rPr>
  </w:style>
  <w:style w:type="paragraph" w:styleId="TOC5">
    <w:name w:val="toc 5"/>
    <w:basedOn w:val="Normal"/>
    <w:next w:val="Normal"/>
    <w:autoRedefine/>
    <w:uiPriority w:val="39"/>
    <w:rsid w:val="00B7207D"/>
    <w:pPr>
      <w:spacing w:after="100"/>
      <w:ind w:left="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qFormat="1"/>
    <w:lsdException w:name="caption" w:uiPriority="0" w:qFormat="1"/>
    <w:lsdException w:name="annotation reference" w:uiPriority="0"/>
    <w:lsdException w:name="endnote reference" w:uiPriority="0"/>
    <w:lsdException w:name="endnote text" w:uiPriority="0"/>
    <w:lsdException w:name="List Bullet" w:uiPriority="0" w:qFormat="1"/>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207D"/>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B7207D"/>
    <w:pPr>
      <w:keepNext/>
      <w:numPr>
        <w:numId w:val="10"/>
      </w:numPr>
      <w:spacing w:before="240" w:after="60"/>
      <w:outlineLvl w:val="0"/>
    </w:pPr>
    <w:rPr>
      <w:rFonts w:cs="Arial"/>
      <w:b/>
      <w:bCs/>
      <w:color w:val="153A6E"/>
      <w:kern w:val="28"/>
      <w:sz w:val="36"/>
      <w:szCs w:val="32"/>
    </w:rPr>
  </w:style>
  <w:style w:type="paragraph" w:styleId="Heading2">
    <w:name w:val="heading 2"/>
    <w:next w:val="Normal"/>
    <w:link w:val="Heading2Char"/>
    <w:qFormat/>
    <w:rsid w:val="00B7207D"/>
    <w:pPr>
      <w:keepNext/>
      <w:numPr>
        <w:ilvl w:val="1"/>
        <w:numId w:val="10"/>
      </w:numPr>
      <w:spacing w:before="240" w:after="60" w:line="240" w:lineRule="auto"/>
      <w:outlineLvl w:val="1"/>
    </w:pPr>
    <w:rPr>
      <w:rFonts w:ascii="Arial" w:eastAsia="Times New Roman" w:hAnsi="Arial" w:cs="Arial"/>
      <w:b/>
      <w:bCs/>
      <w:iCs/>
      <w:color w:val="153A6E"/>
      <w:sz w:val="32"/>
      <w:szCs w:val="32"/>
      <w:lang w:val="en-AU"/>
    </w:rPr>
  </w:style>
  <w:style w:type="paragraph" w:styleId="Heading3">
    <w:name w:val="heading 3"/>
    <w:basedOn w:val="Heading2"/>
    <w:next w:val="Normal"/>
    <w:link w:val="Heading3Char"/>
    <w:qFormat/>
    <w:rsid w:val="00B7207D"/>
    <w:pPr>
      <w:numPr>
        <w:ilvl w:val="2"/>
      </w:numPr>
      <w:spacing w:before="180"/>
      <w:outlineLvl w:val="2"/>
    </w:pPr>
    <w:rPr>
      <w:bCs w:val="0"/>
      <w:sz w:val="28"/>
      <w:szCs w:val="28"/>
    </w:rPr>
  </w:style>
  <w:style w:type="paragraph" w:styleId="Heading4">
    <w:name w:val="heading 4"/>
    <w:basedOn w:val="Normal"/>
    <w:next w:val="Normal"/>
    <w:link w:val="Heading4Char"/>
    <w:qFormat/>
    <w:rsid w:val="00B7207D"/>
    <w:pPr>
      <w:keepNext/>
      <w:spacing w:before="240" w:after="60"/>
      <w:outlineLvl w:val="3"/>
    </w:pPr>
    <w:rPr>
      <w:b/>
      <w:bCs/>
      <w:color w:val="153A6E"/>
      <w:sz w:val="24"/>
      <w:szCs w:val="28"/>
    </w:rPr>
  </w:style>
  <w:style w:type="paragraph" w:styleId="Heading5">
    <w:name w:val="heading 5"/>
    <w:basedOn w:val="Normal"/>
    <w:next w:val="Normal"/>
    <w:link w:val="Heading5Char"/>
    <w:rsid w:val="00B7207D"/>
    <w:pPr>
      <w:keepNext/>
      <w:numPr>
        <w:ilvl w:val="4"/>
        <w:numId w:val="10"/>
      </w:numPr>
      <w:spacing w:before="240" w:after="60"/>
      <w:outlineLvl w:val="4"/>
    </w:pPr>
    <w:rPr>
      <w:b/>
      <w:bCs/>
      <w:iCs/>
      <w:szCs w:val="26"/>
    </w:rPr>
  </w:style>
  <w:style w:type="paragraph" w:styleId="Heading6">
    <w:name w:val="heading 6"/>
    <w:basedOn w:val="Normal"/>
    <w:next w:val="Normal"/>
    <w:link w:val="Heading6Char"/>
    <w:rsid w:val="00B7207D"/>
    <w:pPr>
      <w:keepNext/>
      <w:numPr>
        <w:ilvl w:val="5"/>
        <w:numId w:val="10"/>
      </w:numPr>
      <w:spacing w:before="240" w:after="60"/>
      <w:outlineLvl w:val="5"/>
    </w:pPr>
    <w:rPr>
      <w:b/>
      <w:bCs/>
      <w:i/>
      <w:szCs w:val="22"/>
    </w:rPr>
  </w:style>
  <w:style w:type="paragraph" w:styleId="Heading7">
    <w:name w:val="heading 7"/>
    <w:basedOn w:val="Normal"/>
    <w:next w:val="Normal"/>
    <w:link w:val="Heading7Char"/>
    <w:semiHidden/>
    <w:unhideWhenUsed/>
    <w:qFormat/>
    <w:rsid w:val="00B7207D"/>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207D"/>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207D"/>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7207D"/>
    <w:pPr>
      <w:tabs>
        <w:tab w:val="center" w:pos="4513"/>
        <w:tab w:val="right" w:pos="9026"/>
      </w:tabs>
    </w:pPr>
  </w:style>
  <w:style w:type="character" w:customStyle="1" w:styleId="HeaderChar">
    <w:name w:val="Header Char"/>
    <w:basedOn w:val="DefaultParagraphFont"/>
    <w:link w:val="Header"/>
    <w:rsid w:val="00B7207D"/>
    <w:rPr>
      <w:rFonts w:ascii="Arial" w:eastAsia="Times New Roman" w:hAnsi="Arial" w:cs="Times New Roman"/>
      <w:sz w:val="22"/>
      <w:szCs w:val="24"/>
      <w:lang w:val="en-AU"/>
    </w:rPr>
  </w:style>
  <w:style w:type="paragraph" w:styleId="Footer">
    <w:name w:val="footer"/>
    <w:basedOn w:val="Normal"/>
    <w:link w:val="FooterChar"/>
    <w:uiPriority w:val="99"/>
    <w:qFormat/>
    <w:rsid w:val="00B7207D"/>
    <w:pPr>
      <w:tabs>
        <w:tab w:val="center" w:pos="4513"/>
        <w:tab w:val="right" w:pos="9026"/>
      </w:tabs>
    </w:pPr>
    <w:rPr>
      <w:sz w:val="20"/>
    </w:rPr>
  </w:style>
  <w:style w:type="character" w:customStyle="1" w:styleId="FooterChar">
    <w:name w:val="Footer Char"/>
    <w:basedOn w:val="DefaultParagraphFont"/>
    <w:link w:val="Footer"/>
    <w:uiPriority w:val="99"/>
    <w:rsid w:val="00B7207D"/>
    <w:rPr>
      <w:rFonts w:ascii="Arial" w:eastAsia="Times New Roman" w:hAnsi="Arial" w:cs="Times New Roman"/>
      <w:szCs w:val="24"/>
      <w:lang w:val="en-AU"/>
    </w:rPr>
  </w:style>
  <w:style w:type="table" w:customStyle="1" w:styleId="DefenceTable">
    <w:name w:val="Defence Table"/>
    <w:basedOn w:val="TableNormal"/>
    <w:rsid w:val="00B7207D"/>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BalloonText">
    <w:name w:val="Balloon Text"/>
    <w:basedOn w:val="Normal"/>
    <w:link w:val="BalloonTextChar"/>
    <w:rsid w:val="00B7207D"/>
    <w:rPr>
      <w:rFonts w:ascii="Tahoma" w:hAnsi="Tahoma" w:cs="Tahoma"/>
      <w:sz w:val="16"/>
      <w:szCs w:val="16"/>
    </w:rPr>
  </w:style>
  <w:style w:type="character" w:customStyle="1" w:styleId="BalloonTextChar">
    <w:name w:val="Balloon Text Char"/>
    <w:basedOn w:val="DefaultParagraphFont"/>
    <w:link w:val="BalloonText"/>
    <w:rsid w:val="00B7207D"/>
    <w:rPr>
      <w:rFonts w:ascii="Tahoma" w:eastAsia="Times New Roman" w:hAnsi="Tahoma" w:cs="Tahoma"/>
      <w:sz w:val="16"/>
      <w:szCs w:val="16"/>
      <w:lang w:val="en-AU"/>
    </w:rPr>
  </w:style>
  <w:style w:type="character" w:customStyle="1" w:styleId="Heading1Char">
    <w:name w:val="Heading 1 Char"/>
    <w:basedOn w:val="DefaultParagraphFont"/>
    <w:link w:val="Heading1"/>
    <w:rsid w:val="00B7207D"/>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917DBF"/>
    <w:rPr>
      <w:rFonts w:ascii="Arial" w:eastAsia="Times New Roman" w:hAnsi="Arial" w:cs="Arial"/>
      <w:b/>
      <w:bCs/>
      <w:iCs/>
      <w:color w:val="153A6E"/>
      <w:sz w:val="32"/>
      <w:szCs w:val="32"/>
      <w:lang w:val="en-AU"/>
    </w:rPr>
  </w:style>
  <w:style w:type="paragraph" w:styleId="ListParagraph">
    <w:name w:val="List Paragraph"/>
    <w:aliases w:val="List Paragraph1,Recommendation,Body text"/>
    <w:basedOn w:val="Normal"/>
    <w:link w:val="ListParagraphChar"/>
    <w:uiPriority w:val="34"/>
    <w:rsid w:val="00B7207D"/>
    <w:pPr>
      <w:ind w:left="720"/>
      <w:contextualSpacing/>
    </w:pPr>
  </w:style>
  <w:style w:type="character" w:styleId="CommentReference">
    <w:name w:val="annotation reference"/>
    <w:basedOn w:val="DefaultParagraphFont"/>
    <w:rsid w:val="00B7207D"/>
    <w:rPr>
      <w:sz w:val="16"/>
      <w:szCs w:val="16"/>
    </w:rPr>
  </w:style>
  <w:style w:type="paragraph" w:styleId="CommentText">
    <w:name w:val="annotation text"/>
    <w:basedOn w:val="Normal"/>
    <w:link w:val="CommentTextChar"/>
    <w:rsid w:val="00B7207D"/>
    <w:rPr>
      <w:sz w:val="20"/>
      <w:szCs w:val="20"/>
    </w:rPr>
  </w:style>
  <w:style w:type="character" w:customStyle="1" w:styleId="CommentTextChar">
    <w:name w:val="Comment Text Char"/>
    <w:basedOn w:val="DefaultParagraphFont"/>
    <w:link w:val="CommentText"/>
    <w:rsid w:val="00B7207D"/>
    <w:rPr>
      <w:rFonts w:ascii="Arial" w:eastAsia="Times New Roman" w:hAnsi="Arial" w:cs="Times New Roman"/>
      <w:lang w:val="en-AU"/>
    </w:rPr>
  </w:style>
  <w:style w:type="table" w:styleId="TableGrid">
    <w:name w:val="Table Grid"/>
    <w:aliases w:val="Table - Top"/>
    <w:basedOn w:val="TableNormal"/>
    <w:rsid w:val="00B7207D"/>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7207D"/>
    <w:rPr>
      <w:rFonts w:ascii="Arial" w:hAnsi="Arial"/>
      <w:color w:val="0000FF" w:themeColor="hyperlink"/>
      <w:sz w:val="22"/>
      <w:u w:val="single"/>
    </w:rPr>
  </w:style>
  <w:style w:type="paragraph" w:styleId="FootnoteText">
    <w:name w:val="footnote text"/>
    <w:basedOn w:val="Normal"/>
    <w:link w:val="FootnoteTextChar"/>
    <w:uiPriority w:val="99"/>
    <w:qFormat/>
    <w:rsid w:val="00B7207D"/>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B7207D"/>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B7207D"/>
    <w:rPr>
      <w:vertAlign w:val="superscript"/>
    </w:rPr>
  </w:style>
  <w:style w:type="character" w:customStyle="1" w:styleId="Heading5Char">
    <w:name w:val="Heading 5 Char"/>
    <w:basedOn w:val="DefaultParagraphFont"/>
    <w:link w:val="Heading5"/>
    <w:rsid w:val="00522B83"/>
    <w:rPr>
      <w:rFonts w:ascii="Arial" w:eastAsia="Times New Roman" w:hAnsi="Arial" w:cs="Times New Roman"/>
      <w:b/>
      <w:bCs/>
      <w:iCs/>
      <w:sz w:val="22"/>
      <w:szCs w:val="26"/>
      <w:lang w:val="en-AU"/>
    </w:rPr>
  </w:style>
  <w:style w:type="paragraph" w:styleId="TOC1">
    <w:name w:val="toc 1"/>
    <w:basedOn w:val="Normal"/>
    <w:next w:val="Normal"/>
    <w:autoRedefine/>
    <w:uiPriority w:val="39"/>
    <w:rsid w:val="00B7207D"/>
    <w:pPr>
      <w:tabs>
        <w:tab w:val="right" w:leader="dot" w:pos="9736"/>
      </w:tabs>
      <w:spacing w:after="100"/>
    </w:pPr>
  </w:style>
  <w:style w:type="paragraph" w:styleId="CommentSubject">
    <w:name w:val="annotation subject"/>
    <w:basedOn w:val="CommentText"/>
    <w:next w:val="CommentText"/>
    <w:link w:val="CommentSubjectChar"/>
    <w:rsid w:val="00B7207D"/>
    <w:rPr>
      <w:b/>
      <w:bCs/>
    </w:rPr>
  </w:style>
  <w:style w:type="character" w:customStyle="1" w:styleId="CommentSubjectChar">
    <w:name w:val="Comment Subject Char"/>
    <w:basedOn w:val="CommentTextChar"/>
    <w:link w:val="CommentSubject"/>
    <w:rsid w:val="00B7207D"/>
    <w:rPr>
      <w:rFonts w:ascii="Arial" w:eastAsia="Times New Roman" w:hAnsi="Arial" w:cs="Times New Roman"/>
      <w:b/>
      <w:bCs/>
      <w:lang w:val="en-AU"/>
    </w:rPr>
  </w:style>
  <w:style w:type="character" w:customStyle="1" w:styleId="ListParagraphChar">
    <w:name w:val="List Paragraph Char"/>
    <w:aliases w:val="List Paragraph1 Char,Recommendation Char,Body text Char"/>
    <w:link w:val="ListParagraph"/>
    <w:uiPriority w:val="34"/>
    <w:locked/>
    <w:rsid w:val="00B7207D"/>
    <w:rPr>
      <w:rFonts w:ascii="Arial" w:eastAsia="Times New Roman" w:hAnsi="Arial" w:cs="Times New Roman"/>
      <w:sz w:val="22"/>
      <w:szCs w:val="24"/>
      <w:lang w:val="en-AU"/>
    </w:rPr>
  </w:style>
  <w:style w:type="paragraph" w:styleId="Caption">
    <w:name w:val="caption"/>
    <w:basedOn w:val="Normal"/>
    <w:next w:val="Normal"/>
    <w:unhideWhenUsed/>
    <w:qFormat/>
    <w:rsid w:val="00B7207D"/>
    <w:pPr>
      <w:keepNext/>
      <w:keepLines/>
      <w:spacing w:after="200"/>
    </w:pPr>
    <w:rPr>
      <w:b/>
      <w:bCs/>
      <w:color w:val="000000" w:themeColor="text1"/>
      <w:szCs w:val="18"/>
    </w:rPr>
  </w:style>
  <w:style w:type="paragraph" w:styleId="TableofFigures">
    <w:name w:val="table of figures"/>
    <w:basedOn w:val="Normal"/>
    <w:next w:val="Normal"/>
    <w:uiPriority w:val="99"/>
    <w:rsid w:val="00B7207D"/>
  </w:style>
  <w:style w:type="character" w:customStyle="1" w:styleId="Heading3Char">
    <w:name w:val="Heading 3 Char"/>
    <w:link w:val="Heading3"/>
    <w:rsid w:val="00B7207D"/>
    <w:rPr>
      <w:rFonts w:ascii="Arial" w:eastAsia="Times New Roman" w:hAnsi="Arial" w:cs="Arial"/>
      <w:b/>
      <w:iCs/>
      <w:color w:val="153A6E"/>
      <w:sz w:val="28"/>
      <w:szCs w:val="28"/>
      <w:lang w:val="en-AU"/>
    </w:rPr>
  </w:style>
  <w:style w:type="paragraph" w:customStyle="1" w:styleId="lead">
    <w:name w:val="lead"/>
    <w:basedOn w:val="Normal"/>
    <w:rsid w:val="001E3F45"/>
    <w:pPr>
      <w:spacing w:before="100" w:beforeAutospacing="1" w:after="100" w:afterAutospacing="1"/>
    </w:pPr>
    <w:rPr>
      <w:rFonts w:ascii="Times New Roman" w:hAnsi="Times New Roman"/>
      <w:sz w:val="24"/>
      <w:lang w:eastAsia="en-AU"/>
    </w:rPr>
  </w:style>
  <w:style w:type="character" w:customStyle="1" w:styleId="Style2Char">
    <w:name w:val="Style2 Char"/>
    <w:link w:val="Style2"/>
    <w:locked/>
    <w:rsid w:val="000B36E6"/>
    <w:rPr>
      <w:rFonts w:ascii="Calibri" w:hAnsi="Calibri" w:cs="Battersea-Light"/>
      <w:color w:val="000000"/>
      <w:sz w:val="48"/>
      <w:szCs w:val="48"/>
    </w:rPr>
  </w:style>
  <w:style w:type="paragraph" w:customStyle="1" w:styleId="Style2">
    <w:name w:val="Style2"/>
    <w:basedOn w:val="Normal"/>
    <w:link w:val="Style2Char"/>
    <w:qFormat/>
    <w:rsid w:val="000B36E6"/>
    <w:pPr>
      <w:widowControl w:val="0"/>
      <w:suppressAutoHyphens/>
      <w:autoSpaceDE w:val="0"/>
      <w:autoSpaceDN w:val="0"/>
      <w:adjustRightInd w:val="0"/>
      <w:spacing w:before="340" w:after="85" w:line="520" w:lineRule="atLeast"/>
    </w:pPr>
    <w:rPr>
      <w:rFonts w:ascii="Calibri" w:hAnsi="Calibri" w:cs="Battersea-Light"/>
      <w:color w:val="000000"/>
      <w:sz w:val="48"/>
      <w:szCs w:val="48"/>
    </w:rPr>
  </w:style>
  <w:style w:type="character" w:styleId="Strong">
    <w:name w:val="Strong"/>
    <w:basedOn w:val="DefaultParagraphFont"/>
    <w:rsid w:val="00B7207D"/>
    <w:rPr>
      <w:b/>
      <w:bCs/>
    </w:rPr>
  </w:style>
  <w:style w:type="character" w:customStyle="1" w:styleId="Heading6Char">
    <w:name w:val="Heading 6 Char"/>
    <w:basedOn w:val="DefaultParagraphFont"/>
    <w:link w:val="Heading6"/>
    <w:rsid w:val="00C24DEA"/>
    <w:rPr>
      <w:rFonts w:ascii="Arial" w:eastAsia="Times New Roman" w:hAnsi="Arial" w:cs="Times New Roman"/>
      <w:b/>
      <w:bCs/>
      <w:i/>
      <w:sz w:val="22"/>
      <w:szCs w:val="22"/>
      <w:lang w:val="en-AU"/>
    </w:rPr>
  </w:style>
  <w:style w:type="paragraph" w:styleId="TOCHeading">
    <w:name w:val="TOC Heading"/>
    <w:basedOn w:val="Heading1"/>
    <w:next w:val="Normal"/>
    <w:uiPriority w:val="39"/>
    <w:unhideWhenUsed/>
    <w:qFormat/>
    <w:rsid w:val="00B7207D"/>
    <w:pPr>
      <w:keepLines/>
      <w:spacing w:before="480" w:after="0" w:line="276" w:lineRule="auto"/>
      <w:ind w:left="431" w:hanging="431"/>
      <w:outlineLvl w:val="9"/>
    </w:pPr>
    <w:rPr>
      <w:rFonts w:asciiTheme="majorHAnsi" w:eastAsiaTheme="majorEastAsia" w:hAnsiTheme="majorHAnsi" w:cstheme="majorBidi"/>
      <w:color w:val="A44E00" w:themeColor="accent1" w:themeShade="BF"/>
      <w:kern w:val="0"/>
      <w:sz w:val="28"/>
      <w:szCs w:val="28"/>
      <w:lang w:val="en-US" w:eastAsia="ja-JP"/>
    </w:rPr>
  </w:style>
  <w:style w:type="paragraph" w:styleId="TOC2">
    <w:name w:val="toc 2"/>
    <w:basedOn w:val="Normal"/>
    <w:next w:val="Normal"/>
    <w:autoRedefine/>
    <w:uiPriority w:val="39"/>
    <w:rsid w:val="00CB6FB7"/>
    <w:pPr>
      <w:tabs>
        <w:tab w:val="right" w:pos="9735"/>
      </w:tabs>
      <w:spacing w:after="100"/>
      <w:ind w:left="220"/>
    </w:pPr>
  </w:style>
  <w:style w:type="paragraph" w:styleId="Revision">
    <w:name w:val="Revision"/>
    <w:hidden/>
    <w:uiPriority w:val="99"/>
    <w:semiHidden/>
    <w:rsid w:val="00ED380A"/>
    <w:pPr>
      <w:spacing w:after="0" w:line="240" w:lineRule="auto"/>
    </w:pPr>
  </w:style>
  <w:style w:type="paragraph" w:styleId="TOC3">
    <w:name w:val="toc 3"/>
    <w:basedOn w:val="Normal"/>
    <w:next w:val="Normal"/>
    <w:autoRedefine/>
    <w:uiPriority w:val="39"/>
    <w:rsid w:val="00B7207D"/>
    <w:pPr>
      <w:spacing w:after="100"/>
      <w:ind w:left="440"/>
    </w:pPr>
  </w:style>
  <w:style w:type="paragraph" w:customStyle="1" w:styleId="SectionHeading">
    <w:name w:val="Section Heading"/>
    <w:basedOn w:val="Heading1"/>
    <w:next w:val="Paragraphtext"/>
    <w:qFormat/>
    <w:rsid w:val="00B7207D"/>
    <w:pPr>
      <w:numPr>
        <w:numId w:val="0"/>
      </w:numPr>
      <w:spacing w:before="360"/>
    </w:pPr>
  </w:style>
  <w:style w:type="paragraph" w:customStyle="1" w:styleId="Appendicessubheadings">
    <w:name w:val="Appendices sub headings"/>
    <w:basedOn w:val="Heading3"/>
    <w:link w:val="AppendicessubheadingsChar"/>
    <w:rsid w:val="00B7207D"/>
    <w:rPr>
      <w:color w:val="003D69"/>
    </w:rPr>
  </w:style>
  <w:style w:type="character" w:customStyle="1" w:styleId="AppendicessubheadingsChar">
    <w:name w:val="Appendices sub headings Char"/>
    <w:basedOn w:val="Heading3Char"/>
    <w:link w:val="Appendicessubheadings"/>
    <w:rsid w:val="00B7207D"/>
    <w:rPr>
      <w:rFonts w:ascii="Arial" w:eastAsia="Times New Roman" w:hAnsi="Arial" w:cs="Arial"/>
      <w:b/>
      <w:iCs/>
      <w:color w:val="003D69"/>
      <w:sz w:val="28"/>
      <w:szCs w:val="28"/>
      <w:lang w:val="en-AU"/>
    </w:rPr>
  </w:style>
  <w:style w:type="paragraph" w:customStyle="1" w:styleId="Body">
    <w:name w:val="Body"/>
    <w:basedOn w:val="Normal"/>
    <w:qFormat/>
    <w:rsid w:val="00B7207D"/>
    <w:pPr>
      <w:spacing w:after="180"/>
    </w:pPr>
    <w:rPr>
      <w:color w:val="003D69"/>
    </w:rPr>
  </w:style>
  <w:style w:type="paragraph" w:styleId="BodyText">
    <w:name w:val="Body Text"/>
    <w:basedOn w:val="Normal"/>
    <w:link w:val="BodyTextChar"/>
    <w:rsid w:val="00B7207D"/>
    <w:pPr>
      <w:spacing w:after="120"/>
    </w:pPr>
  </w:style>
  <w:style w:type="character" w:customStyle="1" w:styleId="BodyTextChar">
    <w:name w:val="Body Text Char"/>
    <w:basedOn w:val="DefaultParagraphFont"/>
    <w:link w:val="BodyText"/>
    <w:rsid w:val="00B7207D"/>
    <w:rPr>
      <w:rFonts w:ascii="Arial" w:eastAsia="Times New Roman" w:hAnsi="Arial" w:cs="Times New Roman"/>
      <w:sz w:val="22"/>
      <w:szCs w:val="24"/>
      <w:lang w:val="en-AU"/>
    </w:rPr>
  </w:style>
  <w:style w:type="character" w:styleId="BookTitle">
    <w:name w:val="Book Title"/>
    <w:basedOn w:val="DefaultParagraphFont"/>
    <w:uiPriority w:val="33"/>
    <w:rsid w:val="00B7207D"/>
    <w:rPr>
      <w:b/>
      <w:bCs/>
      <w:smallCaps/>
      <w:spacing w:val="5"/>
    </w:rPr>
  </w:style>
  <w:style w:type="numbering" w:customStyle="1" w:styleId="Bullet">
    <w:name w:val="Bullet"/>
    <w:rsid w:val="00B7207D"/>
    <w:pPr>
      <w:numPr>
        <w:numId w:val="1"/>
      </w:numPr>
    </w:pPr>
  </w:style>
  <w:style w:type="paragraph" w:customStyle="1" w:styleId="Default">
    <w:name w:val="Default"/>
    <w:rsid w:val="00B7207D"/>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paragraph" w:styleId="DocumentMap">
    <w:name w:val="Document Map"/>
    <w:basedOn w:val="Normal"/>
    <w:link w:val="DocumentMapChar"/>
    <w:semiHidden/>
    <w:unhideWhenUsed/>
    <w:rsid w:val="00B7207D"/>
    <w:rPr>
      <w:rFonts w:ascii="Times New Roman" w:hAnsi="Times New Roman"/>
      <w:sz w:val="24"/>
    </w:rPr>
  </w:style>
  <w:style w:type="character" w:customStyle="1" w:styleId="DocumentMapChar">
    <w:name w:val="Document Map Char"/>
    <w:basedOn w:val="DefaultParagraphFont"/>
    <w:link w:val="DocumentMap"/>
    <w:semiHidden/>
    <w:rsid w:val="00B7207D"/>
    <w:rPr>
      <w:rFonts w:ascii="Times New Roman" w:eastAsia="Times New Roman" w:hAnsi="Times New Roman" w:cs="Times New Roman"/>
      <w:sz w:val="24"/>
      <w:szCs w:val="24"/>
      <w:lang w:val="en-AU"/>
    </w:rPr>
  </w:style>
  <w:style w:type="character" w:styleId="Emphasis">
    <w:name w:val="Emphasis"/>
    <w:basedOn w:val="DefaultParagraphFont"/>
    <w:uiPriority w:val="20"/>
    <w:rsid w:val="00B7207D"/>
    <w:rPr>
      <w:i/>
      <w:iCs/>
    </w:rPr>
  </w:style>
  <w:style w:type="character" w:styleId="EndnoteReference">
    <w:name w:val="endnote reference"/>
    <w:basedOn w:val="DefaultParagraphFont"/>
    <w:rsid w:val="00B7207D"/>
    <w:rPr>
      <w:vertAlign w:val="superscript"/>
    </w:rPr>
  </w:style>
  <w:style w:type="paragraph" w:styleId="EndnoteText">
    <w:name w:val="endnote text"/>
    <w:basedOn w:val="Normal"/>
    <w:link w:val="EndnoteTextChar"/>
    <w:rsid w:val="00B7207D"/>
    <w:rPr>
      <w:sz w:val="20"/>
      <w:szCs w:val="20"/>
    </w:rPr>
  </w:style>
  <w:style w:type="character" w:customStyle="1" w:styleId="EndnoteTextChar">
    <w:name w:val="Endnote Text Char"/>
    <w:basedOn w:val="DefaultParagraphFont"/>
    <w:link w:val="EndnoteText"/>
    <w:rsid w:val="00B7207D"/>
    <w:rPr>
      <w:rFonts w:ascii="Arial" w:eastAsia="Times New Roman" w:hAnsi="Arial" w:cs="Times New Roman"/>
      <w:lang w:val="en-AU"/>
    </w:rPr>
  </w:style>
  <w:style w:type="paragraph" w:customStyle="1" w:styleId="FigureTitle">
    <w:name w:val="Figure Title"/>
    <w:next w:val="Normal"/>
    <w:qFormat/>
    <w:rsid w:val="00B7207D"/>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B7207D"/>
    <w:rPr>
      <w:color w:val="0000FF" w:themeColor="followedHyperlink"/>
      <w:u w:val="single"/>
    </w:rPr>
  </w:style>
  <w:style w:type="paragraph" w:customStyle="1" w:styleId="Footertext">
    <w:name w:val="Footer text"/>
    <w:rsid w:val="00B7207D"/>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B7207D"/>
    <w:pPr>
      <w:spacing w:before="240" w:after="240" w:line="240" w:lineRule="atLeast"/>
    </w:pPr>
    <w:rPr>
      <w:color w:val="000000" w:themeColor="text1"/>
    </w:rPr>
  </w:style>
  <w:style w:type="paragraph" w:customStyle="1" w:styleId="Hangingindent1">
    <w:name w:val="Hanging indent 1"/>
    <w:basedOn w:val="Paragraphtext"/>
    <w:rsid w:val="00B7207D"/>
    <w:pPr>
      <w:tabs>
        <w:tab w:val="left" w:pos="357"/>
      </w:tabs>
      <w:ind w:left="357" w:hanging="357"/>
    </w:pPr>
  </w:style>
  <w:style w:type="paragraph" w:customStyle="1" w:styleId="headertext">
    <w:name w:val="header text"/>
    <w:rsid w:val="00B7207D"/>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B7207D"/>
    <w:pPr>
      <w:ind w:left="431" w:hanging="431"/>
    </w:pPr>
    <w:rPr>
      <w:color w:val="D72F0D"/>
    </w:rPr>
  </w:style>
  <w:style w:type="paragraph" w:customStyle="1" w:styleId="Heading1Purple">
    <w:name w:val="Heading 1 Purple"/>
    <w:basedOn w:val="Heading1"/>
    <w:next w:val="Normal"/>
    <w:rsid w:val="00B7207D"/>
    <w:pPr>
      <w:ind w:left="431" w:hanging="431"/>
    </w:pPr>
    <w:rPr>
      <w:color w:val="8D188D"/>
    </w:rPr>
  </w:style>
  <w:style w:type="paragraph" w:customStyle="1" w:styleId="Heading2Orange">
    <w:name w:val="Heading 2 Orange"/>
    <w:basedOn w:val="Heading2"/>
    <w:next w:val="Normal"/>
    <w:rsid w:val="00B7207D"/>
    <w:pPr>
      <w:ind w:left="578" w:hanging="578"/>
    </w:pPr>
  </w:style>
  <w:style w:type="paragraph" w:customStyle="1" w:styleId="Heading2Purple">
    <w:name w:val="Heading 2 Purple"/>
    <w:basedOn w:val="Heading2"/>
    <w:next w:val="Normal"/>
    <w:qFormat/>
    <w:rsid w:val="00B7207D"/>
    <w:pPr>
      <w:spacing w:before="180"/>
      <w:ind w:left="578" w:hanging="578"/>
    </w:pPr>
    <w:rPr>
      <w:color w:val="8D188D"/>
    </w:rPr>
  </w:style>
  <w:style w:type="character" w:customStyle="1" w:styleId="Heading4Char">
    <w:name w:val="Heading 4 Char"/>
    <w:basedOn w:val="DefaultParagraphFont"/>
    <w:link w:val="Heading4"/>
    <w:rsid w:val="00B7207D"/>
    <w:rPr>
      <w:rFonts w:ascii="Arial" w:eastAsia="Times New Roman" w:hAnsi="Arial" w:cs="Times New Roman"/>
      <w:b/>
      <w:bCs/>
      <w:color w:val="153A6E"/>
      <w:sz w:val="24"/>
      <w:szCs w:val="28"/>
      <w:lang w:val="en-AU"/>
    </w:rPr>
  </w:style>
  <w:style w:type="character" w:customStyle="1" w:styleId="Heading7Char">
    <w:name w:val="Heading 7 Char"/>
    <w:basedOn w:val="DefaultParagraphFont"/>
    <w:link w:val="Heading7"/>
    <w:semiHidden/>
    <w:rsid w:val="00B7207D"/>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B7207D"/>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B7207D"/>
    <w:rPr>
      <w:rFonts w:asciiTheme="majorHAnsi" w:eastAsiaTheme="majorEastAsia" w:hAnsiTheme="majorHAnsi" w:cstheme="majorBidi"/>
      <w:i/>
      <w:iCs/>
      <w:color w:val="404040" w:themeColor="text1" w:themeTint="BF"/>
      <w:lang w:val="en-AU"/>
    </w:rPr>
  </w:style>
  <w:style w:type="paragraph" w:customStyle="1" w:styleId="Indent1">
    <w:name w:val="Indent 1"/>
    <w:basedOn w:val="Paragraphtext"/>
    <w:rsid w:val="00B7207D"/>
    <w:pPr>
      <w:ind w:left="284"/>
    </w:pPr>
  </w:style>
  <w:style w:type="paragraph" w:customStyle="1" w:styleId="Indent2">
    <w:name w:val="Indent 2"/>
    <w:basedOn w:val="Indent1"/>
    <w:rsid w:val="00B7207D"/>
    <w:pPr>
      <w:numPr>
        <w:ilvl w:val="2"/>
      </w:numPr>
      <w:ind w:left="284"/>
    </w:pPr>
  </w:style>
  <w:style w:type="paragraph" w:customStyle="1" w:styleId="Indent3">
    <w:name w:val="Indent 3"/>
    <w:basedOn w:val="Indent2"/>
    <w:rsid w:val="00B7207D"/>
    <w:pPr>
      <w:numPr>
        <w:ilvl w:val="3"/>
      </w:numPr>
      <w:ind w:left="284"/>
    </w:pPr>
  </w:style>
  <w:style w:type="paragraph" w:customStyle="1" w:styleId="Indent4">
    <w:name w:val="Indent 4"/>
    <w:basedOn w:val="Indent3"/>
    <w:rsid w:val="00B7207D"/>
    <w:pPr>
      <w:numPr>
        <w:ilvl w:val="4"/>
      </w:numPr>
      <w:ind w:left="284"/>
    </w:pPr>
  </w:style>
  <w:style w:type="paragraph" w:customStyle="1" w:styleId="Indent5">
    <w:name w:val="Indent 5"/>
    <w:basedOn w:val="Indent4"/>
    <w:rsid w:val="00B7207D"/>
    <w:pPr>
      <w:numPr>
        <w:ilvl w:val="5"/>
      </w:numPr>
      <w:ind w:left="284"/>
    </w:pPr>
  </w:style>
  <w:style w:type="paragraph" w:customStyle="1" w:styleId="Indent6">
    <w:name w:val="Indent 6"/>
    <w:basedOn w:val="Indent5"/>
    <w:rsid w:val="00B7207D"/>
    <w:pPr>
      <w:numPr>
        <w:ilvl w:val="6"/>
      </w:numPr>
      <w:ind w:left="284"/>
    </w:pPr>
  </w:style>
  <w:style w:type="paragraph" w:customStyle="1" w:styleId="Indent7">
    <w:name w:val="Indent 7"/>
    <w:basedOn w:val="Indent6"/>
    <w:rsid w:val="00B7207D"/>
    <w:pPr>
      <w:numPr>
        <w:ilvl w:val="7"/>
      </w:numPr>
      <w:ind w:left="284"/>
    </w:pPr>
  </w:style>
  <w:style w:type="paragraph" w:customStyle="1" w:styleId="Indent8">
    <w:name w:val="Indent 8"/>
    <w:basedOn w:val="Indent7"/>
    <w:rsid w:val="00B7207D"/>
    <w:pPr>
      <w:numPr>
        <w:ilvl w:val="8"/>
      </w:numPr>
      <w:ind w:left="284"/>
    </w:pPr>
  </w:style>
  <w:style w:type="character" w:styleId="IntenseEmphasis">
    <w:name w:val="Intense Emphasis"/>
    <w:basedOn w:val="DefaultParagraphFont"/>
    <w:uiPriority w:val="21"/>
    <w:rsid w:val="00B7207D"/>
    <w:rPr>
      <w:b/>
      <w:bCs/>
      <w:i/>
      <w:iCs/>
      <w:color w:val="DC6900" w:themeColor="accent1"/>
    </w:rPr>
  </w:style>
  <w:style w:type="paragraph" w:styleId="IntenseQuote">
    <w:name w:val="Intense Quote"/>
    <w:basedOn w:val="Normal"/>
    <w:next w:val="Normal"/>
    <w:link w:val="IntenseQuoteChar"/>
    <w:uiPriority w:val="30"/>
    <w:rsid w:val="00B7207D"/>
    <w:pPr>
      <w:pBdr>
        <w:bottom w:val="single" w:sz="4" w:space="4" w:color="DC6900" w:themeColor="accent1"/>
      </w:pBdr>
      <w:spacing w:before="200" w:after="280"/>
      <w:ind w:left="936" w:right="936"/>
    </w:pPr>
    <w:rPr>
      <w:b/>
      <w:bCs/>
      <w:i/>
      <w:iCs/>
      <w:color w:val="DC6900" w:themeColor="accent1"/>
    </w:rPr>
  </w:style>
  <w:style w:type="character" w:customStyle="1" w:styleId="IntenseQuoteChar">
    <w:name w:val="Intense Quote Char"/>
    <w:basedOn w:val="DefaultParagraphFont"/>
    <w:link w:val="IntenseQuote"/>
    <w:uiPriority w:val="30"/>
    <w:rsid w:val="00B7207D"/>
    <w:rPr>
      <w:rFonts w:ascii="Arial" w:eastAsia="Times New Roman" w:hAnsi="Arial" w:cs="Times New Roman"/>
      <w:b/>
      <w:bCs/>
      <w:i/>
      <w:iCs/>
      <w:color w:val="DC6900" w:themeColor="accent1"/>
      <w:sz w:val="22"/>
      <w:szCs w:val="24"/>
      <w:lang w:val="en-AU"/>
    </w:rPr>
  </w:style>
  <w:style w:type="character" w:styleId="IntenseReference">
    <w:name w:val="Intense Reference"/>
    <w:basedOn w:val="DefaultParagraphFont"/>
    <w:uiPriority w:val="32"/>
    <w:rsid w:val="00B7207D"/>
    <w:rPr>
      <w:b/>
      <w:bCs/>
      <w:i/>
      <w:smallCaps/>
      <w:color w:val="FFB600" w:themeColor="accent2"/>
      <w:spacing w:val="5"/>
      <w:u w:val="none"/>
    </w:rPr>
  </w:style>
  <w:style w:type="numbering" w:customStyle="1" w:styleId="List18">
    <w:name w:val="List 18"/>
    <w:basedOn w:val="NoList"/>
    <w:rsid w:val="00B7207D"/>
    <w:pPr>
      <w:numPr>
        <w:numId w:val="2"/>
      </w:numPr>
    </w:pPr>
  </w:style>
  <w:style w:type="numbering" w:customStyle="1" w:styleId="List9">
    <w:name w:val="List 9"/>
    <w:basedOn w:val="NoList"/>
    <w:rsid w:val="00B7207D"/>
    <w:pPr>
      <w:numPr>
        <w:numId w:val="3"/>
      </w:numPr>
    </w:pPr>
  </w:style>
  <w:style w:type="paragraph" w:styleId="ListBullet2">
    <w:name w:val="List Bullet 2"/>
    <w:basedOn w:val="Normal"/>
    <w:rsid w:val="00B7207D"/>
    <w:pPr>
      <w:numPr>
        <w:ilvl w:val="1"/>
        <w:numId w:val="4"/>
      </w:numPr>
      <w:spacing w:before="120" w:after="120"/>
    </w:pPr>
  </w:style>
  <w:style w:type="paragraph" w:styleId="ListBullet3">
    <w:name w:val="List Bullet 3"/>
    <w:basedOn w:val="ListBullet2"/>
    <w:rsid w:val="00B7207D"/>
    <w:pPr>
      <w:numPr>
        <w:ilvl w:val="2"/>
      </w:numPr>
    </w:pPr>
  </w:style>
  <w:style w:type="paragraph" w:styleId="ListBullet4">
    <w:name w:val="List Bullet 4"/>
    <w:basedOn w:val="ListBullet3"/>
    <w:unhideWhenUsed/>
    <w:rsid w:val="00B7207D"/>
    <w:pPr>
      <w:numPr>
        <w:ilvl w:val="3"/>
      </w:numPr>
    </w:pPr>
  </w:style>
  <w:style w:type="paragraph" w:styleId="ListBullet5">
    <w:name w:val="List Bullet 5"/>
    <w:basedOn w:val="ListBullet4"/>
    <w:unhideWhenUsed/>
    <w:rsid w:val="00B7207D"/>
    <w:pPr>
      <w:numPr>
        <w:ilvl w:val="0"/>
        <w:numId w:val="0"/>
      </w:numPr>
    </w:pPr>
  </w:style>
  <w:style w:type="paragraph" w:styleId="ListBullet">
    <w:name w:val="List Bullet"/>
    <w:aliases w:val="List First Level,Bullet List"/>
    <w:basedOn w:val="Normal"/>
    <w:qFormat/>
    <w:rsid w:val="00B7207D"/>
    <w:pPr>
      <w:numPr>
        <w:numId w:val="4"/>
      </w:numPr>
      <w:spacing w:before="120" w:line="240" w:lineRule="exact"/>
    </w:pPr>
    <w:rPr>
      <w:color w:val="000000" w:themeColor="text1"/>
    </w:rPr>
  </w:style>
  <w:style w:type="paragraph" w:styleId="ListNumber2">
    <w:name w:val="List Number 2"/>
    <w:aliases w:val="List Second Level"/>
    <w:basedOn w:val="ListBullet"/>
    <w:qFormat/>
    <w:rsid w:val="00B7207D"/>
    <w:pPr>
      <w:ind w:left="568" w:hanging="284"/>
    </w:pPr>
  </w:style>
  <w:style w:type="paragraph" w:styleId="ListNumber3">
    <w:name w:val="List Number 3"/>
    <w:aliases w:val="List Third Level"/>
    <w:basedOn w:val="ListNumber2"/>
    <w:qFormat/>
    <w:rsid w:val="00B7207D"/>
    <w:pPr>
      <w:numPr>
        <w:numId w:val="5"/>
      </w:numPr>
      <w:tabs>
        <w:tab w:val="num" w:pos="1440"/>
      </w:tabs>
      <w:spacing w:line="276" w:lineRule="auto"/>
    </w:pPr>
    <w:rPr>
      <w:rFonts w:eastAsia="Cambria"/>
      <w:color w:val="auto"/>
      <w:szCs w:val="22"/>
      <w:lang w:val="en-US"/>
    </w:rPr>
  </w:style>
  <w:style w:type="paragraph" w:customStyle="1" w:styleId="MajorHeading">
    <w:name w:val="Major Heading"/>
    <w:basedOn w:val="Normal"/>
    <w:rsid w:val="00B7207D"/>
    <w:pPr>
      <w:keepNext/>
      <w:keepLines/>
      <w:spacing w:before="240" w:after="60"/>
    </w:pPr>
    <w:rPr>
      <w:b/>
      <w:color w:val="003D69"/>
    </w:rPr>
  </w:style>
  <w:style w:type="paragraph" w:customStyle="1" w:styleId="MLNormal">
    <w:name w:val="ML Normal"/>
    <w:basedOn w:val="Normal"/>
    <w:link w:val="MLNormalChar"/>
    <w:rsid w:val="00B7207D"/>
    <w:pPr>
      <w:numPr>
        <w:numId w:val="6"/>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B7207D"/>
    <w:rPr>
      <w:rFonts w:asciiTheme="minorHAnsi" w:eastAsia="Times New Roman" w:hAnsiTheme="minorHAnsi" w:cs="Arial"/>
      <w:snapToGrid w:val="0"/>
      <w:lang w:val="en-AU"/>
    </w:rPr>
  </w:style>
  <w:style w:type="paragraph" w:customStyle="1" w:styleId="MLNormalAftertable">
    <w:name w:val="ML Normal_After table"/>
    <w:basedOn w:val="MLNormal"/>
    <w:rsid w:val="00B7207D"/>
    <w:pPr>
      <w:numPr>
        <w:numId w:val="0"/>
      </w:numPr>
      <w:spacing w:before="120" w:after="120"/>
      <w:ind w:left="720" w:hanging="360"/>
    </w:pPr>
    <w:rPr>
      <w:lang w:val="en-GB"/>
    </w:rPr>
  </w:style>
  <w:style w:type="paragraph" w:styleId="NoSpacing">
    <w:name w:val="No Spacing"/>
    <w:uiPriority w:val="1"/>
    <w:rsid w:val="00B7207D"/>
    <w:pPr>
      <w:spacing w:after="0" w:line="240" w:lineRule="auto"/>
    </w:pPr>
    <w:rPr>
      <w:rFonts w:ascii="Times New Roman" w:eastAsia="Times New Roman" w:hAnsi="Times New Roman" w:cs="Times New Roman"/>
      <w:sz w:val="24"/>
      <w:szCs w:val="24"/>
      <w:lang w:val="en-AU"/>
    </w:rPr>
  </w:style>
  <w:style w:type="table" w:customStyle="1" w:styleId="PGNGreyTable">
    <w:name w:val="PGN Grey Table"/>
    <w:basedOn w:val="TableNormal"/>
    <w:uiPriority w:val="99"/>
    <w:rsid w:val="00B7207D"/>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B7207D"/>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B7207D"/>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B7207D"/>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B7207D"/>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B7207D"/>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B7207D"/>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table" w:customStyle="1" w:styleId="PwCTableText">
    <w:name w:val="PwC Table Text"/>
    <w:basedOn w:val="TableNormal"/>
    <w:uiPriority w:val="99"/>
    <w:qFormat/>
    <w:rsid w:val="00B7207D"/>
    <w:pPr>
      <w:spacing w:before="60" w:after="60" w:line="240" w:lineRule="auto"/>
    </w:pPr>
    <w:rPr>
      <w:lang w:val="en-GB"/>
    </w:rPr>
    <w:tblPr>
      <w:tblStyleRowBandSize w:val="1"/>
      <w:tblBorders>
        <w:insideH w:val="dotted" w:sz="4" w:space="0" w:color="DC6900" w:themeColor="text2"/>
      </w:tblBorders>
    </w:tblPr>
    <w:tblStylePr w:type="firstRow">
      <w:rPr>
        <w:b/>
      </w:rPr>
      <w:tblPr/>
      <w:tcPr>
        <w:tcBorders>
          <w:top w:val="single" w:sz="6" w:space="0" w:color="DC6900" w:themeColor="text2"/>
          <w:bottom w:val="single" w:sz="6" w:space="0" w:color="DC6900" w:themeColor="text2"/>
        </w:tcBorders>
      </w:tcPr>
    </w:tblStylePr>
    <w:tblStylePr w:type="lastRow">
      <w:rPr>
        <w:b/>
      </w:rPr>
      <w:tblPr/>
      <w:tcPr>
        <w:tcBorders>
          <w:top w:val="single" w:sz="6" w:space="0" w:color="DC6900" w:themeColor="text2"/>
          <w:bottom w:val="single" w:sz="6" w:space="0" w:color="DC6900" w:themeColor="text2"/>
        </w:tcBorders>
      </w:tcPr>
    </w:tblStylePr>
    <w:tblStylePr w:type="band1Horz">
      <w:tblPr/>
      <w:tcPr>
        <w:tcBorders>
          <w:bottom w:val="nil"/>
        </w:tcBorders>
      </w:tcPr>
    </w:tblStylePr>
  </w:style>
  <w:style w:type="paragraph" w:styleId="Quote">
    <w:name w:val="Quote"/>
    <w:next w:val="Normal"/>
    <w:link w:val="QuoteChar"/>
    <w:uiPriority w:val="29"/>
    <w:qFormat/>
    <w:rsid w:val="00B7207D"/>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B7207D"/>
    <w:rPr>
      <w:rFonts w:ascii="Arial" w:eastAsia="Times New Roman" w:hAnsi="Arial" w:cs="Times New Roman"/>
      <w:i/>
      <w:iCs/>
      <w:color w:val="000000" w:themeColor="text1"/>
      <w:sz w:val="22"/>
      <w:szCs w:val="24"/>
      <w:lang w:val="en-AU"/>
    </w:rPr>
  </w:style>
  <w:style w:type="paragraph" w:customStyle="1" w:styleId="Subheading">
    <w:name w:val="Sub heading"/>
    <w:basedOn w:val="Normal"/>
    <w:next w:val="Body"/>
    <w:autoRedefine/>
    <w:qFormat/>
    <w:rsid w:val="00B7207D"/>
    <w:pPr>
      <w:keepNext/>
      <w:spacing w:after="80"/>
    </w:pPr>
    <w:rPr>
      <w:b/>
      <w:color w:val="003D69"/>
      <w:sz w:val="24"/>
    </w:rPr>
  </w:style>
  <w:style w:type="paragraph" w:customStyle="1" w:styleId="Subsubheading">
    <w:name w:val="Sub sub heading"/>
    <w:basedOn w:val="Body"/>
    <w:next w:val="Body"/>
    <w:qFormat/>
    <w:rsid w:val="00B7207D"/>
    <w:pPr>
      <w:keepNext/>
      <w:spacing w:after="80"/>
    </w:pPr>
    <w:rPr>
      <w:i/>
    </w:rPr>
  </w:style>
  <w:style w:type="paragraph" w:customStyle="1" w:styleId="Sub-heading">
    <w:name w:val="Sub-heading"/>
    <w:basedOn w:val="Normal"/>
    <w:link w:val="Sub-headingChar"/>
    <w:autoRedefine/>
    <w:rsid w:val="00B7207D"/>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B7207D"/>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B7207D"/>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B7207D"/>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B7207D"/>
    <w:rPr>
      <w:i/>
      <w:iCs/>
      <w:color w:val="808080" w:themeColor="text1" w:themeTint="7F"/>
    </w:rPr>
  </w:style>
  <w:style w:type="character" w:styleId="SubtleReference">
    <w:name w:val="Subtle Reference"/>
    <w:basedOn w:val="DefaultParagraphFont"/>
    <w:uiPriority w:val="31"/>
    <w:rsid w:val="00B7207D"/>
    <w:rPr>
      <w:smallCaps/>
      <w:color w:val="FFB600" w:themeColor="accent2"/>
      <w:u w:val="single"/>
    </w:rPr>
  </w:style>
  <w:style w:type="paragraph" w:customStyle="1" w:styleId="TableBullet1Small">
    <w:name w:val="Table Bullet 1 Small"/>
    <w:basedOn w:val="Normal"/>
    <w:rsid w:val="00B7207D"/>
    <w:pPr>
      <w:numPr>
        <w:numId w:val="7"/>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B7207D"/>
    <w:pPr>
      <w:numPr>
        <w:ilvl w:val="1"/>
      </w:numPr>
    </w:pPr>
  </w:style>
  <w:style w:type="paragraph" w:customStyle="1" w:styleId="TableBullet3Small">
    <w:name w:val="Table Bullet 3 Small"/>
    <w:basedOn w:val="TableBullet2Small"/>
    <w:rsid w:val="00B7207D"/>
    <w:pPr>
      <w:numPr>
        <w:ilvl w:val="2"/>
      </w:numPr>
    </w:pPr>
    <w:rPr>
      <w:szCs w:val="16"/>
    </w:rPr>
  </w:style>
  <w:style w:type="paragraph" w:customStyle="1" w:styleId="TableColumnHeadingNormal">
    <w:name w:val="Table Column Heading Normal"/>
    <w:basedOn w:val="Normal"/>
    <w:link w:val="TableColumnHeadingNormalChar"/>
    <w:rsid w:val="00B7207D"/>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B7207D"/>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B7207D"/>
    <w:pPr>
      <w:spacing w:after="0" w:line="240" w:lineRule="auto"/>
    </w:pPr>
    <w:rPr>
      <w:sz w:val="22"/>
      <w:szCs w:val="22"/>
      <w:lang w:val="en-AU"/>
    </w:rPr>
    <w:tblPr>
      <w:tblBorders>
        <w:top w:val="single" w:sz="6" w:space="0" w:color="DC6900" w:themeColor="text2"/>
        <w:left w:val="single" w:sz="6" w:space="0" w:color="DC6900" w:themeColor="text2"/>
        <w:bottom w:val="single" w:sz="6" w:space="0" w:color="DC6900" w:themeColor="text2"/>
        <w:right w:val="single" w:sz="6" w:space="0" w:color="DC6900" w:themeColor="text2"/>
        <w:insideH w:val="single" w:sz="6" w:space="0" w:color="DC6900" w:themeColor="text2"/>
        <w:insideV w:val="single" w:sz="6" w:space="0" w:color="DC6900" w:themeColor="text2"/>
      </w:tblBorders>
    </w:tblPr>
    <w:tblStylePr w:type="firstRow">
      <w:tblPr/>
      <w:trPr>
        <w:tblHeader/>
      </w:trPr>
      <w:tcPr>
        <w:shd w:val="clear" w:color="auto" w:fill="DC6900" w:themeFill="text2"/>
      </w:tcPr>
    </w:tblStylePr>
  </w:style>
  <w:style w:type="table" w:customStyle="1" w:styleId="TableGrid2">
    <w:name w:val="Table Grid2"/>
    <w:basedOn w:val="TableNormal"/>
    <w:next w:val="TableGrid"/>
    <w:uiPriority w:val="59"/>
    <w:rsid w:val="00B7207D"/>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B7207D"/>
    <w:pPr>
      <w:spacing w:before="80" w:after="80"/>
    </w:pPr>
    <w:rPr>
      <w:rFonts w:eastAsia="Cambria"/>
      <w:b/>
      <w:color w:val="000000" w:themeColor="text1"/>
      <w:szCs w:val="22"/>
      <w:lang w:val="en-US"/>
    </w:rPr>
  </w:style>
  <w:style w:type="paragraph" w:customStyle="1" w:styleId="TableHeaderteal">
    <w:name w:val="Table Header teal"/>
    <w:qFormat/>
    <w:rsid w:val="00B7207D"/>
    <w:pPr>
      <w:spacing w:after="0" w:line="240" w:lineRule="auto"/>
    </w:pPr>
    <w:rPr>
      <w:rFonts w:ascii="Arial" w:eastAsia="Cambria" w:hAnsi="Arial" w:cs="Times New Roman"/>
      <w:b/>
      <w:color w:val="000000" w:themeColor="text1"/>
      <w:sz w:val="22"/>
      <w:szCs w:val="22"/>
    </w:rPr>
  </w:style>
  <w:style w:type="paragraph" w:customStyle="1" w:styleId="TableHeaderWhite">
    <w:name w:val="Table Header White"/>
    <w:qFormat/>
    <w:rsid w:val="00B7207D"/>
    <w:pPr>
      <w:spacing w:before="80" w:after="80" w:line="240" w:lineRule="auto"/>
    </w:pPr>
    <w:rPr>
      <w:rFonts w:ascii="Arial" w:eastAsia="Cambria" w:hAnsi="Arial" w:cs="Times New Roman"/>
      <w:color w:val="FFFFFF" w:themeColor="background1"/>
      <w:sz w:val="18"/>
      <w:szCs w:val="22"/>
    </w:rPr>
  </w:style>
  <w:style w:type="paragraph" w:customStyle="1" w:styleId="Tablelistbullet">
    <w:name w:val="Table list bullet"/>
    <w:basedOn w:val="Normal"/>
    <w:qFormat/>
    <w:rsid w:val="00CB6FB7"/>
    <w:pPr>
      <w:numPr>
        <w:numId w:val="8"/>
      </w:numPr>
      <w:spacing w:before="60" w:after="60"/>
      <w:ind w:left="227" w:hanging="227"/>
    </w:pPr>
    <w:rPr>
      <w:color w:val="000000" w:themeColor="text1"/>
      <w:sz w:val="18"/>
      <w:szCs w:val="20"/>
    </w:rPr>
  </w:style>
  <w:style w:type="paragraph" w:customStyle="1" w:styleId="Tablelistnumber">
    <w:name w:val="Table list number"/>
    <w:basedOn w:val="Normal"/>
    <w:qFormat/>
    <w:rsid w:val="00B7207D"/>
    <w:pPr>
      <w:numPr>
        <w:numId w:val="9"/>
      </w:numPr>
      <w:spacing w:before="80" w:after="80"/>
    </w:pPr>
    <w:rPr>
      <w:bCs/>
      <w:color w:val="000000" w:themeColor="text1"/>
      <w14:numSpacing w14:val="proportional"/>
    </w:rPr>
  </w:style>
  <w:style w:type="paragraph" w:customStyle="1" w:styleId="Tabletextnormal">
    <w:name w:val="Table text normal"/>
    <w:basedOn w:val="Normal"/>
    <w:rsid w:val="00CB6FB7"/>
    <w:pPr>
      <w:spacing w:before="60" w:after="60"/>
    </w:pPr>
    <w:rPr>
      <w:rFonts w:asciiTheme="minorHAnsi" w:hAnsiTheme="minorHAnsi"/>
      <w:color w:val="000000" w:themeColor="text1"/>
      <w:sz w:val="18"/>
      <w:szCs w:val="22"/>
      <w:lang w:val="en-GB"/>
    </w:rPr>
  </w:style>
  <w:style w:type="paragraph" w:styleId="Title">
    <w:name w:val="Title"/>
    <w:next w:val="Normal"/>
    <w:link w:val="TitleChar"/>
    <w:qFormat/>
    <w:rsid w:val="006B50BD"/>
    <w:pPr>
      <w:tabs>
        <w:tab w:val="left" w:pos="6792"/>
      </w:tabs>
      <w:spacing w:after="0" w:line="240" w:lineRule="auto"/>
      <w:contextualSpacing/>
    </w:pPr>
    <w:rPr>
      <w:rFonts w:ascii="Arial" w:eastAsiaTheme="majorEastAsia" w:hAnsi="Arial" w:cstheme="majorBidi"/>
      <w:b/>
      <w:color w:val="153A6E"/>
      <w:kern w:val="28"/>
      <w:sz w:val="60"/>
      <w:szCs w:val="80"/>
      <w:lang w:val="en-AU"/>
    </w:rPr>
  </w:style>
  <w:style w:type="character" w:customStyle="1" w:styleId="TitleChar">
    <w:name w:val="Title Char"/>
    <w:basedOn w:val="DefaultParagraphFont"/>
    <w:link w:val="Title"/>
    <w:rsid w:val="006B50BD"/>
    <w:rPr>
      <w:rFonts w:ascii="Arial" w:eastAsiaTheme="majorEastAsia" w:hAnsi="Arial" w:cstheme="majorBidi"/>
      <w:b/>
      <w:color w:val="153A6E"/>
      <w:kern w:val="28"/>
      <w:sz w:val="60"/>
      <w:szCs w:val="80"/>
      <w:lang w:val="en-AU"/>
    </w:rPr>
  </w:style>
  <w:style w:type="paragraph" w:styleId="TOC4">
    <w:name w:val="toc 4"/>
    <w:basedOn w:val="Normal"/>
    <w:next w:val="Normal"/>
    <w:autoRedefine/>
    <w:uiPriority w:val="39"/>
    <w:rsid w:val="00B7207D"/>
    <w:pPr>
      <w:spacing w:after="100"/>
      <w:ind w:left="660"/>
    </w:pPr>
    <w:rPr>
      <w:i/>
      <w:sz w:val="20"/>
    </w:rPr>
  </w:style>
  <w:style w:type="paragraph" w:styleId="TOC5">
    <w:name w:val="toc 5"/>
    <w:basedOn w:val="Normal"/>
    <w:next w:val="Normal"/>
    <w:autoRedefine/>
    <w:uiPriority w:val="39"/>
    <w:rsid w:val="00B7207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5410">
      <w:bodyDiv w:val="1"/>
      <w:marLeft w:val="0"/>
      <w:marRight w:val="0"/>
      <w:marTop w:val="0"/>
      <w:marBottom w:val="0"/>
      <w:divBdr>
        <w:top w:val="none" w:sz="0" w:space="0" w:color="auto"/>
        <w:left w:val="none" w:sz="0" w:space="0" w:color="auto"/>
        <w:bottom w:val="none" w:sz="0" w:space="0" w:color="auto"/>
        <w:right w:val="none" w:sz="0" w:space="0" w:color="auto"/>
      </w:divBdr>
    </w:div>
    <w:div w:id="454058570">
      <w:bodyDiv w:val="1"/>
      <w:marLeft w:val="0"/>
      <w:marRight w:val="0"/>
      <w:marTop w:val="0"/>
      <w:marBottom w:val="0"/>
      <w:divBdr>
        <w:top w:val="none" w:sz="0" w:space="0" w:color="auto"/>
        <w:left w:val="none" w:sz="0" w:space="0" w:color="auto"/>
        <w:bottom w:val="none" w:sz="0" w:space="0" w:color="auto"/>
        <w:right w:val="none" w:sz="0" w:space="0" w:color="auto"/>
      </w:divBdr>
    </w:div>
    <w:div w:id="501354559">
      <w:bodyDiv w:val="1"/>
      <w:marLeft w:val="0"/>
      <w:marRight w:val="0"/>
      <w:marTop w:val="0"/>
      <w:marBottom w:val="0"/>
      <w:divBdr>
        <w:top w:val="none" w:sz="0" w:space="0" w:color="auto"/>
        <w:left w:val="none" w:sz="0" w:space="0" w:color="auto"/>
        <w:bottom w:val="none" w:sz="0" w:space="0" w:color="auto"/>
        <w:right w:val="none" w:sz="0" w:space="0" w:color="auto"/>
      </w:divBdr>
    </w:div>
    <w:div w:id="565653884">
      <w:bodyDiv w:val="1"/>
      <w:marLeft w:val="0"/>
      <w:marRight w:val="0"/>
      <w:marTop w:val="0"/>
      <w:marBottom w:val="0"/>
      <w:divBdr>
        <w:top w:val="none" w:sz="0" w:space="0" w:color="auto"/>
        <w:left w:val="none" w:sz="0" w:space="0" w:color="auto"/>
        <w:bottom w:val="none" w:sz="0" w:space="0" w:color="auto"/>
        <w:right w:val="none" w:sz="0" w:space="0" w:color="auto"/>
      </w:divBdr>
      <w:divsChild>
        <w:div w:id="1137450166">
          <w:marLeft w:val="0"/>
          <w:marRight w:val="0"/>
          <w:marTop w:val="0"/>
          <w:marBottom w:val="0"/>
          <w:divBdr>
            <w:top w:val="none" w:sz="0" w:space="0" w:color="auto"/>
            <w:left w:val="none" w:sz="0" w:space="0" w:color="auto"/>
            <w:bottom w:val="none" w:sz="0" w:space="0" w:color="auto"/>
            <w:right w:val="none" w:sz="0" w:space="0" w:color="auto"/>
          </w:divBdr>
          <w:divsChild>
            <w:div w:id="1782069544">
              <w:marLeft w:val="0"/>
              <w:marRight w:val="0"/>
              <w:marTop w:val="0"/>
              <w:marBottom w:val="0"/>
              <w:divBdr>
                <w:top w:val="none" w:sz="0" w:space="0" w:color="auto"/>
                <w:left w:val="none" w:sz="0" w:space="0" w:color="auto"/>
                <w:bottom w:val="none" w:sz="0" w:space="0" w:color="auto"/>
                <w:right w:val="none" w:sz="0" w:space="0" w:color="auto"/>
              </w:divBdr>
              <w:divsChild>
                <w:div w:id="1113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5111">
      <w:bodyDiv w:val="1"/>
      <w:marLeft w:val="0"/>
      <w:marRight w:val="0"/>
      <w:marTop w:val="0"/>
      <w:marBottom w:val="0"/>
      <w:divBdr>
        <w:top w:val="none" w:sz="0" w:space="0" w:color="auto"/>
        <w:left w:val="none" w:sz="0" w:space="0" w:color="auto"/>
        <w:bottom w:val="none" w:sz="0" w:space="0" w:color="auto"/>
        <w:right w:val="none" w:sz="0" w:space="0" w:color="auto"/>
      </w:divBdr>
    </w:div>
    <w:div w:id="652949013">
      <w:bodyDiv w:val="1"/>
      <w:marLeft w:val="0"/>
      <w:marRight w:val="0"/>
      <w:marTop w:val="0"/>
      <w:marBottom w:val="0"/>
      <w:divBdr>
        <w:top w:val="none" w:sz="0" w:space="0" w:color="auto"/>
        <w:left w:val="none" w:sz="0" w:space="0" w:color="auto"/>
        <w:bottom w:val="none" w:sz="0" w:space="0" w:color="auto"/>
        <w:right w:val="none" w:sz="0" w:space="0" w:color="auto"/>
      </w:divBdr>
    </w:div>
    <w:div w:id="870269652">
      <w:bodyDiv w:val="1"/>
      <w:marLeft w:val="0"/>
      <w:marRight w:val="0"/>
      <w:marTop w:val="0"/>
      <w:marBottom w:val="0"/>
      <w:divBdr>
        <w:top w:val="none" w:sz="0" w:space="0" w:color="auto"/>
        <w:left w:val="none" w:sz="0" w:space="0" w:color="auto"/>
        <w:bottom w:val="none" w:sz="0" w:space="0" w:color="auto"/>
        <w:right w:val="none" w:sz="0" w:space="0" w:color="auto"/>
      </w:divBdr>
    </w:div>
    <w:div w:id="933902757">
      <w:bodyDiv w:val="1"/>
      <w:marLeft w:val="0"/>
      <w:marRight w:val="0"/>
      <w:marTop w:val="0"/>
      <w:marBottom w:val="0"/>
      <w:divBdr>
        <w:top w:val="none" w:sz="0" w:space="0" w:color="auto"/>
        <w:left w:val="none" w:sz="0" w:space="0" w:color="auto"/>
        <w:bottom w:val="none" w:sz="0" w:space="0" w:color="auto"/>
        <w:right w:val="none" w:sz="0" w:space="0" w:color="auto"/>
      </w:divBdr>
    </w:div>
    <w:div w:id="1064914872">
      <w:bodyDiv w:val="1"/>
      <w:marLeft w:val="0"/>
      <w:marRight w:val="0"/>
      <w:marTop w:val="0"/>
      <w:marBottom w:val="0"/>
      <w:divBdr>
        <w:top w:val="none" w:sz="0" w:space="0" w:color="auto"/>
        <w:left w:val="none" w:sz="0" w:space="0" w:color="auto"/>
        <w:bottom w:val="none" w:sz="0" w:space="0" w:color="auto"/>
        <w:right w:val="none" w:sz="0" w:space="0" w:color="auto"/>
      </w:divBdr>
      <w:divsChild>
        <w:div w:id="1323269794">
          <w:marLeft w:val="0"/>
          <w:marRight w:val="0"/>
          <w:marTop w:val="0"/>
          <w:marBottom w:val="300"/>
          <w:divBdr>
            <w:top w:val="none" w:sz="0" w:space="0" w:color="auto"/>
            <w:left w:val="none" w:sz="0" w:space="0" w:color="auto"/>
            <w:bottom w:val="none" w:sz="0" w:space="0" w:color="auto"/>
            <w:right w:val="none" w:sz="0" w:space="0" w:color="auto"/>
          </w:divBdr>
          <w:divsChild>
            <w:div w:id="11552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9558">
      <w:bodyDiv w:val="1"/>
      <w:marLeft w:val="0"/>
      <w:marRight w:val="0"/>
      <w:marTop w:val="0"/>
      <w:marBottom w:val="0"/>
      <w:divBdr>
        <w:top w:val="none" w:sz="0" w:space="0" w:color="auto"/>
        <w:left w:val="none" w:sz="0" w:space="0" w:color="auto"/>
        <w:bottom w:val="none" w:sz="0" w:space="0" w:color="auto"/>
        <w:right w:val="none" w:sz="0" w:space="0" w:color="auto"/>
      </w:divBdr>
    </w:div>
    <w:div w:id="1208295954">
      <w:bodyDiv w:val="1"/>
      <w:marLeft w:val="0"/>
      <w:marRight w:val="0"/>
      <w:marTop w:val="0"/>
      <w:marBottom w:val="0"/>
      <w:divBdr>
        <w:top w:val="none" w:sz="0" w:space="0" w:color="auto"/>
        <w:left w:val="none" w:sz="0" w:space="0" w:color="auto"/>
        <w:bottom w:val="none" w:sz="0" w:space="0" w:color="auto"/>
        <w:right w:val="none" w:sz="0" w:space="0" w:color="auto"/>
      </w:divBdr>
    </w:div>
    <w:div w:id="1217354219">
      <w:bodyDiv w:val="1"/>
      <w:marLeft w:val="0"/>
      <w:marRight w:val="0"/>
      <w:marTop w:val="0"/>
      <w:marBottom w:val="0"/>
      <w:divBdr>
        <w:top w:val="none" w:sz="0" w:space="0" w:color="auto"/>
        <w:left w:val="none" w:sz="0" w:space="0" w:color="auto"/>
        <w:bottom w:val="none" w:sz="0" w:space="0" w:color="auto"/>
        <w:right w:val="none" w:sz="0" w:space="0" w:color="auto"/>
      </w:divBdr>
    </w:div>
    <w:div w:id="1331984988">
      <w:bodyDiv w:val="1"/>
      <w:marLeft w:val="0"/>
      <w:marRight w:val="0"/>
      <w:marTop w:val="0"/>
      <w:marBottom w:val="0"/>
      <w:divBdr>
        <w:top w:val="none" w:sz="0" w:space="0" w:color="auto"/>
        <w:left w:val="none" w:sz="0" w:space="0" w:color="auto"/>
        <w:bottom w:val="none" w:sz="0" w:space="0" w:color="auto"/>
        <w:right w:val="none" w:sz="0" w:space="0" w:color="auto"/>
      </w:divBdr>
    </w:div>
    <w:div w:id="1383165810">
      <w:bodyDiv w:val="1"/>
      <w:marLeft w:val="0"/>
      <w:marRight w:val="0"/>
      <w:marTop w:val="0"/>
      <w:marBottom w:val="0"/>
      <w:divBdr>
        <w:top w:val="none" w:sz="0" w:space="0" w:color="auto"/>
        <w:left w:val="none" w:sz="0" w:space="0" w:color="auto"/>
        <w:bottom w:val="none" w:sz="0" w:space="0" w:color="auto"/>
        <w:right w:val="none" w:sz="0" w:space="0" w:color="auto"/>
      </w:divBdr>
    </w:div>
    <w:div w:id="1516768447">
      <w:bodyDiv w:val="1"/>
      <w:marLeft w:val="0"/>
      <w:marRight w:val="0"/>
      <w:marTop w:val="0"/>
      <w:marBottom w:val="0"/>
      <w:divBdr>
        <w:top w:val="none" w:sz="0" w:space="0" w:color="auto"/>
        <w:left w:val="none" w:sz="0" w:space="0" w:color="auto"/>
        <w:bottom w:val="none" w:sz="0" w:space="0" w:color="auto"/>
        <w:right w:val="none" w:sz="0" w:space="0" w:color="auto"/>
      </w:divBdr>
    </w:div>
    <w:div w:id="1599945303">
      <w:bodyDiv w:val="1"/>
      <w:marLeft w:val="0"/>
      <w:marRight w:val="0"/>
      <w:marTop w:val="0"/>
      <w:marBottom w:val="0"/>
      <w:divBdr>
        <w:top w:val="none" w:sz="0" w:space="0" w:color="auto"/>
        <w:left w:val="none" w:sz="0" w:space="0" w:color="auto"/>
        <w:bottom w:val="none" w:sz="0" w:space="0" w:color="auto"/>
        <w:right w:val="none" w:sz="0" w:space="0" w:color="auto"/>
      </w:divBdr>
    </w:div>
    <w:div w:id="1805541212">
      <w:bodyDiv w:val="1"/>
      <w:marLeft w:val="0"/>
      <w:marRight w:val="0"/>
      <w:marTop w:val="0"/>
      <w:marBottom w:val="0"/>
      <w:divBdr>
        <w:top w:val="none" w:sz="0" w:space="0" w:color="auto"/>
        <w:left w:val="none" w:sz="0" w:space="0" w:color="auto"/>
        <w:bottom w:val="none" w:sz="0" w:space="0" w:color="auto"/>
        <w:right w:val="none" w:sz="0" w:space="0" w:color="auto"/>
      </w:divBdr>
    </w:div>
    <w:div w:id="1816988890">
      <w:bodyDiv w:val="1"/>
      <w:marLeft w:val="0"/>
      <w:marRight w:val="0"/>
      <w:marTop w:val="0"/>
      <w:marBottom w:val="0"/>
      <w:divBdr>
        <w:top w:val="none" w:sz="0" w:space="0" w:color="auto"/>
        <w:left w:val="none" w:sz="0" w:space="0" w:color="auto"/>
        <w:bottom w:val="none" w:sz="0" w:space="0" w:color="auto"/>
        <w:right w:val="none" w:sz="0" w:space="0" w:color="auto"/>
      </w:divBdr>
    </w:div>
    <w:div w:id="1916161387">
      <w:bodyDiv w:val="1"/>
      <w:marLeft w:val="0"/>
      <w:marRight w:val="0"/>
      <w:marTop w:val="0"/>
      <w:marBottom w:val="0"/>
      <w:divBdr>
        <w:top w:val="none" w:sz="0" w:space="0" w:color="auto"/>
        <w:left w:val="none" w:sz="0" w:space="0" w:color="auto"/>
        <w:bottom w:val="none" w:sz="0" w:space="0" w:color="auto"/>
        <w:right w:val="none" w:sz="0" w:space="0" w:color="auto"/>
      </w:divBdr>
    </w:div>
    <w:div w:id="1959137517">
      <w:bodyDiv w:val="1"/>
      <w:marLeft w:val="0"/>
      <w:marRight w:val="0"/>
      <w:marTop w:val="0"/>
      <w:marBottom w:val="0"/>
      <w:divBdr>
        <w:top w:val="none" w:sz="0" w:space="0" w:color="auto"/>
        <w:left w:val="none" w:sz="0" w:space="0" w:color="auto"/>
        <w:bottom w:val="none" w:sz="0" w:space="0" w:color="auto"/>
        <w:right w:val="none" w:sz="0" w:space="0" w:color="auto"/>
      </w:divBdr>
    </w:div>
    <w:div w:id="20759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alth.gov.au/internet/main/publishing.nsf/Content/PHNCommissioningResour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copyright@health.gov.au" TargetMode="External"/><Relationship Id="rId23" Type="http://schemas.openxmlformats.org/officeDocument/2006/relationships/hyperlink" Target="http://www.england.nhs.uk/commissioning/pc-co-comms/coi/" TargetMode="Externa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ihi.org/resources/Pages/Tools/AssessmentScaleforCollaboratives.aspx"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A0BB-AD91-41C8-8563-89849785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2018-08-08T08:24:00Z</dcterms:created>
  <dcterms:modified xsi:type="dcterms:W3CDTF">2018-08-09T06:14:00Z</dcterms:modified>
</cp:coreProperties>
</file>