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5E900" w14:textId="77777777" w:rsidR="00545CC3" w:rsidRPr="00977B06" w:rsidRDefault="00545CC3" w:rsidP="00977B06">
      <w:pPr>
        <w:pStyle w:val="Heading1"/>
      </w:pPr>
      <w:bookmarkStart w:id="0" w:name="_Toc418073410"/>
      <w:bookmarkStart w:id="1" w:name="_GoBack"/>
      <w:bookmarkEnd w:id="1"/>
      <w:r w:rsidRPr="00977B06">
        <w:t>Annexure A</w:t>
      </w:r>
      <w:r w:rsidR="00445E79" w:rsidRPr="00977B06">
        <w:t>2</w:t>
      </w:r>
      <w:r w:rsidRPr="00977B06">
        <w:t xml:space="preserve"> – </w:t>
      </w:r>
      <w:bookmarkEnd w:id="0"/>
      <w:r w:rsidR="009428C3" w:rsidRPr="00977B06">
        <w:t>Drug and Alcohol Treatment Services</w:t>
      </w:r>
      <w:r w:rsidR="00A56F9C" w:rsidRPr="00977B06">
        <w:t xml:space="preserve"> </w:t>
      </w:r>
    </w:p>
    <w:p w14:paraId="1594B95A" w14:textId="05977356" w:rsidR="004C690E" w:rsidRDefault="00DB1768" w:rsidP="005017AE">
      <w:pPr>
        <w:tabs>
          <w:tab w:val="left" w:pos="4595"/>
        </w:tabs>
        <w:spacing w:after="240" w:line="276" w:lineRule="auto"/>
        <w:rPr>
          <w:rFonts w:eastAsiaTheme="minorHAnsi" w:cstheme="minorBidi"/>
          <w:szCs w:val="22"/>
          <w:lang w:val="en-AU"/>
        </w:rPr>
      </w:pPr>
      <w:bookmarkStart w:id="2" w:name="_Toc418073411"/>
      <w:r w:rsidRPr="00DB340F">
        <w:rPr>
          <w:rFonts w:eastAsiaTheme="minorHAnsi" w:cstheme="minorBidi"/>
          <w:szCs w:val="22"/>
          <w:lang w:val="en-AU"/>
        </w:rPr>
        <w:t>This Annexure</w:t>
      </w:r>
      <w:r w:rsidR="005017AE" w:rsidRPr="00DB340F">
        <w:rPr>
          <w:rFonts w:eastAsiaTheme="minorHAnsi" w:cstheme="minorBidi"/>
          <w:szCs w:val="22"/>
          <w:lang w:val="en-AU"/>
        </w:rPr>
        <w:t xml:space="preserve"> </w:t>
      </w:r>
      <w:r w:rsidRPr="00DB340F">
        <w:rPr>
          <w:rFonts w:eastAsiaTheme="minorHAnsi" w:cstheme="minorBidi"/>
          <w:szCs w:val="22"/>
          <w:lang w:val="en-AU"/>
        </w:rPr>
        <w:t xml:space="preserve">is specifically related to the </w:t>
      </w:r>
      <w:r w:rsidR="009428C3" w:rsidRPr="00DB340F">
        <w:rPr>
          <w:rFonts w:eastAsiaTheme="minorHAnsi" w:cstheme="minorBidi"/>
          <w:szCs w:val="22"/>
          <w:lang w:val="en-AU"/>
        </w:rPr>
        <w:t>Drug and Alcohol Treatment Activity</w:t>
      </w:r>
      <w:r w:rsidRPr="00DB340F">
        <w:rPr>
          <w:rFonts w:eastAsiaTheme="minorHAnsi" w:cstheme="minorBidi"/>
          <w:szCs w:val="22"/>
          <w:lang w:val="en-AU"/>
        </w:rPr>
        <w:t xml:space="preserve"> and supplements the </w:t>
      </w:r>
      <w:r w:rsidRPr="00DB340F">
        <w:rPr>
          <w:rFonts w:eastAsiaTheme="minorHAnsi" w:cstheme="minorBidi"/>
          <w:i/>
          <w:szCs w:val="22"/>
          <w:lang w:val="en-AU"/>
        </w:rPr>
        <w:t>Primary Health Network Grant Programme Guidelines</w:t>
      </w:r>
      <w:r w:rsidRPr="00DB340F">
        <w:rPr>
          <w:rFonts w:eastAsiaTheme="minorHAnsi" w:cstheme="minorBidi"/>
          <w:szCs w:val="22"/>
          <w:lang w:val="en-AU"/>
        </w:rPr>
        <w:t xml:space="preserve">. All </w:t>
      </w:r>
      <w:r w:rsidR="005017AE" w:rsidRPr="00DB340F">
        <w:rPr>
          <w:rFonts w:eastAsiaTheme="minorHAnsi" w:cstheme="minorBidi"/>
          <w:szCs w:val="22"/>
          <w:lang w:val="en-AU"/>
        </w:rPr>
        <w:t>information contained in the Programme Guidelines applies to this Activity.</w:t>
      </w:r>
    </w:p>
    <w:p w14:paraId="0D42FD4E" w14:textId="77777777" w:rsidR="00545CC3" w:rsidRPr="00057130" w:rsidRDefault="00545CC3" w:rsidP="00057130">
      <w:pPr>
        <w:pStyle w:val="Heading2"/>
      </w:pPr>
      <w:r w:rsidRPr="00057130">
        <w:t>Activity summary</w:t>
      </w:r>
      <w:bookmarkEnd w:id="2"/>
    </w:p>
    <w:p w14:paraId="1B0AE6AA" w14:textId="0C3FD191" w:rsidR="00977B06" w:rsidRPr="00977B06" w:rsidRDefault="009428C3" w:rsidP="00977B06">
      <w:pPr>
        <w:tabs>
          <w:tab w:val="left" w:pos="4595"/>
        </w:tabs>
        <w:spacing w:after="240" w:line="276" w:lineRule="auto"/>
        <w:rPr>
          <w:rFonts w:eastAsiaTheme="minorHAnsi" w:cstheme="minorBidi"/>
          <w:szCs w:val="22"/>
          <w:lang w:val="en-AU"/>
        </w:rPr>
      </w:pPr>
      <w:r w:rsidRPr="00DB340F">
        <w:rPr>
          <w:rFonts w:eastAsiaTheme="minorHAnsi" w:cstheme="minorBidi"/>
          <w:szCs w:val="22"/>
          <w:lang w:val="en-AU"/>
        </w:rPr>
        <w:t>On 6 December</w:t>
      </w:r>
      <w:r w:rsidR="00A9715D">
        <w:rPr>
          <w:rFonts w:eastAsiaTheme="minorHAnsi" w:cstheme="minorBidi"/>
          <w:szCs w:val="22"/>
          <w:lang w:val="en-AU"/>
        </w:rPr>
        <w:t xml:space="preserve"> 2015</w:t>
      </w:r>
      <w:r w:rsidRPr="00DB340F">
        <w:rPr>
          <w:rFonts w:eastAsiaTheme="minorHAnsi" w:cstheme="minorBidi"/>
          <w:szCs w:val="22"/>
          <w:lang w:val="en-AU"/>
        </w:rPr>
        <w:t xml:space="preserve">, the Australian Government announced the release of the </w:t>
      </w:r>
      <w:hyperlink r:id="rId9" w:history="1">
        <w:r w:rsidRPr="00DB340F">
          <w:rPr>
            <w:rStyle w:val="Hyperlink"/>
            <w:rFonts w:eastAsiaTheme="minorHAnsi" w:cstheme="minorBidi"/>
            <w:i/>
            <w:szCs w:val="22"/>
            <w:lang w:val="en-AU"/>
          </w:rPr>
          <w:t>Australian Government Response to the National Ice Taskforce’s Final Report</w:t>
        </w:r>
      </w:hyperlink>
      <w:r w:rsidRPr="00DB340F">
        <w:rPr>
          <w:rFonts w:eastAsiaTheme="minorHAnsi" w:cstheme="minorBidi"/>
          <w:i/>
          <w:szCs w:val="22"/>
          <w:lang w:val="en-AU"/>
        </w:rPr>
        <w:t xml:space="preserve"> </w:t>
      </w:r>
      <w:r w:rsidRPr="00DB340F">
        <w:rPr>
          <w:rFonts w:eastAsiaTheme="minorHAnsi" w:cstheme="minorBidi"/>
          <w:szCs w:val="22"/>
          <w:lang w:val="en-AU"/>
        </w:rPr>
        <w:t>(the Response)</w:t>
      </w:r>
      <w:r w:rsidR="00BA597D" w:rsidRPr="00DB340F">
        <w:rPr>
          <w:rFonts w:eastAsiaTheme="minorHAnsi" w:cstheme="minorBidi"/>
          <w:szCs w:val="22"/>
          <w:lang w:val="en-AU"/>
        </w:rPr>
        <w:t xml:space="preserve">, available on the Department’s website. </w:t>
      </w:r>
      <w:r w:rsidR="00A9715D">
        <w:rPr>
          <w:rFonts w:eastAsiaTheme="minorHAnsi" w:cstheme="minorBidi"/>
          <w:szCs w:val="22"/>
          <w:lang w:val="en-AU"/>
        </w:rPr>
        <w:t xml:space="preserve"> </w:t>
      </w:r>
      <w:r w:rsidR="00BA597D" w:rsidRPr="00DB340F">
        <w:rPr>
          <w:rFonts w:eastAsiaTheme="minorHAnsi" w:cstheme="minorBidi"/>
          <w:szCs w:val="22"/>
          <w:lang w:val="en-AU"/>
        </w:rPr>
        <w:t xml:space="preserve">The Response </w:t>
      </w:r>
      <w:r w:rsidR="006D3134" w:rsidRPr="00DB340F">
        <w:rPr>
          <w:rFonts w:eastAsiaTheme="minorHAnsi" w:cstheme="minorBidi"/>
          <w:szCs w:val="22"/>
          <w:lang w:val="en-AU"/>
        </w:rPr>
        <w:t>underpinned</w:t>
      </w:r>
      <w:r w:rsidR="00BA597D" w:rsidRPr="00DB340F">
        <w:rPr>
          <w:rFonts w:eastAsiaTheme="minorHAnsi" w:cstheme="minorBidi"/>
          <w:szCs w:val="22"/>
          <w:lang w:val="en-AU"/>
        </w:rPr>
        <w:t xml:space="preserve"> the </w:t>
      </w:r>
      <w:hyperlink r:id="rId10" w:history="1">
        <w:r w:rsidR="00BA597D" w:rsidRPr="00D63069">
          <w:rPr>
            <w:rStyle w:val="Hyperlink"/>
            <w:rFonts w:eastAsiaTheme="minorHAnsi" w:cstheme="minorBidi"/>
            <w:i/>
            <w:szCs w:val="22"/>
            <w:lang w:val="en-AU"/>
          </w:rPr>
          <w:t>National Ice Action Strategy</w:t>
        </w:r>
      </w:hyperlink>
      <w:r w:rsidR="009212DC">
        <w:rPr>
          <w:rStyle w:val="Hyperlink"/>
          <w:rFonts w:eastAsiaTheme="minorHAnsi" w:cstheme="minorBidi"/>
          <w:szCs w:val="22"/>
          <w:lang w:val="en-AU"/>
        </w:rPr>
        <w:t xml:space="preserve"> (NIAS)</w:t>
      </w:r>
      <w:r w:rsidR="00BA597D" w:rsidRPr="00D63069">
        <w:rPr>
          <w:rFonts w:eastAsiaTheme="minorHAnsi" w:cstheme="minorBidi"/>
          <w:szCs w:val="22"/>
          <w:lang w:val="en-AU"/>
        </w:rPr>
        <w:t xml:space="preserve">, which was endorsed by the Council of Australian Governments (COAG) on 11 December 2015. </w:t>
      </w:r>
    </w:p>
    <w:p w14:paraId="31FC262B" w14:textId="77777777" w:rsidR="00514A0F" w:rsidRDefault="00A56F9C" w:rsidP="00514A0F">
      <w:pPr>
        <w:tabs>
          <w:tab w:val="left" w:pos="4595"/>
        </w:tabs>
        <w:spacing w:after="240" w:line="276" w:lineRule="auto"/>
        <w:rPr>
          <w:rFonts w:eastAsiaTheme="minorHAnsi" w:cstheme="minorBidi"/>
          <w:szCs w:val="22"/>
          <w:lang w:val="en-AU"/>
        </w:rPr>
      </w:pPr>
      <w:r w:rsidRPr="00D63069">
        <w:rPr>
          <w:rFonts w:eastAsiaTheme="minorHAnsi" w:cstheme="minorBidi"/>
          <w:szCs w:val="22"/>
          <w:lang w:val="en-AU"/>
        </w:rPr>
        <w:t>The Response included</w:t>
      </w:r>
      <w:r w:rsidR="00BA597D" w:rsidRPr="00D63069">
        <w:rPr>
          <w:rFonts w:eastAsiaTheme="minorHAnsi" w:cstheme="minorBidi"/>
          <w:szCs w:val="22"/>
          <w:lang w:val="en-AU"/>
        </w:rPr>
        <w:t xml:space="preserve"> establishing a </w:t>
      </w:r>
      <w:r w:rsidRPr="00D63069">
        <w:rPr>
          <w:rFonts w:eastAsiaTheme="minorHAnsi" w:cstheme="minorBidi"/>
          <w:szCs w:val="22"/>
          <w:lang w:val="en-AU"/>
        </w:rPr>
        <w:t xml:space="preserve">role for Primary Health Networks </w:t>
      </w:r>
      <w:r w:rsidR="00B343E4" w:rsidRPr="00D63069">
        <w:rPr>
          <w:rFonts w:eastAsiaTheme="minorHAnsi" w:cstheme="minorBidi"/>
          <w:szCs w:val="22"/>
          <w:lang w:val="en-AU"/>
        </w:rPr>
        <w:t xml:space="preserve">(PHNs) </w:t>
      </w:r>
      <w:r w:rsidRPr="00D63069">
        <w:rPr>
          <w:rFonts w:eastAsiaTheme="minorHAnsi" w:cstheme="minorBidi"/>
          <w:szCs w:val="22"/>
          <w:lang w:val="en-AU"/>
        </w:rPr>
        <w:t xml:space="preserve">in the planning and </w:t>
      </w:r>
      <w:r w:rsidR="00686383" w:rsidRPr="00D63069">
        <w:rPr>
          <w:rFonts w:eastAsiaTheme="minorHAnsi" w:cstheme="minorBidi"/>
          <w:szCs w:val="22"/>
          <w:lang w:val="en-AU"/>
        </w:rPr>
        <w:t>commissioning</w:t>
      </w:r>
      <w:r w:rsidRPr="00D63069">
        <w:rPr>
          <w:rFonts w:eastAsiaTheme="minorHAnsi" w:cstheme="minorBidi"/>
          <w:szCs w:val="22"/>
          <w:lang w:val="en-AU"/>
        </w:rPr>
        <w:t xml:space="preserve"> of </w:t>
      </w:r>
      <w:r w:rsidR="00BA597D" w:rsidRPr="00D63069">
        <w:rPr>
          <w:rFonts w:eastAsiaTheme="minorHAnsi" w:cstheme="minorBidi"/>
          <w:szCs w:val="22"/>
          <w:lang w:val="en-AU"/>
        </w:rPr>
        <w:t>drug and alcohol treatment</w:t>
      </w:r>
      <w:r w:rsidR="00ED51F1" w:rsidRPr="00D63069">
        <w:rPr>
          <w:rFonts w:eastAsiaTheme="minorHAnsi" w:cstheme="minorBidi"/>
          <w:szCs w:val="22"/>
          <w:lang w:val="en-AU"/>
        </w:rPr>
        <w:t xml:space="preserve"> services</w:t>
      </w:r>
      <w:r w:rsidR="009C061E" w:rsidRPr="00D63069">
        <w:rPr>
          <w:rFonts w:eastAsiaTheme="minorHAnsi" w:cstheme="minorBidi"/>
          <w:szCs w:val="22"/>
          <w:lang w:val="en-AU"/>
        </w:rPr>
        <w:t xml:space="preserve">, to reduce the harms associated with drugs and alcohol, </w:t>
      </w:r>
      <w:r w:rsidR="00E57C17">
        <w:rPr>
          <w:rFonts w:eastAsiaTheme="minorHAnsi" w:cstheme="minorBidi"/>
          <w:szCs w:val="22"/>
          <w:lang w:val="en-AU"/>
        </w:rPr>
        <w:t>with a focus on</w:t>
      </w:r>
      <w:r w:rsidR="0041204F" w:rsidRPr="00D63069">
        <w:rPr>
          <w:rFonts w:eastAsiaTheme="minorHAnsi" w:cstheme="minorBidi"/>
          <w:szCs w:val="22"/>
          <w:lang w:val="en-AU"/>
        </w:rPr>
        <w:t xml:space="preserve"> </w:t>
      </w:r>
      <w:r w:rsidR="009C061E" w:rsidRPr="00D63069">
        <w:rPr>
          <w:rFonts w:eastAsiaTheme="minorHAnsi" w:cstheme="minorBidi"/>
          <w:szCs w:val="22"/>
          <w:lang w:val="en-AU"/>
        </w:rPr>
        <w:t>methamphetamine use in the community,</w:t>
      </w:r>
      <w:r w:rsidR="00D3574D" w:rsidRPr="00D63069">
        <w:rPr>
          <w:rFonts w:eastAsiaTheme="minorHAnsi" w:cstheme="minorBidi"/>
          <w:szCs w:val="22"/>
          <w:lang w:val="en-AU"/>
        </w:rPr>
        <w:t xml:space="preserve"> including </w:t>
      </w:r>
      <w:r w:rsidR="00420F69" w:rsidRPr="00D63069">
        <w:rPr>
          <w:rFonts w:eastAsiaTheme="minorHAnsi" w:cstheme="minorBidi"/>
          <w:szCs w:val="22"/>
          <w:lang w:val="en-AU"/>
        </w:rPr>
        <w:t>I</w:t>
      </w:r>
      <w:r w:rsidR="00D3574D" w:rsidRPr="00D63069">
        <w:rPr>
          <w:rFonts w:eastAsiaTheme="minorHAnsi" w:cstheme="minorBidi"/>
          <w:szCs w:val="22"/>
          <w:lang w:val="en-AU"/>
        </w:rPr>
        <w:t>ndigenous-specific services</w:t>
      </w:r>
      <w:r w:rsidR="00ED51F1" w:rsidRPr="00D63069">
        <w:rPr>
          <w:rFonts w:eastAsiaTheme="minorHAnsi" w:cstheme="minorBidi"/>
          <w:szCs w:val="22"/>
          <w:lang w:val="en-AU"/>
        </w:rPr>
        <w:t xml:space="preserve">. </w:t>
      </w:r>
      <w:r w:rsidR="00A9715D">
        <w:rPr>
          <w:rFonts w:eastAsiaTheme="minorHAnsi" w:cstheme="minorBidi"/>
          <w:szCs w:val="22"/>
          <w:lang w:val="en-AU"/>
        </w:rPr>
        <w:t xml:space="preserve"> </w:t>
      </w:r>
      <w:r w:rsidR="00514A0F">
        <w:rPr>
          <w:rFonts w:eastAsiaTheme="minorHAnsi" w:cstheme="minorBidi"/>
          <w:szCs w:val="22"/>
          <w:lang w:val="en-AU"/>
        </w:rPr>
        <w:t>Funding of up to $241.5 million was committed under the NIAS to assist PHNs in achieving these objectives.</w:t>
      </w:r>
    </w:p>
    <w:p w14:paraId="31510F1F" w14:textId="77777777" w:rsidR="00514A0F" w:rsidRDefault="00514A0F" w:rsidP="00514A0F">
      <w:pPr>
        <w:tabs>
          <w:tab w:val="left" w:pos="4595"/>
        </w:tabs>
        <w:spacing w:after="240" w:line="276" w:lineRule="auto"/>
        <w:rPr>
          <w:rFonts w:eastAsiaTheme="minorHAnsi" w:cstheme="minorBidi"/>
          <w:szCs w:val="22"/>
          <w:lang w:val="en-AU"/>
        </w:rPr>
      </w:pPr>
      <w:r>
        <w:rPr>
          <w:rFonts w:eastAsiaTheme="minorHAnsi" w:cstheme="minorBidi"/>
          <w:szCs w:val="22"/>
          <w:lang w:val="en-AU"/>
        </w:rPr>
        <w:t xml:space="preserve">The Government’s announcement also included a 12 month extension to existing direct funding arrangements for drug and alcohol treatment services under the Substance Misuse Service Delivery Grant Fund (SMSDGF) and the </w:t>
      </w:r>
      <w:proofErr w:type="spellStart"/>
      <w:r>
        <w:rPr>
          <w:rFonts w:eastAsiaTheme="minorHAnsi" w:cstheme="minorBidi"/>
          <w:szCs w:val="22"/>
          <w:lang w:val="en-AU"/>
        </w:rPr>
        <w:t>Non Government</w:t>
      </w:r>
      <w:proofErr w:type="spellEnd"/>
      <w:r>
        <w:rPr>
          <w:rFonts w:eastAsiaTheme="minorHAnsi" w:cstheme="minorBidi"/>
          <w:szCs w:val="22"/>
          <w:lang w:val="en-AU"/>
        </w:rPr>
        <w:t xml:space="preserve"> Organisation Treatment Grants Program (NGOTGP) while a review of funding arrangements was undertaken, particularly in the context of PHNs new role in commissioning these services. The SMSDGF and NGOTGP have now been amalgamated into the Drug and Alcohol Program.</w:t>
      </w:r>
    </w:p>
    <w:p w14:paraId="0DBDE764" w14:textId="28C2A5E1" w:rsidR="00514A0F" w:rsidRDefault="00514A0F" w:rsidP="00B934F9">
      <w:pPr>
        <w:tabs>
          <w:tab w:val="left" w:pos="4595"/>
        </w:tabs>
        <w:spacing w:after="240" w:line="276" w:lineRule="auto"/>
        <w:ind w:right="-241"/>
        <w:rPr>
          <w:rFonts w:eastAsiaTheme="minorHAnsi" w:cstheme="minorBidi"/>
          <w:szCs w:val="22"/>
          <w:lang w:val="en-AU"/>
        </w:rPr>
      </w:pPr>
      <w:r>
        <w:rPr>
          <w:rFonts w:eastAsiaTheme="minorHAnsi" w:cstheme="minorBidi"/>
          <w:szCs w:val="22"/>
          <w:lang w:val="en-AU"/>
        </w:rPr>
        <w:t>On 3 March 2017 the Minister for Health</w:t>
      </w:r>
      <w:r w:rsidR="00991D6A">
        <w:rPr>
          <w:rFonts w:eastAsiaTheme="minorHAnsi" w:cstheme="minorBidi"/>
          <w:szCs w:val="22"/>
          <w:lang w:val="en-AU"/>
        </w:rPr>
        <w:t xml:space="preserve"> and Minister for Sport</w:t>
      </w:r>
      <w:r>
        <w:rPr>
          <w:rFonts w:eastAsiaTheme="minorHAnsi" w:cstheme="minorBidi"/>
          <w:szCs w:val="22"/>
          <w:lang w:val="en-AU"/>
        </w:rPr>
        <w:t>, the</w:t>
      </w:r>
      <w:r w:rsidR="00B934F9">
        <w:rPr>
          <w:rFonts w:eastAsiaTheme="minorHAnsi" w:cstheme="minorBidi"/>
          <w:szCs w:val="22"/>
          <w:lang w:val="en-AU"/>
        </w:rPr>
        <w:t> </w:t>
      </w:r>
      <w:r>
        <w:rPr>
          <w:rFonts w:eastAsiaTheme="minorHAnsi" w:cstheme="minorBidi"/>
          <w:szCs w:val="22"/>
          <w:lang w:val="en-AU"/>
        </w:rPr>
        <w:t>Hon</w:t>
      </w:r>
      <w:r w:rsidR="00B934F9">
        <w:rPr>
          <w:rFonts w:eastAsiaTheme="minorHAnsi" w:cstheme="minorBidi"/>
          <w:szCs w:val="22"/>
          <w:lang w:val="en-AU"/>
        </w:rPr>
        <w:t> </w:t>
      </w:r>
      <w:r>
        <w:rPr>
          <w:rFonts w:eastAsiaTheme="minorHAnsi" w:cstheme="minorBidi"/>
          <w:szCs w:val="22"/>
          <w:lang w:val="en-AU"/>
        </w:rPr>
        <w:t>Greg</w:t>
      </w:r>
      <w:r w:rsidR="00B934F9">
        <w:rPr>
          <w:rFonts w:eastAsiaTheme="minorHAnsi" w:cstheme="minorBidi"/>
          <w:szCs w:val="22"/>
          <w:lang w:val="en-AU"/>
        </w:rPr>
        <w:t> </w:t>
      </w:r>
      <w:r>
        <w:rPr>
          <w:rFonts w:eastAsiaTheme="minorHAnsi" w:cstheme="minorBidi"/>
          <w:szCs w:val="22"/>
          <w:lang w:val="en-AU"/>
        </w:rPr>
        <w:t>Hunt</w:t>
      </w:r>
      <w:r w:rsidR="00B934F9">
        <w:rPr>
          <w:rFonts w:eastAsiaTheme="minorHAnsi" w:cstheme="minorBidi"/>
          <w:szCs w:val="22"/>
          <w:lang w:val="en-AU"/>
        </w:rPr>
        <w:t> </w:t>
      </w:r>
      <w:r>
        <w:rPr>
          <w:rFonts w:eastAsiaTheme="minorHAnsi" w:cstheme="minorBidi"/>
          <w:szCs w:val="22"/>
          <w:lang w:val="en-AU"/>
        </w:rPr>
        <w:t xml:space="preserve">MP announced the outcome of this review. </w:t>
      </w:r>
      <w:r w:rsidR="002D5B64">
        <w:rPr>
          <w:rFonts w:eastAsiaTheme="minorHAnsi" w:cstheme="minorBidi"/>
          <w:szCs w:val="22"/>
          <w:lang w:val="en-AU"/>
        </w:rPr>
        <w:t xml:space="preserve"> A </w:t>
      </w:r>
      <w:r>
        <w:rPr>
          <w:rFonts w:eastAsiaTheme="minorHAnsi" w:cstheme="minorBidi"/>
          <w:szCs w:val="22"/>
          <w:lang w:val="en-AU"/>
        </w:rPr>
        <w:t>further $</w:t>
      </w:r>
      <w:r w:rsidR="00991D6A">
        <w:rPr>
          <w:rFonts w:eastAsiaTheme="minorHAnsi" w:cstheme="minorBidi"/>
          <w:szCs w:val="22"/>
          <w:lang w:val="en-AU"/>
        </w:rPr>
        <w:t xml:space="preserve">42.6 </w:t>
      </w:r>
      <w:r>
        <w:rPr>
          <w:rFonts w:eastAsiaTheme="minorHAnsi" w:cstheme="minorBidi"/>
          <w:szCs w:val="22"/>
          <w:lang w:val="en-AU"/>
        </w:rPr>
        <w:t xml:space="preserve">million </w:t>
      </w:r>
      <w:r w:rsidR="002D5B64">
        <w:rPr>
          <w:rFonts w:eastAsiaTheme="minorHAnsi" w:cstheme="minorBidi"/>
          <w:szCs w:val="22"/>
          <w:lang w:val="en-AU"/>
        </w:rPr>
        <w:t xml:space="preserve">per annum </w:t>
      </w:r>
      <w:r>
        <w:rPr>
          <w:rFonts w:eastAsiaTheme="minorHAnsi" w:cstheme="minorBidi"/>
          <w:szCs w:val="22"/>
          <w:lang w:val="en-AU"/>
        </w:rPr>
        <w:t>in Drug and Alcohol Program</w:t>
      </w:r>
      <w:r w:rsidR="002D5B64">
        <w:rPr>
          <w:rFonts w:eastAsiaTheme="minorHAnsi" w:cstheme="minorBidi"/>
          <w:szCs w:val="22"/>
          <w:lang w:val="en-AU"/>
        </w:rPr>
        <w:t xml:space="preserve"> funding will be provided</w:t>
      </w:r>
      <w:r>
        <w:rPr>
          <w:rFonts w:eastAsiaTheme="minorHAnsi" w:cstheme="minorBidi"/>
          <w:szCs w:val="22"/>
          <w:lang w:val="en-AU"/>
        </w:rPr>
        <w:t xml:space="preserve"> to </w:t>
      </w:r>
      <w:r w:rsidR="002D5B64">
        <w:rPr>
          <w:rFonts w:eastAsiaTheme="minorHAnsi" w:cstheme="minorBidi"/>
          <w:szCs w:val="22"/>
          <w:lang w:val="en-AU"/>
        </w:rPr>
        <w:t xml:space="preserve">the </w:t>
      </w:r>
      <w:r>
        <w:rPr>
          <w:rFonts w:eastAsiaTheme="minorHAnsi" w:cstheme="minorBidi"/>
          <w:szCs w:val="22"/>
          <w:lang w:val="en-AU"/>
        </w:rPr>
        <w:t xml:space="preserve">PHNs </w:t>
      </w:r>
      <w:r w:rsidR="002D5B64">
        <w:rPr>
          <w:rFonts w:eastAsiaTheme="minorHAnsi" w:cstheme="minorBidi"/>
          <w:szCs w:val="22"/>
          <w:lang w:val="en-AU"/>
        </w:rPr>
        <w:t xml:space="preserve">for them to commission and administer </w:t>
      </w:r>
      <w:r>
        <w:rPr>
          <w:rFonts w:eastAsiaTheme="minorHAnsi" w:cstheme="minorBidi"/>
          <w:szCs w:val="22"/>
          <w:lang w:val="en-AU"/>
        </w:rPr>
        <w:t xml:space="preserve">an additional two years funding to existing services until 30 June 2019. </w:t>
      </w:r>
    </w:p>
    <w:p w14:paraId="4962939C" w14:textId="77777777" w:rsidR="00E57884" w:rsidRDefault="00ED51F1" w:rsidP="00545CC3">
      <w:pPr>
        <w:tabs>
          <w:tab w:val="left" w:pos="4595"/>
        </w:tabs>
        <w:spacing w:after="240" w:line="276" w:lineRule="auto"/>
        <w:rPr>
          <w:rFonts w:eastAsiaTheme="minorHAnsi" w:cstheme="minorBidi"/>
          <w:szCs w:val="22"/>
          <w:lang w:val="en-AU"/>
        </w:rPr>
      </w:pPr>
      <w:r w:rsidRPr="00D63069">
        <w:rPr>
          <w:rFonts w:eastAsiaTheme="minorHAnsi" w:cstheme="minorBidi"/>
          <w:szCs w:val="22"/>
          <w:lang w:val="en-AU"/>
        </w:rPr>
        <w:t>Implementation of t</w:t>
      </w:r>
      <w:r w:rsidR="00A56F9C" w:rsidRPr="00D63069">
        <w:rPr>
          <w:rFonts w:eastAsiaTheme="minorHAnsi" w:cstheme="minorBidi"/>
          <w:szCs w:val="22"/>
          <w:lang w:val="en-AU"/>
        </w:rPr>
        <w:t xml:space="preserve">his </w:t>
      </w:r>
      <w:r w:rsidR="00BA597D" w:rsidRPr="00D63069">
        <w:rPr>
          <w:rFonts w:eastAsiaTheme="minorHAnsi" w:cstheme="minorBidi"/>
          <w:szCs w:val="22"/>
          <w:lang w:val="en-AU"/>
        </w:rPr>
        <w:t>Drug and Alcohol Treatment</w:t>
      </w:r>
      <w:r w:rsidR="00A56F9C" w:rsidRPr="00D63069">
        <w:rPr>
          <w:rFonts w:eastAsiaTheme="minorHAnsi" w:cstheme="minorBidi"/>
          <w:szCs w:val="22"/>
          <w:lang w:val="en-AU"/>
        </w:rPr>
        <w:t xml:space="preserve"> </w:t>
      </w:r>
      <w:r w:rsidR="00B72423" w:rsidRPr="00D63069">
        <w:rPr>
          <w:rFonts w:eastAsiaTheme="minorHAnsi" w:cstheme="minorBidi"/>
          <w:szCs w:val="22"/>
          <w:lang w:val="en-AU"/>
        </w:rPr>
        <w:t xml:space="preserve">Activity (the Activity) </w:t>
      </w:r>
      <w:r w:rsidRPr="00D63069">
        <w:rPr>
          <w:rFonts w:eastAsiaTheme="minorHAnsi" w:cstheme="minorBidi"/>
          <w:szCs w:val="22"/>
          <w:lang w:val="en-AU"/>
        </w:rPr>
        <w:t xml:space="preserve">will align with </w:t>
      </w:r>
      <w:r w:rsidR="00E8017E" w:rsidRPr="00D63069">
        <w:rPr>
          <w:rFonts w:eastAsiaTheme="minorHAnsi" w:cstheme="minorBidi"/>
          <w:szCs w:val="22"/>
          <w:lang w:val="en-AU"/>
        </w:rPr>
        <w:t>the Response</w:t>
      </w:r>
      <w:r w:rsidR="00E57884" w:rsidRPr="00D63069">
        <w:rPr>
          <w:rFonts w:eastAsiaTheme="minorHAnsi" w:cstheme="minorBidi"/>
          <w:szCs w:val="22"/>
          <w:lang w:val="en-AU"/>
        </w:rPr>
        <w:t>.</w:t>
      </w:r>
      <w:r w:rsidR="00E8017E" w:rsidRPr="00D63069">
        <w:rPr>
          <w:rFonts w:eastAsiaTheme="minorHAnsi" w:cstheme="minorBidi"/>
          <w:szCs w:val="22"/>
          <w:lang w:val="en-AU"/>
        </w:rPr>
        <w:t xml:space="preserve"> </w:t>
      </w:r>
    </w:p>
    <w:p w14:paraId="65C5AEEC" w14:textId="77777777" w:rsidR="00545CC3" w:rsidRPr="00D63069" w:rsidRDefault="00545CC3" w:rsidP="00545CC3">
      <w:pPr>
        <w:tabs>
          <w:tab w:val="left" w:pos="4595"/>
        </w:tabs>
        <w:spacing w:after="240" w:line="276" w:lineRule="auto"/>
        <w:rPr>
          <w:rFonts w:eastAsiaTheme="minorHAnsi" w:cstheme="minorBidi"/>
          <w:szCs w:val="22"/>
          <w:lang w:val="en-AU"/>
        </w:rPr>
      </w:pPr>
      <w:r w:rsidRPr="00D63069">
        <w:rPr>
          <w:rFonts w:eastAsiaTheme="minorHAnsi" w:cstheme="minorBidi"/>
          <w:szCs w:val="22"/>
          <w:lang w:val="en-AU"/>
        </w:rPr>
        <w:t xml:space="preserve">The Activity contributes to the Programme’s objectives by: </w:t>
      </w:r>
    </w:p>
    <w:p w14:paraId="1181C772" w14:textId="4D3DA669" w:rsidR="00057130" w:rsidRPr="00057130" w:rsidRDefault="00CC6777" w:rsidP="00057130">
      <w:pPr>
        <w:pStyle w:val="Points"/>
      </w:pPr>
      <w:r w:rsidRPr="00057130">
        <w:t xml:space="preserve">Increasing the </w:t>
      </w:r>
      <w:r w:rsidR="00445E79" w:rsidRPr="00057130">
        <w:t xml:space="preserve">service delivery capacity </w:t>
      </w:r>
      <w:r w:rsidR="00D3574D" w:rsidRPr="00057130">
        <w:t>of</w:t>
      </w:r>
      <w:r w:rsidR="00445E79" w:rsidRPr="00057130">
        <w:t xml:space="preserve"> the drug and alcohol</w:t>
      </w:r>
      <w:r w:rsidR="003F4345" w:rsidRPr="00057130">
        <w:t xml:space="preserve"> treatment sector</w:t>
      </w:r>
      <w:r w:rsidR="00C42D17" w:rsidRPr="00057130">
        <w:t xml:space="preserve"> through improved regional coordination and</w:t>
      </w:r>
      <w:r w:rsidR="003F4345" w:rsidRPr="00057130">
        <w:t xml:space="preserve"> by</w:t>
      </w:r>
      <w:r w:rsidR="008F5371" w:rsidRPr="00057130">
        <w:t xml:space="preserve"> targeting areas of need</w:t>
      </w:r>
      <w:r w:rsidR="00514A0F" w:rsidRPr="00057130">
        <w:t xml:space="preserve"> </w:t>
      </w:r>
      <w:r w:rsidR="00E57C17" w:rsidRPr="00057130">
        <w:t>with a focus on</w:t>
      </w:r>
      <w:r w:rsidR="001B3D25" w:rsidRPr="00057130">
        <w:t xml:space="preserve"> methamphetamine use in the community</w:t>
      </w:r>
      <w:r w:rsidRPr="00057130">
        <w:t>; and</w:t>
      </w:r>
    </w:p>
    <w:p w14:paraId="4A8CCF74" w14:textId="5027FED8" w:rsidR="00CC6777" w:rsidRPr="007C16B5" w:rsidRDefault="00C42D17" w:rsidP="007C16B5">
      <w:pPr>
        <w:pStyle w:val="Points"/>
      </w:pPr>
      <w:r w:rsidRPr="00057130">
        <w:lastRenderedPageBreak/>
        <w:t>Improving the effectiveness of</w:t>
      </w:r>
      <w:r w:rsidR="009551C8" w:rsidRPr="00057130">
        <w:t xml:space="preserve"> drug and alcohol treatment services for individuals requiring support and treatment</w:t>
      </w:r>
      <w:r w:rsidR="00C34142" w:rsidRPr="00057130">
        <w:t>,</w:t>
      </w:r>
      <w:r w:rsidR="009551C8" w:rsidRPr="00057130">
        <w:t xml:space="preserve"> </w:t>
      </w:r>
      <w:r w:rsidR="009C061E" w:rsidRPr="00057130">
        <w:t xml:space="preserve">particularly </w:t>
      </w:r>
      <w:r w:rsidR="00CC7190" w:rsidRPr="00057130">
        <w:t xml:space="preserve">for methamphetamine use, by </w:t>
      </w:r>
      <w:r w:rsidR="009551C8" w:rsidRPr="00057130">
        <w:t xml:space="preserve">increasing </w:t>
      </w:r>
      <w:r w:rsidR="008679EE" w:rsidRPr="00057130">
        <w:t xml:space="preserve">coordination between various </w:t>
      </w:r>
      <w:r w:rsidR="009551C8" w:rsidRPr="00057130">
        <w:t>sector</w:t>
      </w:r>
      <w:r w:rsidR="008679EE" w:rsidRPr="00057130">
        <w:t xml:space="preserve">s, and improving sector </w:t>
      </w:r>
      <w:r w:rsidR="009551C8" w:rsidRPr="00057130">
        <w:t>efficiency.</w:t>
      </w:r>
      <w:r w:rsidRPr="00057130">
        <w:t xml:space="preserve"> </w:t>
      </w:r>
    </w:p>
    <w:p w14:paraId="1069C5FA" w14:textId="12771E82" w:rsidR="004C690E" w:rsidRPr="004C690E" w:rsidRDefault="00545CC3" w:rsidP="00057130">
      <w:pPr>
        <w:pStyle w:val="Heading2"/>
      </w:pPr>
      <w:bookmarkStart w:id="3" w:name="_Toc418073412"/>
      <w:r w:rsidRPr="00D63069">
        <w:t>Activity outcomes</w:t>
      </w:r>
      <w:bookmarkEnd w:id="3"/>
    </w:p>
    <w:p w14:paraId="61797788" w14:textId="77777777" w:rsidR="002D29C6" w:rsidRPr="00DB340F" w:rsidRDefault="00545CC3" w:rsidP="002B743A">
      <w:pPr>
        <w:spacing w:after="240" w:line="276" w:lineRule="auto"/>
        <w:rPr>
          <w:rFonts w:eastAsiaTheme="minorHAnsi" w:cstheme="minorBidi"/>
          <w:szCs w:val="22"/>
          <w:lang w:val="en-AU"/>
        </w:rPr>
      </w:pPr>
      <w:r w:rsidRPr="00D63069">
        <w:rPr>
          <w:rFonts w:eastAsiaTheme="minorHAnsi" w:cstheme="minorBidi"/>
          <w:szCs w:val="22"/>
          <w:lang w:val="en-AU"/>
        </w:rPr>
        <w:t xml:space="preserve">The Activity </w:t>
      </w:r>
      <w:r w:rsidR="005853DB" w:rsidRPr="00D63069">
        <w:rPr>
          <w:rFonts w:eastAsiaTheme="minorHAnsi" w:cstheme="minorBidi"/>
          <w:szCs w:val="22"/>
          <w:lang w:val="en-AU"/>
        </w:rPr>
        <w:t xml:space="preserve">will </w:t>
      </w:r>
      <w:r w:rsidR="00801E43" w:rsidRPr="00D63069">
        <w:rPr>
          <w:rFonts w:eastAsiaTheme="minorHAnsi" w:cstheme="minorBidi"/>
          <w:szCs w:val="22"/>
          <w:lang w:val="en-AU"/>
        </w:rPr>
        <w:t xml:space="preserve">include </w:t>
      </w:r>
      <w:r w:rsidR="00FC5BBC" w:rsidRPr="00D63069">
        <w:rPr>
          <w:rFonts w:eastAsiaTheme="minorHAnsi" w:cstheme="minorBidi"/>
          <w:szCs w:val="22"/>
          <w:lang w:val="en-AU"/>
        </w:rPr>
        <w:t>drug and alcohol treatment</w:t>
      </w:r>
      <w:r w:rsidR="00C0782D" w:rsidRPr="00D63069">
        <w:rPr>
          <w:rFonts w:eastAsiaTheme="minorHAnsi" w:cstheme="minorBidi"/>
          <w:szCs w:val="22"/>
          <w:lang w:val="en-AU"/>
        </w:rPr>
        <w:t xml:space="preserve"> </w:t>
      </w:r>
      <w:r w:rsidR="00A56F9C" w:rsidRPr="00D63069">
        <w:rPr>
          <w:rFonts w:eastAsiaTheme="minorHAnsi" w:cstheme="minorBidi"/>
          <w:szCs w:val="22"/>
          <w:lang w:val="en-AU"/>
        </w:rPr>
        <w:t>planning</w:t>
      </w:r>
      <w:r w:rsidR="00686383" w:rsidRPr="00D63069">
        <w:rPr>
          <w:rFonts w:eastAsiaTheme="minorHAnsi" w:cstheme="minorBidi"/>
          <w:szCs w:val="22"/>
          <w:lang w:val="en-AU"/>
        </w:rPr>
        <w:t>, commissioning</w:t>
      </w:r>
      <w:r w:rsidR="00A56F9C" w:rsidRPr="00D63069">
        <w:rPr>
          <w:rFonts w:eastAsiaTheme="minorHAnsi" w:cstheme="minorBidi"/>
          <w:szCs w:val="22"/>
          <w:lang w:val="en-AU"/>
        </w:rPr>
        <w:t xml:space="preserve"> and</w:t>
      </w:r>
      <w:r w:rsidR="005B1DF9" w:rsidRPr="00D63069">
        <w:rPr>
          <w:rFonts w:eastAsiaTheme="minorHAnsi" w:cstheme="minorBidi"/>
          <w:szCs w:val="22"/>
          <w:lang w:val="en-AU"/>
        </w:rPr>
        <w:t xml:space="preserve"> contribution to</w:t>
      </w:r>
      <w:r w:rsidR="00A56F9C" w:rsidRPr="00D63069">
        <w:rPr>
          <w:rFonts w:eastAsiaTheme="minorHAnsi" w:cstheme="minorBidi"/>
          <w:szCs w:val="22"/>
          <w:lang w:val="en-AU"/>
        </w:rPr>
        <w:t xml:space="preserve"> </w:t>
      </w:r>
      <w:r w:rsidR="00FC5BBC" w:rsidRPr="00D63069">
        <w:rPr>
          <w:rFonts w:eastAsiaTheme="minorHAnsi" w:cstheme="minorBidi"/>
          <w:szCs w:val="22"/>
          <w:lang w:val="en-AU"/>
        </w:rPr>
        <w:t xml:space="preserve">coordination </w:t>
      </w:r>
      <w:r w:rsidR="00B955AA" w:rsidRPr="00D63069">
        <w:rPr>
          <w:rFonts w:eastAsiaTheme="minorHAnsi" w:cstheme="minorBidi"/>
          <w:szCs w:val="22"/>
          <w:lang w:val="en-AU"/>
        </w:rPr>
        <w:t xml:space="preserve">of services </w:t>
      </w:r>
      <w:r w:rsidR="00A56F9C" w:rsidRPr="00D63069">
        <w:rPr>
          <w:rFonts w:eastAsiaTheme="minorHAnsi" w:cstheme="minorBidi"/>
          <w:szCs w:val="22"/>
          <w:lang w:val="en-AU"/>
        </w:rPr>
        <w:t>at a regional level</w:t>
      </w:r>
      <w:r w:rsidR="00FC5BBC" w:rsidRPr="00D63069">
        <w:rPr>
          <w:rFonts w:eastAsiaTheme="minorHAnsi" w:cstheme="minorBidi"/>
          <w:szCs w:val="22"/>
          <w:lang w:val="en-AU"/>
        </w:rPr>
        <w:t>,</w:t>
      </w:r>
      <w:r w:rsidR="00A56F9C" w:rsidRPr="00D63069">
        <w:rPr>
          <w:rFonts w:eastAsiaTheme="minorHAnsi" w:cstheme="minorBidi"/>
          <w:szCs w:val="22"/>
          <w:lang w:val="en-AU"/>
        </w:rPr>
        <w:t xml:space="preserve"> </w:t>
      </w:r>
      <w:r w:rsidR="00FC5BBC" w:rsidRPr="00D63069">
        <w:rPr>
          <w:rFonts w:eastAsiaTheme="minorHAnsi" w:cstheme="minorBidi"/>
          <w:szCs w:val="22"/>
          <w:lang w:val="en-AU"/>
        </w:rPr>
        <w:t>to improve sector efficiency and support better patient management across the continuum of care</w:t>
      </w:r>
      <w:r w:rsidR="001B3D25" w:rsidRPr="00D63069">
        <w:rPr>
          <w:rFonts w:eastAsiaTheme="minorHAnsi" w:cstheme="minorBidi"/>
          <w:szCs w:val="22"/>
          <w:lang w:val="en-AU"/>
        </w:rPr>
        <w:t>,</w:t>
      </w:r>
      <w:r w:rsidR="004F109F" w:rsidRPr="00D63069">
        <w:rPr>
          <w:rFonts w:eastAsiaTheme="minorHAnsi" w:cstheme="minorBidi"/>
          <w:szCs w:val="22"/>
          <w:lang w:val="en-AU"/>
        </w:rPr>
        <w:t xml:space="preserve"> </w:t>
      </w:r>
      <w:r w:rsidR="00AD2793" w:rsidRPr="00D63069">
        <w:rPr>
          <w:rFonts w:eastAsiaTheme="minorHAnsi" w:cstheme="minorBidi"/>
          <w:szCs w:val="22"/>
          <w:lang w:val="en-AU"/>
        </w:rPr>
        <w:t>including</w:t>
      </w:r>
      <w:r w:rsidR="004F109F" w:rsidRPr="00D63069">
        <w:rPr>
          <w:rFonts w:eastAsiaTheme="minorHAnsi" w:cstheme="minorBidi"/>
          <w:szCs w:val="22"/>
          <w:lang w:val="en-AU"/>
        </w:rPr>
        <w:t xml:space="preserve"> methamphetamine use in the community</w:t>
      </w:r>
      <w:r w:rsidR="003C5BE6" w:rsidRPr="00D63069">
        <w:rPr>
          <w:rFonts w:eastAsiaTheme="minorHAnsi" w:cstheme="minorBidi"/>
          <w:szCs w:val="22"/>
          <w:lang w:val="en-AU"/>
        </w:rPr>
        <w:t>.</w:t>
      </w:r>
      <w:r w:rsidR="00A9715D">
        <w:rPr>
          <w:rFonts w:eastAsiaTheme="minorHAnsi" w:cstheme="minorBidi"/>
          <w:szCs w:val="22"/>
          <w:lang w:val="en-AU"/>
        </w:rPr>
        <w:t xml:space="preserve"> </w:t>
      </w:r>
      <w:r w:rsidR="003C5BE6" w:rsidRPr="00D63069">
        <w:rPr>
          <w:rFonts w:eastAsiaTheme="minorHAnsi" w:cstheme="minorBidi"/>
          <w:szCs w:val="22"/>
          <w:lang w:val="en-AU"/>
        </w:rPr>
        <w:t xml:space="preserve"> This activity will also assist in addressing</w:t>
      </w:r>
      <w:r w:rsidR="003B0FA9" w:rsidRPr="00D63069">
        <w:rPr>
          <w:rFonts w:eastAsiaTheme="minorHAnsi" w:cstheme="minorBidi"/>
          <w:szCs w:val="22"/>
          <w:lang w:val="en-AU"/>
        </w:rPr>
        <w:t xml:space="preserve"> the impact of</w:t>
      </w:r>
      <w:r w:rsidR="00A508E7" w:rsidRPr="00D63069">
        <w:rPr>
          <w:rFonts w:eastAsiaTheme="minorHAnsi" w:cstheme="minorBidi"/>
          <w:szCs w:val="22"/>
          <w:lang w:val="en-AU"/>
        </w:rPr>
        <w:t xml:space="preserve"> alcohol and other drugs</w:t>
      </w:r>
      <w:r w:rsidR="004F109F" w:rsidRPr="00D63069">
        <w:rPr>
          <w:rFonts w:eastAsiaTheme="minorHAnsi" w:cstheme="minorBidi"/>
          <w:szCs w:val="22"/>
          <w:lang w:val="en-AU"/>
        </w:rPr>
        <w:t xml:space="preserve"> including methamphetamines</w:t>
      </w:r>
      <w:r w:rsidR="003C5BE6" w:rsidRPr="00D63069">
        <w:rPr>
          <w:rFonts w:eastAsiaTheme="minorHAnsi" w:cstheme="minorBidi"/>
          <w:szCs w:val="22"/>
          <w:lang w:val="en-AU"/>
        </w:rPr>
        <w:t xml:space="preserve"> </w:t>
      </w:r>
      <w:r w:rsidR="003B0FA9" w:rsidRPr="00D63069">
        <w:rPr>
          <w:rFonts w:eastAsiaTheme="minorHAnsi" w:cstheme="minorBidi"/>
          <w:szCs w:val="22"/>
          <w:lang w:val="en-AU"/>
        </w:rPr>
        <w:t>on individuals, their families and the community</w:t>
      </w:r>
      <w:r w:rsidR="00FC5BBC" w:rsidRPr="00D63069">
        <w:rPr>
          <w:rFonts w:eastAsiaTheme="minorHAnsi" w:cstheme="minorBidi"/>
          <w:szCs w:val="22"/>
          <w:lang w:val="en-AU"/>
        </w:rPr>
        <w:t xml:space="preserve">. </w:t>
      </w:r>
      <w:r w:rsidR="00A9715D">
        <w:rPr>
          <w:rFonts w:eastAsiaTheme="minorHAnsi" w:cstheme="minorBidi"/>
          <w:szCs w:val="22"/>
          <w:lang w:val="en-AU"/>
        </w:rPr>
        <w:t xml:space="preserve"> </w:t>
      </w:r>
      <w:r w:rsidR="00864B40" w:rsidRPr="00D63069">
        <w:rPr>
          <w:rFonts w:eastAsiaTheme="minorHAnsi" w:cstheme="minorBidi"/>
          <w:szCs w:val="22"/>
          <w:lang w:val="en-AU"/>
        </w:rPr>
        <w:t>PHNs will work</w:t>
      </w:r>
      <w:r w:rsidR="00864B40" w:rsidRPr="00DB340F">
        <w:rPr>
          <w:rFonts w:eastAsiaTheme="minorHAnsi" w:cstheme="minorBidi"/>
          <w:szCs w:val="22"/>
          <w:lang w:val="en-AU"/>
        </w:rPr>
        <w:t xml:space="preserve"> in consultation with </w:t>
      </w:r>
      <w:r w:rsidR="00FC5BBC" w:rsidRPr="00DB340F">
        <w:rPr>
          <w:rFonts w:eastAsiaTheme="minorHAnsi" w:cstheme="minorBidi"/>
          <w:szCs w:val="22"/>
          <w:lang w:val="en-AU"/>
        </w:rPr>
        <w:t>state and territor</w:t>
      </w:r>
      <w:r w:rsidR="005853DB" w:rsidRPr="00DB340F">
        <w:rPr>
          <w:rFonts w:eastAsiaTheme="minorHAnsi" w:cstheme="minorBidi"/>
          <w:szCs w:val="22"/>
          <w:lang w:val="en-AU"/>
        </w:rPr>
        <w:t>y government</w:t>
      </w:r>
      <w:r w:rsidR="005B1DF9" w:rsidRPr="00DB340F">
        <w:rPr>
          <w:rFonts w:eastAsiaTheme="minorHAnsi" w:cstheme="minorBidi"/>
          <w:szCs w:val="22"/>
          <w:lang w:val="en-AU"/>
        </w:rPr>
        <w:t xml:space="preserve"> regional</w:t>
      </w:r>
      <w:r w:rsidR="005853DB" w:rsidRPr="00DB340F">
        <w:rPr>
          <w:rFonts w:eastAsiaTheme="minorHAnsi" w:cstheme="minorBidi"/>
          <w:szCs w:val="22"/>
          <w:lang w:val="en-AU"/>
        </w:rPr>
        <w:t xml:space="preserve"> health services</w:t>
      </w:r>
      <w:r w:rsidR="00514A0F">
        <w:rPr>
          <w:rFonts w:eastAsiaTheme="minorHAnsi" w:cstheme="minorBidi"/>
          <w:szCs w:val="22"/>
          <w:lang w:val="en-AU"/>
        </w:rPr>
        <w:t>, jurisdictional and national drug and alcohol peak bodies</w:t>
      </w:r>
      <w:r w:rsidR="00864B40" w:rsidRPr="00DB340F">
        <w:rPr>
          <w:rFonts w:eastAsiaTheme="minorHAnsi" w:cstheme="minorBidi"/>
          <w:szCs w:val="22"/>
          <w:lang w:val="en-AU"/>
        </w:rPr>
        <w:t xml:space="preserve"> and relevant stakeholders including Local </w:t>
      </w:r>
      <w:r w:rsidR="00442C9F" w:rsidRPr="00DB340F">
        <w:rPr>
          <w:rFonts w:eastAsiaTheme="minorHAnsi" w:cstheme="minorBidi"/>
          <w:szCs w:val="22"/>
          <w:lang w:val="en-AU"/>
        </w:rPr>
        <w:t>Hospital</w:t>
      </w:r>
      <w:r w:rsidR="00864B40" w:rsidRPr="00DB340F">
        <w:rPr>
          <w:rFonts w:eastAsiaTheme="minorHAnsi" w:cstheme="minorBidi"/>
          <w:szCs w:val="22"/>
          <w:lang w:val="en-AU"/>
        </w:rPr>
        <w:t xml:space="preserve"> Networks (</w:t>
      </w:r>
      <w:r w:rsidR="00864B40" w:rsidRPr="008F339B">
        <w:rPr>
          <w:rFonts w:eastAsiaTheme="minorHAnsi" w:cstheme="minorBidi"/>
          <w:szCs w:val="22"/>
          <w:lang w:val="en-AU"/>
        </w:rPr>
        <w:t>LHNs)</w:t>
      </w:r>
      <w:r w:rsidR="005853DB" w:rsidRPr="008F339B">
        <w:rPr>
          <w:rFonts w:eastAsiaTheme="minorHAnsi" w:cstheme="minorBidi"/>
          <w:szCs w:val="22"/>
          <w:lang w:val="en-AU"/>
        </w:rPr>
        <w:t xml:space="preserve"> and </w:t>
      </w:r>
      <w:r w:rsidR="00023952" w:rsidRPr="008F339B">
        <w:rPr>
          <w:rFonts w:eastAsiaTheme="minorHAnsi" w:cstheme="minorBidi"/>
          <w:szCs w:val="22"/>
          <w:lang w:val="en-AU"/>
        </w:rPr>
        <w:t>Aboriginal Community Controlled Health Organisations (</w:t>
      </w:r>
      <w:r w:rsidR="005853DB" w:rsidRPr="008F339B">
        <w:rPr>
          <w:rFonts w:eastAsiaTheme="minorHAnsi" w:cstheme="minorBidi"/>
          <w:szCs w:val="22"/>
          <w:lang w:val="en-AU"/>
        </w:rPr>
        <w:t>ACCHOs</w:t>
      </w:r>
      <w:r w:rsidR="00023952" w:rsidRPr="008F339B">
        <w:rPr>
          <w:rFonts w:eastAsiaTheme="minorHAnsi" w:cstheme="minorBidi"/>
          <w:szCs w:val="22"/>
          <w:lang w:val="en-AU"/>
        </w:rPr>
        <w:t>)</w:t>
      </w:r>
      <w:r w:rsidR="00864B40" w:rsidRPr="008F339B">
        <w:rPr>
          <w:rFonts w:eastAsiaTheme="minorHAnsi" w:cstheme="minorBidi"/>
          <w:szCs w:val="22"/>
          <w:lang w:val="en-AU"/>
        </w:rPr>
        <w:t xml:space="preserve"> </w:t>
      </w:r>
      <w:r w:rsidR="005B1DF9" w:rsidRPr="008F339B">
        <w:rPr>
          <w:rFonts w:eastAsiaTheme="minorHAnsi" w:cstheme="minorBidi"/>
          <w:szCs w:val="22"/>
          <w:lang w:val="en-AU"/>
        </w:rPr>
        <w:t>and other</w:t>
      </w:r>
      <w:r w:rsidR="005B1DF9" w:rsidRPr="00DB340F">
        <w:rPr>
          <w:rFonts w:eastAsiaTheme="minorHAnsi" w:cstheme="minorBidi"/>
          <w:szCs w:val="22"/>
          <w:lang w:val="en-AU"/>
        </w:rPr>
        <w:t xml:space="preserve"> service providers </w:t>
      </w:r>
      <w:r w:rsidR="00864B40" w:rsidRPr="00DB340F">
        <w:rPr>
          <w:rFonts w:eastAsiaTheme="minorHAnsi" w:cstheme="minorBidi"/>
          <w:szCs w:val="22"/>
          <w:lang w:val="en-AU"/>
        </w:rPr>
        <w:t>to achieve this outcome.</w:t>
      </w:r>
    </w:p>
    <w:p w14:paraId="0BEB99B1" w14:textId="77777777" w:rsidR="00545CC3" w:rsidRPr="00DB340F" w:rsidRDefault="00FC5BBC" w:rsidP="00057130">
      <w:pPr>
        <w:pStyle w:val="Heading2"/>
      </w:pPr>
      <w:r w:rsidRPr="00DB340F">
        <w:t xml:space="preserve"> </w:t>
      </w:r>
      <w:bookmarkStart w:id="4" w:name="_Toc418073413"/>
      <w:r w:rsidR="00545CC3" w:rsidRPr="00DB340F">
        <w:t>Activity objectives</w:t>
      </w:r>
      <w:bookmarkEnd w:id="4"/>
    </w:p>
    <w:p w14:paraId="6873C363" w14:textId="77777777" w:rsidR="00545CC3" w:rsidRPr="00DB340F" w:rsidRDefault="00545CC3" w:rsidP="00545CC3">
      <w:pPr>
        <w:spacing w:after="240" w:line="276" w:lineRule="auto"/>
        <w:rPr>
          <w:rFonts w:eastAsiaTheme="minorHAnsi" w:cstheme="minorBidi"/>
          <w:szCs w:val="22"/>
          <w:lang w:val="en-AU"/>
        </w:rPr>
      </w:pPr>
      <w:r w:rsidRPr="00DB340F">
        <w:rPr>
          <w:rFonts w:eastAsiaTheme="minorHAnsi" w:cstheme="minorBidi"/>
          <w:szCs w:val="22"/>
          <w:lang w:val="en-AU"/>
        </w:rPr>
        <w:t>The ob</w:t>
      </w:r>
      <w:r w:rsidR="00CC6777" w:rsidRPr="00DB340F">
        <w:rPr>
          <w:rFonts w:eastAsiaTheme="minorHAnsi" w:cstheme="minorBidi"/>
          <w:szCs w:val="22"/>
          <w:lang w:val="en-AU"/>
        </w:rPr>
        <w:t>jectives of the Activity are to:</w:t>
      </w:r>
    </w:p>
    <w:p w14:paraId="0814F2BE" w14:textId="4282D614" w:rsidR="002375B9" w:rsidRPr="00057130" w:rsidRDefault="0072452A" w:rsidP="002375B9">
      <w:pPr>
        <w:pStyle w:val="ListParagraph"/>
        <w:numPr>
          <w:ilvl w:val="0"/>
          <w:numId w:val="11"/>
        </w:numPr>
      </w:pPr>
      <w:r>
        <w:t xml:space="preserve">Support </w:t>
      </w:r>
      <w:r w:rsidR="002375B9">
        <w:t xml:space="preserve">drug and alcohol treatment services through </w:t>
      </w:r>
      <w:r>
        <w:t xml:space="preserve">PHN </w:t>
      </w:r>
      <w:r w:rsidR="00034257">
        <w:t>commissioning</w:t>
      </w:r>
      <w:r w:rsidR="002375B9">
        <w:t xml:space="preserve"> </w:t>
      </w:r>
      <w:r>
        <w:t xml:space="preserve">of </w:t>
      </w:r>
      <w:r w:rsidR="002375B9">
        <w:t xml:space="preserve">existing </w:t>
      </w:r>
      <w:r w:rsidR="00034257">
        <w:t xml:space="preserve">Commonwealth funded drug and alcohol </w:t>
      </w:r>
      <w:r w:rsidR="002375B9">
        <w:t>treatment services from 1</w:t>
      </w:r>
      <w:r w:rsidR="00034257">
        <w:t> </w:t>
      </w:r>
      <w:r w:rsidR="002375B9">
        <w:t>July</w:t>
      </w:r>
      <w:r w:rsidR="00034257">
        <w:t> </w:t>
      </w:r>
      <w:r w:rsidR="002375B9">
        <w:t>2017</w:t>
      </w:r>
      <w:r w:rsidR="00034257">
        <w:t>. This funding will be</w:t>
      </w:r>
      <w:r w:rsidR="002375B9">
        <w:t xml:space="preserve"> </w:t>
      </w:r>
      <w:r>
        <w:t>provided for a</w:t>
      </w:r>
      <w:r w:rsidR="002375B9">
        <w:t xml:space="preserve"> further two years to ensure service continuity for communities and individuals;</w:t>
      </w:r>
    </w:p>
    <w:p w14:paraId="73F25013" w14:textId="035CAC2D" w:rsidR="002375B9" w:rsidRPr="007C16B5" w:rsidRDefault="00A5489E" w:rsidP="00057130">
      <w:pPr>
        <w:rPr>
          <w:rFonts w:eastAsiaTheme="minorHAnsi"/>
          <w:lang w:val="en-AU"/>
        </w:rPr>
      </w:pPr>
      <w:r>
        <w:rPr>
          <w:rFonts w:eastAsiaTheme="minorHAnsi"/>
          <w:lang w:val="en-AU"/>
        </w:rPr>
        <w:t>While using funding provided under</w:t>
      </w:r>
      <w:r w:rsidR="002375B9">
        <w:rPr>
          <w:rFonts w:eastAsiaTheme="minorHAnsi"/>
          <w:lang w:val="en-AU"/>
        </w:rPr>
        <w:t xml:space="preserve"> the NIAS</w:t>
      </w:r>
      <w:r>
        <w:rPr>
          <w:rFonts w:eastAsiaTheme="minorHAnsi"/>
          <w:lang w:val="en-AU"/>
        </w:rPr>
        <w:t xml:space="preserve"> to</w:t>
      </w:r>
      <w:r w:rsidR="002375B9">
        <w:rPr>
          <w:rFonts w:eastAsiaTheme="minorHAnsi"/>
          <w:lang w:val="en-AU"/>
        </w:rPr>
        <w:t>:</w:t>
      </w:r>
    </w:p>
    <w:p w14:paraId="6434D25A" w14:textId="1C495ABC" w:rsidR="00C17D3A" w:rsidRPr="00057130" w:rsidRDefault="00615427" w:rsidP="00057130">
      <w:pPr>
        <w:pStyle w:val="ListParagraph"/>
      </w:pPr>
      <w:r w:rsidRPr="00057130">
        <w:t xml:space="preserve">Address </w:t>
      </w:r>
      <w:r w:rsidR="00AD35C3" w:rsidRPr="00057130">
        <w:t xml:space="preserve">the </w:t>
      </w:r>
      <w:r w:rsidR="00B92B30" w:rsidRPr="00057130">
        <w:t xml:space="preserve">increased demand for access to </w:t>
      </w:r>
      <w:r w:rsidRPr="00057130">
        <w:t>drug and alcohol</w:t>
      </w:r>
      <w:r w:rsidR="00023952" w:rsidRPr="00057130">
        <w:t xml:space="preserve"> treatment services</w:t>
      </w:r>
      <w:r w:rsidR="00C17D3A" w:rsidRPr="00057130">
        <w:t>,</w:t>
      </w:r>
      <w:r w:rsidR="005B1DF9" w:rsidRPr="00057130">
        <w:t xml:space="preserve"> </w:t>
      </w:r>
      <w:r w:rsidR="00E57C17" w:rsidRPr="00057130">
        <w:t xml:space="preserve">with a focus on </w:t>
      </w:r>
      <w:r w:rsidR="00AD35C3" w:rsidRPr="00057130">
        <w:t xml:space="preserve">methamphetamine </w:t>
      </w:r>
      <w:r w:rsidR="00B92B30" w:rsidRPr="00057130">
        <w:t>use</w:t>
      </w:r>
      <w:r w:rsidR="00C17D3A" w:rsidRPr="00057130">
        <w:t>,</w:t>
      </w:r>
      <w:r w:rsidR="00B92B30" w:rsidRPr="00057130">
        <w:t xml:space="preserve"> </w:t>
      </w:r>
      <w:r w:rsidR="009159B0" w:rsidRPr="00057130">
        <w:t>through</w:t>
      </w:r>
      <w:r w:rsidR="00C17D3A" w:rsidRPr="00057130">
        <w:t xml:space="preserve"> </w:t>
      </w:r>
      <w:r w:rsidR="009159B0" w:rsidRPr="00057130">
        <w:t xml:space="preserve">needs based and targeted </w:t>
      </w:r>
      <w:r w:rsidR="00B92B30" w:rsidRPr="00057130">
        <w:t>planning</w:t>
      </w:r>
      <w:r w:rsidR="009159B0" w:rsidRPr="00057130">
        <w:t xml:space="preserve"> responsive to the changing needs of the community</w:t>
      </w:r>
      <w:r w:rsidR="00306BC4" w:rsidRPr="00057130">
        <w:t xml:space="preserve">, </w:t>
      </w:r>
      <w:r w:rsidR="009159B0" w:rsidRPr="00057130">
        <w:t xml:space="preserve">taking into </w:t>
      </w:r>
      <w:r w:rsidR="00306BC4" w:rsidRPr="00057130">
        <w:t>consider</w:t>
      </w:r>
      <w:r w:rsidR="009159B0" w:rsidRPr="00057130">
        <w:t xml:space="preserve">ation </w:t>
      </w:r>
      <w:r w:rsidR="00306BC4" w:rsidRPr="00057130">
        <w:t>current</w:t>
      </w:r>
      <w:r w:rsidR="009159B0" w:rsidRPr="00057130">
        <w:t>ly</w:t>
      </w:r>
      <w:r w:rsidR="00306BC4" w:rsidRPr="00057130">
        <w:t xml:space="preserve"> funded services</w:t>
      </w:r>
      <w:r w:rsidR="009159B0" w:rsidRPr="00057130">
        <w:t>, and in</w:t>
      </w:r>
      <w:r w:rsidR="00B92B30" w:rsidRPr="00057130">
        <w:t xml:space="preserve"> consultation with</w:t>
      </w:r>
      <w:r w:rsidR="00F90E18" w:rsidRPr="00057130">
        <w:t xml:space="preserve"> state and territory health services and other relevant</w:t>
      </w:r>
      <w:r w:rsidR="009159B0" w:rsidRPr="00057130">
        <w:t xml:space="preserve"> stakeholders including</w:t>
      </w:r>
      <w:r w:rsidR="00B92B30" w:rsidRPr="00057130">
        <w:t xml:space="preserve"> LHNs and </w:t>
      </w:r>
      <w:r w:rsidR="009159B0" w:rsidRPr="00057130">
        <w:t>ACCHOs</w:t>
      </w:r>
      <w:r w:rsidR="002375B9" w:rsidRPr="00057130">
        <w:t>;</w:t>
      </w:r>
      <w:r w:rsidR="00AD35C3" w:rsidRPr="00057130">
        <w:t xml:space="preserve"> </w:t>
      </w:r>
    </w:p>
    <w:p w14:paraId="36EB1A17" w14:textId="7DA7946C" w:rsidR="00140308" w:rsidRPr="00057130" w:rsidRDefault="00AD35C3" w:rsidP="00057130">
      <w:pPr>
        <w:pStyle w:val="ListParagraph"/>
      </w:pPr>
      <w:r w:rsidRPr="00057130">
        <w:t xml:space="preserve">Support region specific, cross-sectoral </w:t>
      </w:r>
      <w:r w:rsidR="00B92B30" w:rsidRPr="00057130">
        <w:t xml:space="preserve">and integrated </w:t>
      </w:r>
      <w:r w:rsidRPr="00057130">
        <w:t>approaches to drug and a</w:t>
      </w:r>
      <w:r w:rsidR="00140308" w:rsidRPr="00057130">
        <w:t xml:space="preserve">lcohol treatment services, </w:t>
      </w:r>
      <w:r w:rsidR="00B92B30" w:rsidRPr="00057130">
        <w:t>based on</w:t>
      </w:r>
      <w:r w:rsidR="00140308" w:rsidRPr="00057130">
        <w:t xml:space="preserve"> the needs of clients locally, and focused on improving care coordination </w:t>
      </w:r>
      <w:r w:rsidR="00A33499" w:rsidRPr="00057130">
        <w:t xml:space="preserve">at the </w:t>
      </w:r>
      <w:r w:rsidR="00D0550A" w:rsidRPr="00057130">
        <w:t>local</w:t>
      </w:r>
      <w:r w:rsidR="00A33499" w:rsidRPr="00057130">
        <w:t xml:space="preserve"> level;</w:t>
      </w:r>
    </w:p>
    <w:p w14:paraId="6F56D542" w14:textId="07822558" w:rsidR="00A33499" w:rsidRPr="00057130" w:rsidRDefault="009159B0" w:rsidP="00057130">
      <w:pPr>
        <w:pStyle w:val="ListParagraph"/>
      </w:pPr>
      <w:r w:rsidRPr="00057130">
        <w:t xml:space="preserve">Facilitate </w:t>
      </w:r>
      <w:r w:rsidR="00140308" w:rsidRPr="00057130">
        <w:t>and support evidence</w:t>
      </w:r>
      <w:r w:rsidR="00A9715D" w:rsidRPr="00057130">
        <w:t>-</w:t>
      </w:r>
      <w:r w:rsidR="00140308" w:rsidRPr="00057130">
        <w:t xml:space="preserve">based treatment </w:t>
      </w:r>
      <w:r w:rsidR="00A508E7" w:rsidRPr="00057130">
        <w:t>for clients using a range of substances</w:t>
      </w:r>
      <w:r w:rsidR="002A4478" w:rsidRPr="00057130">
        <w:t>,</w:t>
      </w:r>
      <w:r w:rsidR="00A508E7" w:rsidRPr="00057130">
        <w:t xml:space="preserve"> including methamphetamine</w:t>
      </w:r>
      <w:r w:rsidR="00A33499" w:rsidRPr="00057130">
        <w:t>, including</w:t>
      </w:r>
      <w:r w:rsidR="00A508E7" w:rsidRPr="00057130">
        <w:t xml:space="preserve"> </w:t>
      </w:r>
      <w:r w:rsidR="00B92B30" w:rsidRPr="00057130">
        <w:t xml:space="preserve">flexible and </w:t>
      </w:r>
      <w:r w:rsidR="00A33499" w:rsidRPr="00057130">
        <w:t>stepped care</w:t>
      </w:r>
      <w:r w:rsidR="00B92B30" w:rsidRPr="00057130">
        <w:t xml:space="preserve"> models</w:t>
      </w:r>
      <w:r w:rsidR="00140308" w:rsidRPr="00057130">
        <w:t xml:space="preserve"> tailored to </w:t>
      </w:r>
      <w:r w:rsidR="00B92B30" w:rsidRPr="00057130">
        <w:t>individual need;</w:t>
      </w:r>
    </w:p>
    <w:p w14:paraId="4A34C140" w14:textId="2B3BF045" w:rsidR="002A4478" w:rsidRPr="00057130" w:rsidRDefault="00F24C77" w:rsidP="00057130">
      <w:pPr>
        <w:pStyle w:val="ListParagraph"/>
      </w:pPr>
      <w:r w:rsidRPr="00057130">
        <w:t>Promote</w:t>
      </w:r>
      <w:r w:rsidR="00A375FD" w:rsidRPr="00057130">
        <w:t xml:space="preserve"> linkages with </w:t>
      </w:r>
      <w:r w:rsidR="00B8277F" w:rsidRPr="00057130">
        <w:t xml:space="preserve">broader health services, including </w:t>
      </w:r>
      <w:r w:rsidR="00A375FD" w:rsidRPr="00057130">
        <w:t xml:space="preserve">mental health services, to </w:t>
      </w:r>
      <w:r w:rsidR="009159B0" w:rsidRPr="00057130">
        <w:t>better support</w:t>
      </w:r>
      <w:r w:rsidR="00A375FD" w:rsidRPr="00057130">
        <w:t xml:space="preserve"> integrated treatment and referral pathways to support clients with comorbid mental </w:t>
      </w:r>
      <w:r w:rsidR="002F7743" w:rsidRPr="00057130">
        <w:t xml:space="preserve">health </w:t>
      </w:r>
      <w:r w:rsidR="00A375FD" w:rsidRPr="00057130">
        <w:t xml:space="preserve">disorders. </w:t>
      </w:r>
      <w:r w:rsidR="00A9715D" w:rsidRPr="00057130">
        <w:t xml:space="preserve"> </w:t>
      </w:r>
      <w:r w:rsidR="00A375FD" w:rsidRPr="00057130">
        <w:t xml:space="preserve">This objective </w:t>
      </w:r>
      <w:r w:rsidR="00C34142" w:rsidRPr="00057130">
        <w:t>will encourage</w:t>
      </w:r>
      <w:r w:rsidR="00A375FD" w:rsidRPr="00057130">
        <w:t xml:space="preserve"> service linkages with</w:t>
      </w:r>
      <w:r w:rsidR="00B92B30" w:rsidRPr="00057130">
        <w:t xml:space="preserve"> other relevant </w:t>
      </w:r>
      <w:r w:rsidR="004F3A54" w:rsidRPr="00057130">
        <w:t xml:space="preserve">support </w:t>
      </w:r>
      <w:r w:rsidR="00B92B30" w:rsidRPr="00057130">
        <w:t>sectors</w:t>
      </w:r>
      <w:r w:rsidR="00442C9F" w:rsidRPr="00057130">
        <w:t xml:space="preserve">; </w:t>
      </w:r>
    </w:p>
    <w:p w14:paraId="7BFCD8FD" w14:textId="4B86EC9C" w:rsidR="002A4478" w:rsidRPr="00057130" w:rsidRDefault="00442C9F" w:rsidP="00057130">
      <w:pPr>
        <w:pStyle w:val="ListParagraph"/>
      </w:pPr>
      <w:r w:rsidRPr="008F339B">
        <w:lastRenderedPageBreak/>
        <w:t xml:space="preserve">Ensure </w:t>
      </w:r>
      <w:r w:rsidR="008F339B">
        <w:t>Indigenous</w:t>
      </w:r>
      <w:r w:rsidR="008F339B">
        <w:noBreakHyphen/>
        <w:t xml:space="preserve">specific and </w:t>
      </w:r>
      <w:r w:rsidRPr="008F339B">
        <w:t>culturally appropriate drug and alcohol treatment services for Indigenous Australians are linked with broader Indigenous health services</w:t>
      </w:r>
      <w:r w:rsidR="00A508E7" w:rsidRPr="008F339B">
        <w:t>; and</w:t>
      </w:r>
    </w:p>
    <w:p w14:paraId="39077BBF" w14:textId="3276F4C1" w:rsidR="00442C9F" w:rsidRPr="00057130" w:rsidRDefault="00B92B30" w:rsidP="00057130">
      <w:pPr>
        <w:pStyle w:val="ListParagraph"/>
      </w:pPr>
      <w:r w:rsidRPr="00D63069">
        <w:t>Promote quality improvement approaches and support health professionals</w:t>
      </w:r>
      <w:r w:rsidR="00057130">
        <w:t xml:space="preserve"> through education and training.</w:t>
      </w:r>
    </w:p>
    <w:p w14:paraId="6F232B4C" w14:textId="77777777" w:rsidR="00545CC3" w:rsidRPr="00D63069" w:rsidRDefault="00545CC3" w:rsidP="00057130">
      <w:pPr>
        <w:pStyle w:val="Heading2"/>
      </w:pPr>
      <w:bookmarkStart w:id="5" w:name="_Toc418073414"/>
      <w:r w:rsidRPr="00D63069">
        <w:t>Funding available</w:t>
      </w:r>
      <w:bookmarkEnd w:id="5"/>
    </w:p>
    <w:p w14:paraId="3340E571" w14:textId="33B2F712" w:rsidR="000B1E26" w:rsidRPr="00DB340F" w:rsidRDefault="00A5489E" w:rsidP="00545CC3">
      <w:pPr>
        <w:spacing w:after="240" w:line="276" w:lineRule="auto"/>
        <w:rPr>
          <w:rFonts w:eastAsiaTheme="minorHAnsi" w:cstheme="minorBidi"/>
          <w:szCs w:val="22"/>
          <w:lang w:val="en-AU"/>
        </w:rPr>
      </w:pPr>
      <w:r>
        <w:rPr>
          <w:rFonts w:eastAsiaTheme="minorHAnsi" w:cstheme="minorBidi"/>
          <w:szCs w:val="22"/>
          <w:lang w:val="en-AU"/>
        </w:rPr>
        <w:t>Under the NIAS, funding of around</w:t>
      </w:r>
      <w:r w:rsidR="00D73AC6" w:rsidRPr="00D63069">
        <w:rPr>
          <w:rFonts w:eastAsiaTheme="minorHAnsi" w:cstheme="minorBidi"/>
          <w:szCs w:val="22"/>
          <w:lang w:val="en-AU"/>
        </w:rPr>
        <w:t xml:space="preserve"> </w:t>
      </w:r>
      <w:r w:rsidR="00381BEB" w:rsidRPr="00D63069">
        <w:rPr>
          <w:rFonts w:eastAsiaTheme="minorHAnsi" w:cstheme="minorBidi"/>
          <w:szCs w:val="22"/>
          <w:lang w:val="en-AU"/>
        </w:rPr>
        <w:t>$241.5 million</w:t>
      </w:r>
      <w:r w:rsidR="00545CC3" w:rsidRPr="00D63069">
        <w:rPr>
          <w:rFonts w:eastAsiaTheme="minorHAnsi" w:cstheme="minorBidi"/>
          <w:szCs w:val="22"/>
          <w:lang w:val="en-AU"/>
        </w:rPr>
        <w:t xml:space="preserve"> (GST exclusive) </w:t>
      </w:r>
      <w:r w:rsidR="00381BEB" w:rsidRPr="00D63069">
        <w:rPr>
          <w:rFonts w:eastAsiaTheme="minorHAnsi" w:cstheme="minorBidi"/>
          <w:szCs w:val="22"/>
          <w:lang w:val="en-AU"/>
        </w:rPr>
        <w:t>over four years commencing</w:t>
      </w:r>
      <w:r w:rsidR="00381BEB" w:rsidRPr="00DB340F">
        <w:rPr>
          <w:rFonts w:eastAsiaTheme="minorHAnsi" w:cstheme="minorBidi"/>
          <w:szCs w:val="22"/>
          <w:lang w:val="en-AU"/>
        </w:rPr>
        <w:t xml:space="preserve"> 1 July 2016 </w:t>
      </w:r>
      <w:r w:rsidR="005E3DEA" w:rsidRPr="00DB340F">
        <w:rPr>
          <w:rFonts w:eastAsiaTheme="minorHAnsi" w:cstheme="minorBidi"/>
          <w:szCs w:val="22"/>
          <w:lang w:val="en-AU"/>
        </w:rPr>
        <w:t xml:space="preserve">is expected to </w:t>
      </w:r>
      <w:r w:rsidR="00CC6777" w:rsidRPr="00DB340F">
        <w:rPr>
          <w:rFonts w:eastAsiaTheme="minorHAnsi" w:cstheme="minorBidi"/>
          <w:szCs w:val="22"/>
          <w:lang w:val="en-AU"/>
        </w:rPr>
        <w:t>be available for this Activity</w:t>
      </w:r>
      <w:r w:rsidR="00381BEB" w:rsidRPr="00DB340F">
        <w:rPr>
          <w:rFonts w:eastAsiaTheme="minorHAnsi" w:cstheme="minorBidi"/>
          <w:szCs w:val="22"/>
          <w:lang w:val="en-AU"/>
        </w:rPr>
        <w:t>.</w:t>
      </w:r>
      <w:r w:rsidR="00545CC3" w:rsidRPr="00DB340F">
        <w:rPr>
          <w:rFonts w:eastAsiaTheme="minorHAnsi" w:cstheme="minorBidi"/>
          <w:szCs w:val="22"/>
          <w:lang w:val="en-AU"/>
        </w:rPr>
        <w:t xml:space="preserve"> </w:t>
      </w:r>
      <w:r w:rsidR="00A9715D">
        <w:rPr>
          <w:rFonts w:eastAsiaTheme="minorHAnsi" w:cstheme="minorBidi"/>
          <w:szCs w:val="22"/>
          <w:lang w:val="en-AU"/>
        </w:rPr>
        <w:t xml:space="preserve"> </w:t>
      </w:r>
      <w:r w:rsidR="00A91F90" w:rsidRPr="00DB340F">
        <w:rPr>
          <w:rFonts w:eastAsiaTheme="minorHAnsi" w:cstheme="minorBidi"/>
          <w:szCs w:val="22"/>
          <w:lang w:val="en-AU"/>
        </w:rPr>
        <w:t>$</w:t>
      </w:r>
      <w:r w:rsidR="00647996" w:rsidRPr="00DB340F">
        <w:rPr>
          <w:rFonts w:eastAsiaTheme="minorHAnsi" w:cstheme="minorBidi"/>
          <w:szCs w:val="22"/>
          <w:lang w:val="en-AU"/>
        </w:rPr>
        <w:t>78.6</w:t>
      </w:r>
      <w:r w:rsidR="00A91F90" w:rsidRPr="00DB340F">
        <w:rPr>
          <w:rFonts w:eastAsiaTheme="minorHAnsi" w:cstheme="minorBidi"/>
          <w:szCs w:val="22"/>
          <w:lang w:val="en-AU"/>
        </w:rPr>
        <w:t xml:space="preserve"> </w:t>
      </w:r>
      <w:r w:rsidR="00B92B30" w:rsidRPr="00DB340F">
        <w:rPr>
          <w:rFonts w:eastAsiaTheme="minorHAnsi" w:cstheme="minorBidi"/>
          <w:szCs w:val="22"/>
          <w:lang w:val="en-AU"/>
        </w:rPr>
        <w:t xml:space="preserve">million of this funding </w:t>
      </w:r>
      <w:r w:rsidR="00A9715D">
        <w:rPr>
          <w:rFonts w:eastAsiaTheme="minorHAnsi" w:cstheme="minorBidi"/>
          <w:szCs w:val="22"/>
          <w:lang w:val="en-AU"/>
        </w:rPr>
        <w:t xml:space="preserve">is </w:t>
      </w:r>
      <w:r w:rsidR="00B92B30" w:rsidRPr="00DB340F">
        <w:rPr>
          <w:rFonts w:eastAsiaTheme="minorHAnsi" w:cstheme="minorBidi"/>
          <w:szCs w:val="22"/>
          <w:lang w:val="en-AU"/>
        </w:rPr>
        <w:t xml:space="preserve">to be specifically utilised to </w:t>
      </w:r>
      <w:r w:rsidR="004F3A54" w:rsidRPr="00DB340F">
        <w:rPr>
          <w:rFonts w:eastAsiaTheme="minorHAnsi" w:cstheme="minorBidi"/>
          <w:szCs w:val="22"/>
          <w:lang w:val="en-AU"/>
        </w:rPr>
        <w:t xml:space="preserve">deliver </w:t>
      </w:r>
      <w:r w:rsidR="00222AE2">
        <w:rPr>
          <w:rFonts w:eastAsiaTheme="minorHAnsi" w:cstheme="minorBidi"/>
          <w:szCs w:val="22"/>
          <w:lang w:val="en-AU"/>
        </w:rPr>
        <w:t xml:space="preserve">Indigenous-specific </w:t>
      </w:r>
      <w:r w:rsidR="00B92B30" w:rsidRPr="00DB340F">
        <w:rPr>
          <w:rFonts w:eastAsiaTheme="minorHAnsi" w:cstheme="minorBidi"/>
          <w:szCs w:val="22"/>
          <w:lang w:val="en-AU"/>
        </w:rPr>
        <w:t>drug and alcohol treatment services.</w:t>
      </w:r>
      <w:r w:rsidR="005E3DEA" w:rsidRPr="00DB340F">
        <w:rPr>
          <w:rFonts w:eastAsiaTheme="minorHAnsi" w:cstheme="minorBidi"/>
          <w:szCs w:val="22"/>
          <w:lang w:val="en-AU"/>
        </w:rPr>
        <w:t xml:space="preserve"> </w:t>
      </w:r>
      <w:r w:rsidR="002F7743" w:rsidRPr="00DB340F">
        <w:rPr>
          <w:rFonts w:eastAsiaTheme="minorHAnsi" w:cstheme="minorBidi"/>
          <w:szCs w:val="22"/>
          <w:lang w:val="en-AU"/>
        </w:rPr>
        <w:t xml:space="preserve">Funding for this </w:t>
      </w:r>
      <w:r w:rsidR="000B1E26" w:rsidRPr="00DB340F">
        <w:rPr>
          <w:rFonts w:eastAsiaTheme="minorHAnsi" w:cstheme="minorBidi"/>
          <w:szCs w:val="22"/>
          <w:lang w:val="en-AU"/>
        </w:rPr>
        <w:t>Activity can only be used to support actions identified at Item</w:t>
      </w:r>
      <w:r w:rsidR="00381BEB" w:rsidRPr="00DB340F">
        <w:rPr>
          <w:rFonts w:eastAsiaTheme="minorHAnsi" w:cstheme="minorBidi"/>
          <w:szCs w:val="22"/>
          <w:lang w:val="en-AU"/>
        </w:rPr>
        <w:t> </w:t>
      </w:r>
      <w:r w:rsidR="00465A82" w:rsidRPr="00DB340F">
        <w:rPr>
          <w:rFonts w:eastAsiaTheme="minorHAnsi" w:cstheme="minorBidi"/>
          <w:szCs w:val="22"/>
          <w:lang w:val="en-AU"/>
        </w:rPr>
        <w:t>6</w:t>
      </w:r>
      <w:r w:rsidR="000B1E26" w:rsidRPr="00DB340F">
        <w:rPr>
          <w:rFonts w:eastAsiaTheme="minorHAnsi" w:cstheme="minorBidi"/>
          <w:szCs w:val="22"/>
          <w:lang w:val="en-AU"/>
        </w:rPr>
        <w:t>.</w:t>
      </w:r>
      <w:r w:rsidR="00DE356D" w:rsidRPr="00DB340F">
        <w:rPr>
          <w:rFonts w:eastAsiaTheme="minorHAnsi" w:cstheme="minorBidi"/>
          <w:szCs w:val="22"/>
          <w:lang w:val="en-AU"/>
        </w:rPr>
        <w:t xml:space="preserve">  </w:t>
      </w:r>
    </w:p>
    <w:p w14:paraId="5BAEEA01" w14:textId="77777777" w:rsidR="00DE356D" w:rsidRPr="00DB340F" w:rsidRDefault="00D73AC6" w:rsidP="00545CC3">
      <w:pPr>
        <w:spacing w:after="240" w:line="276" w:lineRule="auto"/>
        <w:rPr>
          <w:rFonts w:eastAsiaTheme="minorHAnsi" w:cstheme="minorBidi"/>
          <w:szCs w:val="22"/>
          <w:lang w:val="en-AU"/>
        </w:rPr>
      </w:pPr>
      <w:r w:rsidRPr="00DB340F">
        <w:rPr>
          <w:rFonts w:eastAsiaTheme="minorHAnsi" w:cstheme="minorBidi"/>
          <w:szCs w:val="22"/>
          <w:lang w:val="en-AU"/>
        </w:rPr>
        <w:t xml:space="preserve">The </w:t>
      </w:r>
      <w:r w:rsidR="00545CC3" w:rsidRPr="00DB340F">
        <w:rPr>
          <w:rFonts w:eastAsiaTheme="minorHAnsi" w:cstheme="minorBidi"/>
          <w:szCs w:val="22"/>
          <w:lang w:val="en-AU"/>
        </w:rPr>
        <w:t xml:space="preserve">value of available grants </w:t>
      </w:r>
      <w:r w:rsidR="00686383" w:rsidRPr="00DB340F">
        <w:rPr>
          <w:rFonts w:eastAsiaTheme="minorHAnsi" w:cstheme="minorBidi"/>
          <w:szCs w:val="22"/>
          <w:lang w:val="en-AU"/>
        </w:rPr>
        <w:t>to each PHN</w:t>
      </w:r>
      <w:r w:rsidR="005017AE" w:rsidRPr="00DB340F">
        <w:rPr>
          <w:rFonts w:eastAsiaTheme="minorHAnsi" w:cstheme="minorBidi"/>
          <w:szCs w:val="22"/>
          <w:lang w:val="en-AU"/>
        </w:rPr>
        <w:t xml:space="preserve"> will be allocated </w:t>
      </w:r>
      <w:r w:rsidR="003C5BE6" w:rsidRPr="00DB340F">
        <w:rPr>
          <w:rFonts w:eastAsiaTheme="minorHAnsi" w:cstheme="minorBidi"/>
          <w:szCs w:val="22"/>
          <w:lang w:val="en-AU"/>
        </w:rPr>
        <w:t>taking</w:t>
      </w:r>
      <w:r w:rsidR="00435E14" w:rsidRPr="00DB340F">
        <w:rPr>
          <w:rFonts w:eastAsiaTheme="minorHAnsi" w:cstheme="minorBidi"/>
          <w:szCs w:val="22"/>
          <w:lang w:val="en-AU"/>
        </w:rPr>
        <w:t xml:space="preserve"> into consideration </w:t>
      </w:r>
      <w:r w:rsidR="005017AE" w:rsidRPr="00DB340F">
        <w:rPr>
          <w:rFonts w:eastAsiaTheme="minorHAnsi" w:cstheme="minorBidi"/>
          <w:szCs w:val="22"/>
          <w:lang w:val="en-AU"/>
        </w:rPr>
        <w:t xml:space="preserve">a number of factors, </w:t>
      </w:r>
      <w:r w:rsidR="00664AD9" w:rsidRPr="00DB340F">
        <w:rPr>
          <w:rFonts w:eastAsiaTheme="minorHAnsi" w:cstheme="minorBidi"/>
          <w:szCs w:val="22"/>
          <w:lang w:val="en-AU"/>
        </w:rPr>
        <w:t xml:space="preserve">such as </w:t>
      </w:r>
      <w:r w:rsidR="005017AE" w:rsidRPr="00DB340F">
        <w:rPr>
          <w:rFonts w:eastAsiaTheme="minorHAnsi" w:cstheme="minorBidi"/>
          <w:szCs w:val="22"/>
          <w:lang w:val="en-AU"/>
        </w:rPr>
        <w:t xml:space="preserve">population, </w:t>
      </w:r>
      <w:proofErr w:type="spellStart"/>
      <w:r w:rsidR="005017AE" w:rsidRPr="00DB340F">
        <w:rPr>
          <w:rFonts w:eastAsiaTheme="minorHAnsi" w:cstheme="minorBidi"/>
          <w:szCs w:val="22"/>
          <w:lang w:val="en-AU"/>
        </w:rPr>
        <w:t>rurality</w:t>
      </w:r>
      <w:proofErr w:type="spellEnd"/>
      <w:r w:rsidR="00435E14" w:rsidRPr="00DB340F">
        <w:rPr>
          <w:rFonts w:eastAsiaTheme="minorHAnsi" w:cstheme="minorBidi"/>
          <w:szCs w:val="22"/>
          <w:lang w:val="en-AU"/>
        </w:rPr>
        <w:t>, Indigenous status</w:t>
      </w:r>
      <w:r w:rsidR="00A9715D">
        <w:rPr>
          <w:rFonts w:eastAsiaTheme="minorHAnsi" w:cstheme="minorBidi"/>
          <w:szCs w:val="22"/>
          <w:lang w:val="en-AU"/>
        </w:rPr>
        <w:t xml:space="preserve"> and socio</w:t>
      </w:r>
      <w:r w:rsidR="00A9715D">
        <w:rPr>
          <w:rFonts w:eastAsiaTheme="minorHAnsi" w:cstheme="minorBidi"/>
          <w:szCs w:val="22"/>
          <w:lang w:val="en-AU"/>
        </w:rPr>
        <w:noBreakHyphen/>
      </w:r>
      <w:r w:rsidR="005017AE" w:rsidRPr="00DB340F">
        <w:rPr>
          <w:rFonts w:eastAsiaTheme="minorHAnsi" w:cstheme="minorBidi"/>
          <w:szCs w:val="22"/>
          <w:lang w:val="en-AU"/>
        </w:rPr>
        <w:t xml:space="preserve">economic factors. </w:t>
      </w:r>
    </w:p>
    <w:p w14:paraId="60540CEA" w14:textId="77777777" w:rsidR="00786C02" w:rsidRDefault="005017AE" w:rsidP="00786C02">
      <w:pPr>
        <w:spacing w:after="240" w:line="276" w:lineRule="auto"/>
        <w:rPr>
          <w:rFonts w:eastAsiaTheme="minorHAnsi" w:cstheme="minorBidi"/>
          <w:szCs w:val="22"/>
          <w:lang w:val="en-AU"/>
        </w:rPr>
      </w:pPr>
      <w:r w:rsidRPr="00DB340F">
        <w:rPr>
          <w:rFonts w:eastAsiaTheme="minorHAnsi" w:cstheme="minorBidi"/>
          <w:szCs w:val="22"/>
          <w:lang w:val="en-AU"/>
        </w:rPr>
        <w:t xml:space="preserve">The Activity funding will include a capped operational component to be used to support PHNs to manage the </w:t>
      </w:r>
      <w:r w:rsidR="00DE356D" w:rsidRPr="00DB340F">
        <w:rPr>
          <w:rFonts w:eastAsiaTheme="minorHAnsi" w:cstheme="minorBidi"/>
          <w:szCs w:val="22"/>
          <w:lang w:val="en-AU"/>
        </w:rPr>
        <w:t>A</w:t>
      </w:r>
      <w:r w:rsidRPr="00DB340F">
        <w:rPr>
          <w:rFonts w:eastAsiaTheme="minorHAnsi" w:cstheme="minorBidi"/>
          <w:szCs w:val="22"/>
          <w:lang w:val="en-AU"/>
        </w:rPr>
        <w:t>ctivity</w:t>
      </w:r>
      <w:r w:rsidR="00786C02" w:rsidRPr="00DB340F">
        <w:rPr>
          <w:rFonts w:eastAsiaTheme="minorHAnsi" w:cstheme="minorBidi"/>
          <w:szCs w:val="22"/>
          <w:lang w:val="en-AU"/>
        </w:rPr>
        <w:t>.</w:t>
      </w:r>
      <w:r w:rsidR="00B92B30" w:rsidRPr="00DB340F">
        <w:rPr>
          <w:rFonts w:eastAsiaTheme="minorHAnsi" w:cstheme="minorBidi"/>
          <w:szCs w:val="22"/>
          <w:lang w:val="en-AU"/>
        </w:rPr>
        <w:t xml:space="preserve"> </w:t>
      </w:r>
      <w:r w:rsidR="005E3DEA" w:rsidRPr="00DB340F">
        <w:rPr>
          <w:rFonts w:eastAsiaTheme="minorHAnsi" w:cstheme="minorBidi"/>
          <w:szCs w:val="22"/>
          <w:lang w:val="en-AU"/>
        </w:rPr>
        <w:t xml:space="preserve"> </w:t>
      </w:r>
      <w:bookmarkStart w:id="6" w:name="_Toc418073416"/>
    </w:p>
    <w:p w14:paraId="3F8BD211" w14:textId="39355AF0" w:rsidR="004E1BD0" w:rsidRPr="00DB340F" w:rsidRDefault="00A5489E" w:rsidP="00786C02">
      <w:pPr>
        <w:spacing w:after="240" w:line="276" w:lineRule="auto"/>
        <w:rPr>
          <w:rFonts w:eastAsiaTheme="minorHAnsi" w:cstheme="minorBidi"/>
          <w:szCs w:val="22"/>
          <w:lang w:val="en-AU"/>
        </w:rPr>
      </w:pPr>
      <w:r>
        <w:rPr>
          <w:rFonts w:eastAsiaTheme="minorHAnsi" w:cstheme="minorBidi"/>
          <w:szCs w:val="22"/>
          <w:lang w:val="en-AU"/>
        </w:rPr>
        <w:t>From 1 July 2017, a</w:t>
      </w:r>
      <w:r w:rsidR="002D5B64">
        <w:rPr>
          <w:rFonts w:eastAsiaTheme="minorHAnsi" w:cstheme="minorBidi"/>
          <w:szCs w:val="22"/>
          <w:lang w:val="en-AU"/>
        </w:rPr>
        <w:t xml:space="preserve"> </w:t>
      </w:r>
      <w:proofErr w:type="gramStart"/>
      <w:r w:rsidR="002D5B64">
        <w:rPr>
          <w:rFonts w:eastAsiaTheme="minorHAnsi" w:cstheme="minorBidi"/>
          <w:szCs w:val="22"/>
          <w:lang w:val="en-AU"/>
        </w:rPr>
        <w:t xml:space="preserve">further </w:t>
      </w:r>
      <w:r>
        <w:rPr>
          <w:rFonts w:eastAsiaTheme="minorHAnsi" w:cstheme="minorBidi"/>
          <w:szCs w:val="22"/>
          <w:lang w:val="en-AU"/>
        </w:rPr>
        <w:t xml:space="preserve"> $</w:t>
      </w:r>
      <w:proofErr w:type="gramEnd"/>
      <w:r w:rsidR="00991D6A">
        <w:rPr>
          <w:rFonts w:eastAsiaTheme="minorHAnsi" w:cstheme="minorBidi"/>
          <w:szCs w:val="22"/>
          <w:lang w:val="en-AU"/>
        </w:rPr>
        <w:t>42.6</w:t>
      </w:r>
      <w:r>
        <w:rPr>
          <w:rFonts w:eastAsiaTheme="minorHAnsi" w:cstheme="minorBidi"/>
          <w:szCs w:val="22"/>
          <w:lang w:val="en-AU"/>
        </w:rPr>
        <w:t xml:space="preserve"> million per annum</w:t>
      </w:r>
      <w:r w:rsidR="002D5B64">
        <w:rPr>
          <w:rFonts w:eastAsiaTheme="minorHAnsi" w:cstheme="minorBidi"/>
          <w:szCs w:val="22"/>
          <w:lang w:val="en-AU"/>
        </w:rPr>
        <w:t xml:space="preserve"> in Drug and Alcohol Program funding</w:t>
      </w:r>
      <w:r>
        <w:rPr>
          <w:rFonts w:eastAsiaTheme="minorHAnsi" w:cstheme="minorBidi"/>
          <w:szCs w:val="22"/>
          <w:lang w:val="en-AU"/>
        </w:rPr>
        <w:t xml:space="preserve"> will be made available to PHNs to continue funding for existing drug and alcohol treatment services for an additional two years until 30 June 2019. </w:t>
      </w:r>
    </w:p>
    <w:p w14:paraId="7206B39C" w14:textId="77777777" w:rsidR="00786C02" w:rsidRPr="00057130" w:rsidRDefault="00545CC3" w:rsidP="00057130">
      <w:pPr>
        <w:pStyle w:val="Heading3"/>
      </w:pPr>
      <w:r w:rsidRPr="00057130">
        <w:t>Type of selection process</w:t>
      </w:r>
      <w:bookmarkStart w:id="7" w:name="_Toc418073417"/>
      <w:bookmarkEnd w:id="6"/>
    </w:p>
    <w:p w14:paraId="062554EC" w14:textId="57C8287D" w:rsidR="003A31AA" w:rsidRDefault="00545CC3" w:rsidP="00786C02">
      <w:pPr>
        <w:spacing w:after="240" w:line="276" w:lineRule="auto"/>
        <w:rPr>
          <w:rFonts w:eastAsiaTheme="minorHAnsi" w:cstheme="minorBidi"/>
          <w:szCs w:val="22"/>
          <w:lang w:val="en-AU"/>
        </w:rPr>
      </w:pPr>
      <w:r w:rsidRPr="00DB340F">
        <w:rPr>
          <w:rFonts w:eastAsiaTheme="minorHAnsi" w:cstheme="minorBidi"/>
          <w:szCs w:val="22"/>
          <w:lang w:val="en-AU"/>
        </w:rPr>
        <w:t xml:space="preserve">The grant funding </w:t>
      </w:r>
      <w:r w:rsidR="00A5489E">
        <w:rPr>
          <w:rFonts w:eastAsiaTheme="minorHAnsi" w:cstheme="minorBidi"/>
          <w:szCs w:val="22"/>
          <w:lang w:val="en-AU"/>
        </w:rPr>
        <w:t xml:space="preserve">available under the NIAS </w:t>
      </w:r>
      <w:r w:rsidRPr="00DB340F">
        <w:rPr>
          <w:rFonts w:eastAsiaTheme="minorHAnsi" w:cstheme="minorBidi"/>
          <w:szCs w:val="22"/>
          <w:lang w:val="en-AU"/>
        </w:rPr>
        <w:t xml:space="preserve">will be available through a non-application targeted process </w:t>
      </w:r>
      <w:r w:rsidR="00343D3A" w:rsidRPr="00DB340F">
        <w:rPr>
          <w:rFonts w:eastAsiaTheme="minorHAnsi" w:cstheme="minorBidi"/>
          <w:szCs w:val="22"/>
          <w:lang w:val="en-AU"/>
        </w:rPr>
        <w:t xml:space="preserve">and allocated to all </w:t>
      </w:r>
      <w:r w:rsidR="005017AE" w:rsidRPr="00DB340F">
        <w:rPr>
          <w:rFonts w:eastAsiaTheme="minorHAnsi" w:cstheme="minorBidi"/>
          <w:szCs w:val="22"/>
          <w:lang w:val="en-AU"/>
        </w:rPr>
        <w:t xml:space="preserve">PHN organisations </w:t>
      </w:r>
      <w:r w:rsidR="00343D3A" w:rsidRPr="00DB340F">
        <w:rPr>
          <w:rFonts w:eastAsiaTheme="minorHAnsi" w:cstheme="minorBidi"/>
          <w:szCs w:val="22"/>
          <w:lang w:val="en-AU"/>
        </w:rPr>
        <w:t>that were selected</w:t>
      </w:r>
      <w:r w:rsidR="005017AE" w:rsidRPr="00DB340F">
        <w:rPr>
          <w:rFonts w:eastAsiaTheme="minorHAnsi" w:cstheme="minorBidi"/>
          <w:szCs w:val="22"/>
          <w:lang w:val="en-AU"/>
        </w:rPr>
        <w:t xml:space="preserve"> fro</w:t>
      </w:r>
      <w:r w:rsidR="00343D3A" w:rsidRPr="00DB340F">
        <w:rPr>
          <w:rFonts w:eastAsiaTheme="minorHAnsi" w:cstheme="minorBidi"/>
          <w:szCs w:val="22"/>
          <w:lang w:val="en-AU"/>
        </w:rPr>
        <w:t>m the open competitive process that was used t</w:t>
      </w:r>
      <w:r w:rsidR="005017AE" w:rsidRPr="00DB340F">
        <w:rPr>
          <w:rFonts w:eastAsiaTheme="minorHAnsi" w:cstheme="minorBidi"/>
          <w:szCs w:val="22"/>
          <w:lang w:val="en-AU"/>
        </w:rPr>
        <w:t>o establish PHNs</w:t>
      </w:r>
      <w:r w:rsidRPr="00DB340F">
        <w:rPr>
          <w:rFonts w:eastAsiaTheme="minorHAnsi" w:cstheme="minorBidi"/>
          <w:szCs w:val="22"/>
          <w:lang w:val="en-AU"/>
        </w:rPr>
        <w:t xml:space="preserve">. </w:t>
      </w:r>
      <w:r w:rsidR="00A9715D">
        <w:rPr>
          <w:rFonts w:eastAsiaTheme="minorHAnsi" w:cstheme="minorBidi"/>
          <w:szCs w:val="22"/>
          <w:lang w:val="en-AU"/>
        </w:rPr>
        <w:t xml:space="preserve"> </w:t>
      </w:r>
      <w:r w:rsidR="00343D3A" w:rsidRPr="00DB340F">
        <w:rPr>
          <w:rFonts w:eastAsiaTheme="minorHAnsi" w:cstheme="minorBidi"/>
          <w:szCs w:val="22"/>
          <w:lang w:val="en-AU"/>
        </w:rPr>
        <w:t>PHNs</w:t>
      </w:r>
      <w:r w:rsidRPr="00DB340F">
        <w:rPr>
          <w:rFonts w:eastAsiaTheme="minorHAnsi" w:cstheme="minorBidi"/>
          <w:szCs w:val="22"/>
          <w:lang w:val="en-AU"/>
        </w:rPr>
        <w:t xml:space="preserve"> </w:t>
      </w:r>
      <w:r w:rsidR="000029D1" w:rsidRPr="00DB340F">
        <w:rPr>
          <w:rFonts w:eastAsiaTheme="minorHAnsi" w:cstheme="minorBidi"/>
          <w:szCs w:val="22"/>
          <w:lang w:val="en-AU"/>
        </w:rPr>
        <w:t xml:space="preserve">that </w:t>
      </w:r>
      <w:r w:rsidR="00CC7190" w:rsidRPr="00DB340F">
        <w:rPr>
          <w:rFonts w:eastAsiaTheme="minorHAnsi" w:cstheme="minorBidi"/>
          <w:szCs w:val="22"/>
          <w:lang w:val="en-AU"/>
        </w:rPr>
        <w:t xml:space="preserve">are determined to have </w:t>
      </w:r>
      <w:r w:rsidR="002E0309" w:rsidRPr="00DB340F">
        <w:rPr>
          <w:rFonts w:eastAsiaTheme="minorHAnsi" w:cstheme="minorBidi"/>
          <w:szCs w:val="22"/>
          <w:lang w:val="en-AU"/>
        </w:rPr>
        <w:t xml:space="preserve">adequate </w:t>
      </w:r>
      <w:r w:rsidR="00CC7190" w:rsidRPr="00DB340F">
        <w:rPr>
          <w:rFonts w:eastAsiaTheme="minorHAnsi" w:cstheme="minorBidi"/>
          <w:szCs w:val="22"/>
          <w:lang w:val="en-AU"/>
        </w:rPr>
        <w:t>c</w:t>
      </w:r>
      <w:r w:rsidR="000029D1" w:rsidRPr="00DB340F">
        <w:rPr>
          <w:rFonts w:eastAsiaTheme="minorHAnsi" w:cstheme="minorBidi"/>
          <w:szCs w:val="22"/>
          <w:lang w:val="en-AU"/>
        </w:rPr>
        <w:t>apability to reduce the harms associated with drugs and alcohol,</w:t>
      </w:r>
      <w:r w:rsidR="00CC7190" w:rsidRPr="00DB340F">
        <w:rPr>
          <w:rFonts w:eastAsiaTheme="minorHAnsi" w:cstheme="minorBidi"/>
          <w:szCs w:val="22"/>
          <w:lang w:val="en-AU"/>
        </w:rPr>
        <w:t xml:space="preserve"> including </w:t>
      </w:r>
      <w:r w:rsidR="000029D1" w:rsidRPr="00DB340F">
        <w:rPr>
          <w:rFonts w:eastAsiaTheme="minorHAnsi" w:cstheme="minorBidi"/>
          <w:szCs w:val="22"/>
          <w:lang w:val="en-AU"/>
        </w:rPr>
        <w:t>methamphetamine</w:t>
      </w:r>
      <w:r w:rsidR="00CC7190" w:rsidRPr="00DB340F">
        <w:rPr>
          <w:rFonts w:eastAsiaTheme="minorHAnsi" w:cstheme="minorBidi"/>
          <w:szCs w:val="22"/>
          <w:lang w:val="en-AU"/>
        </w:rPr>
        <w:t>,</w:t>
      </w:r>
      <w:r w:rsidR="000029D1" w:rsidRPr="00DB340F">
        <w:rPr>
          <w:rFonts w:eastAsiaTheme="minorHAnsi" w:cstheme="minorBidi"/>
          <w:szCs w:val="22"/>
          <w:lang w:val="en-AU"/>
        </w:rPr>
        <w:t xml:space="preserve"> </w:t>
      </w:r>
      <w:r w:rsidRPr="00DB340F">
        <w:rPr>
          <w:rFonts w:eastAsiaTheme="minorHAnsi" w:cstheme="minorBidi"/>
          <w:szCs w:val="22"/>
          <w:lang w:val="en-AU"/>
        </w:rPr>
        <w:t xml:space="preserve">will be approached by the Department </w:t>
      </w:r>
      <w:r w:rsidR="00CC6777" w:rsidRPr="00DB340F">
        <w:rPr>
          <w:rFonts w:eastAsiaTheme="minorHAnsi" w:cstheme="minorBidi"/>
          <w:szCs w:val="22"/>
          <w:lang w:val="en-AU"/>
        </w:rPr>
        <w:t xml:space="preserve">and </w:t>
      </w:r>
      <w:r w:rsidR="001D5F34" w:rsidRPr="00DB340F">
        <w:rPr>
          <w:rFonts w:eastAsiaTheme="minorHAnsi" w:cstheme="minorBidi"/>
          <w:szCs w:val="22"/>
          <w:lang w:val="en-AU"/>
        </w:rPr>
        <w:t xml:space="preserve">allocated funding </w:t>
      </w:r>
      <w:r w:rsidR="005017AE" w:rsidRPr="00DB340F">
        <w:rPr>
          <w:rFonts w:eastAsiaTheme="minorHAnsi" w:cstheme="minorBidi"/>
          <w:szCs w:val="22"/>
          <w:lang w:val="en-AU"/>
        </w:rPr>
        <w:t>under the</w:t>
      </w:r>
      <w:r w:rsidR="001D5F34" w:rsidRPr="00DB340F">
        <w:rPr>
          <w:rFonts w:eastAsiaTheme="minorHAnsi" w:cstheme="minorBidi"/>
          <w:szCs w:val="22"/>
          <w:lang w:val="en-AU"/>
        </w:rPr>
        <w:t xml:space="preserve"> current</w:t>
      </w:r>
      <w:r w:rsidR="005017AE" w:rsidRPr="00DB340F">
        <w:rPr>
          <w:rFonts w:eastAsiaTheme="minorHAnsi" w:cstheme="minorBidi"/>
          <w:szCs w:val="22"/>
          <w:lang w:val="en-AU"/>
        </w:rPr>
        <w:t xml:space="preserve"> </w:t>
      </w:r>
      <w:r w:rsidR="00CC6777" w:rsidRPr="00DB340F">
        <w:rPr>
          <w:rFonts w:eastAsiaTheme="minorHAnsi" w:cstheme="minorBidi"/>
          <w:szCs w:val="22"/>
          <w:lang w:val="en-AU"/>
        </w:rPr>
        <w:t>F</w:t>
      </w:r>
      <w:r w:rsidR="005017AE" w:rsidRPr="00DB340F">
        <w:rPr>
          <w:rFonts w:eastAsiaTheme="minorHAnsi" w:cstheme="minorBidi"/>
          <w:szCs w:val="22"/>
          <w:lang w:val="en-AU"/>
        </w:rPr>
        <w:t>unding Agreement commencing in</w:t>
      </w:r>
      <w:r w:rsidR="00CC6777" w:rsidRPr="00DB340F">
        <w:rPr>
          <w:rFonts w:eastAsiaTheme="minorHAnsi" w:cstheme="minorBidi"/>
          <w:szCs w:val="22"/>
          <w:lang w:val="en-AU"/>
        </w:rPr>
        <w:t xml:space="preserve"> 2016-17.</w:t>
      </w:r>
    </w:p>
    <w:p w14:paraId="61378EEA" w14:textId="77777777" w:rsidR="00A5489E" w:rsidRPr="00DB340F" w:rsidRDefault="00A5489E" w:rsidP="00786C02">
      <w:pPr>
        <w:spacing w:after="240" w:line="276" w:lineRule="auto"/>
        <w:rPr>
          <w:rFonts w:eastAsiaTheme="minorHAnsi" w:cstheme="minorBidi"/>
          <w:szCs w:val="22"/>
          <w:lang w:val="en-AU"/>
        </w:rPr>
      </w:pPr>
      <w:r>
        <w:rPr>
          <w:rFonts w:eastAsiaTheme="minorHAnsi" w:cstheme="minorBidi"/>
          <w:szCs w:val="22"/>
          <w:lang w:val="en-AU"/>
        </w:rPr>
        <w:t xml:space="preserve">Funding for existing treatment services </w:t>
      </w:r>
      <w:r w:rsidR="006B6CD8">
        <w:rPr>
          <w:rFonts w:eastAsiaTheme="minorHAnsi" w:cstheme="minorBidi"/>
          <w:szCs w:val="22"/>
          <w:lang w:val="en-AU"/>
        </w:rPr>
        <w:t xml:space="preserve">from 1 July 2017 </w:t>
      </w:r>
      <w:r>
        <w:rPr>
          <w:rFonts w:eastAsiaTheme="minorHAnsi" w:cstheme="minorBidi"/>
          <w:szCs w:val="22"/>
          <w:lang w:val="en-AU"/>
        </w:rPr>
        <w:t xml:space="preserve">will be based upon </w:t>
      </w:r>
      <w:r w:rsidR="006B6CD8">
        <w:rPr>
          <w:rFonts w:eastAsiaTheme="minorHAnsi" w:cstheme="minorBidi"/>
          <w:szCs w:val="22"/>
          <w:lang w:val="en-AU"/>
        </w:rPr>
        <w:t>activities funded by the Commonwealth prior to being transferred to PHNs</w:t>
      </w:r>
      <w:r w:rsidR="003A38A6">
        <w:rPr>
          <w:rFonts w:eastAsiaTheme="minorHAnsi" w:cstheme="minorBidi"/>
          <w:szCs w:val="22"/>
          <w:lang w:val="en-AU"/>
        </w:rPr>
        <w:t>.</w:t>
      </w:r>
    </w:p>
    <w:p w14:paraId="2B729527" w14:textId="77777777" w:rsidR="002A4478" w:rsidRPr="00057130" w:rsidRDefault="00545CC3" w:rsidP="00057130">
      <w:pPr>
        <w:pStyle w:val="Heading2"/>
      </w:pPr>
      <w:r w:rsidRPr="00057130">
        <w:t>Who is eligible for grant funding?</w:t>
      </w:r>
      <w:bookmarkEnd w:id="7"/>
    </w:p>
    <w:p w14:paraId="65D0D374" w14:textId="77777777" w:rsidR="002A4478" w:rsidRPr="002A4478" w:rsidRDefault="00545CC3" w:rsidP="002A4478">
      <w:pPr>
        <w:spacing w:after="240" w:line="276" w:lineRule="auto"/>
        <w:rPr>
          <w:rFonts w:eastAsiaTheme="minorHAnsi" w:cstheme="minorBidi"/>
          <w:szCs w:val="22"/>
          <w:lang w:val="en-AU"/>
        </w:rPr>
      </w:pPr>
      <w:r w:rsidRPr="002A4478">
        <w:rPr>
          <w:rFonts w:eastAsiaTheme="minorHAnsi" w:cstheme="minorBidi"/>
          <w:szCs w:val="22"/>
          <w:lang w:val="en-AU"/>
        </w:rPr>
        <w:t xml:space="preserve">The funding will be allocated to </w:t>
      </w:r>
      <w:r w:rsidR="00CC7190" w:rsidRPr="002A4478">
        <w:rPr>
          <w:rFonts w:eastAsiaTheme="minorHAnsi" w:cstheme="minorBidi"/>
          <w:szCs w:val="22"/>
          <w:lang w:val="en-AU"/>
        </w:rPr>
        <w:t xml:space="preserve">selected </w:t>
      </w:r>
      <w:r w:rsidRPr="002A4478">
        <w:rPr>
          <w:rFonts w:eastAsiaTheme="minorHAnsi" w:cstheme="minorBidi"/>
          <w:szCs w:val="22"/>
          <w:lang w:val="en-AU"/>
        </w:rPr>
        <w:t>PHN organisations</w:t>
      </w:r>
      <w:bookmarkStart w:id="8" w:name="_Toc418073418"/>
      <w:r w:rsidR="002A4478">
        <w:rPr>
          <w:rFonts w:eastAsiaTheme="minorHAnsi" w:cstheme="minorBidi"/>
          <w:szCs w:val="22"/>
          <w:lang w:val="en-AU"/>
        </w:rPr>
        <w:t>.</w:t>
      </w:r>
    </w:p>
    <w:p w14:paraId="174D04A0" w14:textId="77777777" w:rsidR="00545CC3" w:rsidRPr="00DB340F" w:rsidRDefault="00545CC3" w:rsidP="00057130">
      <w:pPr>
        <w:pStyle w:val="Heading2"/>
      </w:pPr>
      <w:r w:rsidRPr="00DB340F">
        <w:t xml:space="preserve">What </w:t>
      </w:r>
      <w:r w:rsidR="00686383" w:rsidRPr="00DB340F">
        <w:t>actions</w:t>
      </w:r>
      <w:r w:rsidRPr="00DB340F">
        <w:t xml:space="preserve"> are eligible for grant funding?</w:t>
      </w:r>
      <w:bookmarkEnd w:id="8"/>
    </w:p>
    <w:p w14:paraId="00B72ECB" w14:textId="55193614" w:rsidR="006673E3" w:rsidRDefault="00A5489E" w:rsidP="006673E3">
      <w:pPr>
        <w:spacing w:after="240" w:line="276" w:lineRule="auto"/>
        <w:rPr>
          <w:rFonts w:eastAsiaTheme="minorHAnsi" w:cstheme="minorBidi"/>
          <w:szCs w:val="22"/>
          <w:lang w:val="en-AU"/>
        </w:rPr>
      </w:pPr>
      <w:r>
        <w:rPr>
          <w:rFonts w:eastAsiaTheme="minorHAnsi" w:cstheme="minorBidi"/>
          <w:szCs w:val="22"/>
          <w:lang w:val="en-AU"/>
        </w:rPr>
        <w:t>NIAS</w:t>
      </w:r>
      <w:r w:rsidRPr="00DB340F">
        <w:rPr>
          <w:rFonts w:eastAsiaTheme="minorHAnsi" w:cstheme="minorBidi"/>
          <w:szCs w:val="22"/>
          <w:lang w:val="en-AU"/>
        </w:rPr>
        <w:t xml:space="preserve"> </w:t>
      </w:r>
      <w:r w:rsidR="006673E3" w:rsidRPr="00DB340F">
        <w:rPr>
          <w:rFonts w:eastAsiaTheme="minorHAnsi" w:cstheme="minorBidi"/>
          <w:szCs w:val="22"/>
          <w:lang w:val="en-AU"/>
        </w:rPr>
        <w:t xml:space="preserve">grant funding is not available for the direct provision of drug and alcohol treatment services by the PHN.  </w:t>
      </w:r>
      <w:r w:rsidR="00686383" w:rsidRPr="00DB340F">
        <w:rPr>
          <w:rFonts w:eastAsiaTheme="minorHAnsi" w:cstheme="minorBidi"/>
          <w:szCs w:val="22"/>
          <w:lang w:val="en-AU"/>
        </w:rPr>
        <w:t>F</w:t>
      </w:r>
      <w:r w:rsidR="00545CC3" w:rsidRPr="00DB340F">
        <w:rPr>
          <w:rFonts w:eastAsiaTheme="minorHAnsi" w:cstheme="minorBidi"/>
          <w:szCs w:val="22"/>
          <w:lang w:val="en-AU"/>
        </w:rPr>
        <w:t>unding</w:t>
      </w:r>
      <w:r w:rsidR="00A91F90" w:rsidRPr="00DB340F">
        <w:rPr>
          <w:rFonts w:eastAsiaTheme="minorHAnsi" w:cstheme="minorBidi"/>
          <w:szCs w:val="22"/>
          <w:lang w:val="en-AU"/>
        </w:rPr>
        <w:t xml:space="preserve"> for drug and alcohol treatment organisations</w:t>
      </w:r>
      <w:r w:rsidR="00545CC3" w:rsidRPr="00DB340F">
        <w:rPr>
          <w:rFonts w:eastAsiaTheme="minorHAnsi" w:cstheme="minorBidi"/>
          <w:szCs w:val="22"/>
          <w:lang w:val="en-AU"/>
        </w:rPr>
        <w:t xml:space="preserve"> should be consistent with the outcomes and objectives of the Activity.</w:t>
      </w:r>
      <w:r w:rsidR="006673E3" w:rsidRPr="00DB340F">
        <w:rPr>
          <w:rFonts w:eastAsiaTheme="minorHAnsi" w:cstheme="minorBidi"/>
          <w:szCs w:val="22"/>
          <w:lang w:val="en-AU"/>
        </w:rPr>
        <w:t xml:space="preserve">  </w:t>
      </w:r>
      <w:r w:rsidR="00B05CC8" w:rsidRPr="00DB340F">
        <w:rPr>
          <w:rFonts w:eastAsiaTheme="minorHAnsi" w:cstheme="minorBidi"/>
          <w:szCs w:val="22"/>
          <w:lang w:val="en-AU"/>
        </w:rPr>
        <w:t xml:space="preserve">The funding </w:t>
      </w:r>
      <w:r w:rsidR="00A91F90" w:rsidRPr="00DB340F">
        <w:rPr>
          <w:rFonts w:eastAsiaTheme="minorHAnsi" w:cstheme="minorBidi"/>
          <w:szCs w:val="22"/>
          <w:lang w:val="en-AU"/>
        </w:rPr>
        <w:lastRenderedPageBreak/>
        <w:t xml:space="preserve">under this Annexure </w:t>
      </w:r>
      <w:r w:rsidR="00B05CC8" w:rsidRPr="00DB340F">
        <w:rPr>
          <w:rFonts w:eastAsiaTheme="minorHAnsi" w:cstheme="minorBidi"/>
          <w:szCs w:val="22"/>
          <w:lang w:val="en-AU"/>
        </w:rPr>
        <w:t>can only be used for</w:t>
      </w:r>
      <w:r w:rsidR="00545CC3" w:rsidRPr="00DB340F">
        <w:rPr>
          <w:rFonts w:eastAsiaTheme="minorHAnsi" w:cstheme="minorBidi"/>
          <w:szCs w:val="22"/>
          <w:lang w:val="en-AU"/>
        </w:rPr>
        <w:t xml:space="preserve"> </w:t>
      </w:r>
      <w:r w:rsidR="00806584" w:rsidRPr="00DB340F">
        <w:rPr>
          <w:rFonts w:eastAsiaTheme="minorHAnsi" w:cstheme="minorBidi"/>
          <w:szCs w:val="22"/>
          <w:lang w:val="en-AU"/>
        </w:rPr>
        <w:t xml:space="preserve">the </w:t>
      </w:r>
      <w:r w:rsidR="00545CC3" w:rsidRPr="00DB340F">
        <w:rPr>
          <w:rFonts w:eastAsiaTheme="minorHAnsi" w:cstheme="minorBidi"/>
          <w:szCs w:val="22"/>
          <w:lang w:val="en-AU"/>
        </w:rPr>
        <w:t xml:space="preserve">following </w:t>
      </w:r>
      <w:r w:rsidR="00686383" w:rsidRPr="00DB340F">
        <w:rPr>
          <w:rFonts w:eastAsiaTheme="minorHAnsi" w:cstheme="minorBidi"/>
          <w:szCs w:val="22"/>
          <w:lang w:val="en-AU"/>
        </w:rPr>
        <w:t>actions</w:t>
      </w:r>
      <w:r w:rsidR="00545CC3" w:rsidRPr="00DB340F">
        <w:rPr>
          <w:rFonts w:eastAsiaTheme="minorHAnsi" w:cstheme="minorBidi"/>
          <w:szCs w:val="22"/>
          <w:lang w:val="en-AU"/>
        </w:rPr>
        <w:t xml:space="preserve"> </w:t>
      </w:r>
      <w:r w:rsidR="00686383" w:rsidRPr="00DB340F">
        <w:rPr>
          <w:rFonts w:eastAsiaTheme="minorHAnsi" w:cstheme="minorBidi"/>
          <w:szCs w:val="22"/>
          <w:lang w:val="en-AU"/>
        </w:rPr>
        <w:t>to support the Activity</w:t>
      </w:r>
      <w:r w:rsidR="002A4478">
        <w:rPr>
          <w:rFonts w:eastAsiaTheme="minorHAnsi" w:cstheme="minorBidi"/>
          <w:szCs w:val="22"/>
          <w:lang w:val="en-AU"/>
        </w:rPr>
        <w:t xml:space="preserve">. </w:t>
      </w:r>
      <w:r w:rsidR="00A9715D">
        <w:rPr>
          <w:rFonts w:eastAsiaTheme="minorHAnsi" w:cstheme="minorBidi"/>
          <w:szCs w:val="22"/>
          <w:lang w:val="en-AU"/>
        </w:rPr>
        <w:t xml:space="preserve"> </w:t>
      </w:r>
      <w:r w:rsidR="00D73AC6" w:rsidRPr="00DB340F">
        <w:rPr>
          <w:rFonts w:eastAsiaTheme="minorHAnsi" w:cstheme="minorBidi"/>
          <w:szCs w:val="22"/>
          <w:lang w:val="en-AU"/>
        </w:rPr>
        <w:t xml:space="preserve">The operational </w:t>
      </w:r>
      <w:r w:rsidR="00A91F90" w:rsidRPr="00DB340F">
        <w:rPr>
          <w:rFonts w:eastAsiaTheme="minorHAnsi" w:cstheme="minorBidi"/>
          <w:szCs w:val="22"/>
          <w:lang w:val="en-AU"/>
        </w:rPr>
        <w:t xml:space="preserve">guidance material </w:t>
      </w:r>
      <w:r w:rsidR="00D73AC6" w:rsidRPr="00DB340F">
        <w:rPr>
          <w:rFonts w:eastAsiaTheme="minorHAnsi" w:cstheme="minorBidi"/>
          <w:szCs w:val="22"/>
          <w:lang w:val="en-AU"/>
        </w:rPr>
        <w:t xml:space="preserve">will include further information on </w:t>
      </w:r>
      <w:r w:rsidR="007C16B5">
        <w:rPr>
          <w:rFonts w:eastAsiaTheme="minorHAnsi" w:cstheme="minorBidi"/>
          <w:szCs w:val="22"/>
          <w:lang w:val="en-AU"/>
        </w:rPr>
        <w:t xml:space="preserve">the </w:t>
      </w:r>
      <w:r w:rsidR="002F7743" w:rsidRPr="00DB340F">
        <w:rPr>
          <w:rFonts w:eastAsiaTheme="minorHAnsi" w:cstheme="minorBidi"/>
          <w:szCs w:val="22"/>
          <w:lang w:val="en-AU"/>
        </w:rPr>
        <w:t>A</w:t>
      </w:r>
      <w:r w:rsidR="002B0468" w:rsidRPr="00DB340F">
        <w:rPr>
          <w:rFonts w:eastAsiaTheme="minorHAnsi" w:cstheme="minorBidi"/>
          <w:szCs w:val="22"/>
          <w:lang w:val="en-AU"/>
        </w:rPr>
        <w:t xml:space="preserve">ctivity. </w:t>
      </w:r>
    </w:p>
    <w:p w14:paraId="0E8ACBDC" w14:textId="77777777" w:rsidR="00DD6E35" w:rsidRPr="00DB340F" w:rsidRDefault="007A3131" w:rsidP="006673E3">
      <w:pPr>
        <w:spacing w:after="240" w:line="276" w:lineRule="auto"/>
        <w:rPr>
          <w:rFonts w:eastAsiaTheme="minorHAnsi" w:cstheme="minorBidi"/>
          <w:szCs w:val="22"/>
          <w:lang w:val="en-AU"/>
        </w:rPr>
      </w:pPr>
      <w:r w:rsidRPr="00DB340F">
        <w:rPr>
          <w:rFonts w:eastAsiaTheme="minorHAnsi" w:cstheme="minorBidi"/>
          <w:szCs w:val="22"/>
          <w:lang w:val="en-AU"/>
        </w:rPr>
        <w:t>Targeting areas of need by c</w:t>
      </w:r>
      <w:r w:rsidR="00C02E7F" w:rsidRPr="00DB340F">
        <w:rPr>
          <w:rFonts w:eastAsiaTheme="minorHAnsi" w:cstheme="minorBidi"/>
          <w:szCs w:val="22"/>
          <w:lang w:val="en-AU"/>
        </w:rPr>
        <w:t>ommission</w:t>
      </w:r>
      <w:r w:rsidR="00007A53" w:rsidRPr="00DB340F">
        <w:rPr>
          <w:rFonts w:eastAsiaTheme="minorHAnsi" w:cstheme="minorBidi"/>
          <w:szCs w:val="22"/>
          <w:lang w:val="en-AU"/>
        </w:rPr>
        <w:t>ing</w:t>
      </w:r>
      <w:r w:rsidR="008D03F1" w:rsidRPr="00DB340F">
        <w:rPr>
          <w:rFonts w:eastAsiaTheme="minorHAnsi" w:cstheme="minorBidi"/>
          <w:szCs w:val="22"/>
          <w:lang w:val="en-AU"/>
        </w:rPr>
        <w:t xml:space="preserve"> evidence-based </w:t>
      </w:r>
      <w:r w:rsidR="004A4E39" w:rsidRPr="00DB340F">
        <w:rPr>
          <w:rFonts w:eastAsiaTheme="minorHAnsi" w:cstheme="minorBidi"/>
          <w:szCs w:val="22"/>
          <w:lang w:val="en-AU"/>
        </w:rPr>
        <w:t>drug and alcohol treatment</w:t>
      </w:r>
      <w:r w:rsidR="000A20FE" w:rsidRPr="00DB340F">
        <w:rPr>
          <w:rFonts w:eastAsiaTheme="minorHAnsi" w:cstheme="minorBidi"/>
          <w:szCs w:val="22"/>
          <w:lang w:val="en-AU"/>
        </w:rPr>
        <w:t xml:space="preserve"> and support, undertake</w:t>
      </w:r>
      <w:r w:rsidRPr="00DB340F">
        <w:rPr>
          <w:rFonts w:eastAsiaTheme="minorHAnsi" w:cstheme="minorBidi"/>
          <w:szCs w:val="22"/>
          <w:lang w:val="en-AU"/>
        </w:rPr>
        <w:t>n</w:t>
      </w:r>
      <w:r w:rsidR="000A20FE" w:rsidRPr="00DB340F">
        <w:rPr>
          <w:rFonts w:eastAsiaTheme="minorHAnsi" w:cstheme="minorBidi"/>
          <w:szCs w:val="22"/>
          <w:lang w:val="en-AU"/>
        </w:rPr>
        <w:t xml:space="preserve"> by both the drug and alcohol specialist treatment sector and primary health services</w:t>
      </w:r>
      <w:r w:rsidR="002A4478">
        <w:rPr>
          <w:rFonts w:eastAsiaTheme="minorHAnsi" w:cstheme="minorBidi"/>
          <w:szCs w:val="22"/>
          <w:lang w:val="en-AU"/>
        </w:rPr>
        <w:t xml:space="preserve"> </w:t>
      </w:r>
      <w:r w:rsidR="00A27012" w:rsidRPr="00DB340F">
        <w:rPr>
          <w:rFonts w:eastAsiaTheme="minorHAnsi" w:cstheme="minorBidi"/>
          <w:szCs w:val="22"/>
          <w:lang w:val="en-AU"/>
        </w:rPr>
        <w:t>that align with the</w:t>
      </w:r>
      <w:r w:rsidR="00B92B30" w:rsidRPr="00DB340F">
        <w:rPr>
          <w:rFonts w:eastAsiaTheme="minorHAnsi" w:cstheme="minorBidi"/>
          <w:szCs w:val="22"/>
          <w:lang w:val="en-AU"/>
        </w:rPr>
        <w:t xml:space="preserve"> following </w:t>
      </w:r>
      <w:r w:rsidR="00565931" w:rsidRPr="00DB340F">
        <w:rPr>
          <w:rFonts w:eastAsiaTheme="minorHAnsi" w:cstheme="minorBidi"/>
          <w:szCs w:val="22"/>
          <w:lang w:val="en-AU"/>
        </w:rPr>
        <w:t>service types</w:t>
      </w:r>
      <w:r w:rsidR="00B92B30" w:rsidRPr="00DB340F">
        <w:rPr>
          <w:rFonts w:eastAsiaTheme="minorHAnsi" w:cstheme="minorBidi"/>
          <w:szCs w:val="22"/>
          <w:lang w:val="en-AU"/>
        </w:rPr>
        <w:t>:</w:t>
      </w:r>
    </w:p>
    <w:p w14:paraId="7DBB6D8B" w14:textId="77777777" w:rsidR="002A4478" w:rsidRPr="00057130" w:rsidRDefault="00B92B30" w:rsidP="00057130">
      <w:pPr>
        <w:pStyle w:val="Points"/>
      </w:pPr>
      <w:r w:rsidRPr="00057130">
        <w:t>Early intervention</w:t>
      </w:r>
      <w:r w:rsidR="005B0993" w:rsidRPr="00057130">
        <w:t xml:space="preserve"> targeting </w:t>
      </w:r>
      <w:r w:rsidR="00D0550A" w:rsidRPr="00057130">
        <w:t>less problematic drug use</w:t>
      </w:r>
      <w:r w:rsidR="00B8277F" w:rsidRPr="00057130">
        <w:t xml:space="preserve">, including </w:t>
      </w:r>
      <w:r w:rsidR="00023952" w:rsidRPr="00057130">
        <w:t>brief intervention</w:t>
      </w:r>
      <w:r w:rsidR="00E57C17" w:rsidRPr="00057130">
        <w:t>;</w:t>
      </w:r>
      <w:r w:rsidR="00B8277F" w:rsidRPr="00057130">
        <w:t xml:space="preserve"> </w:t>
      </w:r>
    </w:p>
    <w:p w14:paraId="1A6662CD" w14:textId="77777777" w:rsidR="00B92B30" w:rsidRPr="00057130" w:rsidRDefault="00B92B30" w:rsidP="00057130">
      <w:pPr>
        <w:pStyle w:val="Points"/>
      </w:pPr>
      <w:r w:rsidRPr="00057130">
        <w:t>Counselling</w:t>
      </w:r>
      <w:r w:rsidR="000D1D2D" w:rsidRPr="00057130">
        <w:t>;</w:t>
      </w:r>
    </w:p>
    <w:p w14:paraId="64E9008D" w14:textId="77777777" w:rsidR="001135F0" w:rsidRPr="00057130" w:rsidRDefault="001135F0" w:rsidP="00057130">
      <w:pPr>
        <w:pStyle w:val="Points"/>
      </w:pPr>
      <w:r w:rsidRPr="00057130">
        <w:t xml:space="preserve">Withdrawal </w:t>
      </w:r>
      <w:r w:rsidR="00023952" w:rsidRPr="00057130">
        <w:t xml:space="preserve">management </w:t>
      </w:r>
      <w:r w:rsidRPr="00057130">
        <w:t xml:space="preserve">with </w:t>
      </w:r>
      <w:r w:rsidR="003C5BE6" w:rsidRPr="00057130">
        <w:t>pathways</w:t>
      </w:r>
      <w:r w:rsidRPr="00057130">
        <w:t xml:space="preserve"> to post</w:t>
      </w:r>
      <w:r w:rsidR="00023952" w:rsidRPr="00057130">
        <w:t>-</w:t>
      </w:r>
      <w:r w:rsidRPr="00057130">
        <w:t>acute</w:t>
      </w:r>
      <w:r w:rsidR="00023952" w:rsidRPr="00057130">
        <w:t xml:space="preserve"> </w:t>
      </w:r>
      <w:r w:rsidRPr="00057130">
        <w:t>withdrawal support and relapse prevention</w:t>
      </w:r>
      <w:r w:rsidR="00DA72DC" w:rsidRPr="00057130">
        <w:t>;</w:t>
      </w:r>
    </w:p>
    <w:p w14:paraId="59C71642" w14:textId="77777777" w:rsidR="00B92B30" w:rsidRPr="00057130" w:rsidRDefault="00B92B30" w:rsidP="00057130">
      <w:pPr>
        <w:pStyle w:val="Points"/>
      </w:pPr>
      <w:r w:rsidRPr="00057130">
        <w:t xml:space="preserve">Residential </w:t>
      </w:r>
      <w:r w:rsidR="00023952" w:rsidRPr="00057130">
        <w:t xml:space="preserve">rehabilitation </w:t>
      </w:r>
      <w:r w:rsidR="001135F0" w:rsidRPr="00057130">
        <w:t xml:space="preserve">with </w:t>
      </w:r>
      <w:r w:rsidR="003C5BE6" w:rsidRPr="00057130">
        <w:t>pathways</w:t>
      </w:r>
      <w:r w:rsidR="001135F0" w:rsidRPr="00057130">
        <w:t xml:space="preserve"> to post rehabilitation support and relapse prevention</w:t>
      </w:r>
      <w:r w:rsidR="000D1D2D" w:rsidRPr="00057130">
        <w:t>;</w:t>
      </w:r>
    </w:p>
    <w:p w14:paraId="45ADD78A" w14:textId="77777777" w:rsidR="00B92B30" w:rsidRPr="00057130" w:rsidRDefault="00B92B30" w:rsidP="00057130">
      <w:pPr>
        <w:pStyle w:val="Points"/>
      </w:pPr>
      <w:r w:rsidRPr="00057130">
        <w:t xml:space="preserve">Day </w:t>
      </w:r>
      <w:r w:rsidR="00023952" w:rsidRPr="00057130">
        <w:t xml:space="preserve">stay </w:t>
      </w:r>
      <w:r w:rsidRPr="00057130">
        <w:t>rehabilitation and other intensive non-residential programmes</w:t>
      </w:r>
      <w:r w:rsidR="000D1D2D" w:rsidRPr="00057130">
        <w:t>;</w:t>
      </w:r>
    </w:p>
    <w:p w14:paraId="3932A2BF" w14:textId="77777777" w:rsidR="00B92B30" w:rsidRPr="00057130" w:rsidRDefault="00B92B30" w:rsidP="00057130">
      <w:pPr>
        <w:pStyle w:val="Points"/>
      </w:pPr>
      <w:r w:rsidRPr="00057130">
        <w:t>Post rehabilitation support and relapse prevention</w:t>
      </w:r>
      <w:r w:rsidR="000D1D2D" w:rsidRPr="00057130">
        <w:t>;</w:t>
      </w:r>
    </w:p>
    <w:p w14:paraId="669A5C84" w14:textId="77777777" w:rsidR="00A5489E" w:rsidRPr="00057130" w:rsidRDefault="005B1DF9" w:rsidP="00057130">
      <w:pPr>
        <w:pStyle w:val="Points"/>
      </w:pPr>
      <w:r w:rsidRPr="00057130">
        <w:t>Case management,</w:t>
      </w:r>
      <w:r w:rsidR="00B92B30" w:rsidRPr="00057130">
        <w:t xml:space="preserve"> care </w:t>
      </w:r>
      <w:r w:rsidRPr="00057130">
        <w:t xml:space="preserve">planning and </w:t>
      </w:r>
      <w:r w:rsidR="00B92B30" w:rsidRPr="00057130">
        <w:t>coordination</w:t>
      </w:r>
      <w:r w:rsidR="000D1D2D" w:rsidRPr="00057130">
        <w:t xml:space="preserve">; </w:t>
      </w:r>
    </w:p>
    <w:p w14:paraId="4ADC19B5" w14:textId="77777777" w:rsidR="00B92B30" w:rsidRPr="00057130" w:rsidRDefault="00A5489E" w:rsidP="00057130">
      <w:pPr>
        <w:pStyle w:val="Points"/>
      </w:pPr>
      <w:r w:rsidRPr="00057130">
        <w:t xml:space="preserve">Information and education and other evidence based treatments with Departmental approval; </w:t>
      </w:r>
      <w:r w:rsidR="000D1D2D" w:rsidRPr="00057130">
        <w:t>and</w:t>
      </w:r>
    </w:p>
    <w:p w14:paraId="78D301DA" w14:textId="77777777" w:rsidR="00B92B30" w:rsidRPr="00057130" w:rsidRDefault="007A3131" w:rsidP="00057130">
      <w:pPr>
        <w:pStyle w:val="Points"/>
      </w:pPr>
      <w:r w:rsidRPr="00057130">
        <w:t>Supporting the workforce undertaking these service types through</w:t>
      </w:r>
      <w:r w:rsidR="009D6B76" w:rsidRPr="00057130">
        <w:t xml:space="preserve"> activities that </w:t>
      </w:r>
      <w:r w:rsidR="005B0993" w:rsidRPr="00057130">
        <w:t xml:space="preserve">promote joined up assessment processes and referral pathways and </w:t>
      </w:r>
      <w:r w:rsidR="009D6B76" w:rsidRPr="00057130">
        <w:t>support continuous quality improvement, evidence</w:t>
      </w:r>
      <w:r w:rsidR="00023952" w:rsidRPr="00057130">
        <w:t>-</w:t>
      </w:r>
      <w:r w:rsidR="009D6B76" w:rsidRPr="00057130">
        <w:t>based treatment and service integration</w:t>
      </w:r>
      <w:r w:rsidR="00B8277F" w:rsidRPr="00057130">
        <w:t>/coordination</w:t>
      </w:r>
      <w:r w:rsidR="009D6B76" w:rsidRPr="00057130">
        <w:t>.</w:t>
      </w:r>
    </w:p>
    <w:p w14:paraId="51FB04E0" w14:textId="77777777" w:rsidR="00343D3A" w:rsidRPr="00DB340F" w:rsidRDefault="00343D3A" w:rsidP="00B343E4">
      <w:pPr>
        <w:spacing w:after="240" w:line="276" w:lineRule="auto"/>
        <w:rPr>
          <w:rFonts w:eastAsiaTheme="minorHAnsi" w:cstheme="minorBidi"/>
          <w:szCs w:val="22"/>
          <w:lang w:val="en-AU"/>
        </w:rPr>
      </w:pPr>
      <w:r w:rsidRPr="00DB340F">
        <w:rPr>
          <w:rFonts w:eastAsiaTheme="minorHAnsi" w:cstheme="minorBidi"/>
          <w:szCs w:val="22"/>
          <w:lang w:val="en-AU"/>
        </w:rPr>
        <w:t xml:space="preserve">To support these commissioning actions, PHNs will </w:t>
      </w:r>
      <w:r w:rsidR="00C02E7F" w:rsidRPr="00DB340F">
        <w:rPr>
          <w:rFonts w:eastAsiaTheme="minorHAnsi" w:cstheme="minorBidi"/>
          <w:szCs w:val="22"/>
          <w:lang w:val="en-AU"/>
        </w:rPr>
        <w:t xml:space="preserve">also </w:t>
      </w:r>
      <w:r w:rsidRPr="00DB340F">
        <w:rPr>
          <w:rFonts w:eastAsiaTheme="minorHAnsi" w:cstheme="minorBidi"/>
          <w:szCs w:val="22"/>
          <w:lang w:val="en-AU"/>
        </w:rPr>
        <w:t>be expected to undertake the following</w:t>
      </w:r>
      <w:r w:rsidR="00C02E7F" w:rsidRPr="00DB340F">
        <w:rPr>
          <w:rFonts w:eastAsiaTheme="minorHAnsi" w:cstheme="minorBidi"/>
          <w:szCs w:val="22"/>
          <w:lang w:val="en-AU"/>
        </w:rPr>
        <w:t xml:space="preserve"> actions</w:t>
      </w:r>
      <w:r w:rsidRPr="00DB340F">
        <w:rPr>
          <w:rFonts w:eastAsiaTheme="minorHAnsi" w:cstheme="minorBidi"/>
          <w:szCs w:val="22"/>
          <w:lang w:val="en-AU"/>
        </w:rPr>
        <w:t>:</w:t>
      </w:r>
    </w:p>
    <w:p w14:paraId="25F6E8CF" w14:textId="77777777" w:rsidR="00343D3A" w:rsidRPr="00DB340F" w:rsidRDefault="00343D3A" w:rsidP="00057130">
      <w:pPr>
        <w:pStyle w:val="Points"/>
      </w:pPr>
      <w:r w:rsidRPr="00DB340F">
        <w:t xml:space="preserve">Develop evidence-based regional </w:t>
      </w:r>
      <w:r w:rsidR="003F4E51" w:rsidRPr="00DB340F">
        <w:t>drug and alcohol</w:t>
      </w:r>
      <w:r w:rsidR="00B8277F" w:rsidRPr="00DB340F">
        <w:t xml:space="preserve"> treatment</w:t>
      </w:r>
      <w:r w:rsidRPr="00DB340F">
        <w:t xml:space="preserve"> plans</w:t>
      </w:r>
      <w:r w:rsidR="00CC7190" w:rsidRPr="00DB340F">
        <w:t xml:space="preserve">, </w:t>
      </w:r>
      <w:r w:rsidRPr="00DB340F">
        <w:t>based on needs assessment</w:t>
      </w:r>
      <w:r w:rsidR="00A9715D">
        <w:t>s</w:t>
      </w:r>
      <w:r w:rsidR="007A3131" w:rsidRPr="00DB340F">
        <w:t xml:space="preserve"> (in consultation with relevant stakeholders)</w:t>
      </w:r>
      <w:r w:rsidRPr="00DB340F">
        <w:t xml:space="preserve"> and service mapping designed to identify gaps and opportunities for optimal use of services to reduce duplication and promote efficiencies;</w:t>
      </w:r>
    </w:p>
    <w:p w14:paraId="0C4E021A" w14:textId="77777777" w:rsidR="00343D3A" w:rsidRPr="00DB340F" w:rsidRDefault="00343D3A" w:rsidP="00057130">
      <w:pPr>
        <w:pStyle w:val="Points"/>
      </w:pPr>
      <w:r w:rsidRPr="00DB340F">
        <w:t>Establish and maintain partnerships and integration</w:t>
      </w:r>
      <w:r w:rsidR="00B8277F" w:rsidRPr="00DB340F">
        <w:t>/coordination</w:t>
      </w:r>
      <w:r w:rsidRPr="00DB340F">
        <w:t xml:space="preserve"> with regional stakeholders, including L</w:t>
      </w:r>
      <w:r w:rsidR="0097068A" w:rsidRPr="00DB340F">
        <w:t>HNs</w:t>
      </w:r>
      <w:r w:rsidRPr="00DB340F">
        <w:t>,</w:t>
      </w:r>
      <w:r w:rsidR="003F4E51" w:rsidRPr="00DB340F">
        <w:t xml:space="preserve"> state and territory</w:t>
      </w:r>
      <w:r w:rsidR="007A7EA7" w:rsidRPr="00DB340F">
        <w:t xml:space="preserve"> health services</w:t>
      </w:r>
      <w:r w:rsidR="003F4E51" w:rsidRPr="00DB340F">
        <w:t>,</w:t>
      </w:r>
      <w:r w:rsidRPr="00DB340F">
        <w:t xml:space="preserve"> </w:t>
      </w:r>
      <w:r w:rsidR="003266C4" w:rsidRPr="00DB340F">
        <w:t>non-government organisations</w:t>
      </w:r>
      <w:r w:rsidRPr="00DB340F">
        <w:t>,  alcohol and other drug services</w:t>
      </w:r>
      <w:r w:rsidR="003F4E51" w:rsidRPr="00DB340F">
        <w:t xml:space="preserve"> and peak bodies</w:t>
      </w:r>
      <w:r w:rsidRPr="00DB340F">
        <w:t>,</w:t>
      </w:r>
      <w:r w:rsidR="003F4E51" w:rsidRPr="00DB340F">
        <w:t xml:space="preserve"> mental health services,</w:t>
      </w:r>
      <w:r w:rsidRPr="00DB340F">
        <w:t xml:space="preserve"> Indigenous organisations, general practices and other regional stakeholders;</w:t>
      </w:r>
    </w:p>
    <w:p w14:paraId="27B35C10" w14:textId="77777777" w:rsidR="00343D3A" w:rsidRPr="00DB340F" w:rsidRDefault="00343D3A" w:rsidP="00057130">
      <w:pPr>
        <w:pStyle w:val="Points"/>
      </w:pPr>
      <w:r w:rsidRPr="00DB340F">
        <w:t xml:space="preserve">Develop and implement clinical governance </w:t>
      </w:r>
      <w:r w:rsidR="00E07C56" w:rsidRPr="00DB340F">
        <w:t xml:space="preserve">and quality assurance </w:t>
      </w:r>
      <w:r w:rsidRPr="00DB340F">
        <w:t xml:space="preserve">arrangements to guide the </w:t>
      </w:r>
      <w:r w:rsidR="00CD5C3B" w:rsidRPr="00DB340F">
        <w:t>drug and alcohol</w:t>
      </w:r>
      <w:r w:rsidRPr="00DB340F">
        <w:t xml:space="preserve"> activity undertaken by the PHN, in line with </w:t>
      </w:r>
      <w:r w:rsidR="001D5F34" w:rsidRPr="00DB340F">
        <w:t xml:space="preserve">section </w:t>
      </w:r>
      <w:r w:rsidRPr="00DB340F">
        <w:t xml:space="preserve">1.3 of the </w:t>
      </w:r>
      <w:r w:rsidRPr="00DB340F">
        <w:rPr>
          <w:i/>
        </w:rPr>
        <w:t>Primary</w:t>
      </w:r>
      <w:r w:rsidRPr="00DB340F">
        <w:t xml:space="preserve"> </w:t>
      </w:r>
      <w:r w:rsidRPr="00DB340F">
        <w:rPr>
          <w:i/>
        </w:rPr>
        <w:t>Health Networks Grant Programme Guidelines</w:t>
      </w:r>
      <w:r w:rsidR="007A3131" w:rsidRPr="00DB340F">
        <w:rPr>
          <w:i/>
        </w:rPr>
        <w:t xml:space="preserve"> and the </w:t>
      </w:r>
      <w:r w:rsidR="006674EA" w:rsidRPr="00DB340F">
        <w:rPr>
          <w:i/>
        </w:rPr>
        <w:t>operational guid</w:t>
      </w:r>
      <w:r w:rsidR="00DF62C9">
        <w:rPr>
          <w:i/>
        </w:rPr>
        <w:t>ance</w:t>
      </w:r>
      <w:r w:rsidRPr="00DB340F">
        <w:t>;</w:t>
      </w:r>
    </w:p>
    <w:p w14:paraId="26DFA9A1" w14:textId="77777777" w:rsidR="00E617E5" w:rsidRPr="00DB340F" w:rsidRDefault="00E617E5" w:rsidP="00057130">
      <w:pPr>
        <w:pStyle w:val="Points"/>
      </w:pPr>
      <w:r w:rsidRPr="00DB340F">
        <w:lastRenderedPageBreak/>
        <w:t>Encourage and support the provision of early intervention and brief intervention, including assessment, development of care plans and referral into drug and alcohol treatment services;</w:t>
      </w:r>
    </w:p>
    <w:p w14:paraId="6D7B5AD4" w14:textId="77777777" w:rsidR="00343D3A" w:rsidRPr="00DB340F" w:rsidRDefault="00343D3A" w:rsidP="00057130">
      <w:pPr>
        <w:pStyle w:val="Points"/>
      </w:pPr>
      <w:r w:rsidRPr="00DB340F">
        <w:t xml:space="preserve">Ensure appropriate data collection and reporting systems are in place for all </w:t>
      </w:r>
      <w:r w:rsidR="00C02E7F" w:rsidRPr="00DB340F">
        <w:t>commissioned services</w:t>
      </w:r>
      <w:r w:rsidRPr="00DB340F">
        <w:t xml:space="preserve"> to inform </w:t>
      </w:r>
      <w:r w:rsidR="00C02E7F" w:rsidRPr="00DB340F">
        <w:t>service planning</w:t>
      </w:r>
      <w:r w:rsidRPr="00DB340F">
        <w:t xml:space="preserve"> and </w:t>
      </w:r>
      <w:r w:rsidR="007A3131" w:rsidRPr="00DB340F">
        <w:t xml:space="preserve">contribute to </w:t>
      </w:r>
      <w:r w:rsidRPr="00DB340F">
        <w:t>ongoing monitoring and evaluation at the regional and national level</w:t>
      </w:r>
      <w:r w:rsidR="00C3468B" w:rsidRPr="00DB340F">
        <w:t>, utilising existing infrastructure where possible and appropriate</w:t>
      </w:r>
      <w:r w:rsidRPr="00DB340F">
        <w:t>;</w:t>
      </w:r>
    </w:p>
    <w:p w14:paraId="305872F3" w14:textId="77777777" w:rsidR="00343D3A" w:rsidRPr="00DB340F" w:rsidRDefault="00343D3A" w:rsidP="00057130">
      <w:pPr>
        <w:pStyle w:val="Points"/>
      </w:pPr>
      <w:r w:rsidRPr="00DB340F">
        <w:t>Develop and implement systems to support sharing of c</w:t>
      </w:r>
      <w:r w:rsidR="00DF62C9">
        <w:t>onsumer history and information</w:t>
      </w:r>
      <w:r w:rsidR="007A3131" w:rsidRPr="00DB340F">
        <w:t xml:space="preserve"> as appropriate </w:t>
      </w:r>
      <w:r w:rsidRPr="00DB340F">
        <w:t>between service providers and consumers, building on the f</w:t>
      </w:r>
      <w:r w:rsidR="00DF62C9">
        <w:t>oundation provided by M</w:t>
      </w:r>
      <w:r w:rsidRPr="00DB340F">
        <w:t>y</w:t>
      </w:r>
      <w:r w:rsidR="00DF62C9">
        <w:t xml:space="preserve"> </w:t>
      </w:r>
      <w:r w:rsidRPr="00DB340F">
        <w:t>Health Record</w:t>
      </w:r>
      <w:r w:rsidR="007A3131" w:rsidRPr="00DB340F">
        <w:t xml:space="preserve"> and according to privacy provisions</w:t>
      </w:r>
      <w:r w:rsidRPr="00DB340F">
        <w:t xml:space="preserve">; </w:t>
      </w:r>
    </w:p>
    <w:p w14:paraId="4C3E9889" w14:textId="77777777" w:rsidR="00343D3A" w:rsidRPr="00DB340F" w:rsidRDefault="00343D3A" w:rsidP="00057130">
      <w:pPr>
        <w:pStyle w:val="Points"/>
      </w:pPr>
      <w:r w:rsidRPr="00DB340F">
        <w:t>Facilitat</w:t>
      </w:r>
      <w:r w:rsidR="00A66260" w:rsidRPr="00DB340F">
        <w:t>e</w:t>
      </w:r>
      <w:r w:rsidRPr="00DB340F">
        <w:t xml:space="preserve"> ongoing sharing of information across the PHN network and with the Department, including on innovative approaches</w:t>
      </w:r>
      <w:r w:rsidR="00B36744" w:rsidRPr="00DB340F">
        <w:t>;</w:t>
      </w:r>
      <w:r w:rsidR="00C0782D" w:rsidRPr="00DB340F">
        <w:t xml:space="preserve"> and</w:t>
      </w:r>
    </w:p>
    <w:p w14:paraId="186EABD2" w14:textId="77777777" w:rsidR="004256CF" w:rsidRDefault="00B36744" w:rsidP="00057130">
      <w:pPr>
        <w:pStyle w:val="Points"/>
      </w:pPr>
      <w:r w:rsidRPr="00DB340F">
        <w:t>Establish and maintain appropriat</w:t>
      </w:r>
      <w:r w:rsidR="00670797" w:rsidRPr="00DB340F">
        <w:t xml:space="preserve">e </w:t>
      </w:r>
      <w:r w:rsidR="005A5C8F" w:rsidRPr="00DB340F">
        <w:t xml:space="preserve">consumer feedback procedures, including </w:t>
      </w:r>
      <w:r w:rsidR="00670797" w:rsidRPr="00DB340F">
        <w:t>complaint</w:t>
      </w:r>
      <w:r w:rsidR="007A3131" w:rsidRPr="00DB340F">
        <w:t xml:space="preserve"> </w:t>
      </w:r>
      <w:r w:rsidR="00670797" w:rsidRPr="00DB340F">
        <w:t>handling procedures</w:t>
      </w:r>
      <w:r w:rsidR="005A5C8F" w:rsidRPr="00DB340F">
        <w:t>, in relation to</w:t>
      </w:r>
      <w:r w:rsidR="00670797" w:rsidRPr="00DB340F">
        <w:t xml:space="preserve"> services </w:t>
      </w:r>
      <w:r w:rsidR="00C0782D" w:rsidRPr="00DB340F">
        <w:t>commissioned under the Activity.</w:t>
      </w:r>
    </w:p>
    <w:p w14:paraId="68C247EA" w14:textId="77777777" w:rsidR="00CB1BC9" w:rsidRPr="00DB340F" w:rsidRDefault="00CB1BC9" w:rsidP="00057130">
      <w:pPr>
        <w:pStyle w:val="Heading2"/>
      </w:pPr>
      <w:r w:rsidRPr="00DB340F">
        <w:t>Principles</w:t>
      </w:r>
      <w:r w:rsidR="00343D3A" w:rsidRPr="00DB340F">
        <w:t xml:space="preserve"> for purchasing/commissioning </w:t>
      </w:r>
      <w:r w:rsidR="00B95C18" w:rsidRPr="00DB340F">
        <w:t>drug and alcohol</w:t>
      </w:r>
      <w:r w:rsidR="00343D3A" w:rsidRPr="00DB340F">
        <w:t xml:space="preserve"> services</w:t>
      </w:r>
    </w:p>
    <w:p w14:paraId="004DD7CB" w14:textId="77777777" w:rsidR="00CB1BC9" w:rsidRPr="00DB340F" w:rsidRDefault="00CB1BC9" w:rsidP="004C690E">
      <w:pPr>
        <w:spacing w:after="240" w:line="276" w:lineRule="auto"/>
        <w:rPr>
          <w:rFonts w:eastAsiaTheme="minorHAnsi" w:cstheme="minorBidi"/>
          <w:szCs w:val="22"/>
          <w:lang w:val="en-AU"/>
        </w:rPr>
      </w:pPr>
      <w:r w:rsidRPr="00DB340F">
        <w:rPr>
          <w:rFonts w:eastAsiaTheme="minorHAnsi" w:cstheme="minorBidi"/>
          <w:szCs w:val="22"/>
          <w:lang w:val="en-AU"/>
        </w:rPr>
        <w:t xml:space="preserve">The </w:t>
      </w:r>
      <w:r w:rsidR="00343D3A" w:rsidRPr="00DB340F">
        <w:rPr>
          <w:rFonts w:eastAsiaTheme="minorHAnsi" w:cstheme="minorBidi"/>
          <w:szCs w:val="22"/>
          <w:lang w:val="en-AU"/>
        </w:rPr>
        <w:t>actions</w:t>
      </w:r>
      <w:r w:rsidRPr="00DB340F">
        <w:rPr>
          <w:rFonts w:eastAsiaTheme="minorHAnsi" w:cstheme="minorBidi"/>
          <w:szCs w:val="22"/>
          <w:lang w:val="en-AU"/>
        </w:rPr>
        <w:t xml:space="preserve"> </w:t>
      </w:r>
      <w:r w:rsidR="00AC249F" w:rsidRPr="00DB340F">
        <w:rPr>
          <w:rFonts w:eastAsiaTheme="minorHAnsi" w:cstheme="minorBidi"/>
          <w:szCs w:val="22"/>
          <w:lang w:val="en-AU"/>
        </w:rPr>
        <w:t xml:space="preserve">identified at Item </w:t>
      </w:r>
      <w:r w:rsidR="00465A82" w:rsidRPr="00DB340F">
        <w:rPr>
          <w:rFonts w:eastAsiaTheme="minorHAnsi" w:cstheme="minorBidi"/>
          <w:szCs w:val="22"/>
          <w:lang w:val="en-AU"/>
        </w:rPr>
        <w:t>6</w:t>
      </w:r>
      <w:r w:rsidR="00AC249F" w:rsidRPr="00DB340F">
        <w:rPr>
          <w:rFonts w:eastAsiaTheme="minorHAnsi" w:cstheme="minorBidi"/>
          <w:szCs w:val="22"/>
          <w:lang w:val="en-AU"/>
        </w:rPr>
        <w:t xml:space="preserve"> </w:t>
      </w:r>
      <w:r w:rsidRPr="00DB340F">
        <w:rPr>
          <w:rFonts w:eastAsiaTheme="minorHAnsi" w:cstheme="minorBidi"/>
          <w:szCs w:val="22"/>
          <w:lang w:val="en-AU"/>
        </w:rPr>
        <w:t>will be undertaken in accordance with the following overarching principles:</w:t>
      </w:r>
    </w:p>
    <w:p w14:paraId="7E99E9B9" w14:textId="1D3877BF" w:rsidR="00F80DB8" w:rsidRPr="00057130" w:rsidRDefault="00A47DFC" w:rsidP="00057130">
      <w:pPr>
        <w:pStyle w:val="ListParagraph"/>
        <w:numPr>
          <w:ilvl w:val="0"/>
          <w:numId w:val="9"/>
        </w:numPr>
      </w:pPr>
      <w:r w:rsidRPr="00DB340F">
        <w:t>S</w:t>
      </w:r>
      <w:r w:rsidR="00DD6E35" w:rsidRPr="00DB340F">
        <w:t xml:space="preserve">ervice </w:t>
      </w:r>
      <w:r w:rsidR="00712031" w:rsidRPr="00DB340F">
        <w:t xml:space="preserve">planning and </w:t>
      </w:r>
      <w:r w:rsidR="00DD6E35" w:rsidRPr="00DB340F">
        <w:t>commissioning</w:t>
      </w:r>
      <w:r w:rsidR="00CB1BC9" w:rsidRPr="00DB340F">
        <w:t xml:space="preserve"> </w:t>
      </w:r>
      <w:r w:rsidR="00B72423" w:rsidRPr="00DB340F">
        <w:t>needs to be ev</w:t>
      </w:r>
      <w:r w:rsidR="00DD6E35" w:rsidRPr="00DB340F">
        <w:t>idence</w:t>
      </w:r>
      <w:r w:rsidR="00023952">
        <w:t>-</w:t>
      </w:r>
      <w:r w:rsidR="00DD6E35" w:rsidRPr="00DB340F">
        <w:t>based</w:t>
      </w:r>
      <w:r w:rsidR="006674EA" w:rsidRPr="00DB340F">
        <w:t xml:space="preserve"> and in accordance with the operational guide</w:t>
      </w:r>
      <w:r w:rsidR="00DD6E35" w:rsidRPr="00DB340F">
        <w:t xml:space="preserve"> and in line with an integrated, person-centred, </w:t>
      </w:r>
      <w:r w:rsidR="00B72423" w:rsidRPr="00DB340F">
        <w:t>stepped care approach</w:t>
      </w:r>
      <w:r w:rsidR="00DD6E35" w:rsidRPr="00DB340F">
        <w:t>, with optimal use of available resources, including workforce and infrastructure</w:t>
      </w:r>
      <w:r w:rsidR="00C0782D" w:rsidRPr="00DB340F">
        <w:t>;</w:t>
      </w:r>
    </w:p>
    <w:p w14:paraId="60551541" w14:textId="7C51728F" w:rsidR="00046FDE" w:rsidRPr="00057130" w:rsidRDefault="00F80DB8" w:rsidP="00057130">
      <w:pPr>
        <w:pStyle w:val="ListParagraph"/>
        <w:numPr>
          <w:ilvl w:val="0"/>
          <w:numId w:val="9"/>
        </w:numPr>
      </w:pPr>
      <w:r w:rsidRPr="00DB340F">
        <w:t>Service commissioning needs to be responsive to changing drug trends</w:t>
      </w:r>
      <w:r w:rsidR="006674EA" w:rsidRPr="00DB340F">
        <w:t xml:space="preserve"> and community need</w:t>
      </w:r>
      <w:r w:rsidRPr="00DB340F">
        <w:t xml:space="preserve"> and be able to effectively provide evidence-based treatment for all drug types. The most</w:t>
      </w:r>
      <w:r w:rsidR="005B1DF9" w:rsidRPr="00DB340F">
        <w:t xml:space="preserve"> resource</w:t>
      </w:r>
      <w:r w:rsidRPr="00DB340F">
        <w:t xml:space="preserve"> intensive services should be reserved</w:t>
      </w:r>
      <w:r w:rsidR="00046FDE" w:rsidRPr="00DB340F">
        <w:t xml:space="preserve"> for those with the greatest need;</w:t>
      </w:r>
    </w:p>
    <w:p w14:paraId="70249119" w14:textId="33F77DBC" w:rsidR="00DD6E35" w:rsidRPr="00057130" w:rsidRDefault="00F80DB8" w:rsidP="00057130">
      <w:pPr>
        <w:pStyle w:val="ListParagraph"/>
        <w:numPr>
          <w:ilvl w:val="0"/>
          <w:numId w:val="9"/>
        </w:numPr>
      </w:pPr>
      <w:r w:rsidRPr="00DB340F">
        <w:t xml:space="preserve">Service commissioning needs to involve consultation across the </w:t>
      </w:r>
      <w:r w:rsidR="00DF62C9">
        <w:t>region</w:t>
      </w:r>
      <w:r w:rsidR="007A7EA7" w:rsidRPr="00DB340F">
        <w:t xml:space="preserve"> </w:t>
      </w:r>
      <w:r w:rsidR="00DF62C9">
        <w:t>with Commonwealth, and state</w:t>
      </w:r>
      <w:r w:rsidRPr="00DB340F">
        <w:t xml:space="preserve"> and </w:t>
      </w:r>
      <w:r w:rsidR="007A7EA7" w:rsidRPr="00DB340F">
        <w:t>territory health services</w:t>
      </w:r>
      <w:r w:rsidRPr="00DB340F">
        <w:t xml:space="preserve"> to</w:t>
      </w:r>
      <w:r w:rsidR="00046FDE" w:rsidRPr="00DB340F">
        <w:t xml:space="preserve"> ensure services are not duplicative</w:t>
      </w:r>
      <w:r w:rsidR="007A7EA7" w:rsidRPr="00DB340F">
        <w:t>,</w:t>
      </w:r>
      <w:r w:rsidR="00046FDE" w:rsidRPr="00DB340F">
        <w:t xml:space="preserve"> </w:t>
      </w:r>
      <w:r w:rsidR="007A7EA7" w:rsidRPr="00DB340F">
        <w:t xml:space="preserve">address gaps where appropriate </w:t>
      </w:r>
      <w:r w:rsidR="00046FDE" w:rsidRPr="00DB340F">
        <w:t>and are delivered in the most efficient manner, directed at the areas of</w:t>
      </w:r>
      <w:r w:rsidR="007A7EA7" w:rsidRPr="00DB340F">
        <w:t xml:space="preserve"> greatest</w:t>
      </w:r>
      <w:r w:rsidR="00046FDE" w:rsidRPr="00DB340F">
        <w:t xml:space="preserve"> need;</w:t>
      </w:r>
    </w:p>
    <w:p w14:paraId="22CC3200" w14:textId="28FF0E81" w:rsidR="004D4D27" w:rsidRPr="00057130" w:rsidRDefault="00C3468B" w:rsidP="00057130">
      <w:pPr>
        <w:pStyle w:val="ListParagraph"/>
        <w:numPr>
          <w:ilvl w:val="0"/>
          <w:numId w:val="9"/>
        </w:numPr>
      </w:pPr>
      <w:r w:rsidRPr="00DB340F">
        <w:t>C</w:t>
      </w:r>
      <w:r w:rsidR="00A47DFC" w:rsidRPr="00DB340F">
        <w:t>ommissioning of services must represent value for mone</w:t>
      </w:r>
      <w:r w:rsidR="00212BD6" w:rsidRPr="00DB340F">
        <w:t>y</w:t>
      </w:r>
      <w:r w:rsidR="001829B6" w:rsidRPr="00DB340F">
        <w:t xml:space="preserve">, in line with </w:t>
      </w:r>
      <w:r w:rsidR="001D5F34" w:rsidRPr="00DB340F">
        <w:t xml:space="preserve">section </w:t>
      </w:r>
      <w:r w:rsidR="001829B6" w:rsidRPr="00DB340F">
        <w:t xml:space="preserve">1.6.1 of the </w:t>
      </w:r>
      <w:r w:rsidR="001829B6" w:rsidRPr="00DB340F">
        <w:rPr>
          <w:i/>
        </w:rPr>
        <w:t>Primary Health Networks Grant Programme Guidelines</w:t>
      </w:r>
      <w:r w:rsidR="00C0782D" w:rsidRPr="00DB340F">
        <w:t>;</w:t>
      </w:r>
    </w:p>
    <w:p w14:paraId="335779D0" w14:textId="58B26F00" w:rsidR="005B1DF9" w:rsidRPr="00057130" w:rsidRDefault="007A7EA7" w:rsidP="00057130">
      <w:pPr>
        <w:pStyle w:val="ListParagraph"/>
        <w:numPr>
          <w:ilvl w:val="0"/>
          <w:numId w:val="9"/>
        </w:numPr>
      </w:pPr>
      <w:r w:rsidRPr="00DB340F">
        <w:t>Mechanisms must be in place</w:t>
      </w:r>
      <w:r w:rsidR="004256CF" w:rsidRPr="00DB340F">
        <w:t xml:space="preserve"> for commissioned services</w:t>
      </w:r>
      <w:r w:rsidRPr="00DB340F">
        <w:t xml:space="preserve"> to ensure w</w:t>
      </w:r>
      <w:r w:rsidR="00CB1BC9" w:rsidRPr="00DB340F">
        <w:t>orkforce skills and qualifications</w:t>
      </w:r>
      <w:r w:rsidRPr="00DB340F">
        <w:t xml:space="preserve"> and registration</w:t>
      </w:r>
      <w:r w:rsidR="00B72423" w:rsidRPr="00DB340F">
        <w:t xml:space="preserve"> </w:t>
      </w:r>
      <w:r w:rsidRPr="00DB340F">
        <w:t>are</w:t>
      </w:r>
      <w:r w:rsidR="00B72423" w:rsidRPr="00DB340F">
        <w:t xml:space="preserve"> appropriate for the </w:t>
      </w:r>
      <w:r w:rsidR="0045425B" w:rsidRPr="00DB340F">
        <w:t>drug and alcohol</w:t>
      </w:r>
      <w:r w:rsidR="00B72423" w:rsidRPr="00DB340F">
        <w:t xml:space="preserve"> needs being targeted within </w:t>
      </w:r>
      <w:r w:rsidR="00C34142" w:rsidRPr="00DB340F">
        <w:t>an evidenced</w:t>
      </w:r>
      <w:r w:rsidR="00023952">
        <w:t>-</w:t>
      </w:r>
      <w:r w:rsidR="00B72423" w:rsidRPr="00DB340F">
        <w:t>based</w:t>
      </w:r>
      <w:r w:rsidR="0045425B" w:rsidRPr="00DB340F">
        <w:t xml:space="preserve"> approach</w:t>
      </w:r>
      <w:r w:rsidR="00E617E5" w:rsidRPr="00DB340F">
        <w:t>;</w:t>
      </w:r>
    </w:p>
    <w:p w14:paraId="2A2F1D62" w14:textId="3BA79F76" w:rsidR="005B1DF9" w:rsidRPr="00057130" w:rsidRDefault="00626C27" w:rsidP="00057130">
      <w:pPr>
        <w:pStyle w:val="ListParagraph"/>
        <w:numPr>
          <w:ilvl w:val="0"/>
          <w:numId w:val="9"/>
        </w:numPr>
      </w:pPr>
      <w:r w:rsidRPr="00DB340F">
        <w:lastRenderedPageBreak/>
        <w:t xml:space="preserve">PHNs are encouraged to commission </w:t>
      </w:r>
      <w:r w:rsidR="007A7EA7" w:rsidRPr="00DB340F">
        <w:t xml:space="preserve">responsive and </w:t>
      </w:r>
      <w:r w:rsidRPr="00DB340F">
        <w:t>efficient services which optimise consumer access to services, and to which a fair pricing approach is applied which recognises differential capacity of consumers to pay for care</w:t>
      </w:r>
      <w:r w:rsidR="005B1DF9" w:rsidRPr="00DB340F">
        <w:t>;</w:t>
      </w:r>
    </w:p>
    <w:p w14:paraId="0FC5254F" w14:textId="0FFB9CFE" w:rsidR="00FE45D8" w:rsidRPr="00057130" w:rsidRDefault="00E617E5" w:rsidP="00057130">
      <w:pPr>
        <w:pStyle w:val="ListParagraph"/>
        <w:numPr>
          <w:ilvl w:val="0"/>
          <w:numId w:val="9"/>
        </w:numPr>
      </w:pPr>
      <w:r w:rsidRPr="00DB340F">
        <w:t>Mechanisms must be in place to ensure c</w:t>
      </w:r>
      <w:r w:rsidR="00B72423" w:rsidRPr="00DB340F">
        <w:t>ontinuous monitoring and p</w:t>
      </w:r>
      <w:r w:rsidR="00CB1BC9" w:rsidRPr="00DB340F">
        <w:t xml:space="preserve">erformance reporting </w:t>
      </w:r>
      <w:r w:rsidRPr="00DB340F">
        <w:t xml:space="preserve"> can</w:t>
      </w:r>
      <w:r w:rsidR="00BF05B4" w:rsidRPr="00DB340F">
        <w:t xml:space="preserve"> </w:t>
      </w:r>
      <w:r w:rsidR="00B72423" w:rsidRPr="00DB340F">
        <w:t>be undertaken and supported</w:t>
      </w:r>
      <w:r w:rsidRPr="00DB340F">
        <w:t>;</w:t>
      </w:r>
    </w:p>
    <w:p w14:paraId="2454D3D4" w14:textId="62055825" w:rsidR="00DD6E35" w:rsidRPr="00057130" w:rsidRDefault="00BF05B4" w:rsidP="00057130">
      <w:pPr>
        <w:pStyle w:val="ListParagraph"/>
        <w:numPr>
          <w:ilvl w:val="0"/>
          <w:numId w:val="9"/>
        </w:numPr>
      </w:pPr>
      <w:r w:rsidRPr="00DB340F">
        <w:t xml:space="preserve">Services commissioned </w:t>
      </w:r>
      <w:r w:rsidR="002F0E70" w:rsidRPr="00DB340F">
        <w:t>should promote integration</w:t>
      </w:r>
      <w:r w:rsidR="00B8277F" w:rsidRPr="00DB340F">
        <w:t>/coordination</w:t>
      </w:r>
      <w:r w:rsidR="002F0E70" w:rsidRPr="00DB340F">
        <w:t xml:space="preserve"> and complement, not duplicate</w:t>
      </w:r>
      <w:r w:rsidR="00597AE0" w:rsidRPr="00DB340F">
        <w:t xml:space="preserve"> or replace</w:t>
      </w:r>
      <w:r w:rsidR="002F0E70" w:rsidRPr="00DB340F">
        <w:t xml:space="preserve">, other </w:t>
      </w:r>
      <w:r w:rsidR="0045425B" w:rsidRPr="00DB340F">
        <w:t>drug and alcohol services</w:t>
      </w:r>
      <w:r w:rsidR="00565931" w:rsidRPr="00DB340F">
        <w:t>;</w:t>
      </w:r>
      <w:r w:rsidR="002B743A" w:rsidRPr="00DB340F">
        <w:t xml:space="preserve"> </w:t>
      </w:r>
      <w:r w:rsidR="0045425B" w:rsidRPr="00DB340F">
        <w:t>and</w:t>
      </w:r>
    </w:p>
    <w:p w14:paraId="2818EF34" w14:textId="3FEAB8A2" w:rsidR="004256CF" w:rsidRPr="00057130" w:rsidRDefault="00BF05B4" w:rsidP="00057130">
      <w:pPr>
        <w:pStyle w:val="ListParagraph"/>
        <w:numPr>
          <w:ilvl w:val="0"/>
          <w:numId w:val="9"/>
        </w:numPr>
      </w:pPr>
      <w:r w:rsidRPr="00DB340F">
        <w:t xml:space="preserve">Services commissioned </w:t>
      </w:r>
      <w:r w:rsidR="00DD6E35" w:rsidRPr="00DB340F">
        <w:t xml:space="preserve">should complement and align with relevant national reforms, where appropriate or directed by the Minister or </w:t>
      </w:r>
      <w:r w:rsidR="00057130">
        <w:t>Department.</w:t>
      </w:r>
    </w:p>
    <w:p w14:paraId="5F9D76AE" w14:textId="77777777" w:rsidR="00545CC3" w:rsidRPr="00DB340F" w:rsidRDefault="00545CC3" w:rsidP="00057130">
      <w:pPr>
        <w:pStyle w:val="Heading2"/>
      </w:pPr>
      <w:bookmarkStart w:id="9" w:name="_Toc418073419"/>
      <w:r w:rsidRPr="00DB340F">
        <w:t xml:space="preserve">What </w:t>
      </w:r>
      <w:r w:rsidR="00712031" w:rsidRPr="00DB340F">
        <w:t>a</w:t>
      </w:r>
      <w:r w:rsidR="00A66260" w:rsidRPr="00DB340F">
        <w:t xml:space="preserve">ctions </w:t>
      </w:r>
      <w:r w:rsidRPr="00DB340F">
        <w:t xml:space="preserve">are </w:t>
      </w:r>
      <w:r w:rsidRPr="00DB340F">
        <w:rPr>
          <w:u w:val="single"/>
        </w:rPr>
        <w:t>not</w:t>
      </w:r>
      <w:r w:rsidRPr="00DB340F">
        <w:t xml:space="preserve"> eligible for grant funding?</w:t>
      </w:r>
      <w:bookmarkEnd w:id="9"/>
    </w:p>
    <w:p w14:paraId="36DED46B" w14:textId="77777777" w:rsidR="001C60FB" w:rsidRPr="00DB340F" w:rsidRDefault="001D5F34" w:rsidP="001476AC">
      <w:pPr>
        <w:spacing w:after="240" w:line="276" w:lineRule="auto"/>
        <w:rPr>
          <w:rFonts w:eastAsiaTheme="minorHAnsi" w:cstheme="minorBidi"/>
          <w:szCs w:val="22"/>
          <w:lang w:val="en-AU"/>
        </w:rPr>
      </w:pPr>
      <w:r w:rsidRPr="00DB340F">
        <w:rPr>
          <w:rFonts w:eastAsiaTheme="minorHAnsi" w:cstheme="minorBidi"/>
          <w:szCs w:val="22"/>
          <w:lang w:val="en-AU"/>
        </w:rPr>
        <w:t xml:space="preserve">Section </w:t>
      </w:r>
      <w:r w:rsidR="001C60FB" w:rsidRPr="00DB340F">
        <w:rPr>
          <w:rFonts w:eastAsiaTheme="minorHAnsi" w:cstheme="minorBidi"/>
          <w:szCs w:val="22"/>
          <w:lang w:val="en-AU"/>
        </w:rPr>
        <w:t xml:space="preserve">3.2 of the </w:t>
      </w:r>
      <w:r w:rsidR="001C60FB" w:rsidRPr="00DB340F">
        <w:rPr>
          <w:rFonts w:eastAsiaTheme="minorHAnsi" w:cstheme="minorBidi"/>
          <w:i/>
          <w:szCs w:val="22"/>
          <w:lang w:val="en-AU"/>
        </w:rPr>
        <w:t>Primary Health Networks Grant Programme Guidelines</w:t>
      </w:r>
      <w:r w:rsidR="001C60FB" w:rsidRPr="00DB340F">
        <w:rPr>
          <w:rFonts w:eastAsiaTheme="minorHAnsi" w:cstheme="minorBidi"/>
          <w:szCs w:val="22"/>
          <w:lang w:val="en-AU"/>
        </w:rPr>
        <w:t xml:space="preserve"> outlines items that are not eligible for funding under the Activity.</w:t>
      </w:r>
      <w:r w:rsidR="00DF62C9">
        <w:rPr>
          <w:rFonts w:eastAsiaTheme="minorHAnsi" w:cstheme="minorBidi"/>
          <w:szCs w:val="22"/>
          <w:lang w:val="en-AU"/>
        </w:rPr>
        <w:t xml:space="preserve"> </w:t>
      </w:r>
      <w:r w:rsidR="001C60FB" w:rsidRPr="00DB340F">
        <w:rPr>
          <w:rFonts w:eastAsiaTheme="minorHAnsi" w:cstheme="minorBidi"/>
          <w:szCs w:val="22"/>
          <w:lang w:val="en-AU"/>
        </w:rPr>
        <w:t xml:space="preserve"> Funding for the Activity is quarantined and is only to be used for the actions identified at Item 7.  </w:t>
      </w:r>
    </w:p>
    <w:p w14:paraId="1D87D33B" w14:textId="77777777" w:rsidR="00C34142" w:rsidRPr="00DB340F" w:rsidRDefault="004000EF" w:rsidP="00C34142">
      <w:pPr>
        <w:spacing w:after="240" w:line="276" w:lineRule="auto"/>
        <w:rPr>
          <w:rFonts w:asciiTheme="majorHAnsi" w:eastAsiaTheme="majorEastAsia" w:hAnsiTheme="majorHAnsi" w:cstheme="majorBidi"/>
          <w:b/>
          <w:color w:val="4F81BD" w:themeColor="accent1"/>
          <w:sz w:val="26"/>
          <w:szCs w:val="26"/>
          <w:lang w:val="en-AU"/>
        </w:rPr>
      </w:pPr>
      <w:r w:rsidRPr="00DB340F">
        <w:rPr>
          <w:rFonts w:eastAsiaTheme="minorHAnsi" w:cstheme="minorBidi"/>
          <w:szCs w:val="22"/>
          <w:lang w:val="en-AU"/>
        </w:rPr>
        <w:t xml:space="preserve">In addition, </w:t>
      </w:r>
      <w:r w:rsidR="00ED51F1" w:rsidRPr="00DB340F">
        <w:rPr>
          <w:rFonts w:eastAsiaTheme="minorHAnsi" w:cstheme="minorBidi"/>
          <w:szCs w:val="22"/>
          <w:lang w:val="en-AU"/>
        </w:rPr>
        <w:t xml:space="preserve">funds cannot be used for </w:t>
      </w:r>
      <w:r w:rsidR="00200118" w:rsidRPr="00DB340F">
        <w:rPr>
          <w:rFonts w:eastAsiaTheme="minorHAnsi" w:cstheme="minorBidi"/>
          <w:szCs w:val="22"/>
          <w:lang w:val="en-AU"/>
        </w:rPr>
        <w:t>capital works</w:t>
      </w:r>
      <w:r w:rsidR="00805137" w:rsidRPr="00DB340F">
        <w:rPr>
          <w:rFonts w:eastAsiaTheme="minorHAnsi" w:cstheme="minorBidi"/>
          <w:szCs w:val="22"/>
          <w:lang w:val="en-AU"/>
        </w:rPr>
        <w:t xml:space="preserve">. </w:t>
      </w:r>
      <w:r w:rsidR="00DF62C9">
        <w:rPr>
          <w:rFonts w:eastAsiaTheme="minorHAnsi" w:cstheme="minorBidi"/>
          <w:szCs w:val="22"/>
          <w:lang w:val="en-AU"/>
        </w:rPr>
        <w:t xml:space="preserve"> </w:t>
      </w:r>
      <w:r w:rsidR="00805137" w:rsidRPr="00DB340F">
        <w:rPr>
          <w:rFonts w:eastAsiaTheme="minorHAnsi" w:cstheme="minorBidi"/>
          <w:szCs w:val="22"/>
          <w:lang w:val="en-AU"/>
        </w:rPr>
        <w:t xml:space="preserve">Where services are also funded by the Commonwealth or state and territory government, the funded activity must be needs based and </w:t>
      </w:r>
      <w:r w:rsidR="00023952">
        <w:rPr>
          <w:rFonts w:eastAsiaTheme="minorHAnsi" w:cstheme="minorBidi"/>
          <w:szCs w:val="22"/>
          <w:lang w:val="en-AU"/>
        </w:rPr>
        <w:t xml:space="preserve">complementary </w:t>
      </w:r>
      <w:r w:rsidR="00805137" w:rsidRPr="00DB340F">
        <w:rPr>
          <w:rFonts w:eastAsiaTheme="minorHAnsi" w:cstheme="minorBidi"/>
          <w:szCs w:val="22"/>
          <w:lang w:val="en-AU"/>
        </w:rPr>
        <w:t>not duplicative.</w:t>
      </w:r>
      <w:r w:rsidR="00200118" w:rsidRPr="00DB340F">
        <w:rPr>
          <w:rFonts w:eastAsiaTheme="minorHAnsi" w:cstheme="minorBidi"/>
          <w:szCs w:val="22"/>
          <w:lang w:val="en-AU"/>
        </w:rPr>
        <w:t xml:space="preserve"> </w:t>
      </w:r>
      <w:bookmarkStart w:id="10" w:name="_Toc418073422"/>
    </w:p>
    <w:p w14:paraId="7EBF4769" w14:textId="77777777" w:rsidR="00545CC3" w:rsidRPr="00DB340F" w:rsidRDefault="00545CC3" w:rsidP="00057130">
      <w:pPr>
        <w:pStyle w:val="Heading2"/>
      </w:pPr>
      <w:r w:rsidRPr="00DB340F">
        <w:t>Contractual arrangements</w:t>
      </w:r>
      <w:bookmarkEnd w:id="10"/>
    </w:p>
    <w:p w14:paraId="0B238434" w14:textId="77777777" w:rsidR="00545CC3" w:rsidRPr="00DB340F" w:rsidRDefault="001D5F34" w:rsidP="00545CC3">
      <w:pPr>
        <w:spacing w:after="240" w:line="276" w:lineRule="auto"/>
        <w:rPr>
          <w:rFonts w:eastAsiaTheme="minorHAnsi" w:cstheme="minorBidi"/>
          <w:szCs w:val="22"/>
          <w:lang w:val="en-AU"/>
        </w:rPr>
      </w:pPr>
      <w:r w:rsidRPr="00DB340F">
        <w:rPr>
          <w:rFonts w:eastAsiaTheme="minorHAnsi" w:cstheme="minorBidi"/>
          <w:szCs w:val="22"/>
          <w:lang w:val="en-AU"/>
        </w:rPr>
        <w:t xml:space="preserve">To participate in this Activity, eligible </w:t>
      </w:r>
      <w:r w:rsidR="00CB1BC9" w:rsidRPr="00DB340F">
        <w:rPr>
          <w:rFonts w:eastAsiaTheme="minorHAnsi" w:cstheme="minorBidi"/>
          <w:szCs w:val="22"/>
          <w:lang w:val="en-AU"/>
        </w:rPr>
        <w:t xml:space="preserve">PHNs </w:t>
      </w:r>
      <w:r w:rsidR="00545CC3" w:rsidRPr="00DB340F">
        <w:rPr>
          <w:rFonts w:eastAsiaTheme="minorHAnsi" w:cstheme="minorBidi"/>
          <w:szCs w:val="22"/>
          <w:lang w:val="en-AU"/>
        </w:rPr>
        <w:t xml:space="preserve">will be </w:t>
      </w:r>
      <w:r w:rsidRPr="00DB340F">
        <w:rPr>
          <w:rFonts w:eastAsiaTheme="minorHAnsi" w:cstheme="minorBidi"/>
          <w:szCs w:val="22"/>
          <w:lang w:val="en-AU"/>
        </w:rPr>
        <w:t>offered</w:t>
      </w:r>
      <w:r w:rsidR="00343D3A" w:rsidRPr="00DB340F">
        <w:rPr>
          <w:rFonts w:eastAsiaTheme="minorHAnsi" w:cstheme="minorBidi"/>
          <w:szCs w:val="22"/>
          <w:lang w:val="en-AU"/>
        </w:rPr>
        <w:t xml:space="preserve"> a Schedule to the</w:t>
      </w:r>
      <w:r w:rsidRPr="00DB340F">
        <w:rPr>
          <w:rFonts w:eastAsiaTheme="minorHAnsi" w:cstheme="minorBidi"/>
          <w:szCs w:val="22"/>
          <w:lang w:val="en-AU"/>
        </w:rPr>
        <w:t>ir existing</w:t>
      </w:r>
      <w:r w:rsidR="00343D3A" w:rsidRPr="00DB340F">
        <w:rPr>
          <w:rFonts w:eastAsiaTheme="minorHAnsi" w:cstheme="minorBidi"/>
          <w:szCs w:val="22"/>
          <w:lang w:val="en-AU"/>
        </w:rPr>
        <w:t xml:space="preserve"> </w:t>
      </w:r>
      <w:r w:rsidRPr="00DB340F">
        <w:rPr>
          <w:rFonts w:eastAsiaTheme="minorHAnsi" w:cstheme="minorBidi"/>
          <w:szCs w:val="22"/>
          <w:lang w:val="en-AU"/>
        </w:rPr>
        <w:t>f</w:t>
      </w:r>
      <w:r w:rsidR="00343D3A" w:rsidRPr="00DB340F">
        <w:rPr>
          <w:rFonts w:eastAsiaTheme="minorHAnsi" w:cstheme="minorBidi"/>
          <w:szCs w:val="22"/>
          <w:lang w:val="en-AU"/>
        </w:rPr>
        <w:t xml:space="preserve">unding </w:t>
      </w:r>
      <w:r w:rsidRPr="00DB340F">
        <w:rPr>
          <w:rFonts w:eastAsiaTheme="minorHAnsi" w:cstheme="minorBidi"/>
          <w:szCs w:val="22"/>
          <w:lang w:val="en-AU"/>
        </w:rPr>
        <w:t>a</w:t>
      </w:r>
      <w:r w:rsidR="00343D3A" w:rsidRPr="00DB340F">
        <w:rPr>
          <w:rFonts w:eastAsiaTheme="minorHAnsi" w:cstheme="minorBidi"/>
          <w:szCs w:val="22"/>
          <w:lang w:val="en-AU"/>
        </w:rPr>
        <w:t xml:space="preserve">greement, and as such, the </w:t>
      </w:r>
      <w:r w:rsidR="00545CC3" w:rsidRPr="00DB340F">
        <w:rPr>
          <w:rFonts w:eastAsiaTheme="minorHAnsi" w:cstheme="minorBidi"/>
          <w:szCs w:val="22"/>
          <w:lang w:val="en-AU"/>
        </w:rPr>
        <w:t xml:space="preserve">terms and conditions of the Standard Funding Agreement </w:t>
      </w:r>
      <w:r w:rsidR="00343D3A" w:rsidRPr="00DB340F">
        <w:rPr>
          <w:rFonts w:eastAsiaTheme="minorHAnsi" w:cstheme="minorBidi"/>
          <w:szCs w:val="22"/>
          <w:lang w:val="en-AU"/>
        </w:rPr>
        <w:t>will apply.</w:t>
      </w:r>
    </w:p>
    <w:p w14:paraId="6C937882" w14:textId="77777777" w:rsidR="00545CC3" w:rsidRPr="00DB340F" w:rsidRDefault="00545CC3" w:rsidP="00057130">
      <w:pPr>
        <w:pStyle w:val="Heading2"/>
      </w:pPr>
      <w:bookmarkStart w:id="11" w:name="_Toc418073423"/>
      <w:r w:rsidRPr="00DB340F">
        <w:t>Reporting requirements</w:t>
      </w:r>
      <w:bookmarkEnd w:id="11"/>
    </w:p>
    <w:p w14:paraId="70830737" w14:textId="77777777" w:rsidR="00545CC3" w:rsidRPr="00DB340F" w:rsidRDefault="00545CC3" w:rsidP="00545CC3">
      <w:pPr>
        <w:spacing w:before="120" w:after="120" w:line="276" w:lineRule="auto"/>
        <w:rPr>
          <w:rFonts w:eastAsiaTheme="minorHAnsi" w:cstheme="minorBidi"/>
          <w:szCs w:val="22"/>
          <w:lang w:val="en-AU"/>
        </w:rPr>
      </w:pPr>
      <w:r w:rsidRPr="00DB340F">
        <w:rPr>
          <w:rFonts w:eastAsiaTheme="minorHAnsi" w:cstheme="minorBidi"/>
          <w:color w:val="000000" w:themeColor="text1"/>
          <w:szCs w:val="22"/>
          <w:lang w:val="en-AU"/>
        </w:rPr>
        <w:t xml:space="preserve">Specific reporting requirements will form part of each </w:t>
      </w:r>
      <w:r w:rsidR="00CB1BC9" w:rsidRPr="00DB340F">
        <w:rPr>
          <w:rFonts w:eastAsiaTheme="minorHAnsi" w:cstheme="minorBidi"/>
          <w:color w:val="000000" w:themeColor="text1"/>
          <w:szCs w:val="22"/>
          <w:lang w:val="en-AU"/>
        </w:rPr>
        <w:t>PHN’s</w:t>
      </w:r>
      <w:r w:rsidRPr="00DB340F">
        <w:rPr>
          <w:rFonts w:eastAsiaTheme="minorHAnsi" w:cstheme="minorBidi"/>
          <w:color w:val="000000" w:themeColor="text1"/>
          <w:szCs w:val="22"/>
          <w:lang w:val="en-AU"/>
        </w:rPr>
        <w:t xml:space="preserve"> agreement with </w:t>
      </w:r>
      <w:r w:rsidR="00CB1BC9" w:rsidRPr="00DB340F">
        <w:rPr>
          <w:rFonts w:eastAsiaTheme="minorHAnsi" w:cstheme="minorBidi"/>
          <w:szCs w:val="22"/>
          <w:lang w:val="en-AU"/>
        </w:rPr>
        <w:t>the D</w:t>
      </w:r>
      <w:r w:rsidRPr="00DB340F">
        <w:rPr>
          <w:rFonts w:eastAsiaTheme="minorHAnsi" w:cstheme="minorBidi"/>
          <w:szCs w:val="22"/>
          <w:lang w:val="en-AU"/>
        </w:rPr>
        <w:t>epartment.  The reporting requirements for the Activity include:</w:t>
      </w:r>
    </w:p>
    <w:p w14:paraId="6DB8A9B6" w14:textId="77777777" w:rsidR="00545CC3" w:rsidRPr="00DB340F" w:rsidRDefault="00545CC3" w:rsidP="00057130">
      <w:pPr>
        <w:pStyle w:val="Points"/>
      </w:pPr>
      <w:r w:rsidRPr="00DB340F">
        <w:t xml:space="preserve">an </w:t>
      </w:r>
      <w:r w:rsidR="00BB7735" w:rsidRPr="00DB340F">
        <w:t>annual</w:t>
      </w:r>
      <w:r w:rsidR="00805137" w:rsidRPr="00DB340F">
        <w:t xml:space="preserve"> approved</w:t>
      </w:r>
      <w:r w:rsidR="00BB7735" w:rsidRPr="00DB340F">
        <w:t xml:space="preserve"> </w:t>
      </w:r>
      <w:r w:rsidR="00DF62C9">
        <w:t>Activity Work P</w:t>
      </w:r>
      <w:r w:rsidRPr="00D63069">
        <w:t>lan</w:t>
      </w:r>
      <w:r w:rsidR="00B8277F" w:rsidRPr="00D63069">
        <w:t xml:space="preserve"> (drug and alcohol treatment plan)</w:t>
      </w:r>
      <w:r w:rsidR="008D03F1" w:rsidRPr="00D63069">
        <w:t xml:space="preserve"> and</w:t>
      </w:r>
      <w:r w:rsidR="008D03F1" w:rsidRPr="00DB340F">
        <w:t xml:space="preserve"> Budget</w:t>
      </w:r>
      <w:r w:rsidRPr="00DB340F">
        <w:t>;</w:t>
      </w:r>
    </w:p>
    <w:p w14:paraId="60539823" w14:textId="77777777" w:rsidR="00545CC3" w:rsidRPr="00DB340F" w:rsidRDefault="00545CC3" w:rsidP="00057130">
      <w:pPr>
        <w:pStyle w:val="Points"/>
      </w:pPr>
      <w:r w:rsidRPr="00DB340F">
        <w:t>six monthly performance reporting;</w:t>
      </w:r>
    </w:p>
    <w:p w14:paraId="02005BA6" w14:textId="77777777" w:rsidR="00D73AC6" w:rsidRPr="00DB340F" w:rsidRDefault="00D73AC6" w:rsidP="00057130">
      <w:pPr>
        <w:pStyle w:val="Points"/>
      </w:pPr>
      <w:r w:rsidRPr="00DB340F">
        <w:t>performance indicators;</w:t>
      </w:r>
    </w:p>
    <w:p w14:paraId="62C8961E" w14:textId="77777777" w:rsidR="008D03F1" w:rsidRPr="00DB340F" w:rsidRDefault="008D03F1" w:rsidP="00057130">
      <w:pPr>
        <w:pStyle w:val="Points"/>
      </w:pPr>
      <w:r w:rsidRPr="00DB340F">
        <w:t xml:space="preserve">ongoing data reporting via the </w:t>
      </w:r>
      <w:r w:rsidR="00672C4D" w:rsidRPr="00DB340F">
        <w:t>Alcohol and Other Drug Treatment Services Nationa</w:t>
      </w:r>
      <w:r w:rsidR="00565931" w:rsidRPr="00DB340F">
        <w:t>l Minimum Data set (AODTS-NMDS)</w:t>
      </w:r>
      <w:r w:rsidR="00BB7735" w:rsidRPr="00DB340F">
        <w:t>;</w:t>
      </w:r>
      <w:r w:rsidR="00C3468B" w:rsidRPr="00DB340F">
        <w:t xml:space="preserve"> </w:t>
      </w:r>
    </w:p>
    <w:p w14:paraId="4433DA30" w14:textId="77777777" w:rsidR="00545CC3" w:rsidRPr="00DB340F" w:rsidRDefault="00545CC3" w:rsidP="00057130">
      <w:pPr>
        <w:pStyle w:val="Points"/>
      </w:pPr>
      <w:r w:rsidRPr="00DB340F">
        <w:t>annual income and expenditure reports</w:t>
      </w:r>
      <w:r w:rsidR="00805137" w:rsidRPr="00DB340F">
        <w:t xml:space="preserve">; and </w:t>
      </w:r>
    </w:p>
    <w:p w14:paraId="14463364" w14:textId="77777777" w:rsidR="00805137" w:rsidRPr="00DB340F" w:rsidRDefault="000D1D2D" w:rsidP="00057130">
      <w:pPr>
        <w:pStyle w:val="Points"/>
      </w:pPr>
      <w:proofErr w:type="gramStart"/>
      <w:r w:rsidRPr="00DB340F">
        <w:t>others</w:t>
      </w:r>
      <w:proofErr w:type="gramEnd"/>
      <w:r w:rsidRPr="00DB340F">
        <w:t xml:space="preserve"> as negotiated.</w:t>
      </w:r>
    </w:p>
    <w:p w14:paraId="642E2F89" w14:textId="77777777" w:rsidR="00545CC3" w:rsidRPr="00DB340F" w:rsidRDefault="00545CC3" w:rsidP="00545CC3">
      <w:pPr>
        <w:spacing w:before="120" w:after="120" w:line="276" w:lineRule="auto"/>
        <w:rPr>
          <w:rFonts w:eastAsiaTheme="minorHAnsi" w:cstheme="minorBidi"/>
          <w:szCs w:val="22"/>
          <w:lang w:val="en-AU"/>
        </w:rPr>
      </w:pPr>
      <w:r w:rsidRPr="00DB340F">
        <w:rPr>
          <w:rFonts w:eastAsiaTheme="minorHAnsi" w:cstheme="minorBidi"/>
          <w:color w:val="000000" w:themeColor="text1"/>
          <w:szCs w:val="22"/>
          <w:lang w:val="en-AU"/>
        </w:rPr>
        <w:t>Reporting requirem</w:t>
      </w:r>
      <w:r w:rsidR="00B72423" w:rsidRPr="00DB340F">
        <w:rPr>
          <w:rFonts w:eastAsiaTheme="minorHAnsi" w:cstheme="minorBidi"/>
          <w:color w:val="000000" w:themeColor="text1"/>
          <w:szCs w:val="22"/>
          <w:lang w:val="en-AU"/>
        </w:rPr>
        <w:t>ents may vary depending on the D</w:t>
      </w:r>
      <w:r w:rsidRPr="00DB340F">
        <w:rPr>
          <w:rFonts w:eastAsiaTheme="minorHAnsi" w:cstheme="minorBidi"/>
          <w:color w:val="000000" w:themeColor="text1"/>
          <w:szCs w:val="22"/>
          <w:lang w:val="en-AU"/>
        </w:rPr>
        <w:t xml:space="preserve">epartment’s risk assessment of each </w:t>
      </w:r>
      <w:r w:rsidR="00712031" w:rsidRPr="00DB340F">
        <w:rPr>
          <w:rFonts w:eastAsiaTheme="minorHAnsi" w:cstheme="minorBidi"/>
          <w:color w:val="000000" w:themeColor="text1"/>
          <w:szCs w:val="22"/>
          <w:lang w:val="en-AU"/>
        </w:rPr>
        <w:t xml:space="preserve">funding </w:t>
      </w:r>
      <w:r w:rsidRPr="00DB340F">
        <w:rPr>
          <w:rFonts w:eastAsiaTheme="minorHAnsi" w:cstheme="minorBidi"/>
          <w:color w:val="000000" w:themeColor="text1"/>
          <w:szCs w:val="22"/>
          <w:lang w:val="en-AU"/>
        </w:rPr>
        <w:t>agreement.</w:t>
      </w:r>
      <w:r w:rsidRPr="00DB340F">
        <w:rPr>
          <w:rFonts w:eastAsiaTheme="minorHAnsi" w:cstheme="minorBidi"/>
          <w:szCs w:val="22"/>
          <w:lang w:val="en-AU"/>
        </w:rPr>
        <w:t xml:space="preserve">  Risk asse</w:t>
      </w:r>
      <w:r w:rsidR="00B72423" w:rsidRPr="00DB340F">
        <w:rPr>
          <w:rFonts w:eastAsiaTheme="minorHAnsi" w:cstheme="minorBidi"/>
          <w:szCs w:val="22"/>
          <w:lang w:val="en-AU"/>
        </w:rPr>
        <w:t xml:space="preserve">ssments </w:t>
      </w:r>
      <w:r w:rsidR="00805137" w:rsidRPr="00DB340F">
        <w:rPr>
          <w:rFonts w:eastAsiaTheme="minorHAnsi" w:cstheme="minorBidi"/>
          <w:szCs w:val="22"/>
          <w:lang w:val="en-AU"/>
        </w:rPr>
        <w:t>will be regularly</w:t>
      </w:r>
      <w:r w:rsidR="00B72423" w:rsidRPr="00DB340F">
        <w:rPr>
          <w:rFonts w:eastAsiaTheme="minorHAnsi" w:cstheme="minorBidi"/>
          <w:szCs w:val="22"/>
          <w:lang w:val="en-AU"/>
        </w:rPr>
        <w:t xml:space="preserve"> reviewed by the D</w:t>
      </w:r>
      <w:r w:rsidRPr="00DB340F">
        <w:rPr>
          <w:rFonts w:eastAsiaTheme="minorHAnsi" w:cstheme="minorBidi"/>
          <w:szCs w:val="22"/>
          <w:lang w:val="en-AU"/>
        </w:rPr>
        <w:t xml:space="preserve">epartment at any time during the life of the </w:t>
      </w:r>
      <w:r w:rsidR="00712031" w:rsidRPr="00DB340F">
        <w:rPr>
          <w:rFonts w:eastAsiaTheme="minorHAnsi" w:cstheme="minorBidi"/>
          <w:szCs w:val="22"/>
          <w:lang w:val="en-AU"/>
        </w:rPr>
        <w:t xml:space="preserve">funding </w:t>
      </w:r>
      <w:r w:rsidRPr="00DB340F">
        <w:rPr>
          <w:rFonts w:eastAsiaTheme="minorHAnsi" w:cstheme="minorBidi"/>
          <w:szCs w:val="22"/>
          <w:lang w:val="en-AU"/>
        </w:rPr>
        <w:t>agreement and reporting requirements may be adjusted accordingly.</w:t>
      </w:r>
    </w:p>
    <w:p w14:paraId="5AE27B0D" w14:textId="77777777" w:rsidR="00545CC3" w:rsidRPr="00DB340F" w:rsidRDefault="005A2101" w:rsidP="00545CC3">
      <w:pPr>
        <w:spacing w:before="120" w:after="120" w:line="276" w:lineRule="auto"/>
        <w:rPr>
          <w:rFonts w:eastAsiaTheme="minorHAnsi" w:cstheme="minorBidi"/>
          <w:color w:val="000000" w:themeColor="text1"/>
          <w:szCs w:val="22"/>
          <w:lang w:val="en-AU"/>
        </w:rPr>
      </w:pPr>
      <w:r w:rsidRPr="00DB340F">
        <w:rPr>
          <w:rFonts w:eastAsiaTheme="minorHAnsi" w:cstheme="minorBidi"/>
          <w:szCs w:val="22"/>
          <w:lang w:val="en-AU"/>
        </w:rPr>
        <w:lastRenderedPageBreak/>
        <w:t>The D</w:t>
      </w:r>
      <w:r w:rsidR="00545CC3" w:rsidRPr="00DB340F">
        <w:rPr>
          <w:rFonts w:eastAsiaTheme="minorHAnsi" w:cstheme="minorBidi"/>
          <w:szCs w:val="22"/>
          <w:lang w:val="en-AU"/>
        </w:rPr>
        <w:t>epartment is responsible for assessing the information provided in progress reports and monitoring the performance of grant recipients.</w:t>
      </w:r>
    </w:p>
    <w:p w14:paraId="3D978B39" w14:textId="77777777" w:rsidR="00675414" w:rsidRPr="00DB340F" w:rsidRDefault="00675414" w:rsidP="00057130">
      <w:pPr>
        <w:pStyle w:val="Heading2"/>
      </w:pPr>
      <w:r w:rsidRPr="00DB340F">
        <w:t>Decision making</w:t>
      </w:r>
    </w:p>
    <w:p w14:paraId="79C4D9F4" w14:textId="77777777" w:rsidR="00675414" w:rsidRPr="00DB340F" w:rsidRDefault="00675414" w:rsidP="00675414">
      <w:pPr>
        <w:spacing w:after="240" w:line="276" w:lineRule="auto"/>
        <w:rPr>
          <w:rFonts w:eastAsiaTheme="minorHAnsi" w:cstheme="minorBidi"/>
          <w:szCs w:val="22"/>
          <w:lang w:val="en-AU"/>
        </w:rPr>
      </w:pPr>
      <w:r w:rsidRPr="00DB340F">
        <w:rPr>
          <w:rFonts w:eastAsiaTheme="minorHAnsi" w:cstheme="minorBidi"/>
          <w:szCs w:val="22"/>
          <w:lang w:val="en-AU"/>
        </w:rPr>
        <w:t xml:space="preserve">The Minister for Health has delegated </w:t>
      </w:r>
      <w:r w:rsidRPr="00D63069">
        <w:rPr>
          <w:rFonts w:eastAsiaTheme="minorHAnsi" w:cstheme="minorBidi"/>
          <w:szCs w:val="22"/>
          <w:lang w:val="en-AU"/>
        </w:rPr>
        <w:t>authority to the Department of Health for decision making in relation to this Activity.</w:t>
      </w:r>
      <w:r w:rsidR="00565931" w:rsidRPr="00D63069">
        <w:rPr>
          <w:rFonts w:eastAsiaTheme="minorHAnsi" w:cstheme="minorBidi"/>
          <w:szCs w:val="22"/>
          <w:lang w:val="en-AU"/>
        </w:rPr>
        <w:t xml:space="preserve">  The Approver for grants under this Activity is the Assistant Secretary, Drug Strategy Branch, Population Health and Sport Division or the First Assistant Secretary, Population Health and Sport Division</w:t>
      </w:r>
      <w:r w:rsidR="008B7A42" w:rsidRPr="00D63069">
        <w:rPr>
          <w:rFonts w:eastAsiaTheme="minorHAnsi" w:cstheme="minorBidi"/>
          <w:szCs w:val="22"/>
          <w:lang w:val="en-AU"/>
        </w:rPr>
        <w:t>, or the delegate sitting in the relevant position responsible for drug and alcohol treatment services</w:t>
      </w:r>
      <w:r w:rsidR="00565931" w:rsidRPr="00D63069">
        <w:rPr>
          <w:rFonts w:eastAsiaTheme="minorHAnsi" w:cstheme="minorBidi"/>
          <w:szCs w:val="22"/>
          <w:lang w:val="en-AU"/>
        </w:rPr>
        <w:t>.</w:t>
      </w:r>
    </w:p>
    <w:p w14:paraId="0FEA5417" w14:textId="77777777" w:rsidR="00B25EB0" w:rsidRPr="00675414" w:rsidRDefault="00675414" w:rsidP="00675414">
      <w:pPr>
        <w:spacing w:after="240" w:line="276" w:lineRule="auto"/>
        <w:rPr>
          <w:rFonts w:eastAsiaTheme="minorHAnsi" w:cstheme="minorBidi"/>
          <w:szCs w:val="22"/>
          <w:lang w:val="en-AU"/>
        </w:rPr>
      </w:pPr>
      <w:r w:rsidRPr="00DB340F">
        <w:rPr>
          <w:rFonts w:eastAsiaTheme="minorHAnsi" w:cstheme="minorBidi"/>
          <w:szCs w:val="22"/>
          <w:lang w:val="en-AU"/>
        </w:rPr>
        <w:t xml:space="preserve">Refer to </w:t>
      </w:r>
      <w:r w:rsidR="001D5F34" w:rsidRPr="00DB340F">
        <w:rPr>
          <w:rFonts w:eastAsiaTheme="minorHAnsi" w:cstheme="minorBidi"/>
          <w:szCs w:val="22"/>
          <w:lang w:val="en-AU"/>
        </w:rPr>
        <w:t xml:space="preserve">section </w:t>
      </w:r>
      <w:r w:rsidR="001476AC" w:rsidRPr="00DB340F">
        <w:rPr>
          <w:rFonts w:eastAsiaTheme="minorHAnsi" w:cstheme="minorBidi"/>
          <w:szCs w:val="22"/>
          <w:lang w:val="en-AU"/>
        </w:rPr>
        <w:t xml:space="preserve">2.3 of the </w:t>
      </w:r>
      <w:r w:rsidRPr="00DB340F">
        <w:rPr>
          <w:rFonts w:eastAsiaTheme="minorHAnsi" w:cstheme="minorBidi"/>
          <w:i/>
          <w:szCs w:val="22"/>
          <w:lang w:val="en-AU"/>
        </w:rPr>
        <w:t xml:space="preserve">Primary Health Networks Grant Programme Guidelines </w:t>
      </w:r>
      <w:r w:rsidRPr="00DB340F">
        <w:rPr>
          <w:rFonts w:eastAsiaTheme="minorHAnsi" w:cstheme="minorBidi"/>
          <w:szCs w:val="22"/>
          <w:lang w:val="en-AU"/>
        </w:rPr>
        <w:t>for further information.</w:t>
      </w:r>
    </w:p>
    <w:sectPr w:rsidR="00B25EB0" w:rsidRPr="00675414" w:rsidSect="00B934F9">
      <w:footerReference w:type="default" r:id="rId11"/>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F7BC1" w14:textId="77777777" w:rsidR="00855BF6" w:rsidRDefault="00855BF6" w:rsidP="00B343E4">
      <w:r>
        <w:separator/>
      </w:r>
    </w:p>
  </w:endnote>
  <w:endnote w:type="continuationSeparator" w:id="0">
    <w:p w14:paraId="7D8AE9DB" w14:textId="77777777" w:rsidR="00855BF6" w:rsidRDefault="00855BF6" w:rsidP="00B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537098"/>
      <w:docPartObj>
        <w:docPartGallery w:val="Page Numbers (Bottom of Page)"/>
        <w:docPartUnique/>
      </w:docPartObj>
    </w:sdtPr>
    <w:sdtEndPr>
      <w:rPr>
        <w:noProof/>
      </w:rPr>
    </w:sdtEndPr>
    <w:sdtContent>
      <w:p w14:paraId="7A5A5433" w14:textId="77777777" w:rsidR="00CC7190" w:rsidRDefault="009D67F5">
        <w:pPr>
          <w:pStyle w:val="Footer"/>
          <w:jc w:val="right"/>
        </w:pPr>
        <w:r>
          <w:fldChar w:fldCharType="begin"/>
        </w:r>
        <w:r w:rsidR="00336B51">
          <w:instrText xml:space="preserve"> PAGE   \* MERGEFORMAT </w:instrText>
        </w:r>
        <w:r>
          <w:fldChar w:fldCharType="separate"/>
        </w:r>
        <w:r w:rsidR="00CB1E5A">
          <w:rPr>
            <w:noProof/>
          </w:rPr>
          <w:t>1</w:t>
        </w:r>
        <w:r>
          <w:rPr>
            <w:noProof/>
          </w:rPr>
          <w:fldChar w:fldCharType="end"/>
        </w:r>
      </w:p>
    </w:sdtContent>
  </w:sdt>
  <w:p w14:paraId="765D2641" w14:textId="77777777" w:rsidR="00CC7190" w:rsidRDefault="00CC7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89FF1" w14:textId="77777777" w:rsidR="00855BF6" w:rsidRDefault="00855BF6" w:rsidP="00B343E4">
      <w:r>
        <w:separator/>
      </w:r>
    </w:p>
  </w:footnote>
  <w:footnote w:type="continuationSeparator" w:id="0">
    <w:p w14:paraId="25408C8C" w14:textId="77777777" w:rsidR="00855BF6" w:rsidRDefault="00855BF6" w:rsidP="00B3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536F"/>
    <w:multiLevelType w:val="hybridMultilevel"/>
    <w:tmpl w:val="4072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572BF2"/>
    <w:multiLevelType w:val="hybridMultilevel"/>
    <w:tmpl w:val="16AAE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913287"/>
    <w:multiLevelType w:val="hybridMultilevel"/>
    <w:tmpl w:val="D71C0F66"/>
    <w:lvl w:ilvl="0" w:tplc="1BB203D8">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F395FC6"/>
    <w:multiLevelType w:val="hybridMultilevel"/>
    <w:tmpl w:val="3BBAD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AD35AE"/>
    <w:multiLevelType w:val="hybridMultilevel"/>
    <w:tmpl w:val="A9083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C9F5971"/>
    <w:multiLevelType w:val="hybridMultilevel"/>
    <w:tmpl w:val="A9083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CF5602"/>
    <w:multiLevelType w:val="multilevel"/>
    <w:tmpl w:val="EE746592"/>
    <w:lvl w:ilvl="0">
      <w:start w:val="1"/>
      <w:numFmt w:val="decimal"/>
      <w:lvlText w:val="%1."/>
      <w:lvlJc w:val="left"/>
      <w:pPr>
        <w:ind w:left="360" w:hanging="360"/>
      </w:pPr>
      <w:rPr>
        <w:rFonts w:hint="default"/>
      </w:rPr>
    </w:lvl>
    <w:lvl w:ilvl="1">
      <w:start w:val="1"/>
      <w:numFmt w:val="decimal"/>
      <w:pStyle w:val="Heading2"/>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0775965"/>
    <w:multiLevelType w:val="hybridMultilevel"/>
    <w:tmpl w:val="63147474"/>
    <w:lvl w:ilvl="0" w:tplc="027800BC">
      <w:start w:val="1"/>
      <w:numFmt w:val="decimal"/>
      <w:pStyle w:val="ListParagraph"/>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9E6A39"/>
    <w:multiLevelType w:val="hybridMultilevel"/>
    <w:tmpl w:val="CBB2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5074E7"/>
    <w:multiLevelType w:val="hybridMultilevel"/>
    <w:tmpl w:val="1742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676683"/>
    <w:multiLevelType w:val="hybridMultilevel"/>
    <w:tmpl w:val="FDE87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F2E546E"/>
    <w:multiLevelType w:val="hybridMultilevel"/>
    <w:tmpl w:val="FB2687BA"/>
    <w:lvl w:ilvl="0" w:tplc="54AEF15E">
      <w:start w:val="1"/>
      <w:numFmt w:val="bullet"/>
      <w:pStyle w:val="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6"/>
  </w:num>
  <w:num w:numId="5">
    <w:abstractNumId w:val="0"/>
  </w:num>
  <w:num w:numId="6">
    <w:abstractNumId w:val="5"/>
  </w:num>
  <w:num w:numId="7">
    <w:abstractNumId w:val="9"/>
  </w:num>
  <w:num w:numId="8">
    <w:abstractNumId w:val="8"/>
  </w:num>
  <w:num w:numId="9">
    <w:abstractNumId w:val="1"/>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C3"/>
    <w:rsid w:val="000029D1"/>
    <w:rsid w:val="00006EE0"/>
    <w:rsid w:val="00007A53"/>
    <w:rsid w:val="00023952"/>
    <w:rsid w:val="00034257"/>
    <w:rsid w:val="00043AE4"/>
    <w:rsid w:val="00046FDE"/>
    <w:rsid w:val="0005102D"/>
    <w:rsid w:val="00057130"/>
    <w:rsid w:val="00073D45"/>
    <w:rsid w:val="000776EB"/>
    <w:rsid w:val="00093487"/>
    <w:rsid w:val="000A20FE"/>
    <w:rsid w:val="000B1E26"/>
    <w:rsid w:val="000B62E1"/>
    <w:rsid w:val="000C1C42"/>
    <w:rsid w:val="000D1D2D"/>
    <w:rsid w:val="000D7A34"/>
    <w:rsid w:val="000F0739"/>
    <w:rsid w:val="001135F0"/>
    <w:rsid w:val="00116674"/>
    <w:rsid w:val="001252B6"/>
    <w:rsid w:val="00140308"/>
    <w:rsid w:val="001476AC"/>
    <w:rsid w:val="0016080C"/>
    <w:rsid w:val="001702E4"/>
    <w:rsid w:val="001829B6"/>
    <w:rsid w:val="00195546"/>
    <w:rsid w:val="001979D9"/>
    <w:rsid w:val="001B3443"/>
    <w:rsid w:val="001B3D25"/>
    <w:rsid w:val="001B6EBB"/>
    <w:rsid w:val="001C60FB"/>
    <w:rsid w:val="001D5F34"/>
    <w:rsid w:val="001F47FD"/>
    <w:rsid w:val="00200118"/>
    <w:rsid w:val="00212BD6"/>
    <w:rsid w:val="00222AE2"/>
    <w:rsid w:val="00236A2B"/>
    <w:rsid w:val="002375B9"/>
    <w:rsid w:val="00244E9B"/>
    <w:rsid w:val="00277787"/>
    <w:rsid w:val="00277BAC"/>
    <w:rsid w:val="002948C5"/>
    <w:rsid w:val="002A17EE"/>
    <w:rsid w:val="002A4478"/>
    <w:rsid w:val="002B0468"/>
    <w:rsid w:val="002B6EC1"/>
    <w:rsid w:val="002B743A"/>
    <w:rsid w:val="002D29C6"/>
    <w:rsid w:val="002D5B64"/>
    <w:rsid w:val="002E0309"/>
    <w:rsid w:val="002E202C"/>
    <w:rsid w:val="002F0E70"/>
    <w:rsid w:val="002F7743"/>
    <w:rsid w:val="00306BC4"/>
    <w:rsid w:val="0030786C"/>
    <w:rsid w:val="0032572B"/>
    <w:rsid w:val="003266C4"/>
    <w:rsid w:val="00336B51"/>
    <w:rsid w:val="00343D3A"/>
    <w:rsid w:val="00346DA7"/>
    <w:rsid w:val="003640E2"/>
    <w:rsid w:val="0036792A"/>
    <w:rsid w:val="00381BEB"/>
    <w:rsid w:val="003A31AA"/>
    <w:rsid w:val="003A38A6"/>
    <w:rsid w:val="003B0FA9"/>
    <w:rsid w:val="003B4077"/>
    <w:rsid w:val="003C5BE6"/>
    <w:rsid w:val="003F4174"/>
    <w:rsid w:val="003F4345"/>
    <w:rsid w:val="003F4E51"/>
    <w:rsid w:val="004000EF"/>
    <w:rsid w:val="0041204F"/>
    <w:rsid w:val="00420B85"/>
    <w:rsid w:val="00420F69"/>
    <w:rsid w:val="004256CF"/>
    <w:rsid w:val="00435E14"/>
    <w:rsid w:val="00442C9F"/>
    <w:rsid w:val="004445BF"/>
    <w:rsid w:val="00444FDA"/>
    <w:rsid w:val="00445E79"/>
    <w:rsid w:val="0045425B"/>
    <w:rsid w:val="00465A82"/>
    <w:rsid w:val="004867E2"/>
    <w:rsid w:val="004A4E39"/>
    <w:rsid w:val="004A657E"/>
    <w:rsid w:val="004C690E"/>
    <w:rsid w:val="004D4D27"/>
    <w:rsid w:val="004E1BD0"/>
    <w:rsid w:val="004F109F"/>
    <w:rsid w:val="004F3A54"/>
    <w:rsid w:val="005017AE"/>
    <w:rsid w:val="00505C74"/>
    <w:rsid w:val="00511243"/>
    <w:rsid w:val="005112C5"/>
    <w:rsid w:val="00514A0F"/>
    <w:rsid w:val="00516207"/>
    <w:rsid w:val="00525B04"/>
    <w:rsid w:val="0053142C"/>
    <w:rsid w:val="00545CC3"/>
    <w:rsid w:val="005615CD"/>
    <w:rsid w:val="00565931"/>
    <w:rsid w:val="0058321A"/>
    <w:rsid w:val="005853DB"/>
    <w:rsid w:val="00597AE0"/>
    <w:rsid w:val="005A2101"/>
    <w:rsid w:val="005A5C8F"/>
    <w:rsid w:val="005B0993"/>
    <w:rsid w:val="005B1DF9"/>
    <w:rsid w:val="005C18D3"/>
    <w:rsid w:val="005E3DEA"/>
    <w:rsid w:val="005E430F"/>
    <w:rsid w:val="00606CD0"/>
    <w:rsid w:val="00615427"/>
    <w:rsid w:val="00626C27"/>
    <w:rsid w:val="00630F06"/>
    <w:rsid w:val="006422BB"/>
    <w:rsid w:val="0064587A"/>
    <w:rsid w:val="00647996"/>
    <w:rsid w:val="0065132B"/>
    <w:rsid w:val="006600D0"/>
    <w:rsid w:val="00664AD9"/>
    <w:rsid w:val="006673E3"/>
    <w:rsid w:val="006674EA"/>
    <w:rsid w:val="00670797"/>
    <w:rsid w:val="00672C4D"/>
    <w:rsid w:val="00675414"/>
    <w:rsid w:val="00686383"/>
    <w:rsid w:val="006A47B0"/>
    <w:rsid w:val="006B6CD8"/>
    <w:rsid w:val="006C1A73"/>
    <w:rsid w:val="006D117B"/>
    <w:rsid w:val="006D3134"/>
    <w:rsid w:val="006D599B"/>
    <w:rsid w:val="006E3BBD"/>
    <w:rsid w:val="006F079E"/>
    <w:rsid w:val="006F57C5"/>
    <w:rsid w:val="00712031"/>
    <w:rsid w:val="0072088E"/>
    <w:rsid w:val="0072452A"/>
    <w:rsid w:val="00727BB4"/>
    <w:rsid w:val="007332AC"/>
    <w:rsid w:val="007355F8"/>
    <w:rsid w:val="00740B6B"/>
    <w:rsid w:val="00744258"/>
    <w:rsid w:val="00754E35"/>
    <w:rsid w:val="00772229"/>
    <w:rsid w:val="00786C02"/>
    <w:rsid w:val="0079552B"/>
    <w:rsid w:val="007A3131"/>
    <w:rsid w:val="007A7EA7"/>
    <w:rsid w:val="007B45C5"/>
    <w:rsid w:val="007C16B5"/>
    <w:rsid w:val="008006BA"/>
    <w:rsid w:val="00801E43"/>
    <w:rsid w:val="00805137"/>
    <w:rsid w:val="00806584"/>
    <w:rsid w:val="008135B5"/>
    <w:rsid w:val="008168EA"/>
    <w:rsid w:val="00821374"/>
    <w:rsid w:val="008264EB"/>
    <w:rsid w:val="00855BF6"/>
    <w:rsid w:val="00856E7A"/>
    <w:rsid w:val="00864B40"/>
    <w:rsid w:val="00864E06"/>
    <w:rsid w:val="008679EE"/>
    <w:rsid w:val="008725FD"/>
    <w:rsid w:val="00872981"/>
    <w:rsid w:val="008A45B1"/>
    <w:rsid w:val="008B7A42"/>
    <w:rsid w:val="008B7E4D"/>
    <w:rsid w:val="008C23D1"/>
    <w:rsid w:val="008C7D71"/>
    <w:rsid w:val="008D03F1"/>
    <w:rsid w:val="008E59DD"/>
    <w:rsid w:val="008F339B"/>
    <w:rsid w:val="008F5371"/>
    <w:rsid w:val="008F661D"/>
    <w:rsid w:val="009032E7"/>
    <w:rsid w:val="009159B0"/>
    <w:rsid w:val="00916ACD"/>
    <w:rsid w:val="009212DC"/>
    <w:rsid w:val="009275F8"/>
    <w:rsid w:val="00927965"/>
    <w:rsid w:val="00931B74"/>
    <w:rsid w:val="009428C3"/>
    <w:rsid w:val="009551C8"/>
    <w:rsid w:val="0096095F"/>
    <w:rsid w:val="0097068A"/>
    <w:rsid w:val="00977B06"/>
    <w:rsid w:val="00984DD3"/>
    <w:rsid w:val="00991D6A"/>
    <w:rsid w:val="009B34EF"/>
    <w:rsid w:val="009B36C8"/>
    <w:rsid w:val="009C061E"/>
    <w:rsid w:val="009D67F5"/>
    <w:rsid w:val="009D6B76"/>
    <w:rsid w:val="009E4C3E"/>
    <w:rsid w:val="009F4B64"/>
    <w:rsid w:val="009F7E64"/>
    <w:rsid w:val="00A27012"/>
    <w:rsid w:val="00A31724"/>
    <w:rsid w:val="00A33499"/>
    <w:rsid w:val="00A373A5"/>
    <w:rsid w:val="00A375FD"/>
    <w:rsid w:val="00A46D81"/>
    <w:rsid w:val="00A47DFC"/>
    <w:rsid w:val="00A508E7"/>
    <w:rsid w:val="00A513F3"/>
    <w:rsid w:val="00A5489E"/>
    <w:rsid w:val="00A56F9C"/>
    <w:rsid w:val="00A66260"/>
    <w:rsid w:val="00A70C9C"/>
    <w:rsid w:val="00A8299E"/>
    <w:rsid w:val="00A91F90"/>
    <w:rsid w:val="00A9715D"/>
    <w:rsid w:val="00AB6205"/>
    <w:rsid w:val="00AC249F"/>
    <w:rsid w:val="00AC409A"/>
    <w:rsid w:val="00AD2793"/>
    <w:rsid w:val="00AD35C3"/>
    <w:rsid w:val="00AD6CB1"/>
    <w:rsid w:val="00B05CC8"/>
    <w:rsid w:val="00B25EB0"/>
    <w:rsid w:val="00B343E4"/>
    <w:rsid w:val="00B36744"/>
    <w:rsid w:val="00B42851"/>
    <w:rsid w:val="00B53405"/>
    <w:rsid w:val="00B548EA"/>
    <w:rsid w:val="00B57943"/>
    <w:rsid w:val="00B72423"/>
    <w:rsid w:val="00B82546"/>
    <w:rsid w:val="00B8277F"/>
    <w:rsid w:val="00B92B30"/>
    <w:rsid w:val="00B934F9"/>
    <w:rsid w:val="00B94BBC"/>
    <w:rsid w:val="00B955AA"/>
    <w:rsid w:val="00B95C18"/>
    <w:rsid w:val="00BA2DFF"/>
    <w:rsid w:val="00BA597D"/>
    <w:rsid w:val="00BB7735"/>
    <w:rsid w:val="00BF05B4"/>
    <w:rsid w:val="00C02E7F"/>
    <w:rsid w:val="00C0782D"/>
    <w:rsid w:val="00C17D3A"/>
    <w:rsid w:val="00C34142"/>
    <w:rsid w:val="00C3468B"/>
    <w:rsid w:val="00C42D17"/>
    <w:rsid w:val="00C44DA5"/>
    <w:rsid w:val="00C53BF0"/>
    <w:rsid w:val="00C72571"/>
    <w:rsid w:val="00C9401D"/>
    <w:rsid w:val="00CB1BC9"/>
    <w:rsid w:val="00CB1E5A"/>
    <w:rsid w:val="00CB5B1A"/>
    <w:rsid w:val="00CC6777"/>
    <w:rsid w:val="00CC7190"/>
    <w:rsid w:val="00CD20F6"/>
    <w:rsid w:val="00CD2E2E"/>
    <w:rsid w:val="00CD5C3B"/>
    <w:rsid w:val="00CF60C9"/>
    <w:rsid w:val="00D0550A"/>
    <w:rsid w:val="00D160FE"/>
    <w:rsid w:val="00D3574D"/>
    <w:rsid w:val="00D63069"/>
    <w:rsid w:val="00D714F3"/>
    <w:rsid w:val="00D73AC6"/>
    <w:rsid w:val="00D82C96"/>
    <w:rsid w:val="00D832C9"/>
    <w:rsid w:val="00D90E96"/>
    <w:rsid w:val="00DA132C"/>
    <w:rsid w:val="00DA72DC"/>
    <w:rsid w:val="00DB1768"/>
    <w:rsid w:val="00DB2403"/>
    <w:rsid w:val="00DB2E6B"/>
    <w:rsid w:val="00DB340F"/>
    <w:rsid w:val="00DC3DA4"/>
    <w:rsid w:val="00DC4BF6"/>
    <w:rsid w:val="00DC6470"/>
    <w:rsid w:val="00DD6E35"/>
    <w:rsid w:val="00DE2F51"/>
    <w:rsid w:val="00DE356D"/>
    <w:rsid w:val="00DF62C9"/>
    <w:rsid w:val="00E07C56"/>
    <w:rsid w:val="00E07F7A"/>
    <w:rsid w:val="00E26265"/>
    <w:rsid w:val="00E4152D"/>
    <w:rsid w:val="00E57884"/>
    <w:rsid w:val="00E57C17"/>
    <w:rsid w:val="00E617E5"/>
    <w:rsid w:val="00E61C0B"/>
    <w:rsid w:val="00E8017E"/>
    <w:rsid w:val="00E84132"/>
    <w:rsid w:val="00EB328D"/>
    <w:rsid w:val="00ED51F1"/>
    <w:rsid w:val="00ED7EA5"/>
    <w:rsid w:val="00EF1508"/>
    <w:rsid w:val="00F24C77"/>
    <w:rsid w:val="00F62790"/>
    <w:rsid w:val="00F759FF"/>
    <w:rsid w:val="00F80DB8"/>
    <w:rsid w:val="00F8620A"/>
    <w:rsid w:val="00F90E18"/>
    <w:rsid w:val="00F95DF6"/>
    <w:rsid w:val="00FB3302"/>
    <w:rsid w:val="00FC5BBC"/>
    <w:rsid w:val="00FE171F"/>
    <w:rsid w:val="00FE45D8"/>
    <w:rsid w:val="00FF7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CB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977B06"/>
    <w:pPr>
      <w:keepNext/>
      <w:keepLines/>
      <w:spacing w:before="240" w:after="240" w:line="276" w:lineRule="auto"/>
      <w:jc w:val="center"/>
      <w:outlineLvl w:val="0"/>
    </w:pPr>
    <w:rPr>
      <w:rFonts w:asciiTheme="majorHAnsi" w:eastAsiaTheme="majorEastAsia" w:hAnsiTheme="majorHAnsi" w:cstheme="majorBidi"/>
      <w:b/>
      <w:bCs/>
      <w:color w:val="365F91" w:themeColor="accent1" w:themeShade="BF"/>
      <w:sz w:val="40"/>
      <w:szCs w:val="28"/>
      <w:lang w:val="en-AU"/>
    </w:rPr>
  </w:style>
  <w:style w:type="paragraph" w:styleId="Heading2">
    <w:name w:val="heading 2"/>
    <w:basedOn w:val="Normal"/>
    <w:next w:val="Normal"/>
    <w:qFormat/>
    <w:rsid w:val="00057130"/>
    <w:pPr>
      <w:keepNext/>
      <w:keepLines/>
      <w:numPr>
        <w:ilvl w:val="1"/>
        <w:numId w:val="4"/>
      </w:numPr>
      <w:spacing w:before="240" w:after="120" w:line="276" w:lineRule="auto"/>
      <w:outlineLvl w:val="1"/>
    </w:pPr>
    <w:rPr>
      <w:rFonts w:asciiTheme="majorHAnsi" w:eastAsiaTheme="majorEastAsia" w:hAnsiTheme="majorHAnsi" w:cstheme="majorBidi"/>
      <w:b/>
      <w:color w:val="365F91"/>
      <w:sz w:val="26"/>
      <w:szCs w:val="26"/>
      <w:lang w:val="en-AU"/>
    </w:rPr>
  </w:style>
  <w:style w:type="paragraph" w:styleId="Heading3">
    <w:name w:val="heading 3"/>
    <w:basedOn w:val="Normal"/>
    <w:next w:val="Normal"/>
    <w:qFormat/>
    <w:rsid w:val="00057130"/>
    <w:pPr>
      <w:spacing w:after="240" w:line="276" w:lineRule="auto"/>
      <w:outlineLvl w:val="2"/>
    </w:pPr>
    <w:rPr>
      <w:rFonts w:asciiTheme="majorHAnsi" w:eastAsiaTheme="majorEastAsia" w:hAnsiTheme="majorHAnsi" w:cstheme="majorBidi"/>
      <w:b/>
      <w:color w:val="365F91"/>
      <w:sz w:val="26"/>
      <w:szCs w:val="26"/>
      <w:lang w:val="en-AU"/>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45CC3"/>
    <w:rPr>
      <w:sz w:val="16"/>
      <w:szCs w:val="16"/>
    </w:rPr>
  </w:style>
  <w:style w:type="paragraph" w:styleId="CommentText">
    <w:name w:val="annotation text"/>
    <w:basedOn w:val="Normal"/>
    <w:link w:val="CommentTextChar"/>
    <w:uiPriority w:val="99"/>
    <w:unhideWhenUsed/>
    <w:rsid w:val="00545CC3"/>
    <w:pPr>
      <w:spacing w:after="240"/>
    </w:pPr>
    <w:rPr>
      <w:rFonts w:eastAsiaTheme="minorHAnsi" w:cstheme="minorBidi"/>
      <w:sz w:val="20"/>
      <w:szCs w:val="20"/>
      <w:lang w:val="en-AU"/>
    </w:rPr>
  </w:style>
  <w:style w:type="character" w:customStyle="1" w:styleId="CommentTextChar">
    <w:name w:val="Comment Text Char"/>
    <w:basedOn w:val="DefaultParagraphFont"/>
    <w:link w:val="CommentText"/>
    <w:uiPriority w:val="99"/>
    <w:rsid w:val="00545CC3"/>
    <w:rPr>
      <w:rFonts w:eastAsiaTheme="minorHAnsi" w:cstheme="minorBidi"/>
      <w:lang w:eastAsia="en-US"/>
    </w:rPr>
  </w:style>
  <w:style w:type="paragraph" w:styleId="BalloonText">
    <w:name w:val="Balloon Text"/>
    <w:basedOn w:val="Normal"/>
    <w:link w:val="BalloonTextChar"/>
    <w:rsid w:val="00545CC3"/>
    <w:rPr>
      <w:rFonts w:ascii="Tahoma" w:hAnsi="Tahoma" w:cs="Tahoma"/>
      <w:sz w:val="16"/>
      <w:szCs w:val="16"/>
    </w:rPr>
  </w:style>
  <w:style w:type="character" w:customStyle="1" w:styleId="BalloonTextChar">
    <w:name w:val="Balloon Text Char"/>
    <w:basedOn w:val="DefaultParagraphFont"/>
    <w:link w:val="BalloonText"/>
    <w:rsid w:val="00545CC3"/>
    <w:rPr>
      <w:rFonts w:ascii="Tahoma" w:hAnsi="Tahoma" w:cs="Tahoma"/>
      <w:sz w:val="16"/>
      <w:szCs w:val="16"/>
      <w:lang w:val="en-US" w:eastAsia="en-US"/>
    </w:rPr>
  </w:style>
  <w:style w:type="paragraph" w:styleId="CommentSubject">
    <w:name w:val="annotation subject"/>
    <w:basedOn w:val="CommentText"/>
    <w:next w:val="CommentText"/>
    <w:link w:val="CommentSubjectChar"/>
    <w:rsid w:val="00B82546"/>
    <w:pPr>
      <w:spacing w:after="0"/>
    </w:pPr>
    <w:rPr>
      <w:rFonts w:eastAsia="Times New Roman" w:cs="Times New Roman"/>
      <w:b/>
      <w:bCs/>
      <w:lang w:val="en-US"/>
    </w:rPr>
  </w:style>
  <w:style w:type="character" w:customStyle="1" w:styleId="CommentSubjectChar">
    <w:name w:val="Comment Subject Char"/>
    <w:basedOn w:val="CommentTextChar"/>
    <w:link w:val="CommentSubject"/>
    <w:rsid w:val="00B82546"/>
    <w:rPr>
      <w:rFonts w:eastAsiaTheme="minorHAnsi" w:cstheme="minorBidi"/>
      <w:b/>
      <w:bCs/>
      <w:lang w:val="en-US" w:eastAsia="en-US"/>
    </w:rPr>
  </w:style>
  <w:style w:type="paragraph" w:styleId="ListParagraph">
    <w:name w:val="List Paragraph"/>
    <w:basedOn w:val="Normal"/>
    <w:uiPriority w:val="34"/>
    <w:qFormat/>
    <w:rsid w:val="00057130"/>
    <w:pPr>
      <w:numPr>
        <w:numId w:val="12"/>
      </w:numPr>
      <w:spacing w:after="240"/>
      <w:ind w:left="1077"/>
    </w:pPr>
    <w:rPr>
      <w:rFonts w:eastAsiaTheme="minorHAnsi"/>
      <w:lang w:val="en-AU"/>
    </w:rPr>
  </w:style>
  <w:style w:type="paragraph" w:styleId="Header">
    <w:name w:val="header"/>
    <w:basedOn w:val="Normal"/>
    <w:link w:val="HeaderChar"/>
    <w:rsid w:val="00B343E4"/>
    <w:pPr>
      <w:tabs>
        <w:tab w:val="center" w:pos="4513"/>
        <w:tab w:val="right" w:pos="9026"/>
      </w:tabs>
    </w:pPr>
  </w:style>
  <w:style w:type="character" w:customStyle="1" w:styleId="HeaderChar">
    <w:name w:val="Header Char"/>
    <w:basedOn w:val="DefaultParagraphFont"/>
    <w:link w:val="Header"/>
    <w:rsid w:val="00B343E4"/>
    <w:rPr>
      <w:sz w:val="24"/>
      <w:szCs w:val="24"/>
      <w:lang w:val="en-US" w:eastAsia="en-US"/>
    </w:rPr>
  </w:style>
  <w:style w:type="paragraph" w:styleId="Footer">
    <w:name w:val="footer"/>
    <w:basedOn w:val="Normal"/>
    <w:link w:val="FooterChar"/>
    <w:uiPriority w:val="99"/>
    <w:rsid w:val="00B343E4"/>
    <w:pPr>
      <w:tabs>
        <w:tab w:val="center" w:pos="4513"/>
        <w:tab w:val="right" w:pos="9026"/>
      </w:tabs>
    </w:pPr>
  </w:style>
  <w:style w:type="character" w:customStyle="1" w:styleId="FooterChar">
    <w:name w:val="Footer Char"/>
    <w:basedOn w:val="DefaultParagraphFont"/>
    <w:link w:val="Footer"/>
    <w:uiPriority w:val="99"/>
    <w:rsid w:val="00B343E4"/>
    <w:rPr>
      <w:sz w:val="24"/>
      <w:szCs w:val="24"/>
      <w:lang w:val="en-US" w:eastAsia="en-US"/>
    </w:rPr>
  </w:style>
  <w:style w:type="paragraph" w:styleId="Revision">
    <w:name w:val="Revision"/>
    <w:hidden/>
    <w:uiPriority w:val="99"/>
    <w:semiHidden/>
    <w:rsid w:val="00C3468B"/>
    <w:rPr>
      <w:sz w:val="24"/>
      <w:szCs w:val="24"/>
      <w:lang w:val="en-US" w:eastAsia="en-US"/>
    </w:rPr>
  </w:style>
  <w:style w:type="character" w:styleId="Hyperlink">
    <w:name w:val="Hyperlink"/>
    <w:basedOn w:val="DefaultParagraphFont"/>
    <w:rsid w:val="004F3A54"/>
    <w:rPr>
      <w:color w:val="0000FF" w:themeColor="hyperlink"/>
      <w:u w:val="single"/>
    </w:rPr>
  </w:style>
  <w:style w:type="character" w:styleId="FollowedHyperlink">
    <w:name w:val="FollowedHyperlink"/>
    <w:basedOn w:val="DefaultParagraphFont"/>
    <w:rsid w:val="004F3A54"/>
    <w:rPr>
      <w:color w:val="800080" w:themeColor="followedHyperlink"/>
      <w:u w:val="single"/>
    </w:rPr>
  </w:style>
  <w:style w:type="character" w:styleId="Emphasis">
    <w:name w:val="Emphasis"/>
    <w:basedOn w:val="DefaultParagraphFont"/>
    <w:qFormat/>
    <w:rsid w:val="004C690E"/>
    <w:rPr>
      <w:i/>
      <w:iCs/>
    </w:rPr>
  </w:style>
  <w:style w:type="paragraph" w:customStyle="1" w:styleId="Points">
    <w:name w:val="Points"/>
    <w:basedOn w:val="Normal"/>
    <w:qFormat/>
    <w:rsid w:val="00057130"/>
    <w:pPr>
      <w:numPr>
        <w:numId w:val="1"/>
      </w:numPr>
      <w:spacing w:after="120" w:line="276" w:lineRule="auto"/>
      <w:ind w:left="714" w:hanging="357"/>
    </w:pPr>
    <w:rPr>
      <w:rFonts w:eastAsiaTheme="minorHAnsi" w:cstheme="minorBidi"/>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977B06"/>
    <w:pPr>
      <w:keepNext/>
      <w:keepLines/>
      <w:spacing w:before="240" w:after="240" w:line="276" w:lineRule="auto"/>
      <w:jc w:val="center"/>
      <w:outlineLvl w:val="0"/>
    </w:pPr>
    <w:rPr>
      <w:rFonts w:asciiTheme="majorHAnsi" w:eastAsiaTheme="majorEastAsia" w:hAnsiTheme="majorHAnsi" w:cstheme="majorBidi"/>
      <w:b/>
      <w:bCs/>
      <w:color w:val="365F91" w:themeColor="accent1" w:themeShade="BF"/>
      <w:sz w:val="40"/>
      <w:szCs w:val="28"/>
      <w:lang w:val="en-AU"/>
    </w:rPr>
  </w:style>
  <w:style w:type="paragraph" w:styleId="Heading2">
    <w:name w:val="heading 2"/>
    <w:basedOn w:val="Normal"/>
    <w:next w:val="Normal"/>
    <w:qFormat/>
    <w:rsid w:val="00057130"/>
    <w:pPr>
      <w:keepNext/>
      <w:keepLines/>
      <w:numPr>
        <w:ilvl w:val="1"/>
        <w:numId w:val="4"/>
      </w:numPr>
      <w:spacing w:before="240" w:after="120" w:line="276" w:lineRule="auto"/>
      <w:outlineLvl w:val="1"/>
    </w:pPr>
    <w:rPr>
      <w:rFonts w:asciiTheme="majorHAnsi" w:eastAsiaTheme="majorEastAsia" w:hAnsiTheme="majorHAnsi" w:cstheme="majorBidi"/>
      <w:b/>
      <w:color w:val="365F91"/>
      <w:sz w:val="26"/>
      <w:szCs w:val="26"/>
      <w:lang w:val="en-AU"/>
    </w:rPr>
  </w:style>
  <w:style w:type="paragraph" w:styleId="Heading3">
    <w:name w:val="heading 3"/>
    <w:basedOn w:val="Normal"/>
    <w:next w:val="Normal"/>
    <w:qFormat/>
    <w:rsid w:val="00057130"/>
    <w:pPr>
      <w:spacing w:after="240" w:line="276" w:lineRule="auto"/>
      <w:outlineLvl w:val="2"/>
    </w:pPr>
    <w:rPr>
      <w:rFonts w:asciiTheme="majorHAnsi" w:eastAsiaTheme="majorEastAsia" w:hAnsiTheme="majorHAnsi" w:cstheme="majorBidi"/>
      <w:b/>
      <w:color w:val="365F91"/>
      <w:sz w:val="26"/>
      <w:szCs w:val="26"/>
      <w:lang w:val="en-AU"/>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45CC3"/>
    <w:rPr>
      <w:sz w:val="16"/>
      <w:szCs w:val="16"/>
    </w:rPr>
  </w:style>
  <w:style w:type="paragraph" w:styleId="CommentText">
    <w:name w:val="annotation text"/>
    <w:basedOn w:val="Normal"/>
    <w:link w:val="CommentTextChar"/>
    <w:uiPriority w:val="99"/>
    <w:unhideWhenUsed/>
    <w:rsid w:val="00545CC3"/>
    <w:pPr>
      <w:spacing w:after="240"/>
    </w:pPr>
    <w:rPr>
      <w:rFonts w:eastAsiaTheme="minorHAnsi" w:cstheme="minorBidi"/>
      <w:sz w:val="20"/>
      <w:szCs w:val="20"/>
      <w:lang w:val="en-AU"/>
    </w:rPr>
  </w:style>
  <w:style w:type="character" w:customStyle="1" w:styleId="CommentTextChar">
    <w:name w:val="Comment Text Char"/>
    <w:basedOn w:val="DefaultParagraphFont"/>
    <w:link w:val="CommentText"/>
    <w:uiPriority w:val="99"/>
    <w:rsid w:val="00545CC3"/>
    <w:rPr>
      <w:rFonts w:eastAsiaTheme="minorHAnsi" w:cstheme="minorBidi"/>
      <w:lang w:eastAsia="en-US"/>
    </w:rPr>
  </w:style>
  <w:style w:type="paragraph" w:styleId="BalloonText">
    <w:name w:val="Balloon Text"/>
    <w:basedOn w:val="Normal"/>
    <w:link w:val="BalloonTextChar"/>
    <w:rsid w:val="00545CC3"/>
    <w:rPr>
      <w:rFonts w:ascii="Tahoma" w:hAnsi="Tahoma" w:cs="Tahoma"/>
      <w:sz w:val="16"/>
      <w:szCs w:val="16"/>
    </w:rPr>
  </w:style>
  <w:style w:type="character" w:customStyle="1" w:styleId="BalloonTextChar">
    <w:name w:val="Balloon Text Char"/>
    <w:basedOn w:val="DefaultParagraphFont"/>
    <w:link w:val="BalloonText"/>
    <w:rsid w:val="00545CC3"/>
    <w:rPr>
      <w:rFonts w:ascii="Tahoma" w:hAnsi="Tahoma" w:cs="Tahoma"/>
      <w:sz w:val="16"/>
      <w:szCs w:val="16"/>
      <w:lang w:val="en-US" w:eastAsia="en-US"/>
    </w:rPr>
  </w:style>
  <w:style w:type="paragraph" w:styleId="CommentSubject">
    <w:name w:val="annotation subject"/>
    <w:basedOn w:val="CommentText"/>
    <w:next w:val="CommentText"/>
    <w:link w:val="CommentSubjectChar"/>
    <w:rsid w:val="00B82546"/>
    <w:pPr>
      <w:spacing w:after="0"/>
    </w:pPr>
    <w:rPr>
      <w:rFonts w:eastAsia="Times New Roman" w:cs="Times New Roman"/>
      <w:b/>
      <w:bCs/>
      <w:lang w:val="en-US"/>
    </w:rPr>
  </w:style>
  <w:style w:type="character" w:customStyle="1" w:styleId="CommentSubjectChar">
    <w:name w:val="Comment Subject Char"/>
    <w:basedOn w:val="CommentTextChar"/>
    <w:link w:val="CommentSubject"/>
    <w:rsid w:val="00B82546"/>
    <w:rPr>
      <w:rFonts w:eastAsiaTheme="minorHAnsi" w:cstheme="minorBidi"/>
      <w:b/>
      <w:bCs/>
      <w:lang w:val="en-US" w:eastAsia="en-US"/>
    </w:rPr>
  </w:style>
  <w:style w:type="paragraph" w:styleId="ListParagraph">
    <w:name w:val="List Paragraph"/>
    <w:basedOn w:val="Normal"/>
    <w:uiPriority w:val="34"/>
    <w:qFormat/>
    <w:rsid w:val="00057130"/>
    <w:pPr>
      <w:numPr>
        <w:numId w:val="12"/>
      </w:numPr>
      <w:spacing w:after="240"/>
      <w:ind w:left="1077"/>
    </w:pPr>
    <w:rPr>
      <w:rFonts w:eastAsiaTheme="minorHAnsi"/>
      <w:lang w:val="en-AU"/>
    </w:rPr>
  </w:style>
  <w:style w:type="paragraph" w:styleId="Header">
    <w:name w:val="header"/>
    <w:basedOn w:val="Normal"/>
    <w:link w:val="HeaderChar"/>
    <w:rsid w:val="00B343E4"/>
    <w:pPr>
      <w:tabs>
        <w:tab w:val="center" w:pos="4513"/>
        <w:tab w:val="right" w:pos="9026"/>
      </w:tabs>
    </w:pPr>
  </w:style>
  <w:style w:type="character" w:customStyle="1" w:styleId="HeaderChar">
    <w:name w:val="Header Char"/>
    <w:basedOn w:val="DefaultParagraphFont"/>
    <w:link w:val="Header"/>
    <w:rsid w:val="00B343E4"/>
    <w:rPr>
      <w:sz w:val="24"/>
      <w:szCs w:val="24"/>
      <w:lang w:val="en-US" w:eastAsia="en-US"/>
    </w:rPr>
  </w:style>
  <w:style w:type="paragraph" w:styleId="Footer">
    <w:name w:val="footer"/>
    <w:basedOn w:val="Normal"/>
    <w:link w:val="FooterChar"/>
    <w:uiPriority w:val="99"/>
    <w:rsid w:val="00B343E4"/>
    <w:pPr>
      <w:tabs>
        <w:tab w:val="center" w:pos="4513"/>
        <w:tab w:val="right" w:pos="9026"/>
      </w:tabs>
    </w:pPr>
  </w:style>
  <w:style w:type="character" w:customStyle="1" w:styleId="FooterChar">
    <w:name w:val="Footer Char"/>
    <w:basedOn w:val="DefaultParagraphFont"/>
    <w:link w:val="Footer"/>
    <w:uiPriority w:val="99"/>
    <w:rsid w:val="00B343E4"/>
    <w:rPr>
      <w:sz w:val="24"/>
      <w:szCs w:val="24"/>
      <w:lang w:val="en-US" w:eastAsia="en-US"/>
    </w:rPr>
  </w:style>
  <w:style w:type="paragraph" w:styleId="Revision">
    <w:name w:val="Revision"/>
    <w:hidden/>
    <w:uiPriority w:val="99"/>
    <w:semiHidden/>
    <w:rsid w:val="00C3468B"/>
    <w:rPr>
      <w:sz w:val="24"/>
      <w:szCs w:val="24"/>
      <w:lang w:val="en-US" w:eastAsia="en-US"/>
    </w:rPr>
  </w:style>
  <w:style w:type="character" w:styleId="Hyperlink">
    <w:name w:val="Hyperlink"/>
    <w:basedOn w:val="DefaultParagraphFont"/>
    <w:rsid w:val="004F3A54"/>
    <w:rPr>
      <w:color w:val="0000FF" w:themeColor="hyperlink"/>
      <w:u w:val="single"/>
    </w:rPr>
  </w:style>
  <w:style w:type="character" w:styleId="FollowedHyperlink">
    <w:name w:val="FollowedHyperlink"/>
    <w:basedOn w:val="DefaultParagraphFont"/>
    <w:rsid w:val="004F3A54"/>
    <w:rPr>
      <w:color w:val="800080" w:themeColor="followedHyperlink"/>
      <w:u w:val="single"/>
    </w:rPr>
  </w:style>
  <w:style w:type="character" w:styleId="Emphasis">
    <w:name w:val="Emphasis"/>
    <w:basedOn w:val="DefaultParagraphFont"/>
    <w:qFormat/>
    <w:rsid w:val="004C690E"/>
    <w:rPr>
      <w:i/>
      <w:iCs/>
    </w:rPr>
  </w:style>
  <w:style w:type="paragraph" w:customStyle="1" w:styleId="Points">
    <w:name w:val="Points"/>
    <w:basedOn w:val="Normal"/>
    <w:qFormat/>
    <w:rsid w:val="00057130"/>
    <w:pPr>
      <w:numPr>
        <w:numId w:val="1"/>
      </w:numPr>
      <w:spacing w:after="120" w:line="276" w:lineRule="auto"/>
      <w:ind w:left="714" w:hanging="357"/>
    </w:pPr>
    <w:rPr>
      <w:rFonts w:eastAsiaTheme="minorHAnsi" w:cstheme="minorBid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4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oag.gov.au/sites/default/files/files/National%20Ice%20Action%20Strategy.pdf" TargetMode="External"/><Relationship Id="rId4" Type="http://schemas.microsoft.com/office/2007/relationships/stylesWithEffects" Target="stylesWithEffects.xml"/><Relationship Id="rId9" Type="http://schemas.openxmlformats.org/officeDocument/2006/relationships/hyperlink" Target="https://www.dpmc.gov.au/sites/default/files/publications/national_ice_taskforce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5BF5-ECDD-4216-B815-21DDB9C0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2057</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2017-04-21T06:05:00Z</dcterms:created>
  <dcterms:modified xsi:type="dcterms:W3CDTF">2017-04-21T06:05:00Z</dcterms:modified>
</cp:coreProperties>
</file>