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E20" w:rsidRPr="00F327FE" w:rsidRDefault="002F17BE">
      <w:pPr>
        <w:rPr>
          <w:rFonts w:asciiTheme="minorHAnsi" w:hAnsiTheme="minorHAnsi"/>
          <w:b/>
        </w:rPr>
      </w:pPr>
      <w:r>
        <w:rPr>
          <w:rFonts w:asciiTheme="minorHAnsi" w:hAnsiTheme="minorHAnsi"/>
          <w:b/>
        </w:rPr>
        <w:t>P</w:t>
      </w:r>
      <w:r w:rsidR="008A6BA1" w:rsidRPr="00F327FE">
        <w:rPr>
          <w:rFonts w:asciiTheme="minorHAnsi" w:hAnsiTheme="minorHAnsi"/>
          <w:b/>
        </w:rPr>
        <w:t>RIMARY HEALTH NETWORKS (PHNS) AND ABORIGINAL COMMUNITY CONTROLLED HEALTH ORGANISATIONS (ACCHOS) – GUIDING PRINCIPLES</w:t>
      </w:r>
    </w:p>
    <w:p w:rsidR="000D4137" w:rsidRDefault="000D4137" w:rsidP="002F17BE">
      <w:pPr>
        <w:pBdr>
          <w:top w:val="double" w:sz="4" w:space="1" w:color="auto"/>
          <w:left w:val="double" w:sz="4" w:space="4" w:color="auto"/>
          <w:bottom w:val="double" w:sz="4" w:space="1" w:color="auto"/>
          <w:right w:val="double" w:sz="4" w:space="4" w:color="auto"/>
        </w:pBdr>
        <w:shd w:val="clear" w:color="auto" w:fill="F2F2F2" w:themeFill="background1" w:themeFillShade="F2"/>
        <w:spacing w:after="0"/>
        <w:ind w:left="-142" w:right="-425"/>
        <w:jc w:val="center"/>
        <w:rPr>
          <w:rFonts w:asciiTheme="minorHAnsi" w:eastAsia="Calibri" w:hAnsiTheme="minorHAnsi" w:cs="Times New Roman"/>
          <w:szCs w:val="24"/>
        </w:rPr>
      </w:pPr>
      <w:r>
        <w:rPr>
          <w:rFonts w:asciiTheme="minorHAnsi" w:eastAsia="Calibri" w:hAnsiTheme="minorHAnsi" w:cs="Times New Roman"/>
          <w:szCs w:val="24"/>
        </w:rPr>
        <w:t xml:space="preserve">In his </w:t>
      </w:r>
      <w:r>
        <w:rPr>
          <w:rFonts w:asciiTheme="minorHAnsi" w:eastAsia="Calibri" w:hAnsiTheme="minorHAnsi" w:cs="Times New Roman"/>
          <w:i/>
          <w:szCs w:val="24"/>
        </w:rPr>
        <w:t>Closing the Gap</w:t>
      </w:r>
      <w:r>
        <w:rPr>
          <w:rFonts w:asciiTheme="minorHAnsi" w:eastAsia="Calibri" w:hAnsiTheme="minorHAnsi" w:cs="Times New Roman"/>
          <w:szCs w:val="24"/>
        </w:rPr>
        <w:t xml:space="preserve"> address on 10 February 2016, the Prime Minister the Hon Malcolm Turnbull MP called for government to “do things </w:t>
      </w:r>
      <w:r>
        <w:rPr>
          <w:rFonts w:asciiTheme="minorHAnsi" w:eastAsia="Calibri" w:hAnsiTheme="minorHAnsi" w:cs="Times New Roman"/>
          <w:i/>
          <w:szCs w:val="24"/>
        </w:rPr>
        <w:t>with</w:t>
      </w:r>
      <w:r>
        <w:rPr>
          <w:rFonts w:asciiTheme="minorHAnsi" w:eastAsia="Calibri" w:hAnsiTheme="minorHAnsi" w:cs="Times New Roman"/>
          <w:szCs w:val="24"/>
        </w:rPr>
        <w:t xml:space="preserve"> Aboriginal people, not do things </w:t>
      </w:r>
      <w:r>
        <w:rPr>
          <w:rFonts w:asciiTheme="minorHAnsi" w:eastAsia="Calibri" w:hAnsiTheme="minorHAnsi" w:cs="Times New Roman"/>
          <w:i/>
          <w:szCs w:val="24"/>
        </w:rPr>
        <w:t>to</w:t>
      </w:r>
      <w:r>
        <w:rPr>
          <w:rFonts w:asciiTheme="minorHAnsi" w:eastAsia="Calibri" w:hAnsiTheme="minorHAnsi" w:cs="Times New Roman"/>
          <w:szCs w:val="24"/>
        </w:rPr>
        <w:t xml:space="preserve"> them”.</w:t>
      </w:r>
    </w:p>
    <w:p w:rsidR="002F17BE" w:rsidRDefault="002F17BE" w:rsidP="00F327FE">
      <w:pPr>
        <w:spacing w:after="0"/>
        <w:rPr>
          <w:rFonts w:asciiTheme="minorHAnsi" w:eastAsia="Calibri" w:hAnsiTheme="minorHAnsi" w:cs="Times New Roman"/>
          <w:b/>
          <w:szCs w:val="24"/>
          <w:u w:val="single"/>
        </w:rPr>
      </w:pPr>
    </w:p>
    <w:p w:rsidR="00A27324" w:rsidRDefault="008A6BA1" w:rsidP="00F327FE">
      <w:pPr>
        <w:spacing w:after="0"/>
        <w:rPr>
          <w:rFonts w:asciiTheme="minorHAnsi" w:eastAsia="Calibri" w:hAnsiTheme="minorHAnsi" w:cs="Times New Roman"/>
          <w:b/>
          <w:szCs w:val="24"/>
          <w:u w:val="single"/>
        </w:rPr>
      </w:pPr>
      <w:r>
        <w:rPr>
          <w:rFonts w:asciiTheme="minorHAnsi" w:eastAsia="Calibri" w:hAnsiTheme="minorHAnsi" w:cs="Times New Roman"/>
          <w:b/>
          <w:szCs w:val="24"/>
          <w:u w:val="single"/>
        </w:rPr>
        <w:t>Purpose</w:t>
      </w:r>
    </w:p>
    <w:p w:rsidR="00A27324" w:rsidRDefault="00A27324" w:rsidP="00A27324">
      <w:pPr>
        <w:rPr>
          <w:rFonts w:asciiTheme="minorHAnsi" w:eastAsia="Calibri" w:hAnsiTheme="minorHAnsi" w:cs="Times New Roman"/>
          <w:szCs w:val="24"/>
        </w:rPr>
      </w:pPr>
      <w:r>
        <w:rPr>
          <w:rFonts w:asciiTheme="minorHAnsi" w:eastAsia="Calibri" w:hAnsiTheme="minorHAnsi" w:cs="Times New Roman"/>
          <w:szCs w:val="24"/>
        </w:rPr>
        <w:t xml:space="preserve">This document </w:t>
      </w:r>
      <w:r w:rsidR="00EC3A6A">
        <w:rPr>
          <w:rFonts w:asciiTheme="minorHAnsi" w:eastAsia="Calibri" w:hAnsiTheme="minorHAnsi" w:cs="Times New Roman"/>
          <w:szCs w:val="24"/>
        </w:rPr>
        <w:t>recognises the</w:t>
      </w:r>
      <w:r>
        <w:rPr>
          <w:rFonts w:asciiTheme="minorHAnsi" w:eastAsia="Calibri" w:hAnsiTheme="minorHAnsi" w:cs="Times New Roman"/>
          <w:szCs w:val="24"/>
        </w:rPr>
        <w:t xml:space="preserve"> commitment by Primary Health Networks</w:t>
      </w:r>
      <w:r w:rsidR="00030916">
        <w:rPr>
          <w:rFonts w:asciiTheme="minorHAnsi" w:eastAsia="Calibri" w:hAnsiTheme="minorHAnsi" w:cs="Times New Roman"/>
          <w:szCs w:val="24"/>
        </w:rPr>
        <w:t xml:space="preserve"> (PHNs)</w:t>
      </w:r>
      <w:r>
        <w:rPr>
          <w:rFonts w:asciiTheme="minorHAnsi" w:eastAsia="Calibri" w:hAnsiTheme="minorHAnsi" w:cs="Times New Roman"/>
          <w:szCs w:val="24"/>
        </w:rPr>
        <w:t xml:space="preserve"> and Aboriginal Community Controlled Health Organisations</w:t>
      </w:r>
      <w:r w:rsidR="00030916">
        <w:rPr>
          <w:rFonts w:asciiTheme="minorHAnsi" w:eastAsia="Calibri" w:hAnsiTheme="minorHAnsi" w:cs="Times New Roman"/>
          <w:szCs w:val="24"/>
        </w:rPr>
        <w:t xml:space="preserve"> (ACCHOs)</w:t>
      </w:r>
      <w:r>
        <w:rPr>
          <w:rFonts w:asciiTheme="minorHAnsi" w:eastAsia="Calibri" w:hAnsiTheme="minorHAnsi" w:cs="Times New Roman"/>
          <w:szCs w:val="24"/>
        </w:rPr>
        <w:t xml:space="preserve"> to work together to improve access to health services and improve health outcomes for Aboriginal and Torres Strait Islander</w:t>
      </w:r>
      <w:r w:rsidR="002A6DC7">
        <w:rPr>
          <w:rFonts w:asciiTheme="minorHAnsi" w:eastAsia="Calibri" w:hAnsiTheme="minorHAnsi" w:cs="Times New Roman"/>
          <w:szCs w:val="24"/>
        </w:rPr>
        <w:t xml:space="preserve"> people</w:t>
      </w:r>
      <w:r>
        <w:rPr>
          <w:rFonts w:asciiTheme="minorHAnsi" w:eastAsia="Calibri" w:hAnsiTheme="minorHAnsi" w:cs="Times New Roman"/>
          <w:szCs w:val="24"/>
        </w:rPr>
        <w:t xml:space="preserve">. It </w:t>
      </w:r>
      <w:r w:rsidR="00EC3A6A">
        <w:rPr>
          <w:rFonts w:asciiTheme="minorHAnsi" w:eastAsia="Calibri" w:hAnsiTheme="minorHAnsi" w:cs="Times New Roman"/>
          <w:szCs w:val="24"/>
        </w:rPr>
        <w:t xml:space="preserve">provides guidance for </w:t>
      </w:r>
      <w:r>
        <w:rPr>
          <w:rFonts w:asciiTheme="minorHAnsi" w:eastAsia="Calibri" w:hAnsiTheme="minorHAnsi" w:cs="Times New Roman"/>
          <w:szCs w:val="24"/>
        </w:rPr>
        <w:t>actions to be taken by each party across six key domains: Closing the Gap; cultural competency; commissioning; engagement and representation; accountability, data and reporting; service delivery; and research.</w:t>
      </w:r>
    </w:p>
    <w:p w:rsidR="00EC3A6A" w:rsidRPr="004824EF" w:rsidRDefault="00EC3A6A" w:rsidP="00A27324">
      <w:pPr>
        <w:rPr>
          <w:rFonts w:asciiTheme="minorHAnsi" w:eastAsia="Calibri" w:hAnsiTheme="minorHAnsi" w:cs="Times New Roman"/>
          <w:szCs w:val="24"/>
        </w:rPr>
      </w:pPr>
      <w:r>
        <w:rPr>
          <w:rFonts w:asciiTheme="minorHAnsi" w:eastAsia="Calibri" w:hAnsiTheme="minorHAnsi" w:cs="Times New Roman"/>
          <w:szCs w:val="24"/>
        </w:rPr>
        <w:t>This document has been developed in consultation with ACCHO Peak Bodies and PHNs.</w:t>
      </w:r>
    </w:p>
    <w:p w:rsidR="00345DB4" w:rsidRDefault="00345DB4" w:rsidP="00F327FE">
      <w:pPr>
        <w:spacing w:after="0"/>
        <w:rPr>
          <w:rFonts w:asciiTheme="minorHAnsi" w:eastAsia="Calibri" w:hAnsiTheme="minorHAnsi" w:cs="Times New Roman"/>
          <w:b/>
          <w:szCs w:val="24"/>
          <w:u w:val="single"/>
        </w:rPr>
      </w:pPr>
      <w:r w:rsidRPr="005206E8">
        <w:rPr>
          <w:rFonts w:asciiTheme="minorHAnsi" w:eastAsia="Calibri" w:hAnsiTheme="minorHAnsi" w:cs="Times New Roman"/>
          <w:b/>
          <w:szCs w:val="24"/>
          <w:u w:val="single"/>
        </w:rPr>
        <w:t>Context</w:t>
      </w:r>
    </w:p>
    <w:p w:rsidR="00EA541B" w:rsidRPr="00EA541B" w:rsidRDefault="00EA541B" w:rsidP="00EA541B">
      <w:pPr>
        <w:spacing w:after="0"/>
        <w:rPr>
          <w:rFonts w:asciiTheme="minorHAnsi" w:eastAsia="Calibri" w:hAnsiTheme="minorHAnsi" w:cs="Times New Roman"/>
          <w:szCs w:val="24"/>
        </w:rPr>
      </w:pPr>
      <w:r w:rsidRPr="00EA541B">
        <w:rPr>
          <w:rFonts w:asciiTheme="minorHAnsi" w:eastAsia="Calibri" w:hAnsiTheme="minorHAnsi" w:cs="Times New Roman"/>
          <w:szCs w:val="24"/>
        </w:rPr>
        <w:t>Aboriginal health means not just the physical well-being of an individual but refers to the social, emotional and cultural well-being of the whole Community in which each individual is able to achieve their full potential as a human being thereby bringing about the total well-being of their Community.</w:t>
      </w:r>
    </w:p>
    <w:p w:rsidR="00EA541B" w:rsidRPr="00EA541B" w:rsidRDefault="00EA541B" w:rsidP="00EA541B">
      <w:pPr>
        <w:spacing w:after="0"/>
        <w:rPr>
          <w:rFonts w:asciiTheme="minorHAnsi" w:eastAsia="Calibri" w:hAnsiTheme="minorHAnsi" w:cs="Times New Roman"/>
          <w:szCs w:val="24"/>
        </w:rPr>
      </w:pPr>
    </w:p>
    <w:p w:rsidR="00EA541B" w:rsidRDefault="00EA541B" w:rsidP="00EA541B">
      <w:pPr>
        <w:spacing w:after="0"/>
        <w:rPr>
          <w:rFonts w:asciiTheme="minorHAnsi" w:eastAsia="Calibri" w:hAnsiTheme="minorHAnsi" w:cs="Times New Roman"/>
          <w:szCs w:val="24"/>
        </w:rPr>
      </w:pPr>
      <w:r w:rsidRPr="00EA541B">
        <w:rPr>
          <w:rFonts w:asciiTheme="minorHAnsi" w:eastAsia="Calibri" w:hAnsiTheme="minorHAnsi" w:cs="Times New Roman"/>
          <w:szCs w:val="24"/>
        </w:rPr>
        <w:t>It is a whole of life view and includes the cyclical concept of life-death-life.</w:t>
      </w:r>
    </w:p>
    <w:p w:rsidR="00EA541B" w:rsidRPr="00EA541B" w:rsidRDefault="00EA541B" w:rsidP="00EA541B">
      <w:pPr>
        <w:spacing w:after="0"/>
        <w:rPr>
          <w:rFonts w:asciiTheme="minorHAnsi" w:eastAsia="Calibri" w:hAnsiTheme="minorHAnsi" w:cs="Times New Roman"/>
          <w:szCs w:val="24"/>
        </w:rPr>
      </w:pPr>
    </w:p>
    <w:p w:rsidR="00EC3A6A" w:rsidRPr="00EA541B" w:rsidRDefault="00EC3A6A" w:rsidP="00EC3A6A">
      <w:pPr>
        <w:spacing w:after="0"/>
        <w:rPr>
          <w:rFonts w:asciiTheme="minorHAnsi" w:eastAsia="Calibri" w:hAnsiTheme="minorHAnsi" w:cs="Times New Roman"/>
          <w:b/>
          <w:i/>
          <w:szCs w:val="24"/>
        </w:rPr>
      </w:pPr>
      <w:r w:rsidRPr="00EA541B">
        <w:rPr>
          <w:rFonts w:asciiTheme="minorHAnsi" w:eastAsia="Calibri" w:hAnsiTheme="minorHAnsi" w:cs="Times New Roman"/>
          <w:b/>
          <w:i/>
          <w:szCs w:val="24"/>
        </w:rPr>
        <w:t>Health outcomes for Aboriginal and Torres Strait Islander people</w:t>
      </w:r>
    </w:p>
    <w:p w:rsidR="002A6DC7" w:rsidRDefault="00F84726" w:rsidP="00A1206C">
      <w:pPr>
        <w:rPr>
          <w:rFonts w:asciiTheme="minorHAnsi" w:eastAsia="Calibri" w:hAnsiTheme="minorHAnsi" w:cs="Times New Roman"/>
          <w:szCs w:val="24"/>
        </w:rPr>
      </w:pPr>
      <w:r>
        <w:rPr>
          <w:rFonts w:asciiTheme="minorHAnsi" w:eastAsia="Calibri" w:hAnsiTheme="minorHAnsi" w:cs="Times New Roman"/>
          <w:szCs w:val="24"/>
        </w:rPr>
        <w:t>W</w:t>
      </w:r>
      <w:r w:rsidRPr="001B07E0">
        <w:rPr>
          <w:rFonts w:asciiTheme="minorHAnsi" w:eastAsia="Calibri" w:hAnsiTheme="minorHAnsi" w:cs="Times New Roman"/>
          <w:szCs w:val="24"/>
        </w:rPr>
        <w:t>hilst there have been significant improvements in health outcomes over the last decade, Aboriginal and Torres Strait Islander mortality rates are currently twice that of non-Indigenous Australians.</w:t>
      </w:r>
      <w:r w:rsidRPr="00AB2E19">
        <w:rPr>
          <w:rFonts w:asciiTheme="minorHAnsi" w:eastAsia="Calibri" w:hAnsiTheme="minorHAnsi" w:cs="Times New Roman"/>
          <w:szCs w:val="24"/>
        </w:rPr>
        <w:t xml:space="preserve"> </w:t>
      </w:r>
      <w:r w:rsidRPr="00F84726">
        <w:rPr>
          <w:rFonts w:asciiTheme="minorHAnsi" w:eastAsia="Calibri" w:hAnsiTheme="minorHAnsi" w:cs="Times New Roman"/>
          <w:szCs w:val="24"/>
        </w:rPr>
        <w:t xml:space="preserve">In 2010-12, </w:t>
      </w:r>
      <w:r w:rsidR="002A6DC7">
        <w:rPr>
          <w:rFonts w:asciiTheme="minorHAnsi" w:eastAsia="Calibri" w:hAnsiTheme="minorHAnsi" w:cs="Times New Roman"/>
          <w:szCs w:val="24"/>
        </w:rPr>
        <w:t xml:space="preserve">the gap in </w:t>
      </w:r>
      <w:r w:rsidRPr="00F84726">
        <w:rPr>
          <w:rFonts w:asciiTheme="minorHAnsi" w:eastAsia="Calibri" w:hAnsiTheme="minorHAnsi" w:cs="Times New Roman"/>
          <w:szCs w:val="24"/>
        </w:rPr>
        <w:t xml:space="preserve">life expectancy </w:t>
      </w:r>
      <w:r w:rsidR="002A6DC7">
        <w:rPr>
          <w:rFonts w:asciiTheme="minorHAnsi" w:eastAsia="Calibri" w:hAnsiTheme="minorHAnsi" w:cs="Times New Roman"/>
          <w:szCs w:val="24"/>
        </w:rPr>
        <w:t xml:space="preserve">between Aboriginal and Torres Strait Islander people and non-Indigenous Australians </w:t>
      </w:r>
      <w:r w:rsidRPr="00F84726">
        <w:rPr>
          <w:rFonts w:asciiTheme="minorHAnsi" w:eastAsia="Calibri" w:hAnsiTheme="minorHAnsi" w:cs="Times New Roman"/>
          <w:szCs w:val="24"/>
        </w:rPr>
        <w:t>was estimated to be 10.6 years for males and 9.5 years for females</w:t>
      </w:r>
      <w:r>
        <w:rPr>
          <w:rFonts w:asciiTheme="minorHAnsi" w:eastAsia="Calibri" w:hAnsiTheme="minorHAnsi" w:cs="Times New Roman"/>
          <w:szCs w:val="24"/>
        </w:rPr>
        <w:t xml:space="preserve">.  </w:t>
      </w:r>
      <w:r w:rsidR="00A1206C" w:rsidRPr="00F320DC">
        <w:rPr>
          <w:rFonts w:asciiTheme="minorHAnsi" w:eastAsia="Calibri" w:hAnsiTheme="minorHAnsi" w:cs="Times New Roman"/>
          <w:b/>
          <w:szCs w:val="24"/>
        </w:rPr>
        <w:t>Our shared goal is to realise health equality by 2031.</w:t>
      </w:r>
      <w:r w:rsidR="00A1206C" w:rsidRPr="00A1206C">
        <w:rPr>
          <w:rFonts w:asciiTheme="minorHAnsi" w:eastAsia="Calibri" w:hAnsiTheme="minorHAnsi" w:cs="Times New Roman"/>
          <w:szCs w:val="24"/>
        </w:rPr>
        <w:t xml:space="preserve"> We know that good health enables</w:t>
      </w:r>
      <w:r w:rsidR="00A1206C">
        <w:rPr>
          <w:rFonts w:asciiTheme="minorHAnsi" w:eastAsia="Calibri" w:hAnsiTheme="minorHAnsi" w:cs="Times New Roman"/>
          <w:szCs w:val="24"/>
        </w:rPr>
        <w:t xml:space="preserve"> </w:t>
      </w:r>
      <w:r w:rsidR="00A1206C" w:rsidRPr="00A1206C">
        <w:rPr>
          <w:rFonts w:asciiTheme="minorHAnsi" w:eastAsia="Calibri" w:hAnsiTheme="minorHAnsi" w:cs="Times New Roman"/>
          <w:szCs w:val="24"/>
        </w:rPr>
        <w:t>Aboriginal and Torres Strait Islander children to have the best possible</w:t>
      </w:r>
      <w:r w:rsidR="00A1206C">
        <w:rPr>
          <w:rFonts w:asciiTheme="minorHAnsi" w:eastAsia="Calibri" w:hAnsiTheme="minorHAnsi" w:cs="Times New Roman"/>
          <w:szCs w:val="24"/>
        </w:rPr>
        <w:t xml:space="preserve"> </w:t>
      </w:r>
      <w:r w:rsidR="00A1206C" w:rsidRPr="00A1206C">
        <w:rPr>
          <w:rFonts w:asciiTheme="minorHAnsi" w:eastAsia="Calibri" w:hAnsiTheme="minorHAnsi" w:cs="Times New Roman"/>
          <w:szCs w:val="24"/>
        </w:rPr>
        <w:t>start to life, and adults to lead active, full and productive lives.</w:t>
      </w:r>
    </w:p>
    <w:p w:rsidR="002A6DC7" w:rsidRDefault="002A6DC7" w:rsidP="002A6DC7">
      <w:pPr>
        <w:rPr>
          <w:rFonts w:asciiTheme="minorHAnsi" w:eastAsia="Calibri" w:hAnsiTheme="minorHAnsi" w:cs="Times New Roman"/>
          <w:szCs w:val="24"/>
        </w:rPr>
      </w:pPr>
      <w:r w:rsidRPr="00A67C15">
        <w:rPr>
          <w:rFonts w:asciiTheme="minorHAnsi" w:eastAsia="Calibri" w:hAnsiTheme="minorHAnsi" w:cs="Times New Roman"/>
          <w:szCs w:val="24"/>
        </w:rPr>
        <w:t>The health system’s response to th</w:t>
      </w:r>
      <w:r w:rsidR="00A1206C">
        <w:rPr>
          <w:rFonts w:asciiTheme="minorHAnsi" w:eastAsia="Calibri" w:hAnsiTheme="minorHAnsi" w:cs="Times New Roman"/>
          <w:szCs w:val="24"/>
        </w:rPr>
        <w:t>i</w:t>
      </w:r>
      <w:r w:rsidRPr="00A67C15">
        <w:rPr>
          <w:rFonts w:asciiTheme="minorHAnsi" w:eastAsia="Calibri" w:hAnsiTheme="minorHAnsi" w:cs="Times New Roman"/>
          <w:szCs w:val="24"/>
        </w:rPr>
        <w:t>s challenge involves a combinati</w:t>
      </w:r>
      <w:r w:rsidR="00030916">
        <w:rPr>
          <w:rFonts w:asciiTheme="minorHAnsi" w:eastAsia="Calibri" w:hAnsiTheme="minorHAnsi" w:cs="Times New Roman"/>
          <w:szCs w:val="24"/>
        </w:rPr>
        <w:t>on of private and public state and t</w:t>
      </w:r>
      <w:r w:rsidRPr="00A67C15">
        <w:rPr>
          <w:rFonts w:asciiTheme="minorHAnsi" w:eastAsia="Calibri" w:hAnsiTheme="minorHAnsi" w:cs="Times New Roman"/>
          <w:szCs w:val="24"/>
        </w:rPr>
        <w:t xml:space="preserve">erritory providers and </w:t>
      </w:r>
      <w:r>
        <w:rPr>
          <w:rFonts w:asciiTheme="minorHAnsi" w:eastAsia="Calibri" w:hAnsiTheme="minorHAnsi" w:cs="Times New Roman"/>
          <w:szCs w:val="24"/>
        </w:rPr>
        <w:t>Indigenous-specific</w:t>
      </w:r>
      <w:r w:rsidRPr="00A67C15">
        <w:rPr>
          <w:rFonts w:asciiTheme="minorHAnsi" w:eastAsia="Calibri" w:hAnsiTheme="minorHAnsi" w:cs="Times New Roman"/>
          <w:szCs w:val="24"/>
        </w:rPr>
        <w:t xml:space="preserve"> primary care </w:t>
      </w:r>
      <w:r>
        <w:rPr>
          <w:rFonts w:asciiTheme="minorHAnsi" w:eastAsia="Calibri" w:hAnsiTheme="minorHAnsi" w:cs="Times New Roman"/>
          <w:szCs w:val="24"/>
        </w:rPr>
        <w:t>providers</w:t>
      </w:r>
      <w:r w:rsidRPr="00A67C15">
        <w:rPr>
          <w:rFonts w:asciiTheme="minorHAnsi" w:eastAsia="Calibri" w:hAnsiTheme="minorHAnsi" w:cs="Times New Roman"/>
          <w:szCs w:val="24"/>
        </w:rPr>
        <w:t xml:space="preserve"> </w:t>
      </w:r>
      <w:r>
        <w:rPr>
          <w:rFonts w:asciiTheme="minorHAnsi" w:eastAsia="Calibri" w:hAnsiTheme="minorHAnsi" w:cs="Times New Roman"/>
          <w:szCs w:val="24"/>
        </w:rPr>
        <w:t>(delivered primaril</w:t>
      </w:r>
      <w:r w:rsidR="00030916">
        <w:rPr>
          <w:rFonts w:asciiTheme="minorHAnsi" w:eastAsia="Calibri" w:hAnsiTheme="minorHAnsi" w:cs="Times New Roman"/>
          <w:szCs w:val="24"/>
        </w:rPr>
        <w:t>y through</w:t>
      </w:r>
      <w:r w:rsidR="00B85AAE">
        <w:rPr>
          <w:rFonts w:asciiTheme="minorHAnsi" w:eastAsia="Calibri" w:hAnsiTheme="minorHAnsi" w:cs="Times New Roman"/>
          <w:szCs w:val="24"/>
        </w:rPr>
        <w:t xml:space="preserve"> </w:t>
      </w:r>
      <w:r>
        <w:rPr>
          <w:rFonts w:asciiTheme="minorHAnsi" w:eastAsia="Calibri" w:hAnsiTheme="minorHAnsi" w:cs="Times New Roman"/>
          <w:szCs w:val="24"/>
        </w:rPr>
        <w:t>A</w:t>
      </w:r>
      <w:r w:rsidRPr="00A67C15">
        <w:rPr>
          <w:rFonts w:asciiTheme="minorHAnsi" w:eastAsia="Calibri" w:hAnsiTheme="minorHAnsi" w:cs="Times New Roman"/>
          <w:szCs w:val="24"/>
        </w:rPr>
        <w:t>CCHOs</w:t>
      </w:r>
      <w:r>
        <w:rPr>
          <w:rFonts w:asciiTheme="minorHAnsi" w:eastAsia="Calibri" w:hAnsiTheme="minorHAnsi" w:cs="Times New Roman"/>
          <w:szCs w:val="24"/>
        </w:rPr>
        <w:t>)</w:t>
      </w:r>
      <w:r w:rsidRPr="00A67C15">
        <w:rPr>
          <w:rFonts w:asciiTheme="minorHAnsi" w:eastAsia="Calibri" w:hAnsiTheme="minorHAnsi" w:cs="Times New Roman"/>
          <w:szCs w:val="24"/>
        </w:rPr>
        <w:t xml:space="preserve">. </w:t>
      </w:r>
    </w:p>
    <w:p w:rsidR="00F84726" w:rsidRDefault="00A1206C" w:rsidP="00F327FE">
      <w:pPr>
        <w:tabs>
          <w:tab w:val="left" w:pos="2835"/>
        </w:tabs>
        <w:rPr>
          <w:rFonts w:asciiTheme="minorHAnsi" w:hAnsiTheme="minorHAnsi"/>
          <w:szCs w:val="24"/>
        </w:rPr>
      </w:pPr>
      <w:r>
        <w:rPr>
          <w:rFonts w:asciiTheme="minorHAnsi" w:eastAsia="Calibri" w:hAnsiTheme="minorHAnsi" w:cs="Times New Roman"/>
          <w:szCs w:val="24"/>
        </w:rPr>
        <w:t>T</w:t>
      </w:r>
      <w:r w:rsidR="002A6DC7">
        <w:rPr>
          <w:rFonts w:asciiTheme="minorHAnsi" w:eastAsia="Calibri" w:hAnsiTheme="minorHAnsi" w:cs="Times New Roman"/>
          <w:szCs w:val="24"/>
        </w:rPr>
        <w:t>he use of health services</w:t>
      </w:r>
      <w:r>
        <w:rPr>
          <w:rFonts w:asciiTheme="minorHAnsi" w:eastAsia="Calibri" w:hAnsiTheme="minorHAnsi" w:cs="Times New Roman"/>
          <w:szCs w:val="24"/>
        </w:rPr>
        <w:t xml:space="preserve"> by Aboriginal and Torres Strait Islander people</w:t>
      </w:r>
      <w:r w:rsidR="002A6DC7">
        <w:rPr>
          <w:rFonts w:asciiTheme="minorHAnsi" w:eastAsia="Calibri" w:hAnsiTheme="minorHAnsi" w:cs="Times New Roman"/>
          <w:szCs w:val="24"/>
        </w:rPr>
        <w:t xml:space="preserve"> has increased,</w:t>
      </w:r>
      <w:r>
        <w:rPr>
          <w:rFonts w:asciiTheme="minorHAnsi" w:eastAsia="Calibri" w:hAnsiTheme="minorHAnsi" w:cs="Times New Roman"/>
          <w:szCs w:val="24"/>
        </w:rPr>
        <w:t xml:space="preserve"> however</w:t>
      </w:r>
      <w:r w:rsidR="002A6DC7">
        <w:rPr>
          <w:rFonts w:asciiTheme="minorHAnsi" w:eastAsia="Calibri" w:hAnsiTheme="minorHAnsi" w:cs="Times New Roman"/>
          <w:szCs w:val="24"/>
        </w:rPr>
        <w:t xml:space="preserve"> </w:t>
      </w:r>
      <w:r w:rsidR="008B2AE6">
        <w:rPr>
          <w:rFonts w:asciiTheme="minorHAnsi" w:eastAsia="Calibri" w:hAnsiTheme="minorHAnsi" w:cs="Times New Roman"/>
          <w:szCs w:val="24"/>
        </w:rPr>
        <w:t>a</w:t>
      </w:r>
      <w:r w:rsidR="00F84726" w:rsidRPr="00AB2E19">
        <w:rPr>
          <w:rFonts w:asciiTheme="minorHAnsi" w:hAnsiTheme="minorHAnsi"/>
          <w:szCs w:val="24"/>
        </w:rPr>
        <w:t xml:space="preserve">ccess to health </w:t>
      </w:r>
      <w:r w:rsidR="002A6DC7">
        <w:rPr>
          <w:rFonts w:asciiTheme="minorHAnsi" w:hAnsiTheme="minorHAnsi"/>
          <w:szCs w:val="24"/>
        </w:rPr>
        <w:t>care</w:t>
      </w:r>
      <w:r w:rsidR="00F84726" w:rsidRPr="00AB2E19">
        <w:rPr>
          <w:rFonts w:asciiTheme="minorHAnsi" w:hAnsiTheme="minorHAnsi"/>
          <w:szCs w:val="24"/>
        </w:rPr>
        <w:t xml:space="preserve"> is still very limited when health status is taken into account. </w:t>
      </w:r>
      <w:r w:rsidR="00F84726" w:rsidRPr="00AB2E19">
        <w:rPr>
          <w:rFonts w:asciiTheme="minorHAnsi" w:eastAsia="Calibri" w:hAnsiTheme="minorHAnsi" w:cs="Times New Roman"/>
          <w:szCs w:val="24"/>
        </w:rPr>
        <w:t>There continues to be a need to improve access to w</w:t>
      </w:r>
      <w:r w:rsidR="00F84726" w:rsidRPr="00AB2E19">
        <w:rPr>
          <w:rFonts w:asciiTheme="minorHAnsi" w:hAnsiTheme="minorHAnsi"/>
          <w:szCs w:val="24"/>
        </w:rPr>
        <w:t xml:space="preserve">ell-run </w:t>
      </w:r>
      <w:r w:rsidR="00F84726">
        <w:rPr>
          <w:rFonts w:asciiTheme="minorHAnsi" w:hAnsiTheme="minorHAnsi"/>
          <w:szCs w:val="24"/>
        </w:rPr>
        <w:t xml:space="preserve">and culturally appropriate </w:t>
      </w:r>
      <w:r w:rsidR="00F84726" w:rsidRPr="00AB2E19">
        <w:rPr>
          <w:rFonts w:asciiTheme="minorHAnsi" w:hAnsiTheme="minorHAnsi"/>
          <w:szCs w:val="24"/>
        </w:rPr>
        <w:t xml:space="preserve">health services and programs that effectively engage with community. </w:t>
      </w:r>
      <w:r w:rsidR="00F84726">
        <w:rPr>
          <w:rFonts w:asciiTheme="minorHAnsi" w:hAnsiTheme="minorHAnsi"/>
          <w:szCs w:val="24"/>
        </w:rPr>
        <w:t>Services should also</w:t>
      </w:r>
      <w:r w:rsidR="00F84726" w:rsidRPr="00AB2E19">
        <w:rPr>
          <w:rFonts w:asciiTheme="minorHAnsi" w:hAnsiTheme="minorHAnsi"/>
          <w:szCs w:val="24"/>
        </w:rPr>
        <w:t xml:space="preserve"> work with the community to improve health.</w:t>
      </w:r>
    </w:p>
    <w:p w:rsidR="008A6BA1" w:rsidRPr="0099175F" w:rsidRDefault="00A87D27" w:rsidP="008A6BA1">
      <w:pPr>
        <w:rPr>
          <w:rFonts w:asciiTheme="minorHAnsi" w:eastAsia="Calibri" w:hAnsiTheme="minorHAnsi" w:cs="Times New Roman"/>
          <w:szCs w:val="24"/>
        </w:rPr>
      </w:pPr>
      <w:r w:rsidRPr="00777E0A">
        <w:rPr>
          <w:rFonts w:asciiTheme="minorHAnsi" w:eastAsia="Calibri" w:hAnsiTheme="minorHAnsi" w:cs="Times New Roman"/>
          <w:szCs w:val="24"/>
        </w:rPr>
        <w:t xml:space="preserve">The establishment of PHNs provides an opportunity to build connections across the health system to further improve access for Aboriginal and Torres Strait Islander people to appropriately targeted care that is effective and culturally appropriate. </w:t>
      </w:r>
      <w:r w:rsidR="008A6BA1">
        <w:rPr>
          <w:rFonts w:asciiTheme="minorHAnsi" w:eastAsia="Calibri" w:hAnsiTheme="minorHAnsi" w:cs="Times New Roman"/>
          <w:szCs w:val="24"/>
        </w:rPr>
        <w:t xml:space="preserve">And importantly, to </w:t>
      </w:r>
      <w:r w:rsidR="008A6BA1">
        <w:rPr>
          <w:rFonts w:asciiTheme="minorHAnsi" w:eastAsia="Calibri" w:hAnsiTheme="minorHAnsi" w:cs="Times New Roman"/>
          <w:szCs w:val="24"/>
        </w:rPr>
        <w:lastRenderedPageBreak/>
        <w:t xml:space="preserve">ensure that there is </w:t>
      </w:r>
      <w:r w:rsidR="008A6BA1" w:rsidRPr="0099175F">
        <w:rPr>
          <w:rFonts w:asciiTheme="minorHAnsi" w:eastAsia="Calibri" w:hAnsiTheme="minorHAnsi" w:cs="Times New Roman"/>
          <w:szCs w:val="24"/>
        </w:rPr>
        <w:t>full and ongoing participation by Aboriginal and Torres Strait Islander people and organisations in all levels of decision-making affecting their health needs.</w:t>
      </w:r>
    </w:p>
    <w:p w:rsidR="00A87D27" w:rsidRPr="00656B4A" w:rsidRDefault="00A87D27" w:rsidP="000D4137">
      <w:pPr>
        <w:spacing w:after="60"/>
        <w:rPr>
          <w:rFonts w:asciiTheme="minorHAnsi" w:eastAsia="Calibri" w:hAnsiTheme="minorHAnsi" w:cs="Times New Roman"/>
          <w:szCs w:val="24"/>
        </w:rPr>
      </w:pPr>
      <w:r w:rsidRPr="00656B4A">
        <w:rPr>
          <w:rFonts w:asciiTheme="minorHAnsi" w:eastAsia="Calibri" w:hAnsiTheme="minorHAnsi" w:cs="Times New Roman"/>
          <w:szCs w:val="24"/>
        </w:rPr>
        <w:t>There are four key factors for improving quality of life and achieving health equity across all aspects of the social determinants of health:</w:t>
      </w:r>
    </w:p>
    <w:p w:rsidR="00A87D27" w:rsidRPr="00F327FE" w:rsidRDefault="003759B3" w:rsidP="00F327FE">
      <w:pPr>
        <w:pStyle w:val="ListParagraph"/>
        <w:numPr>
          <w:ilvl w:val="0"/>
          <w:numId w:val="18"/>
        </w:numPr>
        <w:spacing w:after="0"/>
        <w:rPr>
          <w:rFonts w:asciiTheme="minorHAnsi" w:eastAsia="Calibri" w:hAnsiTheme="minorHAnsi" w:cs="Times New Roman"/>
          <w:szCs w:val="24"/>
        </w:rPr>
      </w:pPr>
      <w:r>
        <w:rPr>
          <w:rFonts w:asciiTheme="minorHAnsi" w:eastAsia="Calibri" w:hAnsiTheme="minorHAnsi" w:cs="Times New Roman"/>
          <w:szCs w:val="24"/>
        </w:rPr>
        <w:t>connection to culture</w:t>
      </w:r>
    </w:p>
    <w:p w:rsidR="00A87D27" w:rsidRPr="00F327FE" w:rsidRDefault="00A87D27" w:rsidP="00F327FE">
      <w:pPr>
        <w:pStyle w:val="ListParagraph"/>
        <w:numPr>
          <w:ilvl w:val="0"/>
          <w:numId w:val="18"/>
        </w:numPr>
        <w:spacing w:after="0"/>
        <w:rPr>
          <w:rFonts w:asciiTheme="minorHAnsi" w:eastAsia="Calibri" w:hAnsiTheme="minorHAnsi" w:cs="Times New Roman"/>
          <w:szCs w:val="24"/>
        </w:rPr>
      </w:pPr>
      <w:r w:rsidRPr="00F327FE">
        <w:rPr>
          <w:rFonts w:asciiTheme="minorHAnsi" w:eastAsia="Calibri" w:hAnsiTheme="minorHAnsi" w:cs="Times New Roman"/>
          <w:szCs w:val="24"/>
        </w:rPr>
        <w:t>allowing Aboriginal and Torres Strait Islander people to determ</w:t>
      </w:r>
      <w:r w:rsidR="003759B3">
        <w:rPr>
          <w:rFonts w:asciiTheme="minorHAnsi" w:eastAsia="Calibri" w:hAnsiTheme="minorHAnsi" w:cs="Times New Roman"/>
          <w:szCs w:val="24"/>
        </w:rPr>
        <w:t>ine and implement the solutions</w:t>
      </w:r>
    </w:p>
    <w:p w:rsidR="00A87D27" w:rsidRPr="00F327FE" w:rsidRDefault="00A87D27" w:rsidP="00F327FE">
      <w:pPr>
        <w:pStyle w:val="ListParagraph"/>
        <w:numPr>
          <w:ilvl w:val="0"/>
          <w:numId w:val="18"/>
        </w:numPr>
        <w:spacing w:after="0"/>
        <w:rPr>
          <w:rFonts w:asciiTheme="minorHAnsi" w:eastAsia="Calibri" w:hAnsiTheme="minorHAnsi" w:cs="Times New Roman"/>
          <w:szCs w:val="24"/>
        </w:rPr>
      </w:pPr>
      <w:r w:rsidRPr="00F327FE">
        <w:rPr>
          <w:rFonts w:asciiTheme="minorHAnsi" w:eastAsia="Calibri" w:hAnsiTheme="minorHAnsi" w:cs="Times New Roman"/>
          <w:szCs w:val="24"/>
        </w:rPr>
        <w:t>improving cultural awareness and respect across the wider Australian population</w:t>
      </w:r>
      <w:r w:rsidR="003759B3">
        <w:rPr>
          <w:rFonts w:asciiTheme="minorHAnsi" w:eastAsia="Calibri" w:hAnsiTheme="minorHAnsi" w:cs="Times New Roman"/>
          <w:szCs w:val="24"/>
        </w:rPr>
        <w:t>,</w:t>
      </w:r>
      <w:r w:rsidRPr="00F327FE">
        <w:rPr>
          <w:rFonts w:asciiTheme="minorHAnsi" w:eastAsia="Calibri" w:hAnsiTheme="minorHAnsi" w:cs="Times New Roman"/>
          <w:szCs w:val="24"/>
        </w:rPr>
        <w:t xml:space="preserve"> and</w:t>
      </w:r>
    </w:p>
    <w:p w:rsidR="00A87D27" w:rsidRDefault="00A87D27" w:rsidP="00F327FE">
      <w:pPr>
        <w:pStyle w:val="ListParagraph"/>
        <w:numPr>
          <w:ilvl w:val="0"/>
          <w:numId w:val="18"/>
        </w:numPr>
        <w:spacing w:after="0"/>
        <w:rPr>
          <w:rFonts w:asciiTheme="minorHAnsi" w:eastAsia="Calibri" w:hAnsiTheme="minorHAnsi" w:cs="Times New Roman"/>
          <w:szCs w:val="24"/>
        </w:rPr>
      </w:pPr>
      <w:r w:rsidRPr="00F327FE">
        <w:rPr>
          <w:rFonts w:asciiTheme="minorHAnsi" w:eastAsia="Calibri" w:hAnsiTheme="minorHAnsi" w:cs="Times New Roman"/>
          <w:szCs w:val="24"/>
        </w:rPr>
        <w:t xml:space="preserve">effective partnerships – Aboriginal and Torres Strait Islander health is everybody’s business. </w:t>
      </w:r>
    </w:p>
    <w:p w:rsidR="002F17BE" w:rsidRPr="00F327FE" w:rsidRDefault="002F17BE" w:rsidP="002F17BE">
      <w:pPr>
        <w:pStyle w:val="ListParagraph"/>
        <w:spacing w:after="0"/>
        <w:rPr>
          <w:rFonts w:asciiTheme="minorHAnsi" w:eastAsia="Calibri" w:hAnsiTheme="minorHAnsi" w:cs="Times New Roman"/>
          <w:szCs w:val="24"/>
        </w:rPr>
      </w:pPr>
    </w:p>
    <w:p w:rsidR="00F84726" w:rsidRPr="00EA541B" w:rsidRDefault="008B2AE6" w:rsidP="00F327FE">
      <w:pPr>
        <w:spacing w:after="0"/>
        <w:rPr>
          <w:rFonts w:asciiTheme="minorHAnsi" w:eastAsia="Calibri" w:hAnsiTheme="minorHAnsi" w:cs="Times New Roman"/>
          <w:b/>
          <w:i/>
          <w:szCs w:val="24"/>
        </w:rPr>
      </w:pPr>
      <w:r w:rsidRPr="00EA541B">
        <w:rPr>
          <w:rFonts w:asciiTheme="minorHAnsi" w:eastAsia="Calibri" w:hAnsiTheme="minorHAnsi" w:cs="Times New Roman"/>
          <w:b/>
          <w:i/>
          <w:szCs w:val="24"/>
        </w:rPr>
        <w:t>Implementation Plan for the Aboriginal and Torres Strait Islander Health Plan 2013-2023</w:t>
      </w:r>
    </w:p>
    <w:p w:rsidR="008B2AE6" w:rsidRDefault="008B2AE6" w:rsidP="00345DB4">
      <w:pPr>
        <w:rPr>
          <w:rFonts w:asciiTheme="minorHAnsi" w:eastAsia="Calibri" w:hAnsiTheme="minorHAnsi" w:cs="Times New Roman"/>
          <w:szCs w:val="24"/>
        </w:rPr>
      </w:pPr>
      <w:r>
        <w:rPr>
          <w:rFonts w:asciiTheme="minorHAnsi" w:eastAsia="Calibri" w:hAnsiTheme="minorHAnsi" w:cs="Times New Roman"/>
          <w:szCs w:val="24"/>
        </w:rPr>
        <w:t>The Implementation Plan for the National Aboriginal and Torres Strait Islander Health Plan was launched in September 2015.  It outlines the actions to be taken by the Australian Government and other key stakeholders to give effect to the vision of the Health Plan:</w:t>
      </w:r>
    </w:p>
    <w:p w:rsidR="008B2AE6" w:rsidRPr="001B07E0" w:rsidRDefault="008B2AE6" w:rsidP="008A6BA1">
      <w:pPr>
        <w:spacing w:after="120"/>
        <w:ind w:left="720"/>
        <w:rPr>
          <w:rFonts w:asciiTheme="minorHAnsi" w:hAnsiTheme="minorHAnsi"/>
          <w:i/>
          <w:szCs w:val="24"/>
        </w:rPr>
      </w:pPr>
      <w:r w:rsidRPr="00B04FA6">
        <w:rPr>
          <w:rFonts w:asciiTheme="minorHAnsi" w:hAnsiTheme="minorHAnsi"/>
          <w:i/>
          <w:szCs w:val="24"/>
        </w:rPr>
        <w:t xml:space="preserve">The Australian health system is free of racism and inequality and all Aboriginal and Torres Strait Islander people have access to health services that are </w:t>
      </w:r>
      <w:r w:rsidRPr="001B07E0">
        <w:rPr>
          <w:rFonts w:asciiTheme="minorHAnsi" w:hAnsiTheme="minorHAnsi"/>
          <w:i/>
          <w:szCs w:val="24"/>
        </w:rPr>
        <w:t>effective, high quality, appropriate and affordable.</w:t>
      </w:r>
      <w:r w:rsidR="008A6BA1" w:rsidRPr="008A6BA1">
        <w:t xml:space="preserve"> </w:t>
      </w:r>
      <w:r w:rsidR="008A6BA1" w:rsidRPr="008A6BA1">
        <w:rPr>
          <w:rFonts w:asciiTheme="minorHAnsi" w:hAnsiTheme="minorHAnsi"/>
          <w:i/>
          <w:szCs w:val="24"/>
        </w:rPr>
        <w:t>Together with strategies to</w:t>
      </w:r>
      <w:r w:rsidR="008A6BA1">
        <w:rPr>
          <w:rFonts w:asciiTheme="minorHAnsi" w:hAnsiTheme="minorHAnsi"/>
          <w:i/>
          <w:szCs w:val="24"/>
        </w:rPr>
        <w:t xml:space="preserve"> </w:t>
      </w:r>
      <w:r w:rsidR="008A6BA1" w:rsidRPr="008A6BA1">
        <w:rPr>
          <w:rFonts w:asciiTheme="minorHAnsi" w:hAnsiTheme="minorHAnsi"/>
          <w:i/>
          <w:szCs w:val="24"/>
        </w:rPr>
        <w:t>address social inequalities and determinants of health, this provides the</w:t>
      </w:r>
      <w:r w:rsidR="008A6BA1">
        <w:rPr>
          <w:rFonts w:asciiTheme="minorHAnsi" w:hAnsiTheme="minorHAnsi"/>
          <w:i/>
          <w:szCs w:val="24"/>
        </w:rPr>
        <w:t xml:space="preserve"> </w:t>
      </w:r>
      <w:r w:rsidR="008A6BA1" w:rsidRPr="008A6BA1">
        <w:rPr>
          <w:rFonts w:asciiTheme="minorHAnsi" w:hAnsiTheme="minorHAnsi"/>
          <w:i/>
          <w:szCs w:val="24"/>
        </w:rPr>
        <w:t>necessary platform to realise health equality by 2031.</w:t>
      </w:r>
    </w:p>
    <w:p w:rsidR="008B2AE6" w:rsidRDefault="008B2AE6" w:rsidP="008B2AE6">
      <w:pPr>
        <w:spacing w:after="120"/>
        <w:rPr>
          <w:rFonts w:asciiTheme="minorHAnsi" w:eastAsia="Calibri" w:hAnsiTheme="minorHAnsi" w:cs="Times New Roman"/>
          <w:szCs w:val="24"/>
        </w:rPr>
      </w:pPr>
      <w:r w:rsidRPr="007077B3">
        <w:rPr>
          <w:rFonts w:asciiTheme="minorHAnsi" w:hAnsiTheme="minorHAnsi"/>
          <w:szCs w:val="24"/>
        </w:rPr>
        <w:t xml:space="preserve">PHNs </w:t>
      </w:r>
      <w:r>
        <w:rPr>
          <w:rFonts w:asciiTheme="minorHAnsi" w:hAnsiTheme="minorHAnsi"/>
          <w:szCs w:val="24"/>
        </w:rPr>
        <w:t xml:space="preserve">and ACCHOs </w:t>
      </w:r>
      <w:r w:rsidRPr="007077B3">
        <w:rPr>
          <w:rFonts w:asciiTheme="minorHAnsi" w:hAnsiTheme="minorHAnsi"/>
          <w:szCs w:val="24"/>
        </w:rPr>
        <w:t xml:space="preserve">will work </w:t>
      </w:r>
      <w:r>
        <w:rPr>
          <w:rFonts w:asciiTheme="minorHAnsi" w:hAnsiTheme="minorHAnsi"/>
          <w:szCs w:val="24"/>
        </w:rPr>
        <w:t>together to advance</w:t>
      </w:r>
      <w:r w:rsidRPr="007077B3">
        <w:rPr>
          <w:rFonts w:asciiTheme="minorHAnsi" w:hAnsiTheme="minorHAnsi"/>
          <w:szCs w:val="24"/>
        </w:rPr>
        <w:t xml:space="preserve"> </w:t>
      </w:r>
      <w:r>
        <w:rPr>
          <w:rFonts w:asciiTheme="minorHAnsi" w:hAnsiTheme="minorHAnsi"/>
          <w:szCs w:val="24"/>
        </w:rPr>
        <w:t>this vision</w:t>
      </w:r>
      <w:r w:rsidR="00A87D27">
        <w:rPr>
          <w:rFonts w:asciiTheme="minorHAnsi" w:hAnsiTheme="minorHAnsi"/>
          <w:szCs w:val="24"/>
        </w:rPr>
        <w:t>,</w:t>
      </w:r>
      <w:r w:rsidR="00A87D27" w:rsidRPr="00A87D27">
        <w:rPr>
          <w:rFonts w:asciiTheme="minorHAnsi" w:eastAsia="Calibri" w:hAnsiTheme="minorHAnsi" w:cs="Times New Roman"/>
          <w:i/>
          <w:szCs w:val="24"/>
        </w:rPr>
        <w:t xml:space="preserve"> </w:t>
      </w:r>
      <w:r w:rsidR="00A87D27">
        <w:rPr>
          <w:rFonts w:asciiTheme="minorHAnsi" w:eastAsia="Calibri" w:hAnsiTheme="minorHAnsi" w:cs="Times New Roman"/>
          <w:szCs w:val="24"/>
        </w:rPr>
        <w:t>and to ensure that there</w:t>
      </w:r>
      <w:r w:rsidR="00A87D27" w:rsidRPr="00F327FE">
        <w:rPr>
          <w:rFonts w:asciiTheme="minorHAnsi" w:eastAsia="Calibri" w:hAnsiTheme="minorHAnsi" w:cs="Times New Roman"/>
          <w:szCs w:val="24"/>
        </w:rPr>
        <w:t xml:space="preserve"> is a full and ongoing participation by Aboriginal and Torres Strait Islander people and organisations in all levels of decision-making affecting their health needs</w:t>
      </w:r>
      <w:r w:rsidR="00A87D27">
        <w:rPr>
          <w:rFonts w:asciiTheme="minorHAnsi" w:eastAsia="Calibri" w:hAnsiTheme="minorHAnsi" w:cs="Times New Roman"/>
          <w:szCs w:val="24"/>
        </w:rPr>
        <w:t>.</w:t>
      </w:r>
    </w:p>
    <w:p w:rsidR="00096AF6" w:rsidRDefault="00096AF6" w:rsidP="00096AF6">
      <w:pPr>
        <w:pStyle w:val="ListParagraph"/>
        <w:spacing w:after="0"/>
        <w:rPr>
          <w:rFonts w:asciiTheme="minorHAnsi" w:eastAsia="Calibri" w:hAnsiTheme="minorHAnsi" w:cs="Times New Roman"/>
          <w:szCs w:val="24"/>
        </w:rPr>
      </w:pPr>
    </w:p>
    <w:p w:rsidR="008B2AE6" w:rsidRPr="00EA541B" w:rsidRDefault="008B2AE6" w:rsidP="00F327FE">
      <w:pPr>
        <w:spacing w:after="0"/>
        <w:rPr>
          <w:rFonts w:asciiTheme="minorHAnsi" w:eastAsia="Calibri" w:hAnsiTheme="minorHAnsi" w:cs="Times New Roman"/>
          <w:b/>
          <w:i/>
          <w:szCs w:val="24"/>
        </w:rPr>
      </w:pPr>
      <w:r w:rsidRPr="00EA541B">
        <w:rPr>
          <w:rFonts w:asciiTheme="minorHAnsi" w:eastAsia="Calibri" w:hAnsiTheme="minorHAnsi" w:cs="Times New Roman"/>
          <w:b/>
          <w:i/>
          <w:szCs w:val="24"/>
        </w:rPr>
        <w:t xml:space="preserve">Aboriginal </w:t>
      </w:r>
      <w:r w:rsidR="00E76256" w:rsidRPr="00EA541B">
        <w:rPr>
          <w:rFonts w:asciiTheme="minorHAnsi" w:eastAsia="Calibri" w:hAnsiTheme="minorHAnsi" w:cs="Times New Roman"/>
          <w:b/>
          <w:i/>
          <w:szCs w:val="24"/>
        </w:rPr>
        <w:t>C</w:t>
      </w:r>
      <w:r w:rsidR="00A87D27" w:rsidRPr="00EA541B">
        <w:rPr>
          <w:rFonts w:asciiTheme="minorHAnsi" w:eastAsia="Calibri" w:hAnsiTheme="minorHAnsi" w:cs="Times New Roman"/>
          <w:b/>
          <w:i/>
          <w:szCs w:val="24"/>
        </w:rPr>
        <w:t xml:space="preserve">ommunity </w:t>
      </w:r>
      <w:r w:rsidR="00E76256" w:rsidRPr="00EA541B">
        <w:rPr>
          <w:rFonts w:asciiTheme="minorHAnsi" w:eastAsia="Calibri" w:hAnsiTheme="minorHAnsi" w:cs="Times New Roman"/>
          <w:b/>
          <w:i/>
          <w:szCs w:val="24"/>
        </w:rPr>
        <w:t>C</w:t>
      </w:r>
      <w:r w:rsidR="00A87D27" w:rsidRPr="00EA541B">
        <w:rPr>
          <w:rFonts w:asciiTheme="minorHAnsi" w:eastAsia="Calibri" w:hAnsiTheme="minorHAnsi" w:cs="Times New Roman"/>
          <w:b/>
          <w:i/>
          <w:szCs w:val="24"/>
        </w:rPr>
        <w:t xml:space="preserve">ontrolled </w:t>
      </w:r>
      <w:r w:rsidR="00E76256" w:rsidRPr="00EA541B">
        <w:rPr>
          <w:rFonts w:asciiTheme="minorHAnsi" w:eastAsia="Calibri" w:hAnsiTheme="minorHAnsi" w:cs="Times New Roman"/>
          <w:b/>
          <w:i/>
          <w:szCs w:val="24"/>
        </w:rPr>
        <w:t>H</w:t>
      </w:r>
      <w:r w:rsidR="00A87D27" w:rsidRPr="00EA541B">
        <w:rPr>
          <w:rFonts w:asciiTheme="minorHAnsi" w:eastAsia="Calibri" w:hAnsiTheme="minorHAnsi" w:cs="Times New Roman"/>
          <w:b/>
          <w:i/>
          <w:szCs w:val="24"/>
        </w:rPr>
        <w:t xml:space="preserve">ealth </w:t>
      </w:r>
      <w:r w:rsidR="00E76256" w:rsidRPr="00EA541B">
        <w:rPr>
          <w:rFonts w:asciiTheme="minorHAnsi" w:eastAsia="Calibri" w:hAnsiTheme="minorHAnsi" w:cs="Times New Roman"/>
          <w:b/>
          <w:i/>
          <w:szCs w:val="24"/>
        </w:rPr>
        <w:t>O</w:t>
      </w:r>
      <w:r w:rsidR="00A87D27" w:rsidRPr="00EA541B">
        <w:rPr>
          <w:rFonts w:asciiTheme="minorHAnsi" w:eastAsia="Calibri" w:hAnsiTheme="minorHAnsi" w:cs="Times New Roman"/>
          <w:b/>
          <w:i/>
          <w:szCs w:val="24"/>
        </w:rPr>
        <w:t>rganisations</w:t>
      </w:r>
    </w:p>
    <w:p w:rsidR="00030916" w:rsidRDefault="00E76256" w:rsidP="00A1206C">
      <w:pPr>
        <w:rPr>
          <w:rFonts w:asciiTheme="minorHAnsi" w:eastAsia="Calibri" w:hAnsiTheme="minorHAnsi" w:cs="Times New Roman"/>
          <w:szCs w:val="24"/>
        </w:rPr>
      </w:pPr>
      <w:r>
        <w:rPr>
          <w:rFonts w:asciiTheme="minorHAnsi" w:eastAsia="Calibri" w:hAnsiTheme="minorHAnsi" w:cs="Times New Roman"/>
          <w:szCs w:val="24"/>
        </w:rPr>
        <w:t xml:space="preserve">ACCHOs </w:t>
      </w:r>
      <w:r w:rsidR="00A87D27" w:rsidRPr="00F327FE">
        <w:rPr>
          <w:rFonts w:asciiTheme="minorHAnsi" w:eastAsia="Calibri" w:hAnsiTheme="minorHAnsi" w:cs="Times New Roman"/>
          <w:szCs w:val="24"/>
        </w:rPr>
        <w:t xml:space="preserve">provide unique contributions in delivering holistic, comprehensive and culturally appropriate health care. </w:t>
      </w:r>
      <w:r w:rsidR="00A1206C" w:rsidRPr="00656B4A">
        <w:rPr>
          <w:rFonts w:asciiTheme="minorHAnsi" w:eastAsia="Calibri" w:hAnsiTheme="minorHAnsi" w:cs="Times New Roman"/>
          <w:szCs w:val="24"/>
        </w:rPr>
        <w:t xml:space="preserve">ACCHOs are at heart and by constitution Aboriginal </w:t>
      </w:r>
      <w:r w:rsidR="00A1206C">
        <w:rPr>
          <w:rFonts w:asciiTheme="minorHAnsi" w:eastAsia="Calibri" w:hAnsiTheme="minorHAnsi" w:cs="Times New Roman"/>
          <w:szCs w:val="24"/>
        </w:rPr>
        <w:t xml:space="preserve">and/or Torres Strait Islander </w:t>
      </w:r>
      <w:r w:rsidR="00A1206C" w:rsidRPr="00656B4A">
        <w:rPr>
          <w:rFonts w:asciiTheme="minorHAnsi" w:eastAsia="Calibri" w:hAnsiTheme="minorHAnsi" w:cs="Times New Roman"/>
          <w:szCs w:val="24"/>
        </w:rPr>
        <w:t xml:space="preserve">community organisations.  </w:t>
      </w:r>
    </w:p>
    <w:p w:rsidR="00030916" w:rsidRDefault="00A1206C" w:rsidP="00A1206C">
      <w:pPr>
        <w:rPr>
          <w:rFonts w:asciiTheme="minorHAnsi" w:eastAsia="Calibri" w:hAnsiTheme="minorHAnsi" w:cs="Times New Roman"/>
          <w:szCs w:val="24"/>
        </w:rPr>
      </w:pPr>
      <w:r w:rsidRPr="00656B4A">
        <w:rPr>
          <w:rFonts w:asciiTheme="minorHAnsi" w:eastAsia="Calibri" w:hAnsiTheme="minorHAnsi" w:cs="Times New Roman"/>
          <w:szCs w:val="24"/>
        </w:rPr>
        <w:t>Aboriginality is intrinsic to identity</w:t>
      </w:r>
      <w:r>
        <w:rPr>
          <w:rFonts w:asciiTheme="minorHAnsi" w:eastAsia="Calibri" w:hAnsiTheme="minorHAnsi" w:cs="Times New Roman"/>
          <w:szCs w:val="24"/>
        </w:rPr>
        <w:t xml:space="preserve"> and</w:t>
      </w:r>
      <w:r w:rsidRPr="00656B4A">
        <w:rPr>
          <w:rFonts w:asciiTheme="minorHAnsi" w:eastAsia="Calibri" w:hAnsiTheme="minorHAnsi" w:cs="Times New Roman"/>
          <w:szCs w:val="24"/>
        </w:rPr>
        <w:t xml:space="preserve"> essential to communities.  Aboriginal </w:t>
      </w:r>
      <w:r>
        <w:rPr>
          <w:rFonts w:asciiTheme="minorHAnsi" w:eastAsia="Calibri" w:hAnsiTheme="minorHAnsi" w:cs="Times New Roman"/>
          <w:szCs w:val="24"/>
        </w:rPr>
        <w:t xml:space="preserve">and Torres Strait Islander </w:t>
      </w:r>
      <w:r w:rsidRPr="00656B4A">
        <w:rPr>
          <w:rFonts w:asciiTheme="minorHAnsi" w:eastAsia="Calibri" w:hAnsiTheme="minorHAnsi" w:cs="Times New Roman"/>
          <w:szCs w:val="24"/>
        </w:rPr>
        <w:t>culture</w:t>
      </w:r>
      <w:r>
        <w:rPr>
          <w:rFonts w:asciiTheme="minorHAnsi" w:eastAsia="Calibri" w:hAnsiTheme="minorHAnsi" w:cs="Times New Roman"/>
          <w:szCs w:val="24"/>
        </w:rPr>
        <w:t>s are</w:t>
      </w:r>
      <w:r w:rsidRPr="00656B4A">
        <w:rPr>
          <w:rFonts w:asciiTheme="minorHAnsi" w:eastAsia="Calibri" w:hAnsiTheme="minorHAnsi" w:cs="Times New Roman"/>
          <w:szCs w:val="24"/>
        </w:rPr>
        <w:t xml:space="preserve"> ancient and contemporary, dynamic, strong, vulnerable and valuable.  </w:t>
      </w:r>
      <w:r w:rsidR="00030916">
        <w:rPr>
          <w:rFonts w:asciiTheme="minorHAnsi" w:eastAsia="Calibri" w:hAnsiTheme="minorHAnsi" w:cs="Times New Roman"/>
          <w:szCs w:val="24"/>
        </w:rPr>
        <w:t xml:space="preserve">Cultural identity is part of the </w:t>
      </w:r>
      <w:r w:rsidR="00030916" w:rsidRPr="00656B4A">
        <w:rPr>
          <w:rFonts w:asciiTheme="minorHAnsi" w:eastAsia="Calibri" w:hAnsiTheme="minorHAnsi" w:cs="Times New Roman"/>
          <w:szCs w:val="24"/>
        </w:rPr>
        <w:t>strength</w:t>
      </w:r>
      <w:r w:rsidR="00030916">
        <w:rPr>
          <w:rFonts w:asciiTheme="minorHAnsi" w:eastAsia="Calibri" w:hAnsiTheme="minorHAnsi" w:cs="Times New Roman"/>
          <w:szCs w:val="24"/>
        </w:rPr>
        <w:t xml:space="preserve"> of ACCHOs</w:t>
      </w:r>
      <w:r w:rsidR="00030916" w:rsidRPr="00656B4A">
        <w:rPr>
          <w:rFonts w:asciiTheme="minorHAnsi" w:eastAsia="Calibri" w:hAnsiTheme="minorHAnsi" w:cs="Times New Roman"/>
          <w:szCs w:val="24"/>
        </w:rPr>
        <w:t xml:space="preserve"> as representatives of the Aboriginal </w:t>
      </w:r>
      <w:r w:rsidR="00030916">
        <w:rPr>
          <w:rFonts w:asciiTheme="minorHAnsi" w:eastAsia="Calibri" w:hAnsiTheme="minorHAnsi" w:cs="Times New Roman"/>
          <w:szCs w:val="24"/>
        </w:rPr>
        <w:t xml:space="preserve">and Torres Strait Islander </w:t>
      </w:r>
      <w:r w:rsidR="00030916" w:rsidRPr="00656B4A">
        <w:rPr>
          <w:rFonts w:asciiTheme="minorHAnsi" w:eastAsia="Calibri" w:hAnsiTheme="minorHAnsi" w:cs="Times New Roman"/>
          <w:szCs w:val="24"/>
        </w:rPr>
        <w:t>communit</w:t>
      </w:r>
      <w:r w:rsidR="00030916">
        <w:rPr>
          <w:rFonts w:asciiTheme="minorHAnsi" w:eastAsia="Calibri" w:hAnsiTheme="minorHAnsi" w:cs="Times New Roman"/>
          <w:szCs w:val="24"/>
        </w:rPr>
        <w:t>ies</w:t>
      </w:r>
      <w:r w:rsidR="00030916" w:rsidRPr="00656B4A">
        <w:rPr>
          <w:rFonts w:asciiTheme="minorHAnsi" w:eastAsia="Calibri" w:hAnsiTheme="minorHAnsi" w:cs="Times New Roman"/>
          <w:szCs w:val="24"/>
        </w:rPr>
        <w:t>.  Embracing culture and identity serves to strengthen inclusion, u</w:t>
      </w:r>
      <w:r w:rsidR="00030916">
        <w:rPr>
          <w:rFonts w:asciiTheme="minorHAnsi" w:eastAsia="Calibri" w:hAnsiTheme="minorHAnsi" w:cs="Times New Roman"/>
          <w:szCs w:val="24"/>
        </w:rPr>
        <w:t xml:space="preserve">nderstanding and health.  </w:t>
      </w:r>
    </w:p>
    <w:p w:rsidR="00030916" w:rsidRDefault="00030916" w:rsidP="00030916">
      <w:pPr>
        <w:rPr>
          <w:rFonts w:asciiTheme="minorHAnsi" w:eastAsia="Calibri" w:hAnsiTheme="minorHAnsi" w:cs="Times New Roman"/>
          <w:szCs w:val="24"/>
        </w:rPr>
      </w:pPr>
      <w:r>
        <w:rPr>
          <w:rFonts w:asciiTheme="minorHAnsi" w:eastAsia="Calibri" w:hAnsiTheme="minorHAnsi" w:cs="Times New Roman"/>
          <w:szCs w:val="24"/>
        </w:rPr>
        <w:t>ACCHOs</w:t>
      </w:r>
      <w:r w:rsidRPr="00656B4A">
        <w:rPr>
          <w:rFonts w:asciiTheme="minorHAnsi" w:eastAsia="Calibri" w:hAnsiTheme="minorHAnsi" w:cs="Times New Roman"/>
          <w:szCs w:val="24"/>
        </w:rPr>
        <w:t xml:space="preserve"> have a proud history as sustainable, grass roots organisations that build community capacity for self-determination.  ACCHOs are committed to assisting every Aboriginal</w:t>
      </w:r>
      <w:r>
        <w:rPr>
          <w:rFonts w:asciiTheme="minorHAnsi" w:eastAsia="Calibri" w:hAnsiTheme="minorHAnsi" w:cs="Times New Roman"/>
          <w:szCs w:val="24"/>
        </w:rPr>
        <w:t xml:space="preserve"> and Torres Strait Islander </w:t>
      </w:r>
      <w:r w:rsidRPr="00656B4A">
        <w:rPr>
          <w:rFonts w:asciiTheme="minorHAnsi" w:eastAsia="Calibri" w:hAnsiTheme="minorHAnsi" w:cs="Times New Roman"/>
          <w:szCs w:val="24"/>
        </w:rPr>
        <w:t xml:space="preserve">person to realise their full potential as a human being and as a member of their community.  </w:t>
      </w:r>
    </w:p>
    <w:p w:rsidR="00030916" w:rsidRDefault="00030916" w:rsidP="00030916">
      <w:pPr>
        <w:rPr>
          <w:rFonts w:asciiTheme="minorHAnsi" w:eastAsia="Calibri" w:hAnsiTheme="minorHAnsi" w:cs="Times New Roman"/>
          <w:szCs w:val="24"/>
        </w:rPr>
      </w:pPr>
      <w:r>
        <w:rPr>
          <w:rFonts w:asciiTheme="minorHAnsi" w:eastAsia="Calibri" w:hAnsiTheme="minorHAnsi" w:cs="Times New Roman"/>
          <w:szCs w:val="24"/>
        </w:rPr>
        <w:t xml:space="preserve">ACCHOs and their national, state and territory peak bodies and other Aboriginal and Torres Strait Islander health care services have played, and continue to play, an important role in empowering Aboriginal and Torres Strait Islander people to identify health needs and to develop and implement innovative local responses. </w:t>
      </w:r>
    </w:p>
    <w:p w:rsidR="00EA541B" w:rsidRDefault="00EA541B" w:rsidP="00030916">
      <w:pPr>
        <w:rPr>
          <w:rFonts w:asciiTheme="minorHAnsi" w:eastAsia="Calibri" w:hAnsiTheme="minorHAnsi" w:cs="Times New Roman"/>
          <w:szCs w:val="24"/>
        </w:rPr>
      </w:pPr>
    </w:p>
    <w:p w:rsidR="00A87D27" w:rsidRPr="00EA541B" w:rsidRDefault="00A87D27" w:rsidP="00F327FE">
      <w:pPr>
        <w:spacing w:after="0"/>
        <w:rPr>
          <w:rFonts w:asciiTheme="minorHAnsi" w:eastAsia="Calibri" w:hAnsiTheme="minorHAnsi" w:cs="Times New Roman"/>
          <w:b/>
          <w:i/>
          <w:szCs w:val="24"/>
        </w:rPr>
      </w:pPr>
      <w:r w:rsidRPr="00EA541B">
        <w:rPr>
          <w:rFonts w:asciiTheme="minorHAnsi" w:eastAsia="Calibri" w:hAnsiTheme="minorHAnsi" w:cs="Times New Roman"/>
          <w:b/>
          <w:i/>
          <w:szCs w:val="24"/>
        </w:rPr>
        <w:t>Primary Health Networks</w:t>
      </w:r>
    </w:p>
    <w:p w:rsidR="00030916" w:rsidRDefault="00030916">
      <w:pPr>
        <w:rPr>
          <w:rFonts w:asciiTheme="minorHAnsi" w:eastAsia="Calibri" w:hAnsiTheme="minorHAnsi" w:cs="Times New Roman"/>
          <w:szCs w:val="24"/>
        </w:rPr>
      </w:pPr>
      <w:r>
        <w:rPr>
          <w:rFonts w:asciiTheme="minorHAnsi" w:eastAsia="Calibri" w:hAnsiTheme="minorHAnsi" w:cs="Times New Roman"/>
          <w:szCs w:val="24"/>
        </w:rPr>
        <w:t>PHNs have been established to increase the efficiency and effectiveness of medical services for patients, particularly those at risk of poor health outcomes, and to improve coordination of care.  PHNs will achieve these objectives by working directly with general practitioners, other primary health care providers, secondary care providers and hospitals to facilitate improved outcomes for patients.</w:t>
      </w:r>
    </w:p>
    <w:p w:rsidR="00030916" w:rsidRDefault="00030916">
      <w:pPr>
        <w:rPr>
          <w:rFonts w:asciiTheme="minorHAnsi" w:eastAsia="Calibri" w:hAnsiTheme="minorHAnsi" w:cs="Times New Roman"/>
          <w:szCs w:val="24"/>
        </w:rPr>
      </w:pPr>
      <w:r>
        <w:rPr>
          <w:rFonts w:asciiTheme="minorHAnsi" w:eastAsia="Calibri" w:hAnsiTheme="minorHAnsi" w:cs="Times New Roman"/>
          <w:szCs w:val="24"/>
        </w:rPr>
        <w:t xml:space="preserve">PHNs are provided with flexible funding to enable them to respond to national priorities as determined by Government, and to respond to PHN specific priorities, identified in their needs assessments, by purchasing and commissioning required services.  </w:t>
      </w:r>
    </w:p>
    <w:p w:rsidR="00030916" w:rsidRDefault="00030916" w:rsidP="00030916">
      <w:pPr>
        <w:rPr>
          <w:rFonts w:asciiTheme="minorHAnsi" w:eastAsia="Calibri" w:hAnsiTheme="minorHAnsi" w:cs="Times New Roman"/>
          <w:b/>
          <w:i/>
          <w:szCs w:val="24"/>
          <w:u w:val="single"/>
        </w:rPr>
      </w:pPr>
      <w:r>
        <w:rPr>
          <w:rFonts w:asciiTheme="minorHAnsi" w:eastAsia="Calibri" w:hAnsiTheme="minorHAnsi" w:cs="Times New Roman"/>
          <w:szCs w:val="24"/>
        </w:rPr>
        <w:t>PHNs already have, and will continue to have, broad engagement across their region including with ACCHOs and Aboriginal Medical Services.</w:t>
      </w:r>
    </w:p>
    <w:p w:rsidR="00030916" w:rsidRPr="00EA541B" w:rsidRDefault="00030916" w:rsidP="00F327FE">
      <w:pPr>
        <w:spacing w:after="0"/>
        <w:rPr>
          <w:rFonts w:asciiTheme="minorHAnsi" w:eastAsia="Calibri" w:hAnsiTheme="minorHAnsi" w:cs="Times New Roman"/>
          <w:b/>
          <w:i/>
          <w:szCs w:val="24"/>
        </w:rPr>
      </w:pPr>
      <w:r w:rsidRPr="00EA541B">
        <w:rPr>
          <w:rFonts w:asciiTheme="minorHAnsi" w:eastAsia="Calibri" w:hAnsiTheme="minorHAnsi" w:cs="Times New Roman"/>
          <w:b/>
          <w:i/>
          <w:szCs w:val="24"/>
        </w:rPr>
        <w:t>Working in Partnership</w:t>
      </w:r>
    </w:p>
    <w:p w:rsidR="00030916" w:rsidRPr="00751444" w:rsidRDefault="00030916" w:rsidP="00030916">
      <w:pPr>
        <w:rPr>
          <w:rFonts w:asciiTheme="minorHAnsi" w:eastAsia="Calibri" w:hAnsiTheme="minorHAnsi" w:cs="Times New Roman"/>
          <w:szCs w:val="24"/>
        </w:rPr>
      </w:pPr>
      <w:r>
        <w:rPr>
          <w:rFonts w:asciiTheme="minorHAnsi" w:eastAsia="Calibri" w:hAnsiTheme="minorHAnsi" w:cs="Times New Roman"/>
          <w:szCs w:val="24"/>
        </w:rPr>
        <w:t xml:space="preserve">At every contact with the health system, the opportunity exists to provide care that is culturally safe, high quality, responsive and accessible for all Aboriginal and Torres Strait Islander peoples.   </w:t>
      </w:r>
      <w:r w:rsidRPr="00751444">
        <w:rPr>
          <w:rFonts w:asciiTheme="minorHAnsi" w:eastAsia="Calibri" w:hAnsiTheme="minorHAnsi" w:cs="Times New Roman"/>
          <w:szCs w:val="24"/>
        </w:rPr>
        <w:t xml:space="preserve">All services delivering primary health care at the local, regional and state levels should seek to optimise their engagement and involvement with Aboriginal and Torres Strait Islander people to improve health outcomes. </w:t>
      </w:r>
    </w:p>
    <w:p w:rsidR="00030916" w:rsidRDefault="00030916" w:rsidP="00030916">
      <w:pPr>
        <w:rPr>
          <w:rFonts w:asciiTheme="minorHAnsi" w:eastAsia="Calibri" w:hAnsiTheme="minorHAnsi" w:cs="Times New Roman"/>
          <w:szCs w:val="24"/>
        </w:rPr>
      </w:pPr>
      <w:r w:rsidRPr="00BF5986">
        <w:rPr>
          <w:rFonts w:asciiTheme="minorHAnsi" w:eastAsia="Calibri" w:hAnsiTheme="minorHAnsi" w:cs="Times New Roman"/>
          <w:szCs w:val="24"/>
        </w:rPr>
        <w:t>Working in partnership to remove barriers to good health and building the evidence around health interventions is critical for improving the health and wellbeing of Aboriginal and Torres Strait Islander people. Partnerships also provide a mechanism to effectively engage with communities on their goals and priorities for health.</w:t>
      </w:r>
      <w:r>
        <w:rPr>
          <w:rFonts w:asciiTheme="minorHAnsi" w:eastAsia="Calibri" w:hAnsiTheme="minorHAnsi" w:cs="Times New Roman"/>
          <w:szCs w:val="24"/>
        </w:rPr>
        <w:t xml:space="preserve"> </w:t>
      </w:r>
    </w:p>
    <w:p w:rsidR="00030916" w:rsidRPr="00656B4A" w:rsidRDefault="00030916" w:rsidP="00030916">
      <w:pPr>
        <w:rPr>
          <w:rFonts w:asciiTheme="minorHAnsi" w:eastAsia="Calibri" w:hAnsiTheme="minorHAnsi" w:cs="Times New Roman"/>
          <w:szCs w:val="24"/>
        </w:rPr>
      </w:pPr>
      <w:r w:rsidRPr="00656B4A">
        <w:rPr>
          <w:rFonts w:asciiTheme="minorHAnsi" w:eastAsia="Calibri" w:hAnsiTheme="minorHAnsi" w:cs="Times New Roman"/>
          <w:szCs w:val="24"/>
        </w:rPr>
        <w:t>An understanding of Aboriginal</w:t>
      </w:r>
      <w:r>
        <w:rPr>
          <w:rFonts w:asciiTheme="minorHAnsi" w:eastAsia="Calibri" w:hAnsiTheme="minorHAnsi" w:cs="Times New Roman"/>
          <w:szCs w:val="24"/>
        </w:rPr>
        <w:t xml:space="preserve"> and Torres Strait Islander </w:t>
      </w:r>
      <w:r w:rsidRPr="00656B4A">
        <w:rPr>
          <w:rFonts w:asciiTheme="minorHAnsi" w:eastAsia="Calibri" w:hAnsiTheme="minorHAnsi" w:cs="Times New Roman"/>
          <w:szCs w:val="24"/>
        </w:rPr>
        <w:t xml:space="preserve">culture is important to partners who wish to engage with </w:t>
      </w:r>
      <w:r>
        <w:rPr>
          <w:rFonts w:asciiTheme="minorHAnsi" w:eastAsia="Calibri" w:hAnsiTheme="minorHAnsi" w:cs="Times New Roman"/>
          <w:szCs w:val="24"/>
        </w:rPr>
        <w:t xml:space="preserve">Aboriginal and Torres Strait Islander people </w:t>
      </w:r>
      <w:r w:rsidRPr="00656B4A">
        <w:rPr>
          <w:rFonts w:asciiTheme="minorHAnsi" w:eastAsia="Calibri" w:hAnsiTheme="minorHAnsi" w:cs="Times New Roman"/>
          <w:szCs w:val="24"/>
        </w:rPr>
        <w:t xml:space="preserve">effectively and as equals. </w:t>
      </w:r>
    </w:p>
    <w:p w:rsidR="00030916" w:rsidRPr="00656B4A" w:rsidRDefault="00030916" w:rsidP="00030916">
      <w:pPr>
        <w:rPr>
          <w:rFonts w:asciiTheme="minorHAnsi" w:eastAsia="Calibri" w:hAnsiTheme="minorHAnsi" w:cs="Times New Roman"/>
          <w:szCs w:val="24"/>
        </w:rPr>
      </w:pPr>
      <w:r w:rsidRPr="00656B4A">
        <w:rPr>
          <w:rFonts w:asciiTheme="minorHAnsi" w:eastAsia="Calibri" w:hAnsiTheme="minorHAnsi" w:cs="Times New Roman"/>
          <w:szCs w:val="24"/>
        </w:rPr>
        <w:t>Underpinning the Guiding Principles is a shared knowledge that will ensure:</w:t>
      </w:r>
    </w:p>
    <w:p w:rsidR="00030916" w:rsidRPr="00656B4A" w:rsidRDefault="00030916" w:rsidP="00030916">
      <w:pPr>
        <w:pStyle w:val="ListParagraph"/>
        <w:numPr>
          <w:ilvl w:val="0"/>
          <w:numId w:val="18"/>
        </w:numPr>
        <w:spacing w:after="0"/>
        <w:rPr>
          <w:rFonts w:asciiTheme="minorHAnsi" w:eastAsia="Calibri" w:hAnsiTheme="minorHAnsi" w:cs="Times New Roman"/>
          <w:szCs w:val="24"/>
        </w:rPr>
      </w:pPr>
      <w:r>
        <w:rPr>
          <w:rFonts w:asciiTheme="minorHAnsi" w:eastAsia="Calibri" w:hAnsiTheme="minorHAnsi" w:cs="Times New Roman"/>
          <w:szCs w:val="24"/>
        </w:rPr>
        <w:t>r</w:t>
      </w:r>
      <w:r w:rsidRPr="00656B4A">
        <w:rPr>
          <w:rFonts w:asciiTheme="minorHAnsi" w:eastAsia="Calibri" w:hAnsiTheme="minorHAnsi" w:cs="Times New Roman"/>
          <w:szCs w:val="24"/>
        </w:rPr>
        <w:t>espectful culturally sensitive consultation</w:t>
      </w:r>
    </w:p>
    <w:p w:rsidR="00030916" w:rsidRPr="00656B4A" w:rsidRDefault="00030916" w:rsidP="00030916">
      <w:pPr>
        <w:pStyle w:val="ListParagraph"/>
        <w:numPr>
          <w:ilvl w:val="0"/>
          <w:numId w:val="18"/>
        </w:numPr>
        <w:spacing w:after="0"/>
        <w:rPr>
          <w:rFonts w:asciiTheme="minorHAnsi" w:eastAsia="Calibri" w:hAnsiTheme="minorHAnsi" w:cs="Times New Roman"/>
          <w:szCs w:val="24"/>
        </w:rPr>
      </w:pPr>
      <w:r>
        <w:rPr>
          <w:rFonts w:asciiTheme="minorHAnsi" w:eastAsia="Calibri" w:hAnsiTheme="minorHAnsi" w:cs="Times New Roman"/>
          <w:szCs w:val="24"/>
        </w:rPr>
        <w:t>r</w:t>
      </w:r>
      <w:r w:rsidRPr="00656B4A">
        <w:rPr>
          <w:rFonts w:asciiTheme="minorHAnsi" w:eastAsia="Calibri" w:hAnsiTheme="minorHAnsi" w:cs="Times New Roman"/>
          <w:szCs w:val="24"/>
        </w:rPr>
        <w:t>ecognition that Aboriginal and Torres Strait Islander health outcomes will be achieved when Aboriginal and Torres Stra</w:t>
      </w:r>
      <w:r w:rsidR="003759B3">
        <w:rPr>
          <w:rFonts w:asciiTheme="minorHAnsi" w:eastAsia="Calibri" w:hAnsiTheme="minorHAnsi" w:cs="Times New Roman"/>
          <w:szCs w:val="24"/>
        </w:rPr>
        <w:t>it Islander people control them,</w:t>
      </w:r>
      <w:r>
        <w:rPr>
          <w:rFonts w:asciiTheme="minorHAnsi" w:eastAsia="Calibri" w:hAnsiTheme="minorHAnsi" w:cs="Times New Roman"/>
          <w:szCs w:val="24"/>
        </w:rPr>
        <w:t xml:space="preserve"> and</w:t>
      </w:r>
    </w:p>
    <w:p w:rsidR="00DC0CB7" w:rsidRPr="00160589" w:rsidRDefault="00030916" w:rsidP="00160589">
      <w:pPr>
        <w:pStyle w:val="ListParagraph"/>
        <w:numPr>
          <w:ilvl w:val="0"/>
          <w:numId w:val="18"/>
        </w:numPr>
        <w:spacing w:after="0"/>
        <w:rPr>
          <w:rFonts w:asciiTheme="minorHAnsi" w:hAnsiTheme="minorHAnsi"/>
          <w:b/>
          <w:szCs w:val="24"/>
        </w:rPr>
        <w:sectPr w:rsidR="00DC0CB7" w:rsidRPr="00160589" w:rsidSect="002F17BE">
          <w:footerReference w:type="default" r:id="rId8"/>
          <w:pgSz w:w="11906" w:h="16838"/>
          <w:pgMar w:top="709" w:right="1416" w:bottom="426" w:left="1134" w:header="708" w:footer="708" w:gutter="0"/>
          <w:cols w:space="708"/>
          <w:docGrid w:linePitch="360"/>
        </w:sectPr>
      </w:pPr>
      <w:r>
        <w:rPr>
          <w:rFonts w:asciiTheme="minorHAnsi" w:eastAsia="Calibri" w:hAnsiTheme="minorHAnsi" w:cs="Times New Roman"/>
          <w:szCs w:val="24"/>
        </w:rPr>
        <w:t>t</w:t>
      </w:r>
      <w:r w:rsidRPr="00656B4A">
        <w:rPr>
          <w:rFonts w:asciiTheme="minorHAnsi" w:eastAsia="Calibri" w:hAnsiTheme="minorHAnsi" w:cs="Times New Roman"/>
          <w:szCs w:val="24"/>
        </w:rPr>
        <w:t>hat commissioned service delivery will be a strengths-based approach reflecting the United Nations Declaration on the Rights of Indigenous Peoples.</w:t>
      </w:r>
    </w:p>
    <w:p w:rsidR="002F17BE" w:rsidRDefault="002F17BE" w:rsidP="00054530">
      <w:pPr>
        <w:spacing w:after="0"/>
        <w:rPr>
          <w:rFonts w:asciiTheme="minorHAnsi" w:hAnsiTheme="minorHAnsi"/>
          <w:b/>
          <w:szCs w:val="24"/>
        </w:rPr>
      </w:pPr>
    </w:p>
    <w:p w:rsidR="00A67C15" w:rsidRDefault="00B0504A" w:rsidP="00054530">
      <w:pPr>
        <w:spacing w:after="0"/>
        <w:rPr>
          <w:rFonts w:asciiTheme="minorHAnsi" w:hAnsiTheme="minorHAnsi"/>
          <w:b/>
          <w:szCs w:val="24"/>
        </w:rPr>
      </w:pPr>
      <w:r>
        <w:rPr>
          <w:rFonts w:asciiTheme="minorHAnsi" w:hAnsiTheme="minorHAnsi"/>
          <w:b/>
          <w:szCs w:val="24"/>
        </w:rPr>
        <w:t>Guiding principles and actions to achieve these:</w:t>
      </w:r>
    </w:p>
    <w:p w:rsidR="00054530" w:rsidRDefault="00054530" w:rsidP="003759B3">
      <w:pPr>
        <w:rPr>
          <w:rFonts w:asciiTheme="minorHAnsi" w:hAnsiTheme="minorHAnsi"/>
          <w:i/>
          <w:sz w:val="22"/>
        </w:rPr>
      </w:pPr>
      <w:r w:rsidRPr="00054530">
        <w:rPr>
          <w:rFonts w:asciiTheme="minorHAnsi" w:hAnsiTheme="minorHAnsi"/>
          <w:i/>
          <w:sz w:val="22"/>
        </w:rPr>
        <w:t>*Note: If the cell in the table is merged across ‘PHNs’ and ‘ACCHO</w:t>
      </w:r>
      <w:r w:rsidR="0056181C">
        <w:rPr>
          <w:rFonts w:asciiTheme="minorHAnsi" w:hAnsiTheme="minorHAnsi"/>
          <w:i/>
          <w:sz w:val="22"/>
        </w:rPr>
        <w:t>s</w:t>
      </w:r>
      <w:r w:rsidRPr="00054530">
        <w:rPr>
          <w:rFonts w:asciiTheme="minorHAnsi" w:hAnsiTheme="minorHAnsi"/>
          <w:i/>
          <w:sz w:val="22"/>
        </w:rPr>
        <w:t>’ i</w:t>
      </w:r>
      <w:r w:rsidR="005A782C">
        <w:rPr>
          <w:rFonts w:asciiTheme="minorHAnsi" w:hAnsiTheme="minorHAnsi"/>
          <w:i/>
          <w:sz w:val="22"/>
        </w:rPr>
        <w:t>t is expected that the statement is applicable to both parties</w:t>
      </w:r>
      <w:r w:rsidRPr="00054530">
        <w:rPr>
          <w:rFonts w:asciiTheme="minorHAnsi" w:hAnsiTheme="minorHAnsi"/>
          <w:i/>
          <w:sz w:val="22"/>
        </w:rPr>
        <w:t>.</w:t>
      </w:r>
    </w:p>
    <w:tbl>
      <w:tblPr>
        <w:tblStyle w:val="TableGrid"/>
        <w:tblW w:w="15735" w:type="dxa"/>
        <w:tblInd w:w="108" w:type="dxa"/>
        <w:tblLook w:val="04A0" w:firstRow="1" w:lastRow="0" w:firstColumn="1" w:lastColumn="0" w:noHBand="0" w:noVBand="1"/>
        <w:tblDescription w:val="This table outlines the roles of PHNs and ACCHOs in progressing the principles."/>
      </w:tblPr>
      <w:tblGrid>
        <w:gridCol w:w="1843"/>
        <w:gridCol w:w="6946"/>
        <w:gridCol w:w="6946"/>
      </w:tblGrid>
      <w:tr w:rsidR="0081650D" w:rsidRPr="002F17BE" w:rsidTr="002F17BE">
        <w:trPr>
          <w:tblHeader/>
        </w:trPr>
        <w:tc>
          <w:tcPr>
            <w:tcW w:w="1843" w:type="dxa"/>
            <w:shd w:val="clear" w:color="auto" w:fill="C2D69B" w:themeFill="accent3" w:themeFillTint="99"/>
          </w:tcPr>
          <w:p w:rsidR="0081650D" w:rsidRPr="002F17BE" w:rsidRDefault="0057072A" w:rsidP="0081650D">
            <w:pPr>
              <w:rPr>
                <w:rFonts w:asciiTheme="minorHAnsi" w:hAnsiTheme="minorHAnsi"/>
                <w:b/>
                <w:sz w:val="22"/>
              </w:rPr>
            </w:pPr>
            <w:r w:rsidRPr="002F17BE">
              <w:rPr>
                <w:rFonts w:asciiTheme="minorHAnsi" w:hAnsiTheme="minorHAnsi"/>
                <w:b/>
                <w:sz w:val="22"/>
              </w:rPr>
              <w:t>Principle</w:t>
            </w:r>
          </w:p>
        </w:tc>
        <w:tc>
          <w:tcPr>
            <w:tcW w:w="6946" w:type="dxa"/>
            <w:shd w:val="clear" w:color="auto" w:fill="C2D69B" w:themeFill="accent3" w:themeFillTint="99"/>
          </w:tcPr>
          <w:p w:rsidR="0081650D" w:rsidRPr="002F17BE" w:rsidRDefault="0056181C" w:rsidP="0056181C">
            <w:pPr>
              <w:rPr>
                <w:rFonts w:asciiTheme="minorHAnsi" w:hAnsiTheme="minorHAnsi"/>
                <w:b/>
                <w:sz w:val="22"/>
              </w:rPr>
            </w:pPr>
            <w:r>
              <w:rPr>
                <w:rFonts w:asciiTheme="minorHAnsi" w:hAnsiTheme="minorHAnsi"/>
                <w:b/>
                <w:sz w:val="22"/>
              </w:rPr>
              <w:t>Role of PHNs i</w:t>
            </w:r>
            <w:r w:rsidR="00AC2941">
              <w:rPr>
                <w:rFonts w:asciiTheme="minorHAnsi" w:hAnsiTheme="minorHAnsi"/>
                <w:b/>
                <w:sz w:val="22"/>
              </w:rPr>
              <w:t>n progressing this principle</w:t>
            </w:r>
            <w:r w:rsidR="0081650D" w:rsidRPr="002F17BE">
              <w:rPr>
                <w:rFonts w:asciiTheme="minorHAnsi" w:hAnsiTheme="minorHAnsi"/>
                <w:b/>
                <w:sz w:val="22"/>
              </w:rPr>
              <w:t>:</w:t>
            </w:r>
          </w:p>
        </w:tc>
        <w:tc>
          <w:tcPr>
            <w:tcW w:w="6946" w:type="dxa"/>
            <w:shd w:val="clear" w:color="auto" w:fill="C2D69B" w:themeFill="accent3" w:themeFillTint="99"/>
          </w:tcPr>
          <w:p w:rsidR="0081650D" w:rsidRPr="002F17BE" w:rsidRDefault="0056181C" w:rsidP="00AC2941">
            <w:pPr>
              <w:rPr>
                <w:rFonts w:asciiTheme="minorHAnsi" w:hAnsiTheme="minorHAnsi"/>
                <w:b/>
                <w:sz w:val="22"/>
              </w:rPr>
            </w:pPr>
            <w:r>
              <w:rPr>
                <w:rFonts w:asciiTheme="minorHAnsi" w:hAnsiTheme="minorHAnsi"/>
                <w:b/>
                <w:sz w:val="22"/>
              </w:rPr>
              <w:t>R</w:t>
            </w:r>
            <w:r w:rsidR="00AC2941">
              <w:rPr>
                <w:rFonts w:asciiTheme="minorHAnsi" w:hAnsiTheme="minorHAnsi"/>
                <w:b/>
                <w:sz w:val="22"/>
              </w:rPr>
              <w:t>ole</w:t>
            </w:r>
            <w:r>
              <w:rPr>
                <w:rFonts w:asciiTheme="minorHAnsi" w:hAnsiTheme="minorHAnsi"/>
                <w:b/>
                <w:sz w:val="22"/>
              </w:rPr>
              <w:t xml:space="preserve"> of ACCHOs</w:t>
            </w:r>
            <w:r w:rsidR="00AC2941">
              <w:rPr>
                <w:rFonts w:asciiTheme="minorHAnsi" w:hAnsiTheme="minorHAnsi"/>
                <w:b/>
                <w:sz w:val="22"/>
              </w:rPr>
              <w:t xml:space="preserve"> in progressing this principle</w:t>
            </w:r>
            <w:r w:rsidR="0081650D" w:rsidRPr="002F17BE">
              <w:rPr>
                <w:rFonts w:asciiTheme="minorHAnsi" w:hAnsiTheme="minorHAnsi"/>
                <w:b/>
                <w:sz w:val="22"/>
              </w:rPr>
              <w:t>:</w:t>
            </w:r>
          </w:p>
        </w:tc>
      </w:tr>
      <w:tr w:rsidR="00CB384B" w:rsidRPr="002F17BE" w:rsidTr="002F17BE">
        <w:tc>
          <w:tcPr>
            <w:tcW w:w="1843" w:type="dxa"/>
            <w:vMerge w:val="restart"/>
          </w:tcPr>
          <w:p w:rsidR="00CB384B" w:rsidRPr="002F17BE" w:rsidRDefault="00CB384B" w:rsidP="0081650D">
            <w:pPr>
              <w:rPr>
                <w:rFonts w:asciiTheme="minorHAnsi" w:hAnsiTheme="minorHAnsi"/>
                <w:b/>
                <w:sz w:val="22"/>
              </w:rPr>
            </w:pPr>
            <w:r w:rsidRPr="002F17BE">
              <w:rPr>
                <w:rFonts w:asciiTheme="minorHAnsi" w:hAnsiTheme="minorHAnsi"/>
                <w:b/>
                <w:sz w:val="22"/>
              </w:rPr>
              <w:t>Closing the Gap</w:t>
            </w:r>
          </w:p>
        </w:tc>
        <w:tc>
          <w:tcPr>
            <w:tcW w:w="13892" w:type="dxa"/>
            <w:gridSpan w:val="2"/>
          </w:tcPr>
          <w:p w:rsidR="00CB384B" w:rsidRPr="002F17BE" w:rsidRDefault="00CB384B" w:rsidP="00765DDC">
            <w:pPr>
              <w:rPr>
                <w:rFonts w:asciiTheme="minorHAnsi" w:hAnsiTheme="minorHAnsi"/>
                <w:sz w:val="22"/>
              </w:rPr>
            </w:pPr>
            <w:r w:rsidRPr="002F17BE">
              <w:rPr>
                <w:rFonts w:asciiTheme="minorHAnsi" w:hAnsiTheme="minorHAnsi"/>
                <w:sz w:val="22"/>
              </w:rPr>
              <w:t>Work together to advance the Council of Australian Governments Closing the Gap (health) targets of:</w:t>
            </w:r>
          </w:p>
          <w:p w:rsidR="00CB384B" w:rsidRPr="002F17BE" w:rsidRDefault="00CB384B" w:rsidP="00765DDC">
            <w:pPr>
              <w:numPr>
                <w:ilvl w:val="0"/>
                <w:numId w:val="6"/>
              </w:numPr>
              <w:rPr>
                <w:rFonts w:asciiTheme="minorHAnsi" w:hAnsiTheme="minorHAnsi"/>
                <w:sz w:val="22"/>
              </w:rPr>
            </w:pPr>
            <w:r w:rsidRPr="002F17BE">
              <w:rPr>
                <w:rFonts w:asciiTheme="minorHAnsi" w:hAnsiTheme="minorHAnsi"/>
                <w:sz w:val="22"/>
              </w:rPr>
              <w:t>Closing the life expectancy ga</w:t>
            </w:r>
            <w:r w:rsidR="003759B3">
              <w:rPr>
                <w:rFonts w:asciiTheme="minorHAnsi" w:hAnsiTheme="minorHAnsi"/>
                <w:sz w:val="22"/>
              </w:rPr>
              <w:t>p within a generation (by 2031),</w:t>
            </w:r>
            <w:r w:rsidRPr="002F17BE">
              <w:rPr>
                <w:rFonts w:asciiTheme="minorHAnsi" w:hAnsiTheme="minorHAnsi"/>
                <w:sz w:val="22"/>
              </w:rPr>
              <w:t xml:space="preserve"> and</w:t>
            </w:r>
          </w:p>
          <w:p w:rsidR="00CB384B" w:rsidRPr="002F17BE" w:rsidRDefault="00CB384B" w:rsidP="0081650D">
            <w:pPr>
              <w:numPr>
                <w:ilvl w:val="0"/>
                <w:numId w:val="6"/>
              </w:numPr>
              <w:rPr>
                <w:rFonts w:asciiTheme="minorHAnsi" w:hAnsiTheme="minorHAnsi"/>
                <w:sz w:val="22"/>
              </w:rPr>
            </w:pPr>
            <w:r w:rsidRPr="002F17BE">
              <w:rPr>
                <w:rFonts w:asciiTheme="minorHAnsi" w:hAnsiTheme="minorHAnsi"/>
                <w:sz w:val="22"/>
              </w:rPr>
              <w:t>Halving the gap in mortality rates for Indigenous children under five within a decade (by 2018).</w:t>
            </w:r>
          </w:p>
        </w:tc>
      </w:tr>
      <w:tr w:rsidR="000E2C9E" w:rsidRPr="002F17BE" w:rsidTr="002F17BE">
        <w:tc>
          <w:tcPr>
            <w:tcW w:w="1843" w:type="dxa"/>
            <w:vMerge/>
          </w:tcPr>
          <w:p w:rsidR="000E2C9E" w:rsidRPr="002F17BE" w:rsidRDefault="000E2C9E" w:rsidP="0081650D">
            <w:pPr>
              <w:rPr>
                <w:rFonts w:asciiTheme="minorHAnsi" w:hAnsiTheme="minorHAnsi"/>
                <w:b/>
                <w:sz w:val="22"/>
              </w:rPr>
            </w:pPr>
          </w:p>
        </w:tc>
        <w:tc>
          <w:tcPr>
            <w:tcW w:w="13892" w:type="dxa"/>
            <w:gridSpan w:val="2"/>
          </w:tcPr>
          <w:p w:rsidR="000E2C9E" w:rsidRPr="002F17BE" w:rsidRDefault="000E2C9E" w:rsidP="00765DDC">
            <w:pPr>
              <w:rPr>
                <w:rFonts w:asciiTheme="minorHAnsi" w:hAnsiTheme="minorHAnsi"/>
                <w:sz w:val="22"/>
              </w:rPr>
            </w:pPr>
            <w:r w:rsidRPr="002F17BE">
              <w:rPr>
                <w:rFonts w:asciiTheme="minorHAnsi" w:hAnsiTheme="minorHAnsi"/>
                <w:sz w:val="22"/>
              </w:rPr>
              <w:t>Partner to support activities as articulated in Aboriginal and Torres Strait Isl</w:t>
            </w:r>
            <w:r w:rsidR="005656CF" w:rsidRPr="002F17BE">
              <w:rPr>
                <w:rFonts w:asciiTheme="minorHAnsi" w:hAnsiTheme="minorHAnsi"/>
                <w:sz w:val="22"/>
              </w:rPr>
              <w:t>ander key strategic documents (</w:t>
            </w:r>
            <w:r w:rsidRPr="002F17BE">
              <w:rPr>
                <w:rFonts w:asciiTheme="minorHAnsi" w:hAnsiTheme="minorHAnsi"/>
                <w:sz w:val="22"/>
              </w:rPr>
              <w:t xml:space="preserve">Commonwealth and state) and current strategic plans for Aboriginal </w:t>
            </w:r>
            <w:r w:rsidR="00F320DC" w:rsidRPr="002F17BE">
              <w:rPr>
                <w:rFonts w:asciiTheme="minorHAnsi" w:hAnsiTheme="minorHAnsi"/>
                <w:sz w:val="22"/>
              </w:rPr>
              <w:t xml:space="preserve">and Torres Strait Islander </w:t>
            </w:r>
            <w:r w:rsidRPr="002F17BE">
              <w:rPr>
                <w:rFonts w:asciiTheme="minorHAnsi" w:hAnsiTheme="minorHAnsi"/>
                <w:sz w:val="22"/>
              </w:rPr>
              <w:t>health peak bodies.</w:t>
            </w:r>
          </w:p>
        </w:tc>
      </w:tr>
      <w:tr w:rsidR="00CB384B" w:rsidRPr="002F17BE" w:rsidTr="002F17BE">
        <w:tc>
          <w:tcPr>
            <w:tcW w:w="1843" w:type="dxa"/>
            <w:vMerge/>
          </w:tcPr>
          <w:p w:rsidR="00CB384B" w:rsidRPr="002F17BE" w:rsidRDefault="00CB384B" w:rsidP="0081650D">
            <w:pPr>
              <w:rPr>
                <w:rFonts w:asciiTheme="minorHAnsi" w:hAnsiTheme="minorHAnsi"/>
                <w:b/>
                <w:sz w:val="22"/>
              </w:rPr>
            </w:pPr>
          </w:p>
        </w:tc>
        <w:tc>
          <w:tcPr>
            <w:tcW w:w="6946" w:type="dxa"/>
          </w:tcPr>
          <w:p w:rsidR="00CB384B" w:rsidRDefault="00CB384B" w:rsidP="0081650D">
            <w:pPr>
              <w:rPr>
                <w:rFonts w:asciiTheme="minorHAnsi" w:hAnsiTheme="minorHAnsi"/>
                <w:sz w:val="22"/>
              </w:rPr>
            </w:pPr>
            <w:r w:rsidRPr="002F17BE">
              <w:rPr>
                <w:rFonts w:asciiTheme="minorHAnsi" w:hAnsiTheme="minorHAnsi"/>
                <w:sz w:val="22"/>
              </w:rPr>
              <w:t xml:space="preserve">Include the health needs of Aboriginal and Torres Strait Islander people and links to Closing the Gap activities </w:t>
            </w:r>
            <w:r w:rsidR="003759B3">
              <w:rPr>
                <w:rFonts w:asciiTheme="minorHAnsi" w:hAnsiTheme="minorHAnsi"/>
                <w:sz w:val="22"/>
              </w:rPr>
              <w:t>i</w:t>
            </w:r>
            <w:r w:rsidRPr="002F17BE">
              <w:rPr>
                <w:rFonts w:asciiTheme="minorHAnsi" w:hAnsiTheme="minorHAnsi"/>
                <w:sz w:val="22"/>
              </w:rPr>
              <w:t>n PHN developed health care and referral pathways.</w:t>
            </w:r>
          </w:p>
          <w:p w:rsidR="002F17BE" w:rsidRPr="002F17BE" w:rsidRDefault="002F17BE" w:rsidP="0081650D">
            <w:pPr>
              <w:rPr>
                <w:rFonts w:asciiTheme="minorHAnsi" w:hAnsiTheme="minorHAnsi"/>
                <w:sz w:val="22"/>
              </w:rPr>
            </w:pPr>
          </w:p>
        </w:tc>
        <w:tc>
          <w:tcPr>
            <w:tcW w:w="6946" w:type="dxa"/>
          </w:tcPr>
          <w:p w:rsidR="00CB384B" w:rsidRPr="002F17BE" w:rsidRDefault="00CB384B" w:rsidP="00A755A9">
            <w:pPr>
              <w:rPr>
                <w:rFonts w:asciiTheme="minorHAnsi" w:hAnsiTheme="minorHAnsi"/>
                <w:sz w:val="22"/>
              </w:rPr>
            </w:pPr>
            <w:r w:rsidRPr="002F17BE">
              <w:rPr>
                <w:rFonts w:asciiTheme="minorHAnsi" w:hAnsiTheme="minorHAnsi"/>
                <w:sz w:val="22"/>
              </w:rPr>
              <w:t>Contribute to PHN development of health care and referral pathways</w:t>
            </w:r>
            <w:r w:rsidR="00FF0DE3" w:rsidRPr="002F17BE">
              <w:rPr>
                <w:rFonts w:asciiTheme="minorHAnsi" w:hAnsiTheme="minorHAnsi"/>
                <w:sz w:val="22"/>
              </w:rPr>
              <w:t xml:space="preserve"> through appropriate forums, such as the PHN Clinical Councils</w:t>
            </w:r>
            <w:r w:rsidR="00F71FC9" w:rsidRPr="002F17BE">
              <w:rPr>
                <w:rFonts w:asciiTheme="minorHAnsi" w:hAnsiTheme="minorHAnsi"/>
                <w:sz w:val="22"/>
              </w:rPr>
              <w:t>,</w:t>
            </w:r>
            <w:r w:rsidR="003759B3">
              <w:rPr>
                <w:rFonts w:asciiTheme="minorHAnsi" w:hAnsiTheme="minorHAnsi"/>
                <w:sz w:val="22"/>
              </w:rPr>
              <w:t xml:space="preserve"> PHN B</w:t>
            </w:r>
            <w:r w:rsidR="00A755A9" w:rsidRPr="002F17BE">
              <w:rPr>
                <w:rFonts w:asciiTheme="minorHAnsi" w:hAnsiTheme="minorHAnsi"/>
                <w:sz w:val="22"/>
              </w:rPr>
              <w:t xml:space="preserve">oards </w:t>
            </w:r>
            <w:r w:rsidR="00A231EA" w:rsidRPr="002F17BE">
              <w:rPr>
                <w:rFonts w:asciiTheme="minorHAnsi" w:hAnsiTheme="minorHAnsi"/>
                <w:sz w:val="22"/>
              </w:rPr>
              <w:t xml:space="preserve">and </w:t>
            </w:r>
            <w:r w:rsidR="00A755A9" w:rsidRPr="002F17BE">
              <w:rPr>
                <w:rFonts w:asciiTheme="minorHAnsi" w:hAnsiTheme="minorHAnsi"/>
                <w:sz w:val="22"/>
              </w:rPr>
              <w:t>through bein</w:t>
            </w:r>
            <w:r w:rsidR="00323551" w:rsidRPr="002F17BE">
              <w:rPr>
                <w:rFonts w:asciiTheme="minorHAnsi" w:hAnsiTheme="minorHAnsi"/>
                <w:sz w:val="22"/>
              </w:rPr>
              <w:t>g consulted by the PHN directly.</w:t>
            </w:r>
          </w:p>
        </w:tc>
      </w:tr>
      <w:tr w:rsidR="00CB384B" w:rsidRPr="002F17BE" w:rsidTr="002F17BE">
        <w:tc>
          <w:tcPr>
            <w:tcW w:w="15735" w:type="dxa"/>
            <w:gridSpan w:val="3"/>
            <w:shd w:val="clear" w:color="auto" w:fill="FABF8F" w:themeFill="accent6" w:themeFillTint="99"/>
          </w:tcPr>
          <w:p w:rsidR="00CB384B" w:rsidRPr="002F17BE" w:rsidRDefault="00CB384B" w:rsidP="00041080">
            <w:pPr>
              <w:rPr>
                <w:rFonts w:asciiTheme="minorHAnsi" w:hAnsiTheme="minorHAnsi"/>
                <w:sz w:val="22"/>
              </w:rPr>
            </w:pPr>
          </w:p>
        </w:tc>
      </w:tr>
      <w:tr w:rsidR="00041080" w:rsidRPr="002F17BE" w:rsidTr="002F17BE">
        <w:tc>
          <w:tcPr>
            <w:tcW w:w="1843" w:type="dxa"/>
          </w:tcPr>
          <w:p w:rsidR="00041080" w:rsidRPr="002F17BE" w:rsidRDefault="00041080" w:rsidP="0081650D">
            <w:pPr>
              <w:rPr>
                <w:rFonts w:asciiTheme="minorHAnsi" w:hAnsiTheme="minorHAnsi"/>
                <w:b/>
                <w:sz w:val="22"/>
              </w:rPr>
            </w:pPr>
            <w:r w:rsidRPr="002F17BE">
              <w:rPr>
                <w:rFonts w:asciiTheme="minorHAnsi" w:hAnsiTheme="minorHAnsi"/>
                <w:b/>
                <w:sz w:val="22"/>
              </w:rPr>
              <w:t>Cultural competency</w:t>
            </w:r>
          </w:p>
        </w:tc>
        <w:tc>
          <w:tcPr>
            <w:tcW w:w="6946" w:type="dxa"/>
          </w:tcPr>
          <w:p w:rsidR="009C0268" w:rsidRPr="002F17BE" w:rsidRDefault="000F28CA" w:rsidP="009C0268">
            <w:pPr>
              <w:rPr>
                <w:rFonts w:asciiTheme="minorHAnsi" w:hAnsiTheme="minorHAnsi"/>
                <w:sz w:val="22"/>
              </w:rPr>
            </w:pPr>
            <w:r w:rsidRPr="002F17BE">
              <w:rPr>
                <w:rFonts w:asciiTheme="minorHAnsi" w:hAnsiTheme="minorHAnsi"/>
                <w:sz w:val="22"/>
              </w:rPr>
              <w:t>Demonstrate awareness</w:t>
            </w:r>
            <w:r w:rsidR="007A75B2" w:rsidRPr="002F17BE">
              <w:rPr>
                <w:rFonts w:asciiTheme="minorHAnsi" w:hAnsiTheme="minorHAnsi"/>
                <w:sz w:val="22"/>
              </w:rPr>
              <w:t xml:space="preserve"> </w:t>
            </w:r>
            <w:r w:rsidR="00054530" w:rsidRPr="002F17BE">
              <w:rPr>
                <w:rFonts w:asciiTheme="minorHAnsi" w:hAnsiTheme="minorHAnsi"/>
                <w:sz w:val="22"/>
              </w:rPr>
              <w:t>of</w:t>
            </w:r>
            <w:r w:rsidR="007A75B2" w:rsidRPr="002F17BE">
              <w:rPr>
                <w:rFonts w:asciiTheme="minorHAnsi" w:hAnsiTheme="minorHAnsi"/>
                <w:sz w:val="22"/>
              </w:rPr>
              <w:t xml:space="preserve"> </w:t>
            </w:r>
            <w:r w:rsidR="009C0268" w:rsidRPr="002F17BE">
              <w:rPr>
                <w:rFonts w:asciiTheme="minorHAnsi" w:hAnsiTheme="minorHAnsi"/>
                <w:sz w:val="22"/>
              </w:rPr>
              <w:t>the cultural competence continuum (cross-cultural awareness, cross-cultural sensitivity, cultural competence and cultural proficiency) and understand the historical, cultural and social complexity of specific local or regional contexts in the delivery of culturally competent health services</w:t>
            </w:r>
            <w:r w:rsidR="002C4AB4" w:rsidRPr="002F17BE">
              <w:rPr>
                <w:rFonts w:asciiTheme="minorHAnsi" w:hAnsiTheme="minorHAnsi"/>
                <w:sz w:val="22"/>
              </w:rPr>
              <w:t xml:space="preserve"> </w:t>
            </w:r>
            <w:r w:rsidR="009C0268" w:rsidRPr="002F17BE">
              <w:rPr>
                <w:rFonts w:asciiTheme="minorHAnsi" w:hAnsiTheme="minorHAnsi"/>
                <w:sz w:val="22"/>
              </w:rPr>
              <w:t>to Aboriginal and Torres Strait Islander peopl</w:t>
            </w:r>
            <w:r w:rsidR="003759B3">
              <w:rPr>
                <w:rFonts w:asciiTheme="minorHAnsi" w:hAnsiTheme="minorHAnsi"/>
                <w:sz w:val="22"/>
              </w:rPr>
              <w:t>e. C</w:t>
            </w:r>
            <w:r w:rsidR="007A75B2" w:rsidRPr="002F17BE">
              <w:rPr>
                <w:rFonts w:asciiTheme="minorHAnsi" w:hAnsiTheme="minorHAnsi"/>
                <w:sz w:val="22"/>
              </w:rPr>
              <w:t xml:space="preserve">ommit to </w:t>
            </w:r>
            <w:r w:rsidR="00164604" w:rsidRPr="002F17BE">
              <w:rPr>
                <w:rFonts w:asciiTheme="minorHAnsi" w:hAnsiTheme="minorHAnsi"/>
                <w:sz w:val="22"/>
              </w:rPr>
              <w:t xml:space="preserve">acknowledging the leadership of, and </w:t>
            </w:r>
            <w:r w:rsidR="007A75B2" w:rsidRPr="002F17BE">
              <w:rPr>
                <w:rFonts w:asciiTheme="minorHAnsi" w:hAnsiTheme="minorHAnsi"/>
                <w:sz w:val="22"/>
              </w:rPr>
              <w:t>gaining local knowledge from</w:t>
            </w:r>
            <w:r w:rsidR="00164604" w:rsidRPr="002F17BE">
              <w:rPr>
                <w:rFonts w:asciiTheme="minorHAnsi" w:hAnsiTheme="minorHAnsi"/>
                <w:sz w:val="22"/>
              </w:rPr>
              <w:t>,</w:t>
            </w:r>
            <w:r w:rsidR="007A75B2" w:rsidRPr="002F17BE">
              <w:rPr>
                <w:rFonts w:asciiTheme="minorHAnsi" w:hAnsiTheme="minorHAnsi"/>
                <w:sz w:val="22"/>
              </w:rPr>
              <w:t xml:space="preserve"> ACCH</w:t>
            </w:r>
            <w:r w:rsidR="00EF71C4" w:rsidRPr="002F17BE">
              <w:rPr>
                <w:rFonts w:asciiTheme="minorHAnsi" w:hAnsiTheme="minorHAnsi"/>
                <w:sz w:val="22"/>
              </w:rPr>
              <w:t>O</w:t>
            </w:r>
            <w:r w:rsidR="007A75B2" w:rsidRPr="002F17BE">
              <w:rPr>
                <w:rFonts w:asciiTheme="minorHAnsi" w:hAnsiTheme="minorHAnsi"/>
                <w:sz w:val="22"/>
              </w:rPr>
              <w:t xml:space="preserve">s and other Aboriginal </w:t>
            </w:r>
            <w:r w:rsidR="00F320DC" w:rsidRPr="002F17BE">
              <w:rPr>
                <w:rFonts w:asciiTheme="minorHAnsi" w:hAnsiTheme="minorHAnsi"/>
                <w:sz w:val="22"/>
              </w:rPr>
              <w:t xml:space="preserve">and Torres Strait Islander </w:t>
            </w:r>
            <w:r w:rsidR="007A75B2" w:rsidRPr="002F17BE">
              <w:rPr>
                <w:rFonts w:asciiTheme="minorHAnsi" w:hAnsiTheme="minorHAnsi"/>
                <w:sz w:val="22"/>
              </w:rPr>
              <w:t xml:space="preserve">organisations in their area. </w:t>
            </w:r>
          </w:p>
          <w:p w:rsidR="00700297" w:rsidRPr="002F17BE" w:rsidRDefault="009C0268" w:rsidP="005656CF">
            <w:pPr>
              <w:spacing w:before="120"/>
              <w:rPr>
                <w:rFonts w:asciiTheme="minorHAnsi" w:hAnsiTheme="minorHAnsi"/>
                <w:sz w:val="22"/>
              </w:rPr>
            </w:pPr>
            <w:r w:rsidRPr="002F17BE">
              <w:rPr>
                <w:rFonts w:asciiTheme="minorHAnsi" w:hAnsiTheme="minorHAnsi"/>
                <w:sz w:val="22"/>
              </w:rPr>
              <w:t>Commit to developing and improving cultural competence in the PHN and</w:t>
            </w:r>
            <w:r w:rsidR="002C4AB4" w:rsidRPr="002F17BE">
              <w:rPr>
                <w:rFonts w:asciiTheme="minorHAnsi" w:hAnsiTheme="minorHAnsi"/>
                <w:sz w:val="22"/>
              </w:rPr>
              <w:t xml:space="preserve"> commissioned</w:t>
            </w:r>
            <w:r w:rsidRPr="002F17BE">
              <w:rPr>
                <w:rFonts w:asciiTheme="minorHAnsi" w:hAnsiTheme="minorHAnsi"/>
                <w:sz w:val="22"/>
              </w:rPr>
              <w:t xml:space="preserve"> health services through a sustained focus on knowledge, awareness, behaviour, skills and attitudes at all levels of service in tailoring service delivery to the needs and </w:t>
            </w:r>
            <w:r w:rsidR="000473C3" w:rsidRPr="002F17BE">
              <w:rPr>
                <w:rFonts w:asciiTheme="minorHAnsi" w:hAnsiTheme="minorHAnsi"/>
                <w:sz w:val="22"/>
              </w:rPr>
              <w:t>priorities</w:t>
            </w:r>
            <w:r w:rsidR="000F28CA" w:rsidRPr="002F17BE">
              <w:rPr>
                <w:rFonts w:asciiTheme="minorHAnsi" w:hAnsiTheme="minorHAnsi"/>
                <w:sz w:val="22"/>
              </w:rPr>
              <w:t xml:space="preserve"> </w:t>
            </w:r>
            <w:r w:rsidRPr="002F17BE">
              <w:rPr>
                <w:rFonts w:asciiTheme="minorHAnsi" w:hAnsiTheme="minorHAnsi"/>
                <w:sz w:val="22"/>
              </w:rPr>
              <w:t>of Aboriginal and Torres Strait Islander people and communities.</w:t>
            </w:r>
            <w:r w:rsidR="007A75B2" w:rsidRPr="002F17BE">
              <w:rPr>
                <w:rFonts w:asciiTheme="minorHAnsi" w:hAnsiTheme="minorHAnsi"/>
                <w:sz w:val="22"/>
              </w:rPr>
              <w:t xml:space="preserve"> Commit to improving cultural competence in commissioned services by working with local Aboriginal </w:t>
            </w:r>
            <w:r w:rsidR="00F320DC" w:rsidRPr="002F17BE">
              <w:rPr>
                <w:rFonts w:asciiTheme="minorHAnsi" w:hAnsiTheme="minorHAnsi"/>
                <w:sz w:val="22"/>
              </w:rPr>
              <w:t xml:space="preserve">and Torres Strait Islander </w:t>
            </w:r>
            <w:r w:rsidR="007A75B2" w:rsidRPr="002F17BE">
              <w:rPr>
                <w:rFonts w:asciiTheme="minorHAnsi" w:hAnsiTheme="minorHAnsi"/>
                <w:sz w:val="22"/>
              </w:rPr>
              <w:t xml:space="preserve">organisations to enhance their capacity to provide a wide range of services to their communities. </w:t>
            </w:r>
          </w:p>
          <w:p w:rsidR="00890415" w:rsidRDefault="00EA4885" w:rsidP="00EA4885">
            <w:pPr>
              <w:spacing w:before="120"/>
              <w:rPr>
                <w:rFonts w:asciiTheme="minorHAnsi" w:hAnsiTheme="minorHAnsi"/>
                <w:sz w:val="22"/>
              </w:rPr>
            </w:pPr>
            <w:r w:rsidRPr="002F17BE">
              <w:rPr>
                <w:rFonts w:asciiTheme="minorHAnsi" w:hAnsiTheme="minorHAnsi"/>
                <w:sz w:val="22"/>
              </w:rPr>
              <w:t>Have in place, or be</w:t>
            </w:r>
            <w:r w:rsidR="00890415" w:rsidRPr="002F17BE">
              <w:rPr>
                <w:rFonts w:asciiTheme="minorHAnsi" w:hAnsiTheme="minorHAnsi"/>
                <w:sz w:val="22"/>
              </w:rPr>
              <w:t xml:space="preserve"> progressing towards</w:t>
            </w:r>
            <w:r w:rsidRPr="002F17BE">
              <w:rPr>
                <w:rFonts w:asciiTheme="minorHAnsi" w:hAnsiTheme="minorHAnsi"/>
                <w:sz w:val="22"/>
              </w:rPr>
              <w:t>,</w:t>
            </w:r>
            <w:r w:rsidR="00890415" w:rsidRPr="002F17BE">
              <w:rPr>
                <w:rFonts w:asciiTheme="minorHAnsi" w:hAnsiTheme="minorHAnsi"/>
                <w:sz w:val="22"/>
              </w:rPr>
              <w:t xml:space="preserve"> a Reconciliation Action Plan endorsed by Reconciliation Australia</w:t>
            </w:r>
            <w:r w:rsidRPr="002F17BE">
              <w:rPr>
                <w:rFonts w:asciiTheme="minorHAnsi" w:hAnsiTheme="minorHAnsi"/>
                <w:sz w:val="22"/>
              </w:rPr>
              <w:t>.</w:t>
            </w:r>
          </w:p>
          <w:p w:rsidR="002F17BE" w:rsidRPr="002F17BE" w:rsidRDefault="002F17BE" w:rsidP="00EA4885">
            <w:pPr>
              <w:spacing w:before="120"/>
              <w:rPr>
                <w:rFonts w:asciiTheme="minorHAnsi" w:hAnsiTheme="minorHAnsi"/>
                <w:sz w:val="22"/>
              </w:rPr>
            </w:pPr>
          </w:p>
        </w:tc>
        <w:tc>
          <w:tcPr>
            <w:tcW w:w="6946" w:type="dxa"/>
          </w:tcPr>
          <w:p w:rsidR="00041080" w:rsidRPr="002F17BE" w:rsidRDefault="00A231EA" w:rsidP="00041080">
            <w:pPr>
              <w:rPr>
                <w:rFonts w:asciiTheme="minorHAnsi" w:hAnsiTheme="minorHAnsi"/>
                <w:sz w:val="22"/>
              </w:rPr>
            </w:pPr>
            <w:r w:rsidRPr="002F17BE">
              <w:rPr>
                <w:rFonts w:asciiTheme="minorHAnsi" w:hAnsiTheme="minorHAnsi"/>
                <w:sz w:val="22"/>
              </w:rPr>
              <w:t>Take a leading role in working</w:t>
            </w:r>
            <w:r w:rsidR="00041080" w:rsidRPr="002F17BE">
              <w:rPr>
                <w:rFonts w:asciiTheme="minorHAnsi" w:hAnsiTheme="minorHAnsi"/>
                <w:sz w:val="22"/>
              </w:rPr>
              <w:t xml:space="preserve"> wit</w:t>
            </w:r>
            <w:r w:rsidR="003759B3">
              <w:rPr>
                <w:rFonts w:asciiTheme="minorHAnsi" w:hAnsiTheme="minorHAnsi"/>
                <w:sz w:val="22"/>
              </w:rPr>
              <w:t xml:space="preserve">h PHNs and the Department and </w:t>
            </w:r>
            <w:r w:rsidR="00041080" w:rsidRPr="002F17BE">
              <w:rPr>
                <w:rFonts w:asciiTheme="minorHAnsi" w:hAnsiTheme="minorHAnsi"/>
                <w:sz w:val="22"/>
              </w:rPr>
              <w:t xml:space="preserve">collaboration </w:t>
            </w:r>
            <w:r w:rsidR="003759B3">
              <w:rPr>
                <w:rFonts w:asciiTheme="minorHAnsi" w:hAnsiTheme="minorHAnsi"/>
                <w:sz w:val="22"/>
              </w:rPr>
              <w:t>with</w:t>
            </w:r>
            <w:r w:rsidR="00041080" w:rsidRPr="002F17BE">
              <w:rPr>
                <w:rFonts w:asciiTheme="minorHAnsi" w:hAnsiTheme="minorHAnsi"/>
                <w:sz w:val="22"/>
              </w:rPr>
              <w:t xml:space="preserve"> other entities to provide guidance on the provision of clinically competent and culturally safe services (including mental health) as outlined in the Implementation Plan</w:t>
            </w:r>
            <w:r w:rsidR="00B703E5" w:rsidRPr="002F17BE">
              <w:rPr>
                <w:rStyle w:val="FootnoteReference"/>
                <w:rFonts w:asciiTheme="minorHAnsi" w:hAnsiTheme="minorHAnsi"/>
                <w:sz w:val="22"/>
              </w:rPr>
              <w:footnoteReference w:id="1"/>
            </w:r>
            <w:r w:rsidR="00041080" w:rsidRPr="002F17BE">
              <w:rPr>
                <w:rFonts w:asciiTheme="minorHAnsi" w:hAnsiTheme="minorHAnsi"/>
                <w:sz w:val="22"/>
              </w:rPr>
              <w:t>.</w:t>
            </w:r>
          </w:p>
          <w:p w:rsidR="00041080" w:rsidRPr="002F17BE" w:rsidRDefault="00041080" w:rsidP="0081650D">
            <w:pPr>
              <w:rPr>
                <w:rFonts w:asciiTheme="minorHAnsi" w:hAnsiTheme="minorHAnsi"/>
                <w:sz w:val="22"/>
              </w:rPr>
            </w:pPr>
          </w:p>
        </w:tc>
      </w:tr>
      <w:tr w:rsidR="00CB384B" w:rsidRPr="002F17BE" w:rsidTr="002F17BE">
        <w:tc>
          <w:tcPr>
            <w:tcW w:w="15735" w:type="dxa"/>
            <w:gridSpan w:val="3"/>
            <w:shd w:val="clear" w:color="auto" w:fill="FABF8F" w:themeFill="accent6" w:themeFillTint="99"/>
          </w:tcPr>
          <w:p w:rsidR="00CB384B" w:rsidRPr="002F17BE" w:rsidRDefault="00CB384B" w:rsidP="0081650D">
            <w:pPr>
              <w:rPr>
                <w:rFonts w:asciiTheme="minorHAnsi" w:hAnsiTheme="minorHAnsi"/>
                <w:sz w:val="22"/>
              </w:rPr>
            </w:pPr>
          </w:p>
        </w:tc>
      </w:tr>
      <w:tr w:rsidR="00890415" w:rsidRPr="002F17BE" w:rsidTr="002F17BE">
        <w:tc>
          <w:tcPr>
            <w:tcW w:w="1843" w:type="dxa"/>
            <w:vMerge w:val="restart"/>
          </w:tcPr>
          <w:p w:rsidR="00890415" w:rsidRPr="002F17BE" w:rsidRDefault="00890415" w:rsidP="0081650D">
            <w:pPr>
              <w:rPr>
                <w:rFonts w:asciiTheme="minorHAnsi" w:hAnsiTheme="minorHAnsi"/>
                <w:b/>
                <w:sz w:val="22"/>
              </w:rPr>
            </w:pPr>
            <w:r w:rsidRPr="002F17BE">
              <w:rPr>
                <w:rFonts w:asciiTheme="minorHAnsi" w:hAnsiTheme="minorHAnsi"/>
                <w:b/>
                <w:sz w:val="22"/>
              </w:rPr>
              <w:t>Commissioning</w:t>
            </w:r>
          </w:p>
        </w:tc>
        <w:tc>
          <w:tcPr>
            <w:tcW w:w="6946" w:type="dxa"/>
          </w:tcPr>
          <w:p w:rsidR="00890415" w:rsidRPr="002F17BE" w:rsidRDefault="00EA4885" w:rsidP="00EA4885">
            <w:pPr>
              <w:rPr>
                <w:rFonts w:asciiTheme="minorHAnsi" w:hAnsiTheme="minorHAnsi"/>
                <w:sz w:val="22"/>
              </w:rPr>
            </w:pPr>
            <w:r w:rsidRPr="002F17BE">
              <w:rPr>
                <w:rFonts w:asciiTheme="minorHAnsi" w:hAnsiTheme="minorHAnsi"/>
                <w:sz w:val="22"/>
              </w:rPr>
              <w:t>T</w:t>
            </w:r>
            <w:r w:rsidR="00890415" w:rsidRPr="002F17BE">
              <w:rPr>
                <w:rFonts w:asciiTheme="minorHAnsi" w:hAnsiTheme="minorHAnsi"/>
                <w:sz w:val="22"/>
              </w:rPr>
              <w:t>ry where possible to link in with existing measures, data collection mechanisms and reporting cycles to avoid duplication of reporting.</w:t>
            </w:r>
          </w:p>
        </w:tc>
        <w:tc>
          <w:tcPr>
            <w:tcW w:w="6946" w:type="dxa"/>
          </w:tcPr>
          <w:p w:rsidR="00890415" w:rsidRPr="002F17BE" w:rsidRDefault="00890415" w:rsidP="00EA4885">
            <w:pPr>
              <w:rPr>
                <w:rFonts w:asciiTheme="minorHAnsi" w:hAnsiTheme="minorHAnsi"/>
                <w:sz w:val="22"/>
              </w:rPr>
            </w:pPr>
            <w:r w:rsidRPr="002F17BE">
              <w:rPr>
                <w:rFonts w:asciiTheme="minorHAnsi" w:hAnsiTheme="minorHAnsi"/>
                <w:sz w:val="22"/>
              </w:rPr>
              <w:t>Work with PHNs in the planning, implementation and evaluation of projects and share appropriate data sources to inform locally responsive commissioning and planning processes (</w:t>
            </w:r>
            <w:r w:rsidR="00EA4885" w:rsidRPr="002F17BE">
              <w:rPr>
                <w:rFonts w:asciiTheme="minorHAnsi" w:hAnsiTheme="minorHAnsi"/>
                <w:sz w:val="22"/>
              </w:rPr>
              <w:t>refer to</w:t>
            </w:r>
            <w:r w:rsidRPr="002F17BE">
              <w:rPr>
                <w:rFonts w:asciiTheme="minorHAnsi" w:hAnsiTheme="minorHAnsi"/>
                <w:sz w:val="22"/>
              </w:rPr>
              <w:t xml:space="preserve"> accountability, data and reporting).</w:t>
            </w:r>
          </w:p>
        </w:tc>
      </w:tr>
      <w:tr w:rsidR="00890415" w:rsidRPr="002F17BE" w:rsidTr="002F17BE">
        <w:tc>
          <w:tcPr>
            <w:tcW w:w="1843" w:type="dxa"/>
            <w:vMerge/>
          </w:tcPr>
          <w:p w:rsidR="00890415" w:rsidRPr="002F17BE" w:rsidRDefault="00890415" w:rsidP="0081650D">
            <w:pPr>
              <w:rPr>
                <w:rFonts w:asciiTheme="minorHAnsi" w:hAnsiTheme="minorHAnsi"/>
                <w:b/>
                <w:sz w:val="22"/>
              </w:rPr>
            </w:pPr>
          </w:p>
        </w:tc>
        <w:tc>
          <w:tcPr>
            <w:tcW w:w="6946" w:type="dxa"/>
          </w:tcPr>
          <w:p w:rsidR="00890415" w:rsidRPr="002F17BE" w:rsidRDefault="00890415" w:rsidP="003759B3">
            <w:pPr>
              <w:rPr>
                <w:rFonts w:asciiTheme="minorHAnsi" w:hAnsiTheme="minorHAnsi"/>
                <w:sz w:val="22"/>
              </w:rPr>
            </w:pPr>
            <w:r w:rsidRPr="002F17BE">
              <w:rPr>
                <w:rFonts w:asciiTheme="minorHAnsi" w:hAnsiTheme="minorHAnsi"/>
                <w:sz w:val="22"/>
              </w:rPr>
              <w:t>Develop commissioning processes that build capacity and support Aboriginal and Torres Strait Islander organisations and which minimise the fragmentation and lack of coordination caused by competitive tendering processes.  Engage to ascertain the capacity of ACCHOs prior to commissioning to inform the process for commissioning Indigenous-specific health programmes and services.  This can include ACCHOs providing the service or collaborating in consortia either with other Indigenous-specific primary health care service providers or with the mainstream health system (a combination of private and public providers). Ensure commissioning processes take the needs of ACCHOs into account, are not unnecessarily burdensome and are communicated well in advance to ACCHOs. Develop strategies to overcome barriers by ACCHOs to competitively tender for funds.</w:t>
            </w:r>
          </w:p>
        </w:tc>
        <w:tc>
          <w:tcPr>
            <w:tcW w:w="6946" w:type="dxa"/>
          </w:tcPr>
          <w:p w:rsidR="00890415" w:rsidRPr="002F17BE" w:rsidRDefault="00890415" w:rsidP="003759B3">
            <w:pPr>
              <w:rPr>
                <w:rFonts w:asciiTheme="minorHAnsi" w:hAnsiTheme="minorHAnsi"/>
                <w:sz w:val="22"/>
              </w:rPr>
            </w:pPr>
            <w:r w:rsidRPr="002F17BE">
              <w:rPr>
                <w:rFonts w:asciiTheme="minorHAnsi" w:hAnsiTheme="minorHAnsi"/>
                <w:sz w:val="22"/>
              </w:rPr>
              <w:t xml:space="preserve">Advise PHNs of capacity of ACCHOs to undertake additional activities to improve health outcomes for Aboriginal and Torres Strait Islander people and also what additional resources and support are required to provide additional services. This can include ACCHOs providing services on their own, with other Indigenous-specific primary health care service providers or with the mainstream health system (a combination of private and public providers). </w:t>
            </w:r>
          </w:p>
        </w:tc>
      </w:tr>
      <w:tr w:rsidR="00890415" w:rsidRPr="002F17BE" w:rsidTr="002F17BE">
        <w:tc>
          <w:tcPr>
            <w:tcW w:w="1843" w:type="dxa"/>
            <w:vMerge/>
          </w:tcPr>
          <w:p w:rsidR="00890415" w:rsidRPr="002F17BE" w:rsidRDefault="00890415" w:rsidP="0081650D">
            <w:pPr>
              <w:rPr>
                <w:rFonts w:asciiTheme="minorHAnsi" w:hAnsiTheme="minorHAnsi"/>
                <w:b/>
                <w:sz w:val="22"/>
              </w:rPr>
            </w:pPr>
          </w:p>
        </w:tc>
        <w:tc>
          <w:tcPr>
            <w:tcW w:w="6946" w:type="dxa"/>
          </w:tcPr>
          <w:p w:rsidR="00890415" w:rsidRPr="002F17BE" w:rsidRDefault="00890415" w:rsidP="003F05C9">
            <w:pPr>
              <w:rPr>
                <w:rFonts w:asciiTheme="minorHAnsi" w:eastAsia="SimSun" w:hAnsiTheme="minorHAnsi"/>
                <w:sz w:val="22"/>
                <w:lang w:eastAsia="zh-CN"/>
              </w:rPr>
            </w:pPr>
            <w:r w:rsidRPr="002F17BE">
              <w:rPr>
                <w:rFonts w:asciiTheme="minorHAnsi" w:eastAsia="SimSun" w:hAnsiTheme="minorHAnsi"/>
                <w:sz w:val="22"/>
                <w:lang w:eastAsia="zh-CN"/>
              </w:rPr>
              <w:t>In the commissioning of Indigenous-specific services the successful applicants will be required to demonstrate:</w:t>
            </w:r>
          </w:p>
          <w:p w:rsidR="00890415" w:rsidRPr="002F17BE" w:rsidRDefault="00890415" w:rsidP="00C85F78">
            <w:pPr>
              <w:pStyle w:val="ListParagraph"/>
              <w:numPr>
                <w:ilvl w:val="0"/>
                <w:numId w:val="12"/>
              </w:numPr>
              <w:rPr>
                <w:rFonts w:asciiTheme="minorHAnsi" w:eastAsia="SimSun" w:hAnsiTheme="minorHAnsi"/>
                <w:sz w:val="22"/>
                <w:lang w:eastAsia="zh-CN"/>
              </w:rPr>
            </w:pPr>
            <w:r w:rsidRPr="002F17BE">
              <w:rPr>
                <w:rFonts w:asciiTheme="minorHAnsi" w:eastAsia="SimSun" w:hAnsiTheme="minorHAnsi"/>
                <w:sz w:val="22"/>
                <w:lang w:eastAsia="zh-CN"/>
              </w:rPr>
              <w:t>the ability to deliver culturally appropriate services to Aboriginal an</w:t>
            </w:r>
            <w:r w:rsidR="003759B3">
              <w:rPr>
                <w:rFonts w:asciiTheme="minorHAnsi" w:eastAsia="SimSun" w:hAnsiTheme="minorHAnsi"/>
                <w:sz w:val="22"/>
                <w:lang w:eastAsia="zh-CN"/>
              </w:rPr>
              <w:t>d Torres Strait Islander people</w:t>
            </w:r>
          </w:p>
          <w:p w:rsidR="00890415" w:rsidRPr="002F17BE" w:rsidRDefault="00890415" w:rsidP="00C85F78">
            <w:pPr>
              <w:pStyle w:val="ListParagraph"/>
              <w:numPr>
                <w:ilvl w:val="0"/>
                <w:numId w:val="12"/>
              </w:numPr>
              <w:rPr>
                <w:rFonts w:asciiTheme="minorHAnsi" w:eastAsia="SimSun" w:hAnsiTheme="minorHAnsi"/>
                <w:sz w:val="22"/>
                <w:lang w:eastAsia="zh-CN"/>
              </w:rPr>
            </w:pPr>
            <w:r w:rsidRPr="002F17BE">
              <w:rPr>
                <w:rFonts w:asciiTheme="minorHAnsi" w:eastAsia="SimSun" w:hAnsiTheme="minorHAnsi"/>
                <w:sz w:val="22"/>
                <w:lang w:eastAsia="zh-CN"/>
              </w:rPr>
              <w:t>how they communicate sensitively and effectively with Aboriginal and Torres Strait Islander peopl</w:t>
            </w:r>
            <w:r w:rsidR="003759B3">
              <w:rPr>
                <w:rFonts w:asciiTheme="minorHAnsi" w:eastAsia="SimSun" w:hAnsiTheme="minorHAnsi"/>
                <w:sz w:val="22"/>
                <w:lang w:eastAsia="zh-CN"/>
              </w:rPr>
              <w:t>e on health and related issues;</w:t>
            </w:r>
          </w:p>
          <w:p w:rsidR="00890415" w:rsidRPr="002F17BE" w:rsidRDefault="00890415" w:rsidP="00C85F78">
            <w:pPr>
              <w:pStyle w:val="ListParagraph"/>
              <w:numPr>
                <w:ilvl w:val="0"/>
                <w:numId w:val="12"/>
              </w:numPr>
              <w:rPr>
                <w:rFonts w:asciiTheme="minorHAnsi" w:eastAsia="SimSun" w:hAnsiTheme="minorHAnsi"/>
                <w:sz w:val="22"/>
                <w:lang w:eastAsia="zh-CN"/>
              </w:rPr>
            </w:pPr>
            <w:r w:rsidRPr="002F17BE">
              <w:rPr>
                <w:rFonts w:asciiTheme="minorHAnsi" w:eastAsia="SimSun" w:hAnsiTheme="minorHAnsi"/>
                <w:sz w:val="22"/>
                <w:lang w:eastAsia="zh-CN"/>
              </w:rPr>
              <w:t>how Aboriginal and Torres Strait Islander people from the local community will be included in the design delivery  and eval</w:t>
            </w:r>
            <w:r w:rsidR="003759B3">
              <w:rPr>
                <w:rFonts w:asciiTheme="minorHAnsi" w:eastAsia="SimSun" w:hAnsiTheme="minorHAnsi"/>
                <w:sz w:val="22"/>
                <w:lang w:eastAsia="zh-CN"/>
              </w:rPr>
              <w:t>uation of appropriate services</w:t>
            </w:r>
          </w:p>
          <w:p w:rsidR="00890415" w:rsidRPr="002F17BE" w:rsidRDefault="003759B3" w:rsidP="00C85F78">
            <w:pPr>
              <w:pStyle w:val="ListParagraph"/>
              <w:numPr>
                <w:ilvl w:val="0"/>
                <w:numId w:val="12"/>
              </w:numPr>
              <w:rPr>
                <w:rFonts w:asciiTheme="minorHAnsi" w:eastAsia="SimSun" w:hAnsiTheme="minorHAnsi"/>
                <w:sz w:val="22"/>
                <w:lang w:eastAsia="zh-CN"/>
              </w:rPr>
            </w:pPr>
            <w:r>
              <w:rPr>
                <w:rFonts w:asciiTheme="minorHAnsi" w:eastAsia="SimSun" w:hAnsiTheme="minorHAnsi"/>
                <w:sz w:val="22"/>
                <w:lang w:eastAsia="zh-CN"/>
              </w:rPr>
              <w:t>h</w:t>
            </w:r>
            <w:r w:rsidR="00890415" w:rsidRPr="002F17BE">
              <w:rPr>
                <w:rFonts w:asciiTheme="minorHAnsi" w:eastAsia="SimSun" w:hAnsiTheme="minorHAnsi"/>
                <w:sz w:val="22"/>
                <w:lang w:eastAsia="zh-CN"/>
              </w:rPr>
              <w:t>ow their service delivery is building the capacity of Aboriginal and Torres Strait Island</w:t>
            </w:r>
            <w:r>
              <w:rPr>
                <w:rFonts w:asciiTheme="minorHAnsi" w:eastAsia="SimSun" w:hAnsiTheme="minorHAnsi"/>
                <w:sz w:val="22"/>
                <w:lang w:eastAsia="zh-CN"/>
              </w:rPr>
              <w:t>er leadership and organisations</w:t>
            </w:r>
          </w:p>
          <w:p w:rsidR="00890415" w:rsidRPr="002F17BE" w:rsidRDefault="003759B3" w:rsidP="00C85F78">
            <w:pPr>
              <w:pStyle w:val="ListParagraph"/>
              <w:numPr>
                <w:ilvl w:val="0"/>
                <w:numId w:val="12"/>
              </w:numPr>
              <w:rPr>
                <w:rFonts w:asciiTheme="minorHAnsi" w:eastAsia="SimSun" w:hAnsiTheme="minorHAnsi"/>
                <w:sz w:val="22"/>
                <w:lang w:eastAsia="zh-CN"/>
              </w:rPr>
            </w:pPr>
            <w:r>
              <w:rPr>
                <w:rFonts w:asciiTheme="minorHAnsi" w:eastAsia="SimSun" w:hAnsiTheme="minorHAnsi"/>
                <w:sz w:val="22"/>
                <w:lang w:eastAsia="zh-CN"/>
              </w:rPr>
              <w:t>h</w:t>
            </w:r>
            <w:r w:rsidR="00890415" w:rsidRPr="002F17BE">
              <w:rPr>
                <w:rFonts w:asciiTheme="minorHAnsi" w:eastAsia="SimSun" w:hAnsiTheme="minorHAnsi"/>
                <w:sz w:val="22"/>
                <w:lang w:eastAsia="zh-CN"/>
              </w:rPr>
              <w:t>ow their service will build Aboriginal and Torres Strait Islander employment including through developing career</w:t>
            </w:r>
            <w:r>
              <w:rPr>
                <w:rFonts w:asciiTheme="minorHAnsi" w:eastAsia="SimSun" w:hAnsiTheme="minorHAnsi"/>
                <w:sz w:val="22"/>
                <w:lang w:eastAsia="zh-CN"/>
              </w:rPr>
              <w:t xml:space="preserve"> pathways for Indigenous people</w:t>
            </w:r>
          </w:p>
          <w:p w:rsidR="00890415" w:rsidRPr="002F17BE" w:rsidRDefault="00890415" w:rsidP="00C85F78">
            <w:pPr>
              <w:pStyle w:val="ListParagraph"/>
              <w:numPr>
                <w:ilvl w:val="0"/>
                <w:numId w:val="12"/>
              </w:numPr>
              <w:rPr>
                <w:rFonts w:asciiTheme="minorHAnsi" w:eastAsia="SimSun" w:hAnsiTheme="minorHAnsi"/>
                <w:sz w:val="22"/>
                <w:lang w:eastAsia="zh-CN"/>
              </w:rPr>
            </w:pPr>
            <w:r w:rsidRPr="002F17BE">
              <w:rPr>
                <w:rFonts w:asciiTheme="minorHAnsi" w:eastAsia="SimSun" w:hAnsiTheme="minorHAnsi"/>
                <w:sz w:val="22"/>
                <w:lang w:eastAsia="zh-CN"/>
              </w:rPr>
              <w:t>how they have, or will develop and maintain, strong working relationships with various stakeholders, specifically Aboriginal and/or Torres Strait Islander organis</w:t>
            </w:r>
            <w:r w:rsidR="003759B3">
              <w:rPr>
                <w:rFonts w:asciiTheme="minorHAnsi" w:eastAsia="SimSun" w:hAnsiTheme="minorHAnsi"/>
                <w:sz w:val="22"/>
                <w:lang w:eastAsia="zh-CN"/>
              </w:rPr>
              <w:t>ations and/or community members,</w:t>
            </w:r>
            <w:r w:rsidRPr="002F17BE">
              <w:rPr>
                <w:rFonts w:asciiTheme="minorHAnsi" w:eastAsia="SimSun" w:hAnsiTheme="minorHAnsi"/>
                <w:sz w:val="22"/>
                <w:lang w:eastAsia="zh-CN"/>
              </w:rPr>
              <w:t xml:space="preserve"> </w:t>
            </w:r>
            <w:r w:rsidRPr="002F17BE">
              <w:rPr>
                <w:rFonts w:asciiTheme="minorHAnsi" w:eastAsia="SimSun" w:hAnsiTheme="minorHAnsi" w:cs="Times New Roman"/>
                <w:sz w:val="22"/>
                <w:lang w:eastAsia="zh-CN"/>
              </w:rPr>
              <w:t>and</w:t>
            </w:r>
          </w:p>
          <w:p w:rsidR="00890415" w:rsidRPr="002F17BE" w:rsidRDefault="00890415" w:rsidP="00C4390C">
            <w:pPr>
              <w:pStyle w:val="ListParagraph"/>
              <w:numPr>
                <w:ilvl w:val="0"/>
                <w:numId w:val="12"/>
              </w:numPr>
              <w:rPr>
                <w:rFonts w:asciiTheme="minorHAnsi" w:hAnsiTheme="minorHAnsi"/>
                <w:sz w:val="22"/>
              </w:rPr>
            </w:pPr>
            <w:r w:rsidRPr="002F17BE">
              <w:rPr>
                <w:rFonts w:asciiTheme="minorHAnsi" w:eastAsia="SimSun" w:hAnsiTheme="minorHAnsi"/>
                <w:sz w:val="22"/>
                <w:lang w:eastAsia="zh-CN"/>
              </w:rPr>
              <w:t xml:space="preserve">the ability to exercise the utmost discretion and demonstrate cultural awareness and respect for all Aboriginal and Torres Strait Islander </w:t>
            </w:r>
            <w:r w:rsidRPr="002F17BE">
              <w:rPr>
                <w:rFonts w:asciiTheme="minorHAnsi" w:eastAsia="SimSun" w:hAnsiTheme="minorHAnsi"/>
                <w:sz w:val="22"/>
                <w:lang w:eastAsia="zh-CN"/>
              </w:rPr>
              <w:lastRenderedPageBreak/>
              <w:t>cultural and community matters.</w:t>
            </w:r>
          </w:p>
        </w:tc>
        <w:tc>
          <w:tcPr>
            <w:tcW w:w="6946" w:type="dxa"/>
          </w:tcPr>
          <w:p w:rsidR="00890415" w:rsidRPr="002F17BE" w:rsidRDefault="00890415" w:rsidP="003759B3">
            <w:pPr>
              <w:rPr>
                <w:rFonts w:asciiTheme="minorHAnsi" w:hAnsiTheme="minorHAnsi"/>
                <w:sz w:val="22"/>
              </w:rPr>
            </w:pPr>
            <w:r w:rsidRPr="002F17BE">
              <w:rPr>
                <w:rFonts w:asciiTheme="minorHAnsi" w:hAnsiTheme="minorHAnsi"/>
                <w:sz w:val="22"/>
              </w:rPr>
              <w:lastRenderedPageBreak/>
              <w:t xml:space="preserve">Provide information, advice and guidance to PHNs on key success factors in clinical and population health activities of ACCHOs that the ACCHOs and/or Regional Organisations of ACCHOs have identified from their practical experiences. Provide advice to PHNs on how the PHN and ACCHOs can work together to strengthen Aboriginal and Torres Strait Islander leadership and control of service delivery and  build the capacity of Aboriginal and Torres Strait Islander organisations. </w:t>
            </w:r>
          </w:p>
        </w:tc>
      </w:tr>
      <w:tr w:rsidR="00890415" w:rsidRPr="002F17BE" w:rsidTr="002F17BE">
        <w:tc>
          <w:tcPr>
            <w:tcW w:w="1843" w:type="dxa"/>
            <w:vMerge/>
          </w:tcPr>
          <w:p w:rsidR="00890415" w:rsidRPr="002F17BE" w:rsidRDefault="00890415" w:rsidP="0081650D">
            <w:pPr>
              <w:rPr>
                <w:rFonts w:asciiTheme="minorHAnsi" w:hAnsiTheme="minorHAnsi"/>
                <w:b/>
                <w:sz w:val="22"/>
              </w:rPr>
            </w:pPr>
          </w:p>
        </w:tc>
        <w:tc>
          <w:tcPr>
            <w:tcW w:w="6946" w:type="dxa"/>
          </w:tcPr>
          <w:p w:rsidR="00890415" w:rsidRPr="002F17BE" w:rsidRDefault="00890415" w:rsidP="003759B3">
            <w:pPr>
              <w:rPr>
                <w:rFonts w:asciiTheme="minorHAnsi" w:eastAsia="SimSun" w:hAnsiTheme="minorHAnsi"/>
                <w:sz w:val="22"/>
                <w:highlight w:val="yellow"/>
                <w:lang w:eastAsia="zh-CN"/>
              </w:rPr>
            </w:pPr>
            <w:r w:rsidRPr="002F17BE">
              <w:rPr>
                <w:rFonts w:asciiTheme="minorHAnsi" w:eastAsia="SimSun" w:hAnsiTheme="minorHAnsi"/>
                <w:sz w:val="22"/>
                <w:lang w:eastAsia="zh-CN"/>
              </w:rPr>
              <w:t>Commission Indigenous-specific health programmes and services that adhere to the Indigenous Australi</w:t>
            </w:r>
            <w:r w:rsidR="003759B3">
              <w:rPr>
                <w:rFonts w:asciiTheme="minorHAnsi" w:eastAsia="SimSun" w:hAnsiTheme="minorHAnsi"/>
                <w:sz w:val="22"/>
                <w:lang w:eastAsia="zh-CN"/>
              </w:rPr>
              <w:t xml:space="preserve">ans’ Health Program Guidelines and </w:t>
            </w:r>
            <w:r w:rsidRPr="002F17BE">
              <w:rPr>
                <w:rFonts w:asciiTheme="minorHAnsi" w:eastAsia="SimSun" w:hAnsiTheme="minorHAnsi"/>
                <w:sz w:val="22"/>
                <w:lang w:eastAsia="zh-CN"/>
              </w:rPr>
              <w:t xml:space="preserve">the PHN Program Guidelines, and align with the Implementation Plan for the </w:t>
            </w:r>
            <w:r w:rsidRPr="002F17BE">
              <w:rPr>
                <w:rFonts w:asciiTheme="minorHAnsi" w:eastAsia="SimSun" w:hAnsiTheme="minorHAnsi"/>
                <w:i/>
                <w:sz w:val="22"/>
                <w:lang w:eastAsia="zh-CN"/>
              </w:rPr>
              <w:t>National Aboriginal and Tor</w:t>
            </w:r>
            <w:r w:rsidR="003759B3">
              <w:rPr>
                <w:rFonts w:asciiTheme="minorHAnsi" w:eastAsia="SimSun" w:hAnsiTheme="minorHAnsi"/>
                <w:i/>
                <w:sz w:val="22"/>
                <w:lang w:eastAsia="zh-CN"/>
              </w:rPr>
              <w:t xml:space="preserve">res Strait Islander Health Plan </w:t>
            </w:r>
            <w:r w:rsidRPr="002F17BE">
              <w:rPr>
                <w:rFonts w:asciiTheme="minorHAnsi" w:eastAsia="SimSun" w:hAnsiTheme="minorHAnsi"/>
                <w:i/>
                <w:sz w:val="22"/>
                <w:lang w:eastAsia="zh-CN"/>
              </w:rPr>
              <w:t>2013-23</w:t>
            </w:r>
            <w:r w:rsidRPr="002F17BE">
              <w:rPr>
                <w:rFonts w:asciiTheme="minorHAnsi" w:eastAsia="SimSun" w:hAnsiTheme="minorHAnsi"/>
                <w:sz w:val="22"/>
                <w:lang w:eastAsia="zh-CN"/>
              </w:rPr>
              <w:t xml:space="preserve"> </w:t>
            </w:r>
            <w:r w:rsidR="003759B3">
              <w:rPr>
                <w:rFonts w:asciiTheme="minorHAnsi" w:eastAsia="SimSun" w:hAnsiTheme="minorHAnsi"/>
                <w:sz w:val="22"/>
                <w:lang w:eastAsia="zh-CN"/>
              </w:rPr>
              <w:t>as well as</w:t>
            </w:r>
            <w:r w:rsidRPr="002F17BE">
              <w:rPr>
                <w:rFonts w:asciiTheme="minorHAnsi" w:eastAsia="SimSun" w:hAnsiTheme="minorHAnsi"/>
                <w:sz w:val="22"/>
                <w:lang w:eastAsia="zh-CN"/>
              </w:rPr>
              <w:t xml:space="preserve"> the ongoing needs assessments developed and maintained by PHNs.</w:t>
            </w:r>
          </w:p>
        </w:tc>
        <w:tc>
          <w:tcPr>
            <w:tcW w:w="6946" w:type="dxa"/>
          </w:tcPr>
          <w:p w:rsidR="00890415" w:rsidRPr="002F17BE" w:rsidRDefault="00890415" w:rsidP="003759B3">
            <w:pPr>
              <w:rPr>
                <w:rFonts w:asciiTheme="minorHAnsi" w:hAnsiTheme="minorHAnsi"/>
                <w:sz w:val="22"/>
              </w:rPr>
            </w:pPr>
            <w:r w:rsidRPr="002F17BE">
              <w:rPr>
                <w:rFonts w:asciiTheme="minorHAnsi" w:hAnsiTheme="minorHAnsi"/>
                <w:sz w:val="22"/>
              </w:rPr>
              <w:t>Respond to commissioned tenders from the PHNs and, as well, propose unsolicited, costed Indigenous-specific health programs and services that adhere to the Indigenous Australians’ Health Program Guidelines</w:t>
            </w:r>
            <w:r w:rsidRPr="002F17BE">
              <w:rPr>
                <w:rFonts w:asciiTheme="minorHAnsi" w:eastAsia="SimSun" w:hAnsiTheme="minorHAnsi"/>
                <w:sz w:val="22"/>
                <w:lang w:eastAsia="zh-CN"/>
              </w:rPr>
              <w:t xml:space="preserve"> </w:t>
            </w:r>
            <w:r w:rsidR="003759B3">
              <w:rPr>
                <w:rFonts w:asciiTheme="minorHAnsi" w:eastAsia="SimSun" w:hAnsiTheme="minorHAnsi"/>
                <w:sz w:val="22"/>
                <w:lang w:eastAsia="zh-CN"/>
              </w:rPr>
              <w:t xml:space="preserve">and </w:t>
            </w:r>
            <w:r w:rsidRPr="002F17BE">
              <w:rPr>
                <w:rFonts w:asciiTheme="minorHAnsi" w:eastAsia="SimSun" w:hAnsiTheme="minorHAnsi"/>
                <w:sz w:val="22"/>
                <w:lang w:eastAsia="zh-CN"/>
              </w:rPr>
              <w:t xml:space="preserve">the PHN Program Guidelines, and align with the Implementation Plan for the </w:t>
            </w:r>
            <w:r w:rsidRPr="002F17BE">
              <w:rPr>
                <w:rFonts w:asciiTheme="minorHAnsi" w:eastAsia="SimSun" w:hAnsiTheme="minorHAnsi"/>
                <w:i/>
                <w:sz w:val="22"/>
                <w:lang w:eastAsia="zh-CN"/>
              </w:rPr>
              <w:t>National Aboriginal and Torres Strait Islander Health Plan 2013-23</w:t>
            </w:r>
            <w:r w:rsidRPr="002F17BE">
              <w:rPr>
                <w:rFonts w:asciiTheme="minorHAnsi" w:eastAsia="SimSun" w:hAnsiTheme="minorHAnsi"/>
                <w:sz w:val="22"/>
                <w:lang w:eastAsia="zh-CN"/>
              </w:rPr>
              <w:t xml:space="preserve"> </w:t>
            </w:r>
            <w:r w:rsidR="003759B3">
              <w:rPr>
                <w:rFonts w:asciiTheme="minorHAnsi" w:eastAsia="SimSun" w:hAnsiTheme="minorHAnsi"/>
                <w:sz w:val="22"/>
                <w:lang w:eastAsia="zh-CN"/>
              </w:rPr>
              <w:t>as well as the</w:t>
            </w:r>
            <w:r w:rsidRPr="002F17BE">
              <w:rPr>
                <w:rFonts w:asciiTheme="minorHAnsi" w:eastAsia="SimSun" w:hAnsiTheme="minorHAnsi"/>
                <w:sz w:val="22"/>
                <w:lang w:eastAsia="zh-CN"/>
              </w:rPr>
              <w:t xml:space="preserve"> ongoing needs assessments developed and maintained by PHNs.</w:t>
            </w:r>
          </w:p>
        </w:tc>
      </w:tr>
      <w:tr w:rsidR="00CB384B" w:rsidRPr="002F17BE" w:rsidTr="002F17BE">
        <w:tc>
          <w:tcPr>
            <w:tcW w:w="15735" w:type="dxa"/>
            <w:gridSpan w:val="3"/>
            <w:shd w:val="clear" w:color="auto" w:fill="FABF8F" w:themeFill="accent6" w:themeFillTint="99"/>
          </w:tcPr>
          <w:p w:rsidR="00CB384B" w:rsidRPr="002F17BE" w:rsidRDefault="00CB384B" w:rsidP="0081650D">
            <w:pPr>
              <w:rPr>
                <w:rFonts w:asciiTheme="minorHAnsi" w:hAnsiTheme="minorHAnsi"/>
                <w:sz w:val="22"/>
              </w:rPr>
            </w:pPr>
          </w:p>
        </w:tc>
      </w:tr>
      <w:tr w:rsidR="00EA4885" w:rsidRPr="002F17BE" w:rsidTr="002F17BE">
        <w:trPr>
          <w:trHeight w:val="735"/>
        </w:trPr>
        <w:tc>
          <w:tcPr>
            <w:tcW w:w="1843" w:type="dxa"/>
            <w:vMerge w:val="restart"/>
          </w:tcPr>
          <w:p w:rsidR="00EA4885" w:rsidRPr="002F17BE" w:rsidRDefault="00EA4885" w:rsidP="0081650D">
            <w:pPr>
              <w:rPr>
                <w:rFonts w:asciiTheme="minorHAnsi" w:hAnsiTheme="minorHAnsi"/>
                <w:b/>
                <w:sz w:val="22"/>
              </w:rPr>
            </w:pPr>
            <w:r w:rsidRPr="002F17BE">
              <w:rPr>
                <w:rFonts w:asciiTheme="minorHAnsi" w:hAnsiTheme="minorHAnsi"/>
                <w:b/>
                <w:sz w:val="22"/>
              </w:rPr>
              <w:t>Engagement &amp; Representation</w:t>
            </w:r>
          </w:p>
        </w:tc>
        <w:tc>
          <w:tcPr>
            <w:tcW w:w="6946" w:type="dxa"/>
            <w:vMerge w:val="restart"/>
          </w:tcPr>
          <w:p w:rsidR="00EA4885" w:rsidRPr="002F17BE" w:rsidRDefault="00EA4885" w:rsidP="003759B3">
            <w:pPr>
              <w:rPr>
                <w:rFonts w:asciiTheme="minorHAnsi" w:hAnsiTheme="minorHAnsi"/>
                <w:sz w:val="22"/>
              </w:rPr>
            </w:pPr>
            <w:r w:rsidRPr="002F17BE">
              <w:rPr>
                <w:rFonts w:asciiTheme="minorHAnsi" w:hAnsiTheme="minorHAnsi"/>
                <w:sz w:val="22"/>
              </w:rPr>
              <w:t>Have broad engagement across their region including with ACCHOs (as outlined in the PHN Program Guidelines).  Ensure that the ACCH</w:t>
            </w:r>
            <w:r w:rsidR="003759B3">
              <w:rPr>
                <w:rFonts w:asciiTheme="minorHAnsi" w:hAnsiTheme="minorHAnsi"/>
                <w:sz w:val="22"/>
              </w:rPr>
              <w:t>O</w:t>
            </w:r>
            <w:r w:rsidRPr="002F17BE">
              <w:rPr>
                <w:rFonts w:asciiTheme="minorHAnsi" w:hAnsiTheme="minorHAnsi"/>
                <w:sz w:val="22"/>
              </w:rPr>
              <w:t xml:space="preserve"> sector is consulted about all major funding streams (including targeted Aboriginal and Torres Strait Islander funding and mainstream funding).</w:t>
            </w:r>
          </w:p>
        </w:tc>
        <w:tc>
          <w:tcPr>
            <w:tcW w:w="6946" w:type="dxa"/>
          </w:tcPr>
          <w:p w:rsidR="00EA4885" w:rsidRPr="002F17BE" w:rsidRDefault="00EA4885" w:rsidP="000E2C9E">
            <w:pPr>
              <w:rPr>
                <w:rFonts w:asciiTheme="minorHAnsi" w:hAnsiTheme="minorHAnsi"/>
                <w:sz w:val="22"/>
              </w:rPr>
            </w:pPr>
            <w:r w:rsidRPr="002F17BE">
              <w:rPr>
                <w:rFonts w:asciiTheme="minorHAnsi" w:hAnsiTheme="minorHAnsi"/>
                <w:sz w:val="22"/>
              </w:rPr>
              <w:t>Provide linkages to key Aboriginal and Torres Strait Islander community members, representative bodies and organisations.</w:t>
            </w:r>
          </w:p>
        </w:tc>
      </w:tr>
      <w:tr w:rsidR="00EA4885" w:rsidRPr="002F17BE" w:rsidTr="00751053">
        <w:trPr>
          <w:trHeight w:val="465"/>
        </w:trPr>
        <w:tc>
          <w:tcPr>
            <w:tcW w:w="1843" w:type="dxa"/>
            <w:vMerge/>
          </w:tcPr>
          <w:p w:rsidR="00EA4885" w:rsidRPr="002F17BE" w:rsidRDefault="00EA4885" w:rsidP="0081650D">
            <w:pPr>
              <w:rPr>
                <w:rFonts w:asciiTheme="minorHAnsi" w:hAnsiTheme="minorHAnsi"/>
                <w:b/>
                <w:sz w:val="22"/>
              </w:rPr>
            </w:pPr>
          </w:p>
        </w:tc>
        <w:tc>
          <w:tcPr>
            <w:tcW w:w="6946" w:type="dxa"/>
            <w:vMerge/>
          </w:tcPr>
          <w:p w:rsidR="00EA4885" w:rsidRPr="002F17BE" w:rsidRDefault="00EA4885" w:rsidP="00F320DC">
            <w:pPr>
              <w:rPr>
                <w:rFonts w:asciiTheme="minorHAnsi" w:hAnsiTheme="minorHAnsi"/>
                <w:sz w:val="22"/>
              </w:rPr>
            </w:pPr>
          </w:p>
        </w:tc>
        <w:tc>
          <w:tcPr>
            <w:tcW w:w="6946" w:type="dxa"/>
          </w:tcPr>
          <w:p w:rsidR="00EA4885" w:rsidRPr="002F17BE" w:rsidRDefault="00EA4885" w:rsidP="000E2C9E">
            <w:pPr>
              <w:rPr>
                <w:rFonts w:asciiTheme="minorHAnsi" w:hAnsiTheme="minorHAnsi"/>
                <w:sz w:val="22"/>
              </w:rPr>
            </w:pPr>
            <w:r w:rsidRPr="002F17BE">
              <w:rPr>
                <w:rFonts w:asciiTheme="minorHAnsi" w:hAnsiTheme="minorHAnsi"/>
                <w:sz w:val="22"/>
              </w:rPr>
              <w:t>Provide representation on PHN working groups.</w:t>
            </w:r>
          </w:p>
        </w:tc>
      </w:tr>
      <w:tr w:rsidR="00EA4885" w:rsidRPr="002F17BE" w:rsidTr="002F17BE">
        <w:tc>
          <w:tcPr>
            <w:tcW w:w="1843" w:type="dxa"/>
            <w:vMerge/>
          </w:tcPr>
          <w:p w:rsidR="00EA4885" w:rsidRPr="002F17BE" w:rsidRDefault="00EA4885" w:rsidP="0081650D">
            <w:pPr>
              <w:rPr>
                <w:rFonts w:asciiTheme="minorHAnsi" w:hAnsiTheme="minorHAnsi"/>
                <w:b/>
                <w:sz w:val="22"/>
              </w:rPr>
            </w:pPr>
          </w:p>
        </w:tc>
        <w:tc>
          <w:tcPr>
            <w:tcW w:w="6946" w:type="dxa"/>
          </w:tcPr>
          <w:p w:rsidR="00EA4885" w:rsidRPr="002F17BE" w:rsidRDefault="00EA4885" w:rsidP="00445984">
            <w:pPr>
              <w:rPr>
                <w:rFonts w:asciiTheme="minorHAnsi" w:hAnsiTheme="minorHAnsi"/>
                <w:sz w:val="22"/>
              </w:rPr>
            </w:pPr>
            <w:r w:rsidRPr="002F17BE">
              <w:rPr>
                <w:rFonts w:asciiTheme="minorHAnsi" w:hAnsiTheme="minorHAnsi"/>
                <w:sz w:val="22"/>
              </w:rPr>
              <w:t xml:space="preserve">Engage with Aboriginal and Torres Strait Islander health stakeholders throughout needs assessment, annual planning, designing and contracting services, including through the relevant PHN governance structures. </w:t>
            </w:r>
          </w:p>
        </w:tc>
        <w:tc>
          <w:tcPr>
            <w:tcW w:w="6946" w:type="dxa"/>
          </w:tcPr>
          <w:p w:rsidR="00EA4885" w:rsidRPr="002F17BE" w:rsidRDefault="00EA4885" w:rsidP="00751053">
            <w:pPr>
              <w:rPr>
                <w:rFonts w:asciiTheme="minorHAnsi" w:hAnsiTheme="minorHAnsi"/>
                <w:sz w:val="22"/>
              </w:rPr>
            </w:pPr>
            <w:r w:rsidRPr="002F17BE">
              <w:rPr>
                <w:rFonts w:asciiTheme="minorHAnsi" w:hAnsiTheme="minorHAnsi"/>
                <w:sz w:val="22"/>
              </w:rPr>
              <w:t>Engage with Aboriginal and Torres Strait Islander people, families and communities in order to ascertain their views and incorporate them in evidence-based inputs to PHNs via relevant forums</w:t>
            </w:r>
            <w:r w:rsidR="00751053">
              <w:rPr>
                <w:rFonts w:asciiTheme="minorHAnsi" w:hAnsiTheme="minorHAnsi"/>
                <w:sz w:val="22"/>
              </w:rPr>
              <w:t>,</w:t>
            </w:r>
            <w:r w:rsidRPr="002F17BE">
              <w:rPr>
                <w:rFonts w:asciiTheme="minorHAnsi" w:hAnsiTheme="minorHAnsi"/>
                <w:sz w:val="22"/>
              </w:rPr>
              <w:t xml:space="preserve"> such as PHN Boards, Clinical Councils or PHN Community Advisory Committees. </w:t>
            </w:r>
          </w:p>
        </w:tc>
      </w:tr>
      <w:tr w:rsidR="00EA4885" w:rsidRPr="002F17BE" w:rsidTr="002F17BE">
        <w:tc>
          <w:tcPr>
            <w:tcW w:w="1843" w:type="dxa"/>
            <w:vMerge/>
          </w:tcPr>
          <w:p w:rsidR="00EA4885" w:rsidRPr="002F17BE" w:rsidRDefault="00EA4885" w:rsidP="0081650D">
            <w:pPr>
              <w:rPr>
                <w:rFonts w:asciiTheme="minorHAnsi" w:hAnsiTheme="minorHAnsi"/>
                <w:b/>
                <w:sz w:val="22"/>
              </w:rPr>
            </w:pPr>
          </w:p>
        </w:tc>
        <w:tc>
          <w:tcPr>
            <w:tcW w:w="13892" w:type="dxa"/>
            <w:gridSpan w:val="2"/>
          </w:tcPr>
          <w:p w:rsidR="00EA4885" w:rsidRPr="002F17BE" w:rsidRDefault="00EA4885" w:rsidP="00041080">
            <w:pPr>
              <w:rPr>
                <w:rFonts w:asciiTheme="minorHAnsi" w:hAnsiTheme="minorHAnsi"/>
                <w:sz w:val="22"/>
              </w:rPr>
            </w:pPr>
            <w:r w:rsidRPr="002F17BE">
              <w:rPr>
                <w:rFonts w:asciiTheme="minorHAnsi" w:hAnsiTheme="minorHAnsi"/>
                <w:sz w:val="22"/>
              </w:rPr>
              <w:t>Build consistent, open and respectful working relationships through an agreed engagement/partnership model to improve health outcomes for Aboriginal and Torres Strait Islander people, families and communities in alignment with the Implementation Plan and the priorities identified in regional needs assessments.</w:t>
            </w:r>
          </w:p>
        </w:tc>
      </w:tr>
      <w:tr w:rsidR="00EA4885" w:rsidRPr="002F17BE" w:rsidTr="002F17BE">
        <w:tc>
          <w:tcPr>
            <w:tcW w:w="1843" w:type="dxa"/>
            <w:vMerge/>
          </w:tcPr>
          <w:p w:rsidR="00EA4885" w:rsidRPr="002F17BE" w:rsidRDefault="00EA4885" w:rsidP="0081650D">
            <w:pPr>
              <w:rPr>
                <w:rFonts w:asciiTheme="minorHAnsi" w:hAnsiTheme="minorHAnsi"/>
                <w:b/>
                <w:sz w:val="22"/>
              </w:rPr>
            </w:pPr>
          </w:p>
        </w:tc>
        <w:tc>
          <w:tcPr>
            <w:tcW w:w="13892" w:type="dxa"/>
            <w:gridSpan w:val="2"/>
          </w:tcPr>
          <w:p w:rsidR="00EA4885" w:rsidRPr="002F17BE" w:rsidRDefault="00EA4885" w:rsidP="00041080">
            <w:pPr>
              <w:rPr>
                <w:rFonts w:asciiTheme="minorHAnsi" w:hAnsiTheme="minorHAnsi"/>
                <w:sz w:val="22"/>
              </w:rPr>
            </w:pPr>
            <w:r w:rsidRPr="002F17BE">
              <w:rPr>
                <w:rFonts w:asciiTheme="minorHAnsi" w:hAnsiTheme="minorHAnsi"/>
                <w:sz w:val="22"/>
              </w:rPr>
              <w:t xml:space="preserve">Partnerships will be based on the principles of collaboration, respect for each other’s role, respect for Aboriginal and Torres Strait Islander leadership and commitment to support Aboriginal and Torres Strait Islander control of service delivery where possible, </w:t>
            </w:r>
            <w:r w:rsidR="00751053">
              <w:rPr>
                <w:rFonts w:asciiTheme="minorHAnsi" w:hAnsiTheme="minorHAnsi"/>
                <w:sz w:val="22"/>
              </w:rPr>
              <w:t xml:space="preserve">a </w:t>
            </w:r>
            <w:r w:rsidRPr="002F17BE">
              <w:rPr>
                <w:rFonts w:asciiTheme="minorHAnsi" w:hAnsiTheme="minorHAnsi"/>
                <w:sz w:val="22"/>
              </w:rPr>
              <w:t xml:space="preserve">commitment to working productively and </w:t>
            </w:r>
            <w:r w:rsidR="00751053">
              <w:rPr>
                <w:rFonts w:asciiTheme="minorHAnsi" w:hAnsiTheme="minorHAnsi"/>
                <w:sz w:val="22"/>
              </w:rPr>
              <w:t xml:space="preserve">the </w:t>
            </w:r>
            <w:r w:rsidRPr="002F17BE">
              <w:rPr>
                <w:rFonts w:asciiTheme="minorHAnsi" w:hAnsiTheme="minorHAnsi"/>
                <w:sz w:val="22"/>
              </w:rPr>
              <w:t>sharing</w:t>
            </w:r>
            <w:r w:rsidR="00751053">
              <w:rPr>
                <w:rFonts w:asciiTheme="minorHAnsi" w:hAnsiTheme="minorHAnsi"/>
                <w:sz w:val="22"/>
              </w:rPr>
              <w:t xml:space="preserve"> of</w:t>
            </w:r>
            <w:r w:rsidRPr="002F17BE">
              <w:rPr>
                <w:rFonts w:asciiTheme="minorHAnsi" w:hAnsiTheme="minorHAnsi"/>
                <w:sz w:val="22"/>
              </w:rPr>
              <w:t xml:space="preserve"> information.</w:t>
            </w:r>
          </w:p>
        </w:tc>
      </w:tr>
      <w:tr w:rsidR="00EA4885" w:rsidRPr="002F17BE" w:rsidTr="002F17BE">
        <w:tc>
          <w:tcPr>
            <w:tcW w:w="1843" w:type="dxa"/>
            <w:vMerge/>
          </w:tcPr>
          <w:p w:rsidR="00EA4885" w:rsidRPr="002F17BE" w:rsidRDefault="00EA4885" w:rsidP="0081650D">
            <w:pPr>
              <w:rPr>
                <w:rFonts w:asciiTheme="minorHAnsi" w:hAnsiTheme="minorHAnsi"/>
                <w:b/>
                <w:sz w:val="22"/>
              </w:rPr>
            </w:pPr>
          </w:p>
        </w:tc>
        <w:tc>
          <w:tcPr>
            <w:tcW w:w="13892" w:type="dxa"/>
            <w:gridSpan w:val="2"/>
          </w:tcPr>
          <w:p w:rsidR="00EA4885" w:rsidRPr="002F17BE" w:rsidRDefault="00EA4885" w:rsidP="00751053">
            <w:pPr>
              <w:rPr>
                <w:rFonts w:asciiTheme="minorHAnsi" w:hAnsiTheme="minorHAnsi"/>
                <w:sz w:val="22"/>
              </w:rPr>
            </w:pPr>
            <w:r w:rsidRPr="002F17BE">
              <w:rPr>
                <w:rFonts w:asciiTheme="minorHAnsi" w:hAnsiTheme="minorHAnsi"/>
                <w:sz w:val="22"/>
              </w:rPr>
              <w:t>Set appropriate timeframes for requests and decisions where possible (including early engagement and time for delibera</w:t>
            </w:r>
            <w:r w:rsidR="00751053">
              <w:rPr>
                <w:rFonts w:asciiTheme="minorHAnsi" w:hAnsiTheme="minorHAnsi"/>
                <w:sz w:val="22"/>
              </w:rPr>
              <w:t>tion and to respond to requests</w:t>
            </w:r>
            <w:r w:rsidRPr="002F17BE">
              <w:rPr>
                <w:rFonts w:asciiTheme="minorHAnsi" w:hAnsiTheme="minorHAnsi"/>
                <w:sz w:val="22"/>
              </w:rPr>
              <w:t>).</w:t>
            </w:r>
          </w:p>
        </w:tc>
      </w:tr>
      <w:tr w:rsidR="00EA4885" w:rsidRPr="002F17BE" w:rsidTr="002F17BE">
        <w:tc>
          <w:tcPr>
            <w:tcW w:w="1843" w:type="dxa"/>
            <w:vMerge/>
          </w:tcPr>
          <w:p w:rsidR="00EA4885" w:rsidRPr="002F17BE" w:rsidRDefault="00EA4885" w:rsidP="0081650D">
            <w:pPr>
              <w:rPr>
                <w:rFonts w:asciiTheme="minorHAnsi" w:hAnsiTheme="minorHAnsi"/>
                <w:b/>
                <w:sz w:val="22"/>
              </w:rPr>
            </w:pPr>
          </w:p>
        </w:tc>
        <w:tc>
          <w:tcPr>
            <w:tcW w:w="13892" w:type="dxa"/>
            <w:gridSpan w:val="2"/>
          </w:tcPr>
          <w:p w:rsidR="00EA4885" w:rsidRPr="002F17BE" w:rsidRDefault="00EA4885" w:rsidP="0081650D">
            <w:pPr>
              <w:rPr>
                <w:rFonts w:asciiTheme="minorHAnsi" w:hAnsiTheme="minorHAnsi"/>
                <w:sz w:val="22"/>
              </w:rPr>
            </w:pPr>
            <w:r w:rsidRPr="002F17BE">
              <w:rPr>
                <w:rFonts w:asciiTheme="minorHAnsi" w:hAnsiTheme="minorHAnsi"/>
                <w:sz w:val="22"/>
              </w:rPr>
              <w:t>Provide advice about community events for consideration in planning health events and services in the PHN region and/or ACCHOs vicinity.</w:t>
            </w:r>
          </w:p>
        </w:tc>
      </w:tr>
      <w:tr w:rsidR="00EA4885" w:rsidRPr="002F17BE" w:rsidTr="002F17BE">
        <w:tc>
          <w:tcPr>
            <w:tcW w:w="1843" w:type="dxa"/>
            <w:vMerge/>
          </w:tcPr>
          <w:p w:rsidR="00EA4885" w:rsidRPr="002F17BE" w:rsidRDefault="00EA4885" w:rsidP="00F71FC9">
            <w:pPr>
              <w:rPr>
                <w:rFonts w:asciiTheme="minorHAnsi" w:hAnsiTheme="minorHAnsi"/>
                <w:sz w:val="22"/>
              </w:rPr>
            </w:pPr>
          </w:p>
        </w:tc>
        <w:tc>
          <w:tcPr>
            <w:tcW w:w="13892" w:type="dxa"/>
            <w:gridSpan w:val="2"/>
          </w:tcPr>
          <w:p w:rsidR="00EA4885" w:rsidRPr="002F17BE" w:rsidRDefault="00EA4885" w:rsidP="00751053">
            <w:pPr>
              <w:rPr>
                <w:rFonts w:asciiTheme="minorHAnsi" w:hAnsiTheme="minorHAnsi"/>
                <w:sz w:val="22"/>
              </w:rPr>
            </w:pPr>
            <w:r w:rsidRPr="002F17BE">
              <w:rPr>
                <w:rFonts w:asciiTheme="minorHAnsi" w:hAnsiTheme="minorHAnsi"/>
                <w:sz w:val="22"/>
              </w:rPr>
              <w:t xml:space="preserve">Acknowledge the role </w:t>
            </w:r>
            <w:r w:rsidR="00751053">
              <w:rPr>
                <w:rFonts w:asciiTheme="minorHAnsi" w:hAnsiTheme="minorHAnsi"/>
                <w:sz w:val="22"/>
              </w:rPr>
              <w:t xml:space="preserve">of, </w:t>
            </w:r>
            <w:r w:rsidRPr="002F17BE">
              <w:rPr>
                <w:rFonts w:asciiTheme="minorHAnsi" w:hAnsiTheme="minorHAnsi"/>
                <w:sz w:val="22"/>
              </w:rPr>
              <w:t>and engage</w:t>
            </w:r>
            <w:r w:rsidR="00751053">
              <w:rPr>
                <w:rFonts w:asciiTheme="minorHAnsi" w:hAnsiTheme="minorHAnsi"/>
                <w:sz w:val="22"/>
              </w:rPr>
              <w:t xml:space="preserve"> with,</w:t>
            </w:r>
            <w:r w:rsidRPr="002F17BE">
              <w:rPr>
                <w:rFonts w:asciiTheme="minorHAnsi" w:hAnsiTheme="minorHAnsi"/>
                <w:sz w:val="22"/>
              </w:rPr>
              <w:t xml:space="preserve"> Aboriginal Health Partnership Forums in regional planning</w:t>
            </w:r>
            <w:r w:rsidR="00751053" w:rsidRPr="002F17BE">
              <w:rPr>
                <w:rFonts w:asciiTheme="minorHAnsi" w:hAnsiTheme="minorHAnsi"/>
                <w:sz w:val="22"/>
              </w:rPr>
              <w:t xml:space="preserve"> where appropriate</w:t>
            </w:r>
            <w:r w:rsidRPr="002F17BE">
              <w:rPr>
                <w:rFonts w:asciiTheme="minorHAnsi" w:hAnsiTheme="minorHAnsi"/>
                <w:sz w:val="22"/>
              </w:rPr>
              <w:t>.</w:t>
            </w:r>
          </w:p>
        </w:tc>
      </w:tr>
      <w:tr w:rsidR="002C4AB4" w:rsidRPr="002F17BE" w:rsidTr="002F17BE">
        <w:trPr>
          <w:trHeight w:val="226"/>
        </w:trPr>
        <w:tc>
          <w:tcPr>
            <w:tcW w:w="15735" w:type="dxa"/>
            <w:gridSpan w:val="3"/>
            <w:shd w:val="clear" w:color="auto" w:fill="FABF8F" w:themeFill="accent6" w:themeFillTint="99"/>
          </w:tcPr>
          <w:p w:rsidR="002C4AB4" w:rsidRPr="002F17BE" w:rsidRDefault="002C4AB4" w:rsidP="0081650D">
            <w:pPr>
              <w:rPr>
                <w:rFonts w:asciiTheme="minorHAnsi" w:hAnsiTheme="minorHAnsi"/>
                <w:sz w:val="22"/>
              </w:rPr>
            </w:pPr>
          </w:p>
        </w:tc>
      </w:tr>
      <w:tr w:rsidR="002F17BE" w:rsidRPr="002F17BE" w:rsidTr="002F17BE">
        <w:trPr>
          <w:trHeight w:val="435"/>
        </w:trPr>
        <w:tc>
          <w:tcPr>
            <w:tcW w:w="1843" w:type="dxa"/>
            <w:vMerge w:val="restart"/>
          </w:tcPr>
          <w:p w:rsidR="002F17BE" w:rsidRPr="002F17BE" w:rsidRDefault="002F17BE" w:rsidP="0081650D">
            <w:pPr>
              <w:rPr>
                <w:rFonts w:asciiTheme="minorHAnsi" w:hAnsiTheme="minorHAnsi"/>
                <w:b/>
                <w:sz w:val="22"/>
              </w:rPr>
            </w:pPr>
            <w:r w:rsidRPr="002F17BE">
              <w:rPr>
                <w:rFonts w:asciiTheme="minorHAnsi" w:hAnsiTheme="minorHAnsi"/>
                <w:b/>
                <w:sz w:val="22"/>
              </w:rPr>
              <w:t>Accountability, Data &amp; Reporting</w:t>
            </w:r>
          </w:p>
        </w:tc>
        <w:tc>
          <w:tcPr>
            <w:tcW w:w="6946" w:type="dxa"/>
          </w:tcPr>
          <w:p w:rsidR="002F17BE" w:rsidRPr="002F17BE" w:rsidRDefault="002F17BE" w:rsidP="007F03CB">
            <w:pPr>
              <w:rPr>
                <w:rFonts w:asciiTheme="minorHAnsi" w:hAnsiTheme="minorHAnsi"/>
                <w:sz w:val="22"/>
              </w:rPr>
            </w:pPr>
            <w:r w:rsidRPr="002F17BE">
              <w:rPr>
                <w:rFonts w:asciiTheme="minorHAnsi" w:hAnsiTheme="minorHAnsi"/>
                <w:sz w:val="22"/>
              </w:rPr>
              <w:t xml:space="preserve">Recognise that data generated by ACCHOs is owned by ACCHOs, and arrangements and protocols are developed and agreed upon for data sharing and reporting that do not place additional reporting requirements on ACCHOs. </w:t>
            </w:r>
          </w:p>
        </w:tc>
        <w:tc>
          <w:tcPr>
            <w:tcW w:w="6946" w:type="dxa"/>
          </w:tcPr>
          <w:p w:rsidR="002F17BE" w:rsidRPr="002F17BE" w:rsidRDefault="002F17BE" w:rsidP="00751053">
            <w:pPr>
              <w:rPr>
                <w:rFonts w:asciiTheme="minorHAnsi" w:hAnsiTheme="minorHAnsi"/>
                <w:sz w:val="22"/>
              </w:rPr>
            </w:pPr>
            <w:r w:rsidRPr="002F17BE">
              <w:rPr>
                <w:rFonts w:asciiTheme="minorHAnsi" w:hAnsiTheme="minorHAnsi"/>
                <w:sz w:val="22"/>
              </w:rPr>
              <w:t xml:space="preserve">Provide PHNs with de-identified data analyses and/or reports on Aboriginal and Torres Strait Islander health to inform PHNs broader needs analysis, after agreement on data protocols have been reached with the PHN. </w:t>
            </w:r>
          </w:p>
        </w:tc>
      </w:tr>
      <w:tr w:rsidR="002F17BE" w:rsidRPr="002F17BE" w:rsidTr="00A83B5B">
        <w:trPr>
          <w:trHeight w:val="435"/>
        </w:trPr>
        <w:tc>
          <w:tcPr>
            <w:tcW w:w="1843" w:type="dxa"/>
            <w:vMerge/>
          </w:tcPr>
          <w:p w:rsidR="002F17BE" w:rsidRPr="002F17BE" w:rsidRDefault="002F17BE" w:rsidP="0081650D">
            <w:pPr>
              <w:rPr>
                <w:rFonts w:asciiTheme="minorHAnsi" w:hAnsiTheme="minorHAnsi"/>
                <w:b/>
                <w:sz w:val="22"/>
              </w:rPr>
            </w:pPr>
          </w:p>
        </w:tc>
        <w:tc>
          <w:tcPr>
            <w:tcW w:w="13892" w:type="dxa"/>
            <w:gridSpan w:val="2"/>
          </w:tcPr>
          <w:p w:rsidR="002F17BE" w:rsidRPr="002F17BE" w:rsidRDefault="002F17BE" w:rsidP="0081650D">
            <w:pPr>
              <w:rPr>
                <w:rFonts w:asciiTheme="minorHAnsi" w:hAnsiTheme="minorHAnsi"/>
                <w:sz w:val="22"/>
              </w:rPr>
            </w:pPr>
            <w:r w:rsidRPr="002F17BE">
              <w:rPr>
                <w:rFonts w:asciiTheme="minorHAnsi" w:hAnsiTheme="minorHAnsi"/>
                <w:sz w:val="22"/>
              </w:rPr>
              <w:t>Work together to address significant deficits in local data collections.</w:t>
            </w:r>
          </w:p>
        </w:tc>
      </w:tr>
      <w:tr w:rsidR="002F17BE" w:rsidRPr="002F17BE" w:rsidTr="002F17BE">
        <w:trPr>
          <w:trHeight w:val="796"/>
        </w:trPr>
        <w:tc>
          <w:tcPr>
            <w:tcW w:w="1843" w:type="dxa"/>
            <w:vMerge/>
          </w:tcPr>
          <w:p w:rsidR="002F17BE" w:rsidRPr="002F17BE" w:rsidRDefault="002F17BE" w:rsidP="0081650D">
            <w:pPr>
              <w:rPr>
                <w:rFonts w:asciiTheme="minorHAnsi" w:hAnsiTheme="minorHAnsi"/>
                <w:b/>
                <w:sz w:val="22"/>
              </w:rPr>
            </w:pPr>
          </w:p>
        </w:tc>
        <w:tc>
          <w:tcPr>
            <w:tcW w:w="6946" w:type="dxa"/>
          </w:tcPr>
          <w:p w:rsidR="002F17BE" w:rsidRPr="002F17BE" w:rsidRDefault="002F17BE" w:rsidP="0056181C">
            <w:pPr>
              <w:rPr>
                <w:rFonts w:asciiTheme="minorHAnsi" w:hAnsiTheme="minorHAnsi"/>
                <w:sz w:val="22"/>
              </w:rPr>
            </w:pPr>
            <w:r w:rsidRPr="002F17BE">
              <w:rPr>
                <w:rFonts w:asciiTheme="minorHAnsi" w:hAnsiTheme="minorHAnsi"/>
                <w:sz w:val="22"/>
              </w:rPr>
              <w:t xml:space="preserve">Liaise with ACCHO peak organisations before developing an agreement for the use of Aboriginal and Torres Strait Islander data with local ACCHOs, or via their jurisdictional peak body on behalf of their local ACCHO. This </w:t>
            </w:r>
            <w:r w:rsidRPr="002F17BE">
              <w:rPr>
                <w:rFonts w:asciiTheme="minorHAnsi" w:hAnsiTheme="minorHAnsi"/>
                <w:sz w:val="22"/>
              </w:rPr>
              <w:lastRenderedPageBreak/>
              <w:t>agreement will be in alignment with the National Aboriginal and Torres Strait Islander Health Data Principles and that outlin</w:t>
            </w:r>
            <w:r w:rsidR="003759B3">
              <w:rPr>
                <w:rFonts w:asciiTheme="minorHAnsi" w:hAnsiTheme="minorHAnsi"/>
                <w:sz w:val="22"/>
              </w:rPr>
              <w:t>es who will have access to ACCHOs</w:t>
            </w:r>
            <w:r w:rsidR="00751053">
              <w:rPr>
                <w:rFonts w:asciiTheme="minorHAnsi" w:hAnsiTheme="minorHAnsi"/>
                <w:sz w:val="22"/>
              </w:rPr>
              <w:t>’</w:t>
            </w:r>
            <w:r w:rsidRPr="002F17BE">
              <w:rPr>
                <w:rFonts w:asciiTheme="minorHAnsi" w:hAnsiTheme="minorHAnsi"/>
                <w:sz w:val="22"/>
              </w:rPr>
              <w:t xml:space="preserve"> data, how data will be used and fed back to ACCHOs and how the privacy of Aboriginal people and communities will be respected. </w:t>
            </w:r>
          </w:p>
        </w:tc>
        <w:tc>
          <w:tcPr>
            <w:tcW w:w="6946" w:type="dxa"/>
          </w:tcPr>
          <w:p w:rsidR="002F17BE" w:rsidRPr="002F17BE" w:rsidRDefault="002F17BE" w:rsidP="00A419DB">
            <w:pPr>
              <w:rPr>
                <w:rFonts w:asciiTheme="minorHAnsi" w:hAnsiTheme="minorHAnsi"/>
                <w:sz w:val="22"/>
              </w:rPr>
            </w:pPr>
            <w:r w:rsidRPr="002F17BE">
              <w:rPr>
                <w:rFonts w:asciiTheme="minorHAnsi" w:hAnsiTheme="minorHAnsi"/>
                <w:sz w:val="22"/>
              </w:rPr>
              <w:lastRenderedPageBreak/>
              <w:t>Develop an agreement for the use of Aboriginal and Torres Strait Islander data with PHNs based on the principle of Aboriginal ownership of data.</w:t>
            </w:r>
          </w:p>
        </w:tc>
      </w:tr>
      <w:tr w:rsidR="002F17BE" w:rsidRPr="002F17BE" w:rsidTr="002F17BE">
        <w:tc>
          <w:tcPr>
            <w:tcW w:w="1843" w:type="dxa"/>
            <w:vMerge/>
          </w:tcPr>
          <w:p w:rsidR="002F17BE" w:rsidRPr="002F17BE" w:rsidRDefault="002F17BE" w:rsidP="00F71FC9">
            <w:pPr>
              <w:rPr>
                <w:rFonts w:asciiTheme="minorHAnsi" w:hAnsiTheme="minorHAnsi"/>
                <w:b/>
                <w:sz w:val="22"/>
              </w:rPr>
            </w:pPr>
          </w:p>
        </w:tc>
        <w:tc>
          <w:tcPr>
            <w:tcW w:w="6946" w:type="dxa"/>
          </w:tcPr>
          <w:p w:rsidR="002F17BE" w:rsidRPr="002F17BE" w:rsidRDefault="002F17BE" w:rsidP="005C464A">
            <w:pPr>
              <w:rPr>
                <w:rFonts w:asciiTheme="minorHAnsi" w:hAnsiTheme="minorHAnsi"/>
                <w:sz w:val="22"/>
              </w:rPr>
            </w:pPr>
            <w:r w:rsidRPr="002F17BE">
              <w:rPr>
                <w:rFonts w:asciiTheme="minorHAnsi" w:hAnsiTheme="minorHAnsi"/>
                <w:sz w:val="22"/>
              </w:rPr>
              <w:t>Provide annual feedback on activities and progress to address Aboriginal and Torres Strait Islander health to the Aboriginal and Torres Strait Islander communities and ACCHOs within their regions.</w:t>
            </w:r>
          </w:p>
        </w:tc>
        <w:tc>
          <w:tcPr>
            <w:tcW w:w="6946" w:type="dxa"/>
          </w:tcPr>
          <w:p w:rsidR="002F17BE" w:rsidRPr="002F17BE" w:rsidRDefault="002F17BE" w:rsidP="00F71FC9">
            <w:pPr>
              <w:rPr>
                <w:rFonts w:asciiTheme="minorHAnsi" w:hAnsiTheme="minorHAnsi"/>
                <w:sz w:val="22"/>
              </w:rPr>
            </w:pPr>
            <w:r w:rsidRPr="002F17BE">
              <w:rPr>
                <w:rFonts w:asciiTheme="minorHAnsi" w:hAnsiTheme="minorHAnsi"/>
                <w:sz w:val="22"/>
              </w:rPr>
              <w:t>Facilitate the sharing of feedback on activities and progress to address Aboriginal and Torres Strait Islander health from PHNs to the Aboriginal and Torres Strait Islander communities within their service delivery regions.</w:t>
            </w:r>
          </w:p>
        </w:tc>
      </w:tr>
      <w:tr w:rsidR="002F17BE" w:rsidRPr="002F17BE" w:rsidTr="002F17BE">
        <w:tc>
          <w:tcPr>
            <w:tcW w:w="1843" w:type="dxa"/>
            <w:vMerge/>
          </w:tcPr>
          <w:p w:rsidR="002F17BE" w:rsidRPr="002F17BE" w:rsidRDefault="002F17BE" w:rsidP="00F71FC9">
            <w:pPr>
              <w:rPr>
                <w:rFonts w:asciiTheme="minorHAnsi" w:hAnsiTheme="minorHAnsi"/>
                <w:b/>
                <w:sz w:val="22"/>
              </w:rPr>
            </w:pPr>
          </w:p>
        </w:tc>
        <w:tc>
          <w:tcPr>
            <w:tcW w:w="6946" w:type="dxa"/>
          </w:tcPr>
          <w:p w:rsidR="002F17BE" w:rsidRPr="002F17BE" w:rsidRDefault="002F17BE" w:rsidP="00E315A6">
            <w:pPr>
              <w:rPr>
                <w:rFonts w:asciiTheme="minorHAnsi" w:hAnsiTheme="minorHAnsi"/>
                <w:sz w:val="22"/>
              </w:rPr>
            </w:pPr>
            <w:r w:rsidRPr="002F17BE">
              <w:rPr>
                <w:rFonts w:asciiTheme="minorHAnsi" w:hAnsiTheme="minorHAnsi"/>
                <w:sz w:val="22"/>
              </w:rPr>
              <w:t>With the ACCHO sector convene an annual stocktake and forward program workshop on the full range of PHN initiatives affecting Aboriginal and Torres Strait Islander health and wellbeing including: primary health care; aged care; mental health; alcohol and other drug services; and disability services with local ACCHOs (and their Regional organisations, where appropriate).</w:t>
            </w:r>
          </w:p>
        </w:tc>
        <w:tc>
          <w:tcPr>
            <w:tcW w:w="6946" w:type="dxa"/>
          </w:tcPr>
          <w:p w:rsidR="002F17BE" w:rsidRPr="002F17BE" w:rsidRDefault="002F17BE" w:rsidP="00D807C0">
            <w:pPr>
              <w:rPr>
                <w:rFonts w:asciiTheme="minorHAnsi" w:hAnsiTheme="minorHAnsi"/>
                <w:sz w:val="22"/>
              </w:rPr>
            </w:pPr>
            <w:r w:rsidRPr="002F17BE">
              <w:rPr>
                <w:rFonts w:asciiTheme="minorHAnsi" w:hAnsiTheme="minorHAnsi"/>
                <w:sz w:val="22"/>
              </w:rPr>
              <w:t>Jointly convene an annual stocktake and forward program workshop on the full range of PHN initiatives affecting Aboriginal and Torres Strait Islander health and wellbeing including: primary health care; aged care; mental health; alcohol and other drugs services; and disability services.</w:t>
            </w:r>
          </w:p>
        </w:tc>
      </w:tr>
      <w:tr w:rsidR="002C4AB4" w:rsidRPr="002F17BE" w:rsidTr="002F17BE">
        <w:tc>
          <w:tcPr>
            <w:tcW w:w="15735" w:type="dxa"/>
            <w:gridSpan w:val="3"/>
            <w:shd w:val="clear" w:color="auto" w:fill="FABF8F" w:themeFill="accent6" w:themeFillTint="99"/>
          </w:tcPr>
          <w:p w:rsidR="002C4AB4" w:rsidRPr="002F17BE" w:rsidRDefault="002C4AB4" w:rsidP="0081650D">
            <w:pPr>
              <w:rPr>
                <w:rFonts w:asciiTheme="minorHAnsi" w:hAnsiTheme="minorHAnsi"/>
                <w:sz w:val="22"/>
              </w:rPr>
            </w:pPr>
          </w:p>
        </w:tc>
      </w:tr>
      <w:tr w:rsidR="002C4AB4" w:rsidRPr="002F17BE" w:rsidTr="002F17BE">
        <w:tc>
          <w:tcPr>
            <w:tcW w:w="1843" w:type="dxa"/>
            <w:vMerge w:val="restart"/>
          </w:tcPr>
          <w:p w:rsidR="002C4AB4" w:rsidRPr="002F17BE" w:rsidRDefault="002C4AB4" w:rsidP="0081650D">
            <w:pPr>
              <w:rPr>
                <w:rFonts w:asciiTheme="minorHAnsi" w:hAnsiTheme="minorHAnsi"/>
                <w:b/>
                <w:sz w:val="22"/>
              </w:rPr>
            </w:pPr>
            <w:r w:rsidRPr="002F17BE">
              <w:rPr>
                <w:rFonts w:asciiTheme="minorHAnsi" w:hAnsiTheme="minorHAnsi"/>
                <w:b/>
                <w:sz w:val="22"/>
              </w:rPr>
              <w:t>Service delivery</w:t>
            </w:r>
          </w:p>
        </w:tc>
        <w:tc>
          <w:tcPr>
            <w:tcW w:w="6946" w:type="dxa"/>
          </w:tcPr>
          <w:p w:rsidR="002C4AB4" w:rsidRPr="002F17BE" w:rsidRDefault="002C4AB4" w:rsidP="00041080">
            <w:pPr>
              <w:rPr>
                <w:rFonts w:asciiTheme="minorHAnsi" w:hAnsiTheme="minorHAnsi"/>
                <w:sz w:val="22"/>
              </w:rPr>
            </w:pPr>
            <w:r w:rsidRPr="002F17BE">
              <w:rPr>
                <w:rFonts w:asciiTheme="minorHAnsi" w:hAnsiTheme="minorHAnsi"/>
                <w:sz w:val="22"/>
              </w:rPr>
              <w:t xml:space="preserve">Acknowledge and respect the essential role that </w:t>
            </w:r>
            <w:r w:rsidR="00E21935" w:rsidRPr="002F17BE">
              <w:rPr>
                <w:rFonts w:asciiTheme="minorHAnsi" w:hAnsiTheme="minorHAnsi"/>
                <w:sz w:val="22"/>
              </w:rPr>
              <w:t>ACCHOs</w:t>
            </w:r>
            <w:r w:rsidRPr="002F17BE">
              <w:rPr>
                <w:rFonts w:asciiTheme="minorHAnsi" w:hAnsiTheme="minorHAnsi"/>
                <w:sz w:val="22"/>
              </w:rPr>
              <w:t xml:space="preserve"> play in delivering culturally safe, holistic models of care including comprehensive primary health care for Aboriginal and Torres Strait Islander people, and the important leadership role of the sector in improving the health and wellbeing of Aboriginal and Torres Strait Islander people</w:t>
            </w:r>
            <w:r w:rsidR="00B70284" w:rsidRPr="002F17BE">
              <w:rPr>
                <w:rFonts w:asciiTheme="minorHAnsi" w:hAnsiTheme="minorHAnsi"/>
                <w:sz w:val="22"/>
              </w:rPr>
              <w:t>; and collaborate to enhance those roles.</w:t>
            </w:r>
          </w:p>
        </w:tc>
        <w:tc>
          <w:tcPr>
            <w:tcW w:w="6946" w:type="dxa"/>
          </w:tcPr>
          <w:p w:rsidR="002C4AB4" w:rsidRPr="002F17BE" w:rsidRDefault="00E21935" w:rsidP="00890415">
            <w:pPr>
              <w:rPr>
                <w:rFonts w:asciiTheme="minorHAnsi" w:hAnsiTheme="minorHAnsi"/>
                <w:sz w:val="22"/>
              </w:rPr>
            </w:pPr>
            <w:r w:rsidRPr="002F17BE">
              <w:rPr>
                <w:rFonts w:asciiTheme="minorHAnsi" w:hAnsiTheme="minorHAnsi"/>
                <w:sz w:val="22"/>
              </w:rPr>
              <w:t>Acknowledge and respect the planning and commissioning roles of PHNs</w:t>
            </w:r>
            <w:r w:rsidR="00890415" w:rsidRPr="002F17BE">
              <w:rPr>
                <w:rFonts w:asciiTheme="minorHAnsi" w:hAnsiTheme="minorHAnsi"/>
                <w:sz w:val="22"/>
              </w:rPr>
              <w:t>, and that there will at times be a need for competitive tendering arrangements. C</w:t>
            </w:r>
            <w:r w:rsidRPr="002F17BE">
              <w:rPr>
                <w:rFonts w:asciiTheme="minorHAnsi" w:hAnsiTheme="minorHAnsi"/>
                <w:sz w:val="22"/>
              </w:rPr>
              <w:t>ollaborate to enhance the effectiveness of these roles.</w:t>
            </w:r>
          </w:p>
        </w:tc>
      </w:tr>
      <w:tr w:rsidR="00445984" w:rsidRPr="002F17BE" w:rsidTr="002F17BE">
        <w:tc>
          <w:tcPr>
            <w:tcW w:w="1843" w:type="dxa"/>
            <w:vMerge/>
          </w:tcPr>
          <w:p w:rsidR="00445984" w:rsidRPr="002F17BE" w:rsidRDefault="00445984" w:rsidP="0081650D">
            <w:pPr>
              <w:rPr>
                <w:rFonts w:asciiTheme="minorHAnsi" w:hAnsiTheme="minorHAnsi"/>
                <w:b/>
                <w:sz w:val="22"/>
              </w:rPr>
            </w:pPr>
          </w:p>
        </w:tc>
        <w:tc>
          <w:tcPr>
            <w:tcW w:w="6946" w:type="dxa"/>
          </w:tcPr>
          <w:p w:rsidR="00445984" w:rsidRPr="002F17BE" w:rsidRDefault="00445984" w:rsidP="00041080">
            <w:pPr>
              <w:rPr>
                <w:rFonts w:asciiTheme="minorHAnsi" w:hAnsiTheme="minorHAnsi"/>
                <w:sz w:val="22"/>
              </w:rPr>
            </w:pPr>
            <w:r w:rsidRPr="002F17BE">
              <w:rPr>
                <w:rFonts w:asciiTheme="minorHAnsi" w:hAnsiTheme="minorHAnsi"/>
                <w:sz w:val="22"/>
              </w:rPr>
              <w:t xml:space="preserve">Inform local </w:t>
            </w:r>
            <w:r w:rsidR="00B70284" w:rsidRPr="002F17BE">
              <w:rPr>
                <w:rFonts w:asciiTheme="minorHAnsi" w:hAnsiTheme="minorHAnsi"/>
                <w:sz w:val="22"/>
              </w:rPr>
              <w:t>ACCHOs</w:t>
            </w:r>
            <w:r w:rsidRPr="002F17BE">
              <w:rPr>
                <w:rFonts w:asciiTheme="minorHAnsi" w:hAnsiTheme="minorHAnsi"/>
                <w:sz w:val="22"/>
              </w:rPr>
              <w:t xml:space="preserve"> of all funded </w:t>
            </w:r>
            <w:r w:rsidR="00DF1E72" w:rsidRPr="002F17BE">
              <w:rPr>
                <w:rFonts w:asciiTheme="minorHAnsi" w:hAnsiTheme="minorHAnsi"/>
                <w:sz w:val="22"/>
              </w:rPr>
              <w:t>Indigenous-specific</w:t>
            </w:r>
            <w:r w:rsidRPr="002F17BE">
              <w:rPr>
                <w:rFonts w:asciiTheme="minorHAnsi" w:hAnsiTheme="minorHAnsi"/>
                <w:sz w:val="22"/>
              </w:rPr>
              <w:t xml:space="preserve"> </w:t>
            </w:r>
            <w:r w:rsidR="007D3CEB" w:rsidRPr="002F17BE">
              <w:rPr>
                <w:rFonts w:asciiTheme="minorHAnsi" w:hAnsiTheme="minorHAnsi"/>
                <w:sz w:val="22"/>
              </w:rPr>
              <w:t>and non-</w:t>
            </w:r>
            <w:r w:rsidR="00F320DC" w:rsidRPr="002F17BE">
              <w:rPr>
                <w:rFonts w:asciiTheme="minorHAnsi" w:hAnsiTheme="minorHAnsi"/>
                <w:sz w:val="22"/>
              </w:rPr>
              <w:t>I</w:t>
            </w:r>
            <w:r w:rsidR="007D3CEB" w:rsidRPr="002F17BE">
              <w:rPr>
                <w:rFonts w:asciiTheme="minorHAnsi" w:hAnsiTheme="minorHAnsi"/>
                <w:sz w:val="22"/>
              </w:rPr>
              <w:t xml:space="preserve">ndigenous specific </w:t>
            </w:r>
            <w:r w:rsidRPr="002F17BE">
              <w:rPr>
                <w:rFonts w:asciiTheme="minorHAnsi" w:hAnsiTheme="minorHAnsi"/>
                <w:sz w:val="22"/>
              </w:rPr>
              <w:t>services in the region</w:t>
            </w:r>
            <w:r w:rsidR="00D807C0" w:rsidRPr="002F17BE">
              <w:rPr>
                <w:rFonts w:asciiTheme="minorHAnsi" w:hAnsiTheme="minorHAnsi"/>
                <w:sz w:val="22"/>
              </w:rPr>
              <w:t xml:space="preserve"> in a timely way</w:t>
            </w:r>
            <w:r w:rsidRPr="002F17BE">
              <w:rPr>
                <w:rFonts w:asciiTheme="minorHAnsi" w:hAnsiTheme="minorHAnsi"/>
                <w:sz w:val="22"/>
              </w:rPr>
              <w:t xml:space="preserve">. </w:t>
            </w:r>
          </w:p>
        </w:tc>
        <w:tc>
          <w:tcPr>
            <w:tcW w:w="6946" w:type="dxa"/>
          </w:tcPr>
          <w:p w:rsidR="00445984" w:rsidRPr="002F17BE" w:rsidRDefault="00EA4885" w:rsidP="006839B8">
            <w:pPr>
              <w:rPr>
                <w:rFonts w:asciiTheme="minorHAnsi" w:hAnsiTheme="minorHAnsi"/>
                <w:sz w:val="22"/>
              </w:rPr>
            </w:pPr>
            <w:r w:rsidRPr="002F17BE">
              <w:rPr>
                <w:rFonts w:asciiTheme="minorHAnsi" w:hAnsiTheme="minorHAnsi"/>
                <w:sz w:val="22"/>
              </w:rPr>
              <w:t>I</w:t>
            </w:r>
            <w:r w:rsidR="006839B8" w:rsidRPr="002F17BE">
              <w:rPr>
                <w:rFonts w:asciiTheme="minorHAnsi" w:hAnsiTheme="minorHAnsi"/>
                <w:sz w:val="22"/>
              </w:rPr>
              <w:t>nform PHNs of any new funding or initiatives they undertake which may impact the communities they service so PHNs can monitor health and service needs in the community</w:t>
            </w:r>
            <w:r w:rsidR="002F17BE">
              <w:rPr>
                <w:rFonts w:asciiTheme="minorHAnsi" w:hAnsiTheme="minorHAnsi"/>
                <w:sz w:val="22"/>
              </w:rPr>
              <w:t>.</w:t>
            </w:r>
          </w:p>
        </w:tc>
      </w:tr>
      <w:tr w:rsidR="00445984" w:rsidRPr="002F17BE" w:rsidTr="002F17BE">
        <w:tc>
          <w:tcPr>
            <w:tcW w:w="1843" w:type="dxa"/>
            <w:vMerge/>
          </w:tcPr>
          <w:p w:rsidR="00445984" w:rsidRPr="002F17BE" w:rsidRDefault="00445984" w:rsidP="0081650D">
            <w:pPr>
              <w:rPr>
                <w:rFonts w:asciiTheme="minorHAnsi" w:hAnsiTheme="minorHAnsi"/>
                <w:b/>
                <w:sz w:val="22"/>
              </w:rPr>
            </w:pPr>
          </w:p>
        </w:tc>
        <w:tc>
          <w:tcPr>
            <w:tcW w:w="6946" w:type="dxa"/>
          </w:tcPr>
          <w:p w:rsidR="00445984" w:rsidRPr="002F17BE" w:rsidRDefault="00445984" w:rsidP="00751053">
            <w:pPr>
              <w:rPr>
                <w:rFonts w:asciiTheme="minorHAnsi" w:hAnsiTheme="minorHAnsi"/>
                <w:sz w:val="22"/>
              </w:rPr>
            </w:pPr>
            <w:r w:rsidRPr="002F17BE">
              <w:rPr>
                <w:rFonts w:asciiTheme="minorHAnsi" w:hAnsiTheme="minorHAnsi"/>
                <w:sz w:val="22"/>
              </w:rPr>
              <w:t>Develop service linkages to enable acc</w:t>
            </w:r>
            <w:r w:rsidR="00B70284" w:rsidRPr="002F17BE">
              <w:rPr>
                <w:rFonts w:asciiTheme="minorHAnsi" w:hAnsiTheme="minorHAnsi"/>
                <w:sz w:val="22"/>
              </w:rPr>
              <w:t>ess to all mainstream services, and</w:t>
            </w:r>
            <w:r w:rsidR="007F03CB" w:rsidRPr="002F17BE">
              <w:rPr>
                <w:rFonts w:asciiTheme="minorHAnsi" w:hAnsiTheme="minorHAnsi"/>
                <w:sz w:val="22"/>
              </w:rPr>
              <w:t xml:space="preserve"> in partnership with the </w:t>
            </w:r>
            <w:r w:rsidR="00751053">
              <w:rPr>
                <w:rFonts w:asciiTheme="minorHAnsi" w:hAnsiTheme="minorHAnsi"/>
                <w:sz w:val="22"/>
              </w:rPr>
              <w:t>ACCHO s</w:t>
            </w:r>
            <w:r w:rsidR="00B70284" w:rsidRPr="002F17BE">
              <w:rPr>
                <w:rFonts w:asciiTheme="minorHAnsi" w:hAnsiTheme="minorHAnsi"/>
                <w:sz w:val="22"/>
              </w:rPr>
              <w:t>ector</w:t>
            </w:r>
            <w:r w:rsidR="007F03CB" w:rsidRPr="002F17BE">
              <w:rPr>
                <w:rFonts w:asciiTheme="minorHAnsi" w:hAnsiTheme="minorHAnsi"/>
                <w:sz w:val="22"/>
              </w:rPr>
              <w:t xml:space="preserve">, work to improve the interface between </w:t>
            </w:r>
            <w:r w:rsidR="00F320DC" w:rsidRPr="002F17BE">
              <w:rPr>
                <w:rFonts w:asciiTheme="minorHAnsi" w:hAnsiTheme="minorHAnsi"/>
                <w:sz w:val="22"/>
              </w:rPr>
              <w:t>primary health care</w:t>
            </w:r>
            <w:r w:rsidR="007F03CB" w:rsidRPr="002F17BE">
              <w:rPr>
                <w:rFonts w:asciiTheme="minorHAnsi" w:hAnsiTheme="minorHAnsi"/>
                <w:sz w:val="22"/>
              </w:rPr>
              <w:t xml:space="preserve"> and hospitals</w:t>
            </w:r>
            <w:r w:rsidR="00B70284" w:rsidRPr="002F17BE">
              <w:rPr>
                <w:rFonts w:asciiTheme="minorHAnsi" w:hAnsiTheme="minorHAnsi"/>
                <w:sz w:val="22"/>
              </w:rPr>
              <w:t xml:space="preserve"> </w:t>
            </w:r>
            <w:r w:rsidR="007F03CB" w:rsidRPr="002F17BE">
              <w:rPr>
                <w:rFonts w:asciiTheme="minorHAnsi" w:hAnsiTheme="minorHAnsi"/>
                <w:sz w:val="22"/>
              </w:rPr>
              <w:t>including through enhancement of referral pathways</w:t>
            </w:r>
            <w:r w:rsidR="00A914DB" w:rsidRPr="002F17BE">
              <w:rPr>
                <w:rFonts w:asciiTheme="minorHAnsi" w:hAnsiTheme="minorHAnsi"/>
                <w:sz w:val="22"/>
              </w:rPr>
              <w:t>,</w:t>
            </w:r>
            <w:r w:rsidR="007F03CB" w:rsidRPr="002F17BE">
              <w:rPr>
                <w:rFonts w:asciiTheme="minorHAnsi" w:hAnsiTheme="minorHAnsi"/>
                <w:sz w:val="22"/>
              </w:rPr>
              <w:t xml:space="preserve"> improvements to the patient journey</w:t>
            </w:r>
            <w:r w:rsidR="008B242B" w:rsidRPr="002F17BE">
              <w:rPr>
                <w:rFonts w:asciiTheme="minorHAnsi" w:hAnsiTheme="minorHAnsi"/>
                <w:sz w:val="22"/>
              </w:rPr>
              <w:t xml:space="preserve"> </w:t>
            </w:r>
            <w:r w:rsidR="00751053">
              <w:rPr>
                <w:rFonts w:asciiTheme="minorHAnsi" w:hAnsiTheme="minorHAnsi"/>
                <w:sz w:val="22"/>
              </w:rPr>
              <w:t>to</w:t>
            </w:r>
            <w:r w:rsidR="008B242B" w:rsidRPr="002F17BE">
              <w:rPr>
                <w:rFonts w:asciiTheme="minorHAnsi" w:hAnsiTheme="minorHAnsi"/>
                <w:sz w:val="22"/>
              </w:rPr>
              <w:t xml:space="preserve"> reduce admissions and readmissions</w:t>
            </w:r>
            <w:r w:rsidR="00A914DB" w:rsidRPr="002F17BE">
              <w:rPr>
                <w:rFonts w:asciiTheme="minorHAnsi" w:hAnsiTheme="minorHAnsi"/>
                <w:sz w:val="22"/>
              </w:rPr>
              <w:t>,</w:t>
            </w:r>
            <w:r w:rsidR="007F03CB" w:rsidRPr="002F17BE">
              <w:rPr>
                <w:rFonts w:asciiTheme="minorHAnsi" w:hAnsiTheme="minorHAnsi"/>
                <w:sz w:val="22"/>
              </w:rPr>
              <w:t xml:space="preserve"> and better information sharing including through use of shared electronic health records</w:t>
            </w:r>
            <w:r w:rsidR="00B70284" w:rsidRPr="002F17BE">
              <w:rPr>
                <w:rFonts w:asciiTheme="minorHAnsi" w:hAnsiTheme="minorHAnsi"/>
                <w:sz w:val="22"/>
              </w:rPr>
              <w:t>. Have regard to local situations</w:t>
            </w:r>
            <w:r w:rsidR="00751053">
              <w:rPr>
                <w:rFonts w:asciiTheme="minorHAnsi" w:hAnsiTheme="minorHAnsi"/>
                <w:sz w:val="22"/>
              </w:rPr>
              <w:t>,</w:t>
            </w:r>
            <w:r w:rsidR="00B70284" w:rsidRPr="002F17BE">
              <w:rPr>
                <w:rFonts w:asciiTheme="minorHAnsi" w:hAnsiTheme="minorHAnsi"/>
                <w:sz w:val="22"/>
              </w:rPr>
              <w:t xml:space="preserve"> as well as to the AHMAC Health Performance</w:t>
            </w:r>
            <w:r w:rsidR="00751053">
              <w:rPr>
                <w:rFonts w:asciiTheme="minorHAnsi" w:hAnsiTheme="minorHAnsi"/>
                <w:sz w:val="22"/>
              </w:rPr>
              <w:t xml:space="preserve"> Framework</w:t>
            </w:r>
            <w:r w:rsidR="00B70284" w:rsidRPr="002F17BE">
              <w:rPr>
                <w:rFonts w:asciiTheme="minorHAnsi" w:hAnsiTheme="minorHAnsi"/>
                <w:sz w:val="22"/>
              </w:rPr>
              <w:t xml:space="preserve"> reports.</w:t>
            </w:r>
          </w:p>
        </w:tc>
        <w:tc>
          <w:tcPr>
            <w:tcW w:w="6946" w:type="dxa"/>
          </w:tcPr>
          <w:p w:rsidR="00445984" w:rsidRPr="002F17BE" w:rsidRDefault="00122D43" w:rsidP="00751053">
            <w:pPr>
              <w:rPr>
                <w:rFonts w:asciiTheme="minorHAnsi" w:hAnsiTheme="minorHAnsi"/>
                <w:sz w:val="22"/>
              </w:rPr>
            </w:pPr>
            <w:r w:rsidRPr="002F17BE">
              <w:rPr>
                <w:rFonts w:asciiTheme="minorHAnsi" w:hAnsiTheme="minorHAnsi"/>
                <w:sz w:val="22"/>
              </w:rPr>
              <w:t>Respond to</w:t>
            </w:r>
            <w:r w:rsidR="00751053">
              <w:rPr>
                <w:rFonts w:asciiTheme="minorHAnsi" w:hAnsiTheme="minorHAnsi"/>
                <w:sz w:val="22"/>
              </w:rPr>
              <w:t>,</w:t>
            </w:r>
            <w:r w:rsidRPr="002F17BE">
              <w:rPr>
                <w:rFonts w:asciiTheme="minorHAnsi" w:hAnsiTheme="minorHAnsi"/>
                <w:sz w:val="22"/>
              </w:rPr>
              <w:t xml:space="preserve"> as well as initiate</w:t>
            </w:r>
            <w:r w:rsidR="00751053">
              <w:rPr>
                <w:rFonts w:asciiTheme="minorHAnsi" w:hAnsiTheme="minorHAnsi"/>
                <w:sz w:val="22"/>
              </w:rPr>
              <w:t>,</w:t>
            </w:r>
            <w:r w:rsidR="00A761B4" w:rsidRPr="002F17BE">
              <w:rPr>
                <w:rFonts w:asciiTheme="minorHAnsi" w:hAnsiTheme="minorHAnsi"/>
                <w:sz w:val="22"/>
              </w:rPr>
              <w:t xml:space="preserve"> PHNs</w:t>
            </w:r>
            <w:r w:rsidR="00751053">
              <w:rPr>
                <w:rFonts w:asciiTheme="minorHAnsi" w:hAnsiTheme="minorHAnsi"/>
                <w:sz w:val="22"/>
              </w:rPr>
              <w:t>’</w:t>
            </w:r>
            <w:r w:rsidRPr="002F17BE">
              <w:rPr>
                <w:rFonts w:asciiTheme="minorHAnsi" w:hAnsiTheme="minorHAnsi"/>
                <w:sz w:val="22"/>
              </w:rPr>
              <w:t xml:space="preserve"> practical engagement with public hospitals </w:t>
            </w:r>
            <w:r w:rsidR="00751053">
              <w:rPr>
                <w:rFonts w:asciiTheme="minorHAnsi" w:hAnsiTheme="minorHAnsi"/>
                <w:sz w:val="22"/>
              </w:rPr>
              <w:t>to</w:t>
            </w:r>
            <w:r w:rsidRPr="002F17BE">
              <w:rPr>
                <w:rFonts w:asciiTheme="minorHAnsi" w:hAnsiTheme="minorHAnsi"/>
                <w:sz w:val="22"/>
              </w:rPr>
              <w:t xml:space="preserve"> construct new and /or enhance existing procedures and systems for referral path</w:t>
            </w:r>
            <w:r w:rsidR="00751053">
              <w:rPr>
                <w:rFonts w:asciiTheme="minorHAnsi" w:hAnsiTheme="minorHAnsi"/>
                <w:sz w:val="22"/>
              </w:rPr>
              <w:t>ways on admission and discharge;</w:t>
            </w:r>
            <w:r w:rsidRPr="002F17BE">
              <w:rPr>
                <w:rFonts w:asciiTheme="minorHAnsi" w:hAnsiTheme="minorHAnsi"/>
                <w:sz w:val="22"/>
              </w:rPr>
              <w:t xml:space="preserve"> on share</w:t>
            </w:r>
            <w:r w:rsidR="00751053">
              <w:rPr>
                <w:rFonts w:asciiTheme="minorHAnsi" w:hAnsiTheme="minorHAnsi"/>
                <w:sz w:val="22"/>
              </w:rPr>
              <w:t>d electronic health records;</w:t>
            </w:r>
            <w:r w:rsidRPr="002F17BE">
              <w:rPr>
                <w:rFonts w:asciiTheme="minorHAnsi" w:hAnsiTheme="minorHAnsi"/>
                <w:sz w:val="22"/>
              </w:rPr>
              <w:t xml:space="preserve"> and </w:t>
            </w:r>
            <w:r w:rsidR="00751053">
              <w:rPr>
                <w:rFonts w:asciiTheme="minorHAnsi" w:hAnsiTheme="minorHAnsi"/>
                <w:sz w:val="22"/>
              </w:rPr>
              <w:t xml:space="preserve">on </w:t>
            </w:r>
            <w:r w:rsidRPr="002F17BE">
              <w:rPr>
                <w:rFonts w:asciiTheme="minorHAnsi" w:hAnsiTheme="minorHAnsi"/>
                <w:sz w:val="22"/>
              </w:rPr>
              <w:t>collaborati</w:t>
            </w:r>
            <w:r w:rsidR="00751053">
              <w:rPr>
                <w:rFonts w:asciiTheme="minorHAnsi" w:hAnsiTheme="minorHAnsi"/>
                <w:sz w:val="22"/>
              </w:rPr>
              <w:t>ve</w:t>
            </w:r>
            <w:r w:rsidRPr="002F17BE">
              <w:rPr>
                <w:rFonts w:asciiTheme="minorHAnsi" w:hAnsiTheme="minorHAnsi"/>
                <w:sz w:val="22"/>
              </w:rPr>
              <w:t xml:space="preserve"> activities </w:t>
            </w:r>
            <w:r w:rsidR="00751053">
              <w:rPr>
                <w:rFonts w:asciiTheme="minorHAnsi" w:hAnsiTheme="minorHAnsi"/>
                <w:sz w:val="22"/>
              </w:rPr>
              <w:t>to</w:t>
            </w:r>
            <w:r w:rsidRPr="002F17BE">
              <w:rPr>
                <w:rFonts w:asciiTheme="minorHAnsi" w:hAnsiTheme="minorHAnsi"/>
                <w:sz w:val="22"/>
              </w:rPr>
              <w:t xml:space="preserve"> reduce avoidable hospital admission</w:t>
            </w:r>
            <w:r w:rsidR="00A761B4" w:rsidRPr="002F17BE">
              <w:rPr>
                <w:rFonts w:asciiTheme="minorHAnsi" w:hAnsiTheme="minorHAnsi"/>
                <w:sz w:val="22"/>
              </w:rPr>
              <w:t>s</w:t>
            </w:r>
            <w:r w:rsidRPr="002F17BE">
              <w:rPr>
                <w:rFonts w:asciiTheme="minorHAnsi" w:hAnsiTheme="minorHAnsi"/>
                <w:sz w:val="22"/>
              </w:rPr>
              <w:t xml:space="preserve"> and re-admissions of Aboriginal and Torres Strait Islander clients. Have regard to local situations</w:t>
            </w:r>
            <w:r w:rsidR="00751053">
              <w:rPr>
                <w:rFonts w:asciiTheme="minorHAnsi" w:hAnsiTheme="minorHAnsi"/>
                <w:sz w:val="22"/>
              </w:rPr>
              <w:t>,</w:t>
            </w:r>
            <w:r w:rsidRPr="002F17BE">
              <w:rPr>
                <w:rFonts w:asciiTheme="minorHAnsi" w:hAnsiTheme="minorHAnsi"/>
                <w:sz w:val="22"/>
              </w:rPr>
              <w:t xml:space="preserve"> as well as to the AHMAC Health Performance </w:t>
            </w:r>
            <w:r w:rsidR="00751053">
              <w:rPr>
                <w:rFonts w:asciiTheme="minorHAnsi" w:hAnsiTheme="minorHAnsi"/>
                <w:sz w:val="22"/>
              </w:rPr>
              <w:t xml:space="preserve">Framework </w:t>
            </w:r>
            <w:r w:rsidRPr="002F17BE">
              <w:rPr>
                <w:rFonts w:asciiTheme="minorHAnsi" w:hAnsiTheme="minorHAnsi"/>
                <w:sz w:val="22"/>
              </w:rPr>
              <w:t xml:space="preserve">reports. In this context, make use of initiatives promoted through Aboriginal Health Partnership Forum at </w:t>
            </w:r>
            <w:r w:rsidR="00751053">
              <w:rPr>
                <w:rFonts w:asciiTheme="minorHAnsi" w:hAnsiTheme="minorHAnsi"/>
                <w:sz w:val="22"/>
              </w:rPr>
              <w:t xml:space="preserve">the </w:t>
            </w:r>
            <w:r w:rsidRPr="002F17BE">
              <w:rPr>
                <w:rFonts w:asciiTheme="minorHAnsi" w:hAnsiTheme="minorHAnsi"/>
                <w:sz w:val="22"/>
              </w:rPr>
              <w:t>jurisdictional level</w:t>
            </w:r>
            <w:r w:rsidR="00EF3F70" w:rsidRPr="002F17BE">
              <w:rPr>
                <w:rFonts w:asciiTheme="minorHAnsi" w:hAnsiTheme="minorHAnsi"/>
                <w:sz w:val="22"/>
              </w:rPr>
              <w:t xml:space="preserve"> and NACCHO at the national level.</w:t>
            </w:r>
          </w:p>
        </w:tc>
      </w:tr>
      <w:tr w:rsidR="002C4AB4" w:rsidRPr="002F17BE" w:rsidTr="002F17BE">
        <w:tc>
          <w:tcPr>
            <w:tcW w:w="1843" w:type="dxa"/>
            <w:vMerge/>
          </w:tcPr>
          <w:p w:rsidR="002C4AB4" w:rsidRPr="002F17BE" w:rsidRDefault="002C4AB4" w:rsidP="0081650D">
            <w:pPr>
              <w:rPr>
                <w:rFonts w:asciiTheme="minorHAnsi" w:hAnsiTheme="minorHAnsi"/>
                <w:b/>
                <w:sz w:val="22"/>
              </w:rPr>
            </w:pPr>
          </w:p>
        </w:tc>
        <w:tc>
          <w:tcPr>
            <w:tcW w:w="6946" w:type="dxa"/>
          </w:tcPr>
          <w:p w:rsidR="002C4AB4" w:rsidRPr="002F17BE" w:rsidRDefault="002C4AB4" w:rsidP="00D77724">
            <w:pPr>
              <w:rPr>
                <w:rFonts w:asciiTheme="minorHAnsi" w:hAnsiTheme="minorHAnsi"/>
                <w:sz w:val="22"/>
              </w:rPr>
            </w:pPr>
            <w:r w:rsidRPr="002F17BE">
              <w:rPr>
                <w:rFonts w:asciiTheme="minorHAnsi" w:hAnsiTheme="minorHAnsi"/>
                <w:sz w:val="22"/>
              </w:rPr>
              <w:t xml:space="preserve">Respect the confidentiality of </w:t>
            </w:r>
            <w:r w:rsidR="00B70284" w:rsidRPr="002F17BE">
              <w:rPr>
                <w:rFonts w:asciiTheme="minorHAnsi" w:hAnsiTheme="minorHAnsi"/>
                <w:sz w:val="22"/>
              </w:rPr>
              <w:t>ACCHOs</w:t>
            </w:r>
            <w:r w:rsidRPr="002F17BE">
              <w:rPr>
                <w:rFonts w:asciiTheme="minorHAnsi" w:hAnsiTheme="minorHAnsi"/>
                <w:sz w:val="22"/>
              </w:rPr>
              <w:t xml:space="preserve"> patient information in facilitating service delivery (such as care coordination).</w:t>
            </w:r>
          </w:p>
        </w:tc>
        <w:tc>
          <w:tcPr>
            <w:tcW w:w="6946" w:type="dxa"/>
          </w:tcPr>
          <w:p w:rsidR="002C4AB4" w:rsidRPr="002F17BE" w:rsidRDefault="002C4AB4" w:rsidP="009F32AE">
            <w:pPr>
              <w:rPr>
                <w:rFonts w:asciiTheme="minorHAnsi" w:hAnsiTheme="minorHAnsi"/>
                <w:sz w:val="22"/>
              </w:rPr>
            </w:pPr>
            <w:r w:rsidRPr="002F17BE">
              <w:rPr>
                <w:rFonts w:asciiTheme="minorHAnsi" w:hAnsiTheme="minorHAnsi"/>
                <w:sz w:val="22"/>
              </w:rPr>
              <w:t xml:space="preserve">Facilitate timely sharing of health records with </w:t>
            </w:r>
            <w:r w:rsidR="00445984" w:rsidRPr="002F17BE">
              <w:rPr>
                <w:rFonts w:asciiTheme="minorHAnsi" w:hAnsiTheme="minorHAnsi"/>
                <w:sz w:val="22"/>
              </w:rPr>
              <w:t xml:space="preserve">relevant </w:t>
            </w:r>
            <w:r w:rsidRPr="002F17BE">
              <w:rPr>
                <w:rFonts w:asciiTheme="minorHAnsi" w:hAnsiTheme="minorHAnsi"/>
                <w:sz w:val="22"/>
              </w:rPr>
              <w:t>staff</w:t>
            </w:r>
            <w:r w:rsidR="00445984" w:rsidRPr="002F17BE">
              <w:rPr>
                <w:rFonts w:asciiTheme="minorHAnsi" w:hAnsiTheme="minorHAnsi"/>
                <w:sz w:val="22"/>
              </w:rPr>
              <w:t xml:space="preserve"> across </w:t>
            </w:r>
            <w:r w:rsidR="009F32AE" w:rsidRPr="002F17BE">
              <w:rPr>
                <w:rFonts w:asciiTheme="minorHAnsi" w:hAnsiTheme="minorHAnsi"/>
                <w:sz w:val="22"/>
              </w:rPr>
              <w:t>organisations</w:t>
            </w:r>
            <w:r w:rsidRPr="002F17BE">
              <w:rPr>
                <w:rFonts w:asciiTheme="minorHAnsi" w:hAnsiTheme="minorHAnsi"/>
                <w:sz w:val="22"/>
              </w:rPr>
              <w:t xml:space="preserve"> such as care coordinators, outreach specialists and allied health practitioners</w:t>
            </w:r>
            <w:r w:rsidR="008B242B" w:rsidRPr="002F17BE">
              <w:rPr>
                <w:rFonts w:asciiTheme="minorHAnsi" w:hAnsiTheme="minorHAnsi"/>
                <w:sz w:val="22"/>
              </w:rPr>
              <w:t xml:space="preserve"> whilst respecting the rights of patients to control how </w:t>
            </w:r>
            <w:r w:rsidR="008B242B" w:rsidRPr="002F17BE">
              <w:rPr>
                <w:rFonts w:asciiTheme="minorHAnsi" w:hAnsiTheme="minorHAnsi"/>
                <w:sz w:val="22"/>
              </w:rPr>
              <w:lastRenderedPageBreak/>
              <w:t xml:space="preserve">their own clinical information is shared. </w:t>
            </w:r>
            <w:r w:rsidR="00445984" w:rsidRPr="002F17BE">
              <w:rPr>
                <w:rFonts w:asciiTheme="minorHAnsi" w:hAnsiTheme="minorHAnsi"/>
                <w:sz w:val="22"/>
              </w:rPr>
              <w:t xml:space="preserve"> </w:t>
            </w:r>
          </w:p>
        </w:tc>
      </w:tr>
      <w:tr w:rsidR="002C4AB4" w:rsidRPr="002F17BE" w:rsidTr="002F17BE">
        <w:tc>
          <w:tcPr>
            <w:tcW w:w="1843" w:type="dxa"/>
            <w:vMerge/>
          </w:tcPr>
          <w:p w:rsidR="002C4AB4" w:rsidRPr="002F17BE" w:rsidRDefault="002C4AB4" w:rsidP="0081650D">
            <w:pPr>
              <w:rPr>
                <w:rFonts w:asciiTheme="minorHAnsi" w:hAnsiTheme="minorHAnsi"/>
                <w:b/>
                <w:sz w:val="22"/>
              </w:rPr>
            </w:pPr>
          </w:p>
        </w:tc>
        <w:tc>
          <w:tcPr>
            <w:tcW w:w="13892" w:type="dxa"/>
            <w:gridSpan w:val="2"/>
          </w:tcPr>
          <w:p w:rsidR="00EF3F70" w:rsidRPr="002F17BE" w:rsidRDefault="002C4AB4" w:rsidP="00A419DB">
            <w:pPr>
              <w:rPr>
                <w:rFonts w:asciiTheme="minorHAnsi" w:hAnsiTheme="minorHAnsi"/>
                <w:sz w:val="22"/>
              </w:rPr>
            </w:pPr>
            <w:r w:rsidRPr="002F17BE">
              <w:rPr>
                <w:rFonts w:asciiTheme="minorHAnsi" w:hAnsiTheme="minorHAnsi"/>
                <w:sz w:val="22"/>
              </w:rPr>
              <w:t>Work in cooperation to identify gaps and barriers to the patient journey between primary, secondary and tertiary health sectors.</w:t>
            </w:r>
          </w:p>
        </w:tc>
      </w:tr>
      <w:tr w:rsidR="002C4AB4" w:rsidRPr="002F17BE" w:rsidTr="002F17BE">
        <w:tc>
          <w:tcPr>
            <w:tcW w:w="1843" w:type="dxa"/>
            <w:vMerge/>
          </w:tcPr>
          <w:p w:rsidR="002C4AB4" w:rsidRPr="002F17BE" w:rsidRDefault="002C4AB4" w:rsidP="0081650D">
            <w:pPr>
              <w:rPr>
                <w:rFonts w:asciiTheme="minorHAnsi" w:hAnsiTheme="minorHAnsi"/>
                <w:b/>
                <w:sz w:val="22"/>
              </w:rPr>
            </w:pPr>
          </w:p>
        </w:tc>
        <w:tc>
          <w:tcPr>
            <w:tcW w:w="13892" w:type="dxa"/>
            <w:gridSpan w:val="2"/>
          </w:tcPr>
          <w:p w:rsidR="002C4AB4" w:rsidRPr="002F17BE" w:rsidRDefault="002C4AB4" w:rsidP="00A419DB">
            <w:pPr>
              <w:rPr>
                <w:rFonts w:asciiTheme="minorHAnsi" w:hAnsiTheme="minorHAnsi"/>
                <w:sz w:val="22"/>
              </w:rPr>
            </w:pPr>
            <w:r w:rsidRPr="002F17BE">
              <w:rPr>
                <w:rFonts w:asciiTheme="minorHAnsi" w:hAnsiTheme="minorHAnsi"/>
                <w:sz w:val="22"/>
              </w:rPr>
              <w:t>Support the use and implementation of the My Health Record (eHealth) to assist in sharing of patient information to support timely and effective access to clinical and pharmaceutical services.</w:t>
            </w:r>
            <w:r w:rsidR="00EF3F70" w:rsidRPr="002F17BE">
              <w:rPr>
                <w:rFonts w:asciiTheme="minorHAnsi" w:hAnsiTheme="minorHAnsi"/>
                <w:sz w:val="22"/>
              </w:rPr>
              <w:t xml:space="preserve"> Jointly review experience and identify effective solutions to increase take-up of shared patient electronic health records.</w:t>
            </w:r>
          </w:p>
        </w:tc>
      </w:tr>
      <w:tr w:rsidR="002C4AB4" w:rsidRPr="002F17BE" w:rsidTr="002F17BE">
        <w:tc>
          <w:tcPr>
            <w:tcW w:w="1843" w:type="dxa"/>
            <w:vMerge/>
          </w:tcPr>
          <w:p w:rsidR="002C4AB4" w:rsidRPr="002F17BE" w:rsidRDefault="002C4AB4" w:rsidP="0081650D">
            <w:pPr>
              <w:rPr>
                <w:rFonts w:asciiTheme="minorHAnsi" w:hAnsiTheme="minorHAnsi"/>
                <w:b/>
                <w:sz w:val="22"/>
              </w:rPr>
            </w:pPr>
          </w:p>
        </w:tc>
        <w:tc>
          <w:tcPr>
            <w:tcW w:w="13892" w:type="dxa"/>
            <w:gridSpan w:val="2"/>
          </w:tcPr>
          <w:p w:rsidR="002C4AB4" w:rsidRPr="002F17BE" w:rsidRDefault="00455D49" w:rsidP="00455D49">
            <w:pPr>
              <w:rPr>
                <w:rFonts w:asciiTheme="minorHAnsi" w:hAnsiTheme="minorHAnsi"/>
                <w:sz w:val="22"/>
              </w:rPr>
            </w:pPr>
            <w:r w:rsidRPr="002F17BE">
              <w:rPr>
                <w:rFonts w:asciiTheme="minorHAnsi" w:hAnsiTheme="minorHAnsi"/>
                <w:sz w:val="22"/>
              </w:rPr>
              <w:t xml:space="preserve">Share resources (expertise, information and publications) where possible to enable mainstream primary health care to access culturally appropriate information and advice. In this context, make use of initiatives promoted through Aboriginal Health Partnership Forums at the jurisdictional level and NACCHO at the national level. </w:t>
            </w:r>
          </w:p>
        </w:tc>
      </w:tr>
      <w:tr w:rsidR="002C4AB4" w:rsidRPr="002F17BE" w:rsidTr="002F17BE">
        <w:tc>
          <w:tcPr>
            <w:tcW w:w="15735" w:type="dxa"/>
            <w:gridSpan w:val="3"/>
            <w:shd w:val="clear" w:color="auto" w:fill="FABF8F" w:themeFill="accent6" w:themeFillTint="99"/>
          </w:tcPr>
          <w:p w:rsidR="002C4AB4" w:rsidRPr="002F17BE" w:rsidRDefault="002C4AB4" w:rsidP="0081650D">
            <w:pPr>
              <w:rPr>
                <w:rFonts w:asciiTheme="minorHAnsi" w:hAnsiTheme="minorHAnsi"/>
                <w:sz w:val="22"/>
              </w:rPr>
            </w:pPr>
          </w:p>
        </w:tc>
      </w:tr>
      <w:tr w:rsidR="002C4AB4" w:rsidRPr="002F17BE" w:rsidTr="002F17BE">
        <w:tc>
          <w:tcPr>
            <w:tcW w:w="1843" w:type="dxa"/>
          </w:tcPr>
          <w:p w:rsidR="002C4AB4" w:rsidRPr="002F17BE" w:rsidRDefault="002C4AB4" w:rsidP="0081650D">
            <w:pPr>
              <w:rPr>
                <w:rFonts w:asciiTheme="minorHAnsi" w:hAnsiTheme="minorHAnsi"/>
                <w:b/>
                <w:sz w:val="22"/>
              </w:rPr>
            </w:pPr>
            <w:r w:rsidRPr="002F17BE">
              <w:rPr>
                <w:rFonts w:asciiTheme="minorHAnsi" w:hAnsiTheme="minorHAnsi"/>
                <w:b/>
                <w:sz w:val="22"/>
              </w:rPr>
              <w:t>Research</w:t>
            </w:r>
          </w:p>
        </w:tc>
        <w:tc>
          <w:tcPr>
            <w:tcW w:w="13892" w:type="dxa"/>
            <w:gridSpan w:val="2"/>
          </w:tcPr>
          <w:p w:rsidR="002C4AB4" w:rsidRPr="002F17BE" w:rsidRDefault="007D3CEB" w:rsidP="00751053">
            <w:pPr>
              <w:rPr>
                <w:rFonts w:asciiTheme="minorHAnsi" w:hAnsiTheme="minorHAnsi"/>
                <w:sz w:val="22"/>
              </w:rPr>
            </w:pPr>
            <w:r w:rsidRPr="002F17BE">
              <w:rPr>
                <w:rFonts w:asciiTheme="minorHAnsi" w:hAnsiTheme="minorHAnsi"/>
                <w:sz w:val="22"/>
              </w:rPr>
              <w:t>Ensure</w:t>
            </w:r>
            <w:r w:rsidR="00C3182B" w:rsidRPr="002F17BE">
              <w:rPr>
                <w:rFonts w:asciiTheme="minorHAnsi" w:hAnsiTheme="minorHAnsi"/>
                <w:sz w:val="22"/>
              </w:rPr>
              <w:t>,</w:t>
            </w:r>
            <w:r w:rsidRPr="002F17BE">
              <w:rPr>
                <w:rFonts w:asciiTheme="minorHAnsi" w:hAnsiTheme="minorHAnsi"/>
                <w:sz w:val="22"/>
              </w:rPr>
              <w:t xml:space="preserve"> through partnership with the Aboriginal Health Sector</w:t>
            </w:r>
            <w:r w:rsidR="00C3182B" w:rsidRPr="002F17BE">
              <w:rPr>
                <w:rFonts w:asciiTheme="minorHAnsi" w:hAnsiTheme="minorHAnsi"/>
                <w:sz w:val="22"/>
              </w:rPr>
              <w:t>,</w:t>
            </w:r>
            <w:r w:rsidRPr="002F17BE">
              <w:rPr>
                <w:rFonts w:asciiTheme="minorHAnsi" w:hAnsiTheme="minorHAnsi"/>
                <w:sz w:val="22"/>
              </w:rPr>
              <w:t xml:space="preserve"> </w:t>
            </w:r>
            <w:r w:rsidR="00A761B4" w:rsidRPr="002F17BE">
              <w:rPr>
                <w:rFonts w:asciiTheme="minorHAnsi" w:hAnsiTheme="minorHAnsi"/>
                <w:sz w:val="22"/>
              </w:rPr>
              <w:t xml:space="preserve">that </w:t>
            </w:r>
            <w:r w:rsidR="002C4AB4" w:rsidRPr="002F17BE">
              <w:rPr>
                <w:rFonts w:asciiTheme="minorHAnsi" w:hAnsiTheme="minorHAnsi"/>
                <w:sz w:val="22"/>
              </w:rPr>
              <w:t xml:space="preserve">the </w:t>
            </w:r>
            <w:r w:rsidR="002C4AB4" w:rsidRPr="002F17BE">
              <w:rPr>
                <w:rFonts w:asciiTheme="minorHAnsi" w:hAnsiTheme="minorHAnsi"/>
                <w:i/>
                <w:iCs/>
                <w:sz w:val="22"/>
              </w:rPr>
              <w:t>Values and Ethics: Guidelines for Ethical Conduct in Aboriginal and Torres Strait Islander Health Research</w:t>
            </w:r>
            <w:r w:rsidR="002C4AB4" w:rsidRPr="002F17BE">
              <w:rPr>
                <w:rFonts w:asciiTheme="minorHAnsi" w:hAnsiTheme="minorHAnsi"/>
                <w:sz w:val="22"/>
              </w:rPr>
              <w:t> provides guidance to researchers and Human Research Ethics Committees on the complex considerations necessary in the conception, design and conduct of appropriate research in Aboriginal and Torres Strait Islander communities (see link under Useful Resources).</w:t>
            </w:r>
          </w:p>
        </w:tc>
      </w:tr>
      <w:tr w:rsidR="002C4AB4" w:rsidRPr="002F17BE" w:rsidTr="002F17BE">
        <w:tc>
          <w:tcPr>
            <w:tcW w:w="15735" w:type="dxa"/>
            <w:gridSpan w:val="3"/>
            <w:shd w:val="clear" w:color="auto" w:fill="FABF8F" w:themeFill="accent6" w:themeFillTint="99"/>
          </w:tcPr>
          <w:p w:rsidR="002C4AB4" w:rsidRPr="002F17BE" w:rsidRDefault="002C4AB4" w:rsidP="0081650D">
            <w:pPr>
              <w:rPr>
                <w:rFonts w:asciiTheme="minorHAnsi" w:hAnsiTheme="minorHAnsi"/>
                <w:sz w:val="22"/>
              </w:rPr>
            </w:pPr>
          </w:p>
        </w:tc>
      </w:tr>
    </w:tbl>
    <w:p w:rsidR="00083850" w:rsidRPr="002F17BE" w:rsidRDefault="00083850">
      <w:pPr>
        <w:rPr>
          <w:sz w:val="22"/>
        </w:rPr>
        <w:sectPr w:rsidR="00083850" w:rsidRPr="002F17BE" w:rsidSect="002F17BE">
          <w:pgSz w:w="16838" w:h="11906" w:orient="landscape"/>
          <w:pgMar w:top="709" w:right="536" w:bottom="142" w:left="567" w:header="708" w:footer="571" w:gutter="0"/>
          <w:cols w:space="708"/>
          <w:docGrid w:linePitch="360"/>
        </w:sectPr>
      </w:pPr>
    </w:p>
    <w:p w:rsidR="00B0504A" w:rsidRPr="002F17BE" w:rsidRDefault="00B0504A" w:rsidP="00F327FE">
      <w:pPr>
        <w:spacing w:after="0"/>
        <w:rPr>
          <w:rFonts w:asciiTheme="minorHAnsi" w:hAnsiTheme="minorHAnsi"/>
          <w:b/>
          <w:sz w:val="22"/>
        </w:rPr>
      </w:pPr>
    </w:p>
    <w:tbl>
      <w:tblPr>
        <w:tblStyle w:val="TableGrid"/>
        <w:tblW w:w="15877" w:type="dxa"/>
        <w:tblInd w:w="250" w:type="dxa"/>
        <w:tblLook w:val="04A0" w:firstRow="1" w:lastRow="0" w:firstColumn="1" w:lastColumn="0" w:noHBand="0" w:noVBand="1"/>
        <w:tblDescription w:val="This table outlines the responsilities of the department, NACCHO, state and territory peak bodies and PHNs."/>
      </w:tblPr>
      <w:tblGrid>
        <w:gridCol w:w="1594"/>
        <w:gridCol w:w="14283"/>
      </w:tblGrid>
      <w:tr w:rsidR="00A17087" w:rsidRPr="002F17BE" w:rsidTr="008A64EF">
        <w:trPr>
          <w:tblHeader/>
        </w:trPr>
        <w:tc>
          <w:tcPr>
            <w:tcW w:w="15877" w:type="dxa"/>
            <w:gridSpan w:val="2"/>
            <w:shd w:val="clear" w:color="auto" w:fill="000000" w:themeFill="text1"/>
          </w:tcPr>
          <w:p w:rsidR="00A17087" w:rsidRPr="002F17BE" w:rsidRDefault="00A17087" w:rsidP="0081650D">
            <w:pPr>
              <w:rPr>
                <w:rFonts w:asciiTheme="minorHAnsi" w:hAnsiTheme="minorHAnsi"/>
                <w:sz w:val="22"/>
              </w:rPr>
            </w:pPr>
            <w:bookmarkStart w:id="0" w:name="_GoBack"/>
          </w:p>
        </w:tc>
      </w:tr>
      <w:bookmarkEnd w:id="0"/>
      <w:tr w:rsidR="00A17087" w:rsidRPr="002F17BE" w:rsidTr="002F17BE">
        <w:tc>
          <w:tcPr>
            <w:tcW w:w="1594" w:type="dxa"/>
          </w:tcPr>
          <w:p w:rsidR="00A17087" w:rsidRPr="002F17BE" w:rsidRDefault="00826D9A" w:rsidP="0081650D">
            <w:pPr>
              <w:rPr>
                <w:rFonts w:asciiTheme="minorHAnsi" w:hAnsiTheme="minorHAnsi"/>
                <w:b/>
                <w:sz w:val="22"/>
              </w:rPr>
            </w:pPr>
            <w:r w:rsidRPr="002F17BE">
              <w:rPr>
                <w:rFonts w:asciiTheme="minorHAnsi" w:hAnsiTheme="minorHAnsi"/>
                <w:b/>
                <w:sz w:val="22"/>
              </w:rPr>
              <w:t xml:space="preserve">The </w:t>
            </w:r>
            <w:r w:rsidR="00A17087" w:rsidRPr="002F17BE">
              <w:rPr>
                <w:rFonts w:asciiTheme="minorHAnsi" w:hAnsiTheme="minorHAnsi"/>
                <w:b/>
                <w:sz w:val="22"/>
              </w:rPr>
              <w:t>Department</w:t>
            </w:r>
          </w:p>
        </w:tc>
        <w:tc>
          <w:tcPr>
            <w:tcW w:w="14283" w:type="dxa"/>
          </w:tcPr>
          <w:p w:rsidR="00826D9A" w:rsidRPr="002F17BE" w:rsidRDefault="00B0504A" w:rsidP="00826D9A">
            <w:pPr>
              <w:rPr>
                <w:rFonts w:asciiTheme="minorHAnsi" w:hAnsiTheme="minorHAnsi"/>
                <w:sz w:val="22"/>
              </w:rPr>
            </w:pPr>
            <w:r w:rsidRPr="002F17BE">
              <w:rPr>
                <w:rFonts w:asciiTheme="minorHAnsi" w:hAnsiTheme="minorHAnsi"/>
                <w:sz w:val="22"/>
              </w:rPr>
              <w:t>W</w:t>
            </w:r>
            <w:r w:rsidR="00826D9A" w:rsidRPr="002F17BE">
              <w:rPr>
                <w:rFonts w:asciiTheme="minorHAnsi" w:hAnsiTheme="minorHAnsi"/>
                <w:sz w:val="22"/>
              </w:rPr>
              <w:t>ill:</w:t>
            </w:r>
          </w:p>
          <w:p w:rsidR="00826D9A" w:rsidRPr="002F17BE" w:rsidRDefault="007D3CEB" w:rsidP="00826D9A">
            <w:pPr>
              <w:pStyle w:val="ListParagraph"/>
              <w:numPr>
                <w:ilvl w:val="0"/>
                <w:numId w:val="6"/>
              </w:numPr>
              <w:rPr>
                <w:rFonts w:asciiTheme="minorHAnsi" w:hAnsiTheme="minorHAnsi"/>
                <w:sz w:val="22"/>
              </w:rPr>
            </w:pPr>
            <w:r w:rsidRPr="002F17BE">
              <w:rPr>
                <w:rFonts w:asciiTheme="minorHAnsi" w:hAnsiTheme="minorHAnsi"/>
                <w:sz w:val="22"/>
              </w:rPr>
              <w:t xml:space="preserve">resource enablers </w:t>
            </w:r>
            <w:r w:rsidR="00F25332" w:rsidRPr="002F17BE">
              <w:rPr>
                <w:rFonts w:asciiTheme="minorHAnsi" w:hAnsiTheme="minorHAnsi"/>
                <w:sz w:val="22"/>
              </w:rPr>
              <w:t>for</w:t>
            </w:r>
            <w:r w:rsidR="00826D9A" w:rsidRPr="002F17BE">
              <w:rPr>
                <w:rFonts w:asciiTheme="minorHAnsi" w:hAnsiTheme="minorHAnsi"/>
                <w:sz w:val="22"/>
              </w:rPr>
              <w:t xml:space="preserve"> PHNs and </w:t>
            </w:r>
            <w:r w:rsidR="00BF57A0" w:rsidRPr="002F17BE">
              <w:rPr>
                <w:rFonts w:asciiTheme="minorHAnsi" w:hAnsiTheme="minorHAnsi"/>
                <w:sz w:val="22"/>
              </w:rPr>
              <w:t>ACCHO</w:t>
            </w:r>
            <w:r w:rsidR="002F6696" w:rsidRPr="002F17BE">
              <w:rPr>
                <w:rFonts w:asciiTheme="minorHAnsi" w:hAnsiTheme="minorHAnsi"/>
                <w:sz w:val="22"/>
              </w:rPr>
              <w:t>s</w:t>
            </w:r>
            <w:r w:rsidR="00826D9A" w:rsidRPr="002F17BE">
              <w:rPr>
                <w:rFonts w:asciiTheme="minorHAnsi" w:hAnsiTheme="minorHAnsi"/>
                <w:sz w:val="22"/>
              </w:rPr>
              <w:t xml:space="preserve"> to establish working relationships in their regions </w:t>
            </w:r>
            <w:r w:rsidR="00751053">
              <w:rPr>
                <w:rFonts w:asciiTheme="minorHAnsi" w:hAnsiTheme="minorHAnsi"/>
                <w:sz w:val="22"/>
              </w:rPr>
              <w:t>and</w:t>
            </w:r>
            <w:r w:rsidR="00323551" w:rsidRPr="002F17BE">
              <w:rPr>
                <w:rFonts w:asciiTheme="minorHAnsi" w:hAnsiTheme="minorHAnsi"/>
                <w:sz w:val="22"/>
              </w:rPr>
              <w:t xml:space="preserve"> to facilitate linkages;</w:t>
            </w:r>
          </w:p>
          <w:p w:rsidR="00826D9A" w:rsidRPr="002F17BE" w:rsidRDefault="00826D9A" w:rsidP="00826D9A">
            <w:pPr>
              <w:pStyle w:val="ListParagraph"/>
              <w:numPr>
                <w:ilvl w:val="0"/>
                <w:numId w:val="6"/>
              </w:numPr>
              <w:rPr>
                <w:rFonts w:asciiTheme="minorHAnsi" w:hAnsiTheme="minorHAnsi"/>
                <w:sz w:val="22"/>
              </w:rPr>
            </w:pPr>
            <w:r w:rsidRPr="002F17BE">
              <w:rPr>
                <w:rFonts w:asciiTheme="minorHAnsi" w:hAnsiTheme="minorHAnsi"/>
                <w:sz w:val="22"/>
              </w:rPr>
              <w:t xml:space="preserve">work with PHNs, </w:t>
            </w:r>
            <w:r w:rsidR="00BF57A0" w:rsidRPr="002F17BE">
              <w:rPr>
                <w:rFonts w:asciiTheme="minorHAnsi" w:hAnsiTheme="minorHAnsi"/>
                <w:sz w:val="22"/>
              </w:rPr>
              <w:t>ACCHO</w:t>
            </w:r>
            <w:r w:rsidR="002F6696" w:rsidRPr="002F17BE">
              <w:rPr>
                <w:rFonts w:asciiTheme="minorHAnsi" w:hAnsiTheme="minorHAnsi"/>
                <w:sz w:val="22"/>
              </w:rPr>
              <w:t>s</w:t>
            </w:r>
            <w:r w:rsidR="003759B3">
              <w:rPr>
                <w:rFonts w:asciiTheme="minorHAnsi" w:hAnsiTheme="minorHAnsi"/>
                <w:sz w:val="22"/>
              </w:rPr>
              <w:t xml:space="preserve"> and state and territory g</w:t>
            </w:r>
            <w:r w:rsidRPr="002F17BE">
              <w:rPr>
                <w:rFonts w:asciiTheme="minorHAnsi" w:hAnsiTheme="minorHAnsi"/>
                <w:sz w:val="22"/>
              </w:rPr>
              <w:t>overnments to address any deficiencies in available culturally appropria</w:t>
            </w:r>
            <w:r w:rsidR="00323551" w:rsidRPr="002F17BE">
              <w:rPr>
                <w:rFonts w:asciiTheme="minorHAnsi" w:hAnsiTheme="minorHAnsi"/>
                <w:sz w:val="22"/>
              </w:rPr>
              <w:t>te primary health care services; and</w:t>
            </w:r>
          </w:p>
          <w:p w:rsidR="00A17087" w:rsidRPr="002F17BE" w:rsidRDefault="00826D9A" w:rsidP="00323551">
            <w:pPr>
              <w:pStyle w:val="ListParagraph"/>
              <w:numPr>
                <w:ilvl w:val="0"/>
                <w:numId w:val="6"/>
              </w:numPr>
              <w:rPr>
                <w:rFonts w:asciiTheme="minorHAnsi" w:hAnsiTheme="minorHAnsi"/>
                <w:sz w:val="22"/>
              </w:rPr>
            </w:pPr>
            <w:r w:rsidRPr="002F17BE">
              <w:rPr>
                <w:rFonts w:asciiTheme="minorHAnsi" w:hAnsiTheme="minorHAnsi"/>
                <w:sz w:val="22"/>
              </w:rPr>
              <w:t>in collaboration with other entities</w:t>
            </w:r>
            <w:r w:rsidR="00323551" w:rsidRPr="002F17BE">
              <w:rPr>
                <w:rFonts w:asciiTheme="minorHAnsi" w:hAnsiTheme="minorHAnsi"/>
                <w:sz w:val="22"/>
              </w:rPr>
              <w:t>,</w:t>
            </w:r>
            <w:r w:rsidRPr="002F17BE">
              <w:rPr>
                <w:rFonts w:asciiTheme="minorHAnsi" w:hAnsiTheme="minorHAnsi"/>
                <w:sz w:val="22"/>
              </w:rPr>
              <w:t xml:space="preserve"> provide guidance on the provision of clinically competent and culturally safe services (including mental health) as outlined in the Implementation Plan.</w:t>
            </w:r>
          </w:p>
        </w:tc>
      </w:tr>
      <w:tr w:rsidR="00A761B4" w:rsidRPr="002F17BE" w:rsidTr="002F17BE">
        <w:tc>
          <w:tcPr>
            <w:tcW w:w="1594" w:type="dxa"/>
          </w:tcPr>
          <w:p w:rsidR="00A761B4" w:rsidRPr="002F17BE" w:rsidRDefault="00A761B4" w:rsidP="0081650D">
            <w:pPr>
              <w:rPr>
                <w:rFonts w:asciiTheme="minorHAnsi" w:hAnsiTheme="minorHAnsi"/>
                <w:b/>
                <w:sz w:val="22"/>
              </w:rPr>
            </w:pPr>
            <w:r w:rsidRPr="002F17BE">
              <w:rPr>
                <w:rFonts w:asciiTheme="minorHAnsi" w:hAnsiTheme="minorHAnsi"/>
                <w:b/>
                <w:sz w:val="22"/>
              </w:rPr>
              <w:t>NACCHO</w:t>
            </w:r>
          </w:p>
        </w:tc>
        <w:tc>
          <w:tcPr>
            <w:tcW w:w="14283" w:type="dxa"/>
          </w:tcPr>
          <w:p w:rsidR="007D3CEB" w:rsidRPr="002F17BE" w:rsidRDefault="003804AD" w:rsidP="00826D9A">
            <w:pPr>
              <w:rPr>
                <w:rFonts w:asciiTheme="minorHAnsi" w:hAnsiTheme="minorHAnsi"/>
                <w:sz w:val="22"/>
              </w:rPr>
            </w:pPr>
            <w:r w:rsidRPr="002F17BE">
              <w:rPr>
                <w:rFonts w:asciiTheme="minorHAnsi" w:hAnsiTheme="minorHAnsi"/>
                <w:sz w:val="22"/>
              </w:rPr>
              <w:t>Will p</w:t>
            </w:r>
            <w:r w:rsidR="007D3CEB" w:rsidRPr="002F17BE">
              <w:rPr>
                <w:rFonts w:asciiTheme="minorHAnsi" w:hAnsiTheme="minorHAnsi"/>
                <w:sz w:val="22"/>
              </w:rPr>
              <w:t>rovide advice and assistance to develop a strategic approach to reduce racism in the Australian Health system</w:t>
            </w:r>
            <w:r w:rsidRPr="002F17BE">
              <w:rPr>
                <w:rFonts w:asciiTheme="minorHAnsi" w:hAnsiTheme="minorHAnsi"/>
                <w:sz w:val="22"/>
              </w:rPr>
              <w:t xml:space="preserve"> and:</w:t>
            </w:r>
          </w:p>
          <w:p w:rsidR="00A761B4" w:rsidRPr="002F17BE" w:rsidRDefault="00A761B4" w:rsidP="00A761B4">
            <w:pPr>
              <w:pStyle w:val="ListParagraph"/>
              <w:numPr>
                <w:ilvl w:val="0"/>
                <w:numId w:val="15"/>
              </w:numPr>
              <w:rPr>
                <w:rFonts w:asciiTheme="minorHAnsi" w:hAnsiTheme="minorHAnsi"/>
                <w:sz w:val="22"/>
              </w:rPr>
            </w:pPr>
            <w:r w:rsidRPr="002F17BE">
              <w:rPr>
                <w:rFonts w:asciiTheme="minorHAnsi" w:hAnsiTheme="minorHAnsi"/>
                <w:sz w:val="22"/>
              </w:rPr>
              <w:t xml:space="preserve">encourage ACCHOs and Regional </w:t>
            </w:r>
            <w:r w:rsidR="00B97BD0" w:rsidRPr="002F17BE">
              <w:rPr>
                <w:rFonts w:asciiTheme="minorHAnsi" w:hAnsiTheme="minorHAnsi"/>
                <w:sz w:val="22"/>
              </w:rPr>
              <w:t>Organisations of ACCHOs to establish working relations</w:t>
            </w:r>
            <w:r w:rsidR="00323551" w:rsidRPr="002F17BE">
              <w:rPr>
                <w:rFonts w:asciiTheme="minorHAnsi" w:hAnsiTheme="minorHAnsi"/>
                <w:sz w:val="22"/>
              </w:rPr>
              <w:t>hips with PHNs in their regions;</w:t>
            </w:r>
          </w:p>
          <w:p w:rsidR="00B97BD0" w:rsidRPr="002F17BE" w:rsidRDefault="00B97BD0" w:rsidP="00B97BD0">
            <w:pPr>
              <w:pStyle w:val="ListParagraph"/>
              <w:numPr>
                <w:ilvl w:val="0"/>
                <w:numId w:val="15"/>
              </w:numPr>
              <w:rPr>
                <w:rFonts w:asciiTheme="minorHAnsi" w:hAnsiTheme="minorHAnsi"/>
                <w:sz w:val="22"/>
              </w:rPr>
            </w:pPr>
            <w:r w:rsidRPr="002F17BE">
              <w:rPr>
                <w:rFonts w:asciiTheme="minorHAnsi" w:hAnsiTheme="minorHAnsi"/>
                <w:sz w:val="22"/>
              </w:rPr>
              <w:t xml:space="preserve">work with the Department </w:t>
            </w:r>
            <w:r w:rsidR="003804AD" w:rsidRPr="002F17BE">
              <w:rPr>
                <w:rFonts w:asciiTheme="minorHAnsi" w:hAnsiTheme="minorHAnsi"/>
                <w:sz w:val="22"/>
              </w:rPr>
              <w:t xml:space="preserve">of Health </w:t>
            </w:r>
            <w:r w:rsidRPr="002F17BE">
              <w:rPr>
                <w:rFonts w:asciiTheme="minorHAnsi" w:hAnsiTheme="minorHAnsi"/>
                <w:sz w:val="22"/>
              </w:rPr>
              <w:t>and with ACCHOs, R</w:t>
            </w:r>
            <w:r w:rsidR="00751053">
              <w:rPr>
                <w:rFonts w:asciiTheme="minorHAnsi" w:hAnsiTheme="minorHAnsi"/>
                <w:sz w:val="22"/>
              </w:rPr>
              <w:t>egional Organisations of ACCHOs and</w:t>
            </w:r>
            <w:r w:rsidRPr="002F17BE">
              <w:rPr>
                <w:rFonts w:asciiTheme="minorHAnsi" w:hAnsiTheme="minorHAnsi"/>
                <w:sz w:val="22"/>
              </w:rPr>
              <w:t xml:space="preserve"> jurisdictional peak bodies, to address any deficiencies in available culturally appropria</w:t>
            </w:r>
            <w:r w:rsidR="00323551" w:rsidRPr="002F17BE">
              <w:rPr>
                <w:rFonts w:asciiTheme="minorHAnsi" w:hAnsiTheme="minorHAnsi"/>
                <w:sz w:val="22"/>
              </w:rPr>
              <w:t>te primary health care services; and</w:t>
            </w:r>
          </w:p>
          <w:p w:rsidR="00B97BD0" w:rsidRPr="002F17BE" w:rsidRDefault="00323551" w:rsidP="00323551">
            <w:pPr>
              <w:pStyle w:val="ListParagraph"/>
              <w:numPr>
                <w:ilvl w:val="0"/>
                <w:numId w:val="15"/>
              </w:numPr>
              <w:rPr>
                <w:rFonts w:asciiTheme="minorHAnsi" w:hAnsiTheme="minorHAnsi"/>
                <w:sz w:val="22"/>
              </w:rPr>
            </w:pPr>
            <w:r w:rsidRPr="002F17BE">
              <w:rPr>
                <w:rFonts w:asciiTheme="minorHAnsi" w:hAnsiTheme="minorHAnsi"/>
                <w:sz w:val="22"/>
              </w:rPr>
              <w:t>i</w:t>
            </w:r>
            <w:r w:rsidR="00B97BD0" w:rsidRPr="002F17BE">
              <w:rPr>
                <w:rFonts w:asciiTheme="minorHAnsi" w:hAnsiTheme="minorHAnsi"/>
                <w:sz w:val="22"/>
              </w:rPr>
              <w:t>n collaboration with other entities</w:t>
            </w:r>
            <w:r w:rsidRPr="002F17BE">
              <w:rPr>
                <w:rFonts w:asciiTheme="minorHAnsi" w:hAnsiTheme="minorHAnsi"/>
                <w:sz w:val="22"/>
              </w:rPr>
              <w:t>,</w:t>
            </w:r>
            <w:r w:rsidR="00B97BD0" w:rsidRPr="002F17BE">
              <w:rPr>
                <w:rFonts w:asciiTheme="minorHAnsi" w:hAnsiTheme="minorHAnsi"/>
                <w:sz w:val="22"/>
              </w:rPr>
              <w:t xml:space="preserve"> provide guidance on the provision of clinically competent and culturally safe services (including mental health) as outlined in the Implementation Plan</w:t>
            </w:r>
            <w:r w:rsidR="00340D1D" w:rsidRPr="002F17BE">
              <w:rPr>
                <w:rFonts w:asciiTheme="minorHAnsi" w:hAnsiTheme="minorHAnsi"/>
                <w:sz w:val="22"/>
              </w:rPr>
              <w:t>.</w:t>
            </w:r>
          </w:p>
        </w:tc>
      </w:tr>
      <w:tr w:rsidR="007D3CEB" w:rsidRPr="002F17BE" w:rsidTr="002F17BE">
        <w:tc>
          <w:tcPr>
            <w:tcW w:w="1594" w:type="dxa"/>
          </w:tcPr>
          <w:p w:rsidR="007D3CEB" w:rsidRPr="002F17BE" w:rsidRDefault="00315AF6" w:rsidP="00315AF6">
            <w:pPr>
              <w:rPr>
                <w:rFonts w:asciiTheme="minorHAnsi" w:hAnsiTheme="minorHAnsi"/>
                <w:b/>
                <w:sz w:val="22"/>
              </w:rPr>
            </w:pPr>
            <w:r w:rsidRPr="002F17BE">
              <w:rPr>
                <w:rFonts w:asciiTheme="minorHAnsi" w:hAnsiTheme="minorHAnsi"/>
                <w:b/>
                <w:sz w:val="22"/>
              </w:rPr>
              <w:t>State/</w:t>
            </w:r>
            <w:r w:rsidR="003759B3">
              <w:rPr>
                <w:rFonts w:asciiTheme="minorHAnsi" w:hAnsiTheme="minorHAnsi"/>
                <w:b/>
                <w:sz w:val="22"/>
              </w:rPr>
              <w:t>t</w:t>
            </w:r>
            <w:r w:rsidRPr="002F17BE">
              <w:rPr>
                <w:rFonts w:asciiTheme="minorHAnsi" w:hAnsiTheme="minorHAnsi"/>
                <w:b/>
                <w:sz w:val="22"/>
              </w:rPr>
              <w:t xml:space="preserve">erritory </w:t>
            </w:r>
            <w:r w:rsidRPr="002F17BE">
              <w:rPr>
                <w:rFonts w:asciiTheme="minorHAnsi" w:hAnsiTheme="minorHAnsi"/>
                <w:b/>
                <w:sz w:val="22"/>
              </w:rPr>
              <w:br/>
            </w:r>
            <w:r w:rsidR="007D3CEB" w:rsidRPr="002F17BE">
              <w:rPr>
                <w:rFonts w:asciiTheme="minorHAnsi" w:hAnsiTheme="minorHAnsi"/>
                <w:b/>
                <w:sz w:val="22"/>
              </w:rPr>
              <w:t>Peak Bodies</w:t>
            </w:r>
          </w:p>
        </w:tc>
        <w:tc>
          <w:tcPr>
            <w:tcW w:w="14283" w:type="dxa"/>
          </w:tcPr>
          <w:p w:rsidR="007D3CEB" w:rsidRPr="002F17BE" w:rsidRDefault="007D3CEB" w:rsidP="007D3CEB">
            <w:pPr>
              <w:rPr>
                <w:rFonts w:asciiTheme="minorHAnsi" w:hAnsiTheme="minorHAnsi"/>
                <w:sz w:val="22"/>
              </w:rPr>
            </w:pPr>
            <w:r w:rsidRPr="002F17BE">
              <w:rPr>
                <w:rFonts w:asciiTheme="minorHAnsi" w:hAnsiTheme="minorHAnsi"/>
                <w:sz w:val="22"/>
              </w:rPr>
              <w:t>Will:</w:t>
            </w:r>
          </w:p>
          <w:p w:rsidR="007D3CEB" w:rsidRPr="002F17BE" w:rsidRDefault="007D3CEB" w:rsidP="007D3CEB">
            <w:pPr>
              <w:pStyle w:val="ListParagraph"/>
              <w:numPr>
                <w:ilvl w:val="0"/>
                <w:numId w:val="15"/>
              </w:numPr>
              <w:rPr>
                <w:rFonts w:asciiTheme="minorHAnsi" w:hAnsiTheme="minorHAnsi"/>
                <w:sz w:val="22"/>
              </w:rPr>
            </w:pPr>
            <w:r w:rsidRPr="002F17BE">
              <w:rPr>
                <w:rFonts w:asciiTheme="minorHAnsi" w:hAnsiTheme="minorHAnsi"/>
                <w:sz w:val="22"/>
              </w:rPr>
              <w:t xml:space="preserve">encourage ACCHOs and Regional Organisations of ACCHOs to establish </w:t>
            </w:r>
            <w:r w:rsidR="00734258" w:rsidRPr="002F17BE">
              <w:rPr>
                <w:rFonts w:asciiTheme="minorHAnsi" w:hAnsiTheme="minorHAnsi"/>
                <w:sz w:val="22"/>
              </w:rPr>
              <w:t xml:space="preserve">effective, mutually beneficial </w:t>
            </w:r>
            <w:r w:rsidRPr="002F17BE">
              <w:rPr>
                <w:rFonts w:asciiTheme="minorHAnsi" w:hAnsiTheme="minorHAnsi"/>
                <w:sz w:val="22"/>
              </w:rPr>
              <w:t>working relations</w:t>
            </w:r>
            <w:r w:rsidR="00323551" w:rsidRPr="002F17BE">
              <w:rPr>
                <w:rFonts w:asciiTheme="minorHAnsi" w:hAnsiTheme="minorHAnsi"/>
                <w:sz w:val="22"/>
              </w:rPr>
              <w:t>hips with PHNs in their regions;</w:t>
            </w:r>
          </w:p>
          <w:p w:rsidR="007D3CEB" w:rsidRPr="002F17BE" w:rsidRDefault="007D3CEB" w:rsidP="007D3CEB">
            <w:pPr>
              <w:pStyle w:val="ListParagraph"/>
              <w:numPr>
                <w:ilvl w:val="0"/>
                <w:numId w:val="15"/>
              </w:numPr>
              <w:rPr>
                <w:rFonts w:asciiTheme="minorHAnsi" w:hAnsiTheme="minorHAnsi"/>
                <w:sz w:val="22"/>
              </w:rPr>
            </w:pPr>
            <w:r w:rsidRPr="002F17BE">
              <w:rPr>
                <w:rFonts w:asciiTheme="minorHAnsi" w:hAnsiTheme="minorHAnsi"/>
                <w:sz w:val="22"/>
              </w:rPr>
              <w:t>work with the Department</w:t>
            </w:r>
            <w:r w:rsidR="003804AD" w:rsidRPr="002F17BE">
              <w:rPr>
                <w:rFonts w:asciiTheme="minorHAnsi" w:hAnsiTheme="minorHAnsi"/>
                <w:sz w:val="22"/>
              </w:rPr>
              <w:t xml:space="preserve"> of Health</w:t>
            </w:r>
            <w:r w:rsidR="003759B3">
              <w:rPr>
                <w:rFonts w:asciiTheme="minorHAnsi" w:hAnsiTheme="minorHAnsi"/>
                <w:sz w:val="22"/>
              </w:rPr>
              <w:t>, state and territory g</w:t>
            </w:r>
            <w:r w:rsidR="00751053">
              <w:rPr>
                <w:rFonts w:asciiTheme="minorHAnsi" w:hAnsiTheme="minorHAnsi"/>
                <w:sz w:val="22"/>
              </w:rPr>
              <w:t>overnments, and with ACCHOs and</w:t>
            </w:r>
            <w:r w:rsidRPr="002F17BE">
              <w:rPr>
                <w:rFonts w:asciiTheme="minorHAnsi" w:hAnsiTheme="minorHAnsi"/>
                <w:sz w:val="22"/>
              </w:rPr>
              <w:t xml:space="preserve"> Regional Organisations of ACCHOs, to address any deficiencies in available culturally appropria</w:t>
            </w:r>
            <w:r w:rsidR="00323551" w:rsidRPr="002F17BE">
              <w:rPr>
                <w:rFonts w:asciiTheme="minorHAnsi" w:hAnsiTheme="minorHAnsi"/>
                <w:sz w:val="22"/>
              </w:rPr>
              <w:t>te primary health care services; and</w:t>
            </w:r>
          </w:p>
          <w:p w:rsidR="007D3CEB" w:rsidRPr="002F17BE" w:rsidRDefault="00323551" w:rsidP="00323551">
            <w:pPr>
              <w:pStyle w:val="ListParagraph"/>
              <w:numPr>
                <w:ilvl w:val="0"/>
                <w:numId w:val="15"/>
              </w:numPr>
              <w:rPr>
                <w:rFonts w:asciiTheme="minorHAnsi" w:hAnsiTheme="minorHAnsi"/>
                <w:sz w:val="22"/>
              </w:rPr>
            </w:pPr>
            <w:r w:rsidRPr="002F17BE">
              <w:rPr>
                <w:rFonts w:asciiTheme="minorHAnsi" w:hAnsiTheme="minorHAnsi"/>
                <w:sz w:val="22"/>
              </w:rPr>
              <w:t>i</w:t>
            </w:r>
            <w:r w:rsidR="007D3CEB" w:rsidRPr="002F17BE">
              <w:rPr>
                <w:rFonts w:asciiTheme="minorHAnsi" w:hAnsiTheme="minorHAnsi"/>
                <w:sz w:val="22"/>
              </w:rPr>
              <w:t>n co</w:t>
            </w:r>
            <w:r w:rsidRPr="002F17BE">
              <w:rPr>
                <w:rFonts w:asciiTheme="minorHAnsi" w:hAnsiTheme="minorHAnsi"/>
                <w:sz w:val="22"/>
              </w:rPr>
              <w:t>llaboration with other entities,</w:t>
            </w:r>
            <w:r w:rsidR="007D3CEB" w:rsidRPr="002F17BE">
              <w:rPr>
                <w:rFonts w:asciiTheme="minorHAnsi" w:hAnsiTheme="minorHAnsi"/>
                <w:sz w:val="22"/>
              </w:rPr>
              <w:t xml:space="preserve"> provide guidance on the provision of clinically competent and culturally safe services (including mental health) as outlined in the Implementation Plan</w:t>
            </w:r>
            <w:r w:rsidR="00340D1D" w:rsidRPr="002F17BE">
              <w:rPr>
                <w:rFonts w:asciiTheme="minorHAnsi" w:hAnsiTheme="minorHAnsi"/>
                <w:sz w:val="22"/>
              </w:rPr>
              <w:t>.</w:t>
            </w:r>
          </w:p>
        </w:tc>
      </w:tr>
      <w:tr w:rsidR="00083850" w:rsidRPr="002F17BE" w:rsidTr="002F17BE">
        <w:tc>
          <w:tcPr>
            <w:tcW w:w="1594" w:type="dxa"/>
          </w:tcPr>
          <w:p w:rsidR="00083850" w:rsidRPr="002F17BE" w:rsidRDefault="00083850" w:rsidP="00315AF6">
            <w:pPr>
              <w:rPr>
                <w:rFonts w:asciiTheme="minorHAnsi" w:hAnsiTheme="minorHAnsi"/>
                <w:b/>
                <w:sz w:val="22"/>
              </w:rPr>
            </w:pPr>
            <w:r w:rsidRPr="002F17BE">
              <w:rPr>
                <w:rFonts w:asciiTheme="minorHAnsi" w:hAnsiTheme="minorHAnsi"/>
                <w:b/>
                <w:sz w:val="22"/>
              </w:rPr>
              <w:t>PHNs</w:t>
            </w:r>
          </w:p>
        </w:tc>
        <w:tc>
          <w:tcPr>
            <w:tcW w:w="14283" w:type="dxa"/>
          </w:tcPr>
          <w:p w:rsidR="00083850" w:rsidRPr="002F17BE" w:rsidRDefault="00083850" w:rsidP="007D3CEB">
            <w:pPr>
              <w:rPr>
                <w:rFonts w:asciiTheme="minorHAnsi" w:hAnsiTheme="minorHAnsi"/>
                <w:sz w:val="22"/>
              </w:rPr>
            </w:pPr>
            <w:r w:rsidRPr="002F17BE">
              <w:rPr>
                <w:rFonts w:asciiTheme="minorHAnsi" w:hAnsiTheme="minorHAnsi"/>
                <w:sz w:val="22"/>
              </w:rPr>
              <w:t>Will:</w:t>
            </w:r>
          </w:p>
          <w:p w:rsidR="00F25332" w:rsidRPr="002F17BE" w:rsidRDefault="00F25332" w:rsidP="00F25332">
            <w:pPr>
              <w:pStyle w:val="ListParagraph"/>
              <w:numPr>
                <w:ilvl w:val="0"/>
                <w:numId w:val="15"/>
              </w:numPr>
              <w:rPr>
                <w:rFonts w:asciiTheme="minorHAnsi" w:hAnsiTheme="minorHAnsi"/>
                <w:sz w:val="22"/>
              </w:rPr>
            </w:pPr>
            <w:r w:rsidRPr="002F17BE">
              <w:rPr>
                <w:rFonts w:asciiTheme="minorHAnsi" w:hAnsiTheme="minorHAnsi"/>
                <w:sz w:val="22"/>
              </w:rPr>
              <w:t>work with providers across the health sector</w:t>
            </w:r>
            <w:r w:rsidR="00751053">
              <w:rPr>
                <w:rFonts w:asciiTheme="minorHAnsi" w:hAnsiTheme="minorHAnsi"/>
                <w:sz w:val="22"/>
              </w:rPr>
              <w:t>,</w:t>
            </w:r>
            <w:r w:rsidRPr="002F17BE">
              <w:rPr>
                <w:rFonts w:asciiTheme="minorHAnsi" w:hAnsiTheme="minorHAnsi"/>
                <w:sz w:val="22"/>
              </w:rPr>
              <w:t xml:space="preserve"> including ACCHOs, to facilitate improved outcomes for patients, particularly those at risk of poor health outcomes, including Aboriginal and Torres Strait Islander people, and to improve coordination of care;</w:t>
            </w:r>
          </w:p>
          <w:p w:rsidR="00F25332" w:rsidRPr="002F17BE" w:rsidRDefault="00F25332" w:rsidP="00F25332">
            <w:pPr>
              <w:pStyle w:val="ListParagraph"/>
              <w:numPr>
                <w:ilvl w:val="0"/>
                <w:numId w:val="15"/>
              </w:numPr>
              <w:rPr>
                <w:rFonts w:asciiTheme="minorHAnsi" w:hAnsiTheme="minorHAnsi"/>
                <w:sz w:val="22"/>
              </w:rPr>
            </w:pPr>
            <w:r w:rsidRPr="002F17BE">
              <w:rPr>
                <w:rFonts w:asciiTheme="minorHAnsi" w:hAnsiTheme="minorHAnsi"/>
                <w:sz w:val="22"/>
              </w:rPr>
              <w:t>work with ACCHOs, and Regional Organisations of ACCHOs to address deficiencies in the availability of culturally appropriate primary health care services; and</w:t>
            </w:r>
          </w:p>
          <w:p w:rsidR="00083850" w:rsidRPr="002F17BE" w:rsidRDefault="00F25332" w:rsidP="00F25332">
            <w:pPr>
              <w:pStyle w:val="ListParagraph"/>
              <w:numPr>
                <w:ilvl w:val="0"/>
                <w:numId w:val="15"/>
              </w:numPr>
              <w:rPr>
                <w:rFonts w:asciiTheme="minorHAnsi" w:hAnsiTheme="minorHAnsi"/>
                <w:sz w:val="22"/>
              </w:rPr>
            </w:pPr>
            <w:r w:rsidRPr="002F17BE">
              <w:rPr>
                <w:rFonts w:asciiTheme="minorHAnsi" w:hAnsiTheme="minorHAnsi"/>
                <w:sz w:val="22"/>
              </w:rPr>
              <w:t>in collaboration with other entities, provide guidance on the provision of clinically competent and culturally safe services (including mental health) as outlined in the Implementation Plan.</w:t>
            </w:r>
          </w:p>
        </w:tc>
      </w:tr>
      <w:tr w:rsidR="00A17087" w:rsidRPr="002F17BE" w:rsidTr="002F17BE">
        <w:tc>
          <w:tcPr>
            <w:tcW w:w="15877" w:type="dxa"/>
            <w:gridSpan w:val="2"/>
            <w:shd w:val="clear" w:color="auto" w:fill="000000" w:themeFill="text1"/>
          </w:tcPr>
          <w:p w:rsidR="00A17087" w:rsidRPr="002F17BE" w:rsidRDefault="00A17087" w:rsidP="0081650D">
            <w:pPr>
              <w:rPr>
                <w:rFonts w:asciiTheme="minorHAnsi" w:hAnsiTheme="minorHAnsi"/>
                <w:sz w:val="22"/>
              </w:rPr>
            </w:pPr>
          </w:p>
        </w:tc>
      </w:tr>
      <w:tr w:rsidR="00A17087" w:rsidRPr="002F17BE" w:rsidTr="002F17BE">
        <w:tc>
          <w:tcPr>
            <w:tcW w:w="1594" w:type="dxa"/>
          </w:tcPr>
          <w:p w:rsidR="00A17087" w:rsidRPr="002F17BE" w:rsidRDefault="00A17087" w:rsidP="0081650D">
            <w:pPr>
              <w:rPr>
                <w:rFonts w:asciiTheme="minorHAnsi" w:hAnsiTheme="minorHAnsi"/>
                <w:b/>
                <w:sz w:val="22"/>
              </w:rPr>
            </w:pPr>
            <w:r w:rsidRPr="002F17BE">
              <w:rPr>
                <w:rFonts w:asciiTheme="minorHAnsi" w:hAnsiTheme="minorHAnsi"/>
                <w:b/>
                <w:sz w:val="22"/>
              </w:rPr>
              <w:t>Useful Resources</w:t>
            </w:r>
            <w:r w:rsidR="00D82BD2" w:rsidRPr="002F17BE">
              <w:rPr>
                <w:rFonts w:asciiTheme="minorHAnsi" w:hAnsiTheme="minorHAnsi"/>
                <w:b/>
                <w:sz w:val="22"/>
              </w:rPr>
              <w:t xml:space="preserve"> to inform planning</w:t>
            </w:r>
          </w:p>
        </w:tc>
        <w:tc>
          <w:tcPr>
            <w:tcW w:w="14283" w:type="dxa"/>
          </w:tcPr>
          <w:p w:rsidR="00826D9A" w:rsidRPr="002F17BE" w:rsidRDefault="00826D9A" w:rsidP="00826D9A">
            <w:pPr>
              <w:pStyle w:val="ListParagraph"/>
              <w:numPr>
                <w:ilvl w:val="0"/>
                <w:numId w:val="6"/>
              </w:numPr>
              <w:rPr>
                <w:rFonts w:asciiTheme="minorHAnsi" w:hAnsiTheme="minorHAnsi"/>
                <w:sz w:val="22"/>
              </w:rPr>
            </w:pPr>
            <w:r w:rsidRPr="002F17BE">
              <w:rPr>
                <w:rFonts w:asciiTheme="minorHAnsi" w:hAnsiTheme="minorHAnsi"/>
                <w:sz w:val="22"/>
              </w:rPr>
              <w:t xml:space="preserve">Implementation Plan for the </w:t>
            </w:r>
            <w:r w:rsidRPr="002F17BE">
              <w:rPr>
                <w:rFonts w:asciiTheme="minorHAnsi" w:hAnsiTheme="minorHAnsi"/>
                <w:i/>
                <w:sz w:val="22"/>
              </w:rPr>
              <w:t>National Aboriginal and Torres Strait Islander Health Plan 2013-2023</w:t>
            </w:r>
          </w:p>
          <w:p w:rsidR="00826D9A" w:rsidRPr="002F17BE" w:rsidRDefault="00826D9A" w:rsidP="00826D9A">
            <w:pPr>
              <w:pStyle w:val="ListParagraph"/>
              <w:numPr>
                <w:ilvl w:val="0"/>
                <w:numId w:val="6"/>
              </w:numPr>
              <w:rPr>
                <w:rFonts w:asciiTheme="minorHAnsi" w:hAnsiTheme="minorHAnsi"/>
                <w:sz w:val="22"/>
              </w:rPr>
            </w:pPr>
            <w:r w:rsidRPr="002F17BE">
              <w:rPr>
                <w:rFonts w:asciiTheme="minorHAnsi" w:hAnsiTheme="minorHAnsi"/>
                <w:sz w:val="22"/>
              </w:rPr>
              <w:t>Cultural competency in the delivery of health services fo</w:t>
            </w:r>
            <w:r w:rsidR="00751053">
              <w:rPr>
                <w:rFonts w:asciiTheme="minorHAnsi" w:hAnsiTheme="minorHAnsi"/>
                <w:sz w:val="22"/>
              </w:rPr>
              <w:t xml:space="preserve">r Indigenous people (July 2015) </w:t>
            </w:r>
            <w:hyperlink r:id="rId9" w:history="1">
              <w:r w:rsidRPr="002F17BE">
                <w:rPr>
                  <w:rStyle w:val="Hyperlink"/>
                  <w:rFonts w:asciiTheme="minorHAnsi" w:hAnsiTheme="minorHAnsi"/>
                  <w:sz w:val="22"/>
                </w:rPr>
                <w:t>http://www.aihw.gov.au/uploadedFiles/ClosingTheGap/Content/Our_publications/2015/ctgc-ip13.pdf</w:t>
              </w:r>
            </w:hyperlink>
          </w:p>
          <w:p w:rsidR="00826D9A" w:rsidRPr="002F17BE" w:rsidRDefault="00826D9A" w:rsidP="00826D9A">
            <w:pPr>
              <w:pStyle w:val="ListParagraph"/>
              <w:numPr>
                <w:ilvl w:val="0"/>
                <w:numId w:val="6"/>
              </w:numPr>
              <w:rPr>
                <w:rFonts w:asciiTheme="minorHAnsi" w:hAnsiTheme="minorHAnsi"/>
                <w:sz w:val="22"/>
              </w:rPr>
            </w:pPr>
            <w:r w:rsidRPr="002F17BE">
              <w:rPr>
                <w:rFonts w:asciiTheme="minorHAnsi" w:hAnsiTheme="minorHAnsi"/>
                <w:sz w:val="22"/>
              </w:rPr>
              <w:t>Engaging with Indigenous Australia: exploring the conditions for effective relationships with Aboriginal and Torres Strait Islander communities (October 2013</w:t>
            </w:r>
            <w:r w:rsidR="00751053">
              <w:rPr>
                <w:rFonts w:asciiTheme="minorHAnsi" w:hAnsiTheme="minorHAnsi"/>
                <w:sz w:val="22"/>
              </w:rPr>
              <w:t>)</w:t>
            </w:r>
            <w:r w:rsidRPr="002F17BE">
              <w:rPr>
                <w:rFonts w:asciiTheme="minorHAnsi" w:hAnsiTheme="minorHAnsi"/>
                <w:sz w:val="22"/>
              </w:rPr>
              <w:t xml:space="preserve"> </w:t>
            </w:r>
            <w:hyperlink r:id="rId10" w:history="1">
              <w:r w:rsidRPr="002F17BE">
                <w:rPr>
                  <w:rStyle w:val="Hyperlink"/>
                  <w:rFonts w:asciiTheme="minorHAnsi" w:hAnsiTheme="minorHAnsi"/>
                  <w:sz w:val="22"/>
                </w:rPr>
                <w:t>http://www.aihw.gov.au/uploadedFiles/ClosingTheGap/Content/Publications/2013/ctgc-ip5.pdf</w:t>
              </w:r>
            </w:hyperlink>
          </w:p>
          <w:p w:rsidR="00751053" w:rsidRPr="00751053" w:rsidRDefault="00751053" w:rsidP="00826D9A">
            <w:pPr>
              <w:pStyle w:val="ListParagraph"/>
              <w:numPr>
                <w:ilvl w:val="0"/>
                <w:numId w:val="6"/>
              </w:numPr>
              <w:rPr>
                <w:rStyle w:val="Hyperlink"/>
                <w:rFonts w:asciiTheme="minorHAnsi" w:hAnsiTheme="minorHAnsi"/>
                <w:color w:val="auto"/>
                <w:sz w:val="22"/>
                <w:u w:val="none"/>
              </w:rPr>
            </w:pPr>
            <w:r w:rsidRPr="002F17BE">
              <w:rPr>
                <w:rFonts w:asciiTheme="minorHAnsi" w:hAnsiTheme="minorHAnsi"/>
                <w:i/>
                <w:iCs/>
                <w:sz w:val="22"/>
              </w:rPr>
              <w:t>Values and Ethics: Guidelines for Ethical Conduct in Aboriginal and Torres Strait Islander Health Research (NHMRC)</w:t>
            </w:r>
            <w:r>
              <w:rPr>
                <w:rFonts w:asciiTheme="minorHAnsi" w:hAnsiTheme="minorHAnsi"/>
                <w:iCs/>
                <w:sz w:val="22"/>
              </w:rPr>
              <w:t xml:space="preserve"> </w:t>
            </w:r>
            <w:hyperlink r:id="rId11" w:history="1">
              <w:r w:rsidRPr="002F17BE">
                <w:rPr>
                  <w:rStyle w:val="Hyperlink"/>
                  <w:rFonts w:asciiTheme="minorHAnsi" w:hAnsiTheme="minorHAnsi"/>
                  <w:iCs/>
                  <w:sz w:val="22"/>
                </w:rPr>
                <w:t>https://www.nhmrc.gov.au/guidelines-publications/e52</w:t>
              </w:r>
            </w:hyperlink>
          </w:p>
          <w:p w:rsidR="00A17087" w:rsidRPr="00751053" w:rsidRDefault="00826D9A" w:rsidP="00751053">
            <w:pPr>
              <w:pStyle w:val="ListParagraph"/>
              <w:numPr>
                <w:ilvl w:val="0"/>
                <w:numId w:val="6"/>
              </w:numPr>
              <w:rPr>
                <w:rFonts w:asciiTheme="minorHAnsi" w:hAnsiTheme="minorHAnsi"/>
                <w:sz w:val="22"/>
              </w:rPr>
            </w:pPr>
            <w:r w:rsidRPr="002F17BE">
              <w:rPr>
                <w:rFonts w:asciiTheme="minorHAnsi" w:hAnsiTheme="minorHAnsi"/>
                <w:sz w:val="22"/>
              </w:rPr>
              <w:t xml:space="preserve">Closing the Gap publications: </w:t>
            </w:r>
            <w:hyperlink r:id="rId12" w:history="1">
              <w:r w:rsidRPr="002F17BE">
                <w:rPr>
                  <w:rStyle w:val="Hyperlink"/>
                  <w:rFonts w:asciiTheme="minorHAnsi" w:hAnsiTheme="minorHAnsi"/>
                  <w:sz w:val="22"/>
                </w:rPr>
                <w:t>http://www.aihw.gov.au/closingthegap/publications/</w:t>
              </w:r>
            </w:hyperlink>
          </w:p>
        </w:tc>
      </w:tr>
    </w:tbl>
    <w:p w:rsidR="00D95D5A" w:rsidRDefault="00D95D5A" w:rsidP="008514C5">
      <w:pPr>
        <w:rPr>
          <w:rFonts w:asciiTheme="minorHAnsi" w:hAnsiTheme="minorHAnsi"/>
          <w:szCs w:val="24"/>
        </w:rPr>
      </w:pPr>
    </w:p>
    <w:sectPr w:rsidR="00D95D5A" w:rsidSect="00D9266C">
      <w:footerReference w:type="default" r:id="rId13"/>
      <w:pgSz w:w="16838" w:h="11906" w:orient="landscape"/>
      <w:pgMar w:top="284" w:right="536" w:bottom="142" w:left="426" w:header="27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F5D" w:rsidRDefault="00A50F5D" w:rsidP="00B703E5">
      <w:pPr>
        <w:spacing w:after="0" w:line="240" w:lineRule="auto"/>
      </w:pPr>
      <w:r>
        <w:separator/>
      </w:r>
    </w:p>
  </w:endnote>
  <w:endnote w:type="continuationSeparator" w:id="0">
    <w:p w:rsidR="00A50F5D" w:rsidRDefault="00A50F5D" w:rsidP="00B70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267822565"/>
      <w:docPartObj>
        <w:docPartGallery w:val="Page Numbers (Bottom of Page)"/>
        <w:docPartUnique/>
      </w:docPartObj>
    </w:sdtPr>
    <w:sdtEndPr>
      <w:rPr>
        <w:noProof/>
      </w:rPr>
    </w:sdtEndPr>
    <w:sdtContent>
      <w:p w:rsidR="00EA4885" w:rsidRPr="003759B3" w:rsidRDefault="00EA4885" w:rsidP="00EA4885">
        <w:pPr>
          <w:pStyle w:val="Footer"/>
          <w:jc w:val="right"/>
          <w:rPr>
            <w:rFonts w:asciiTheme="minorHAnsi" w:hAnsiTheme="minorHAnsi"/>
            <w:sz w:val="22"/>
          </w:rPr>
        </w:pPr>
        <w:r w:rsidRPr="003759B3">
          <w:rPr>
            <w:rFonts w:asciiTheme="minorHAnsi" w:hAnsiTheme="minorHAnsi"/>
            <w:sz w:val="22"/>
          </w:rPr>
          <w:t>March 2016</w:t>
        </w:r>
        <w:r w:rsidRPr="003759B3">
          <w:rPr>
            <w:rFonts w:asciiTheme="minorHAnsi" w:hAnsiTheme="minorHAnsi"/>
            <w:sz w:val="22"/>
          </w:rPr>
          <w:tab/>
        </w:r>
        <w:r w:rsidRPr="003759B3">
          <w:rPr>
            <w:rFonts w:asciiTheme="minorHAnsi" w:hAnsiTheme="minorHAnsi"/>
            <w:sz w:val="22"/>
          </w:rPr>
          <w:tab/>
        </w:r>
        <w:r w:rsidR="00054530" w:rsidRPr="003759B3">
          <w:rPr>
            <w:rFonts w:asciiTheme="minorHAnsi" w:hAnsiTheme="minorHAnsi"/>
            <w:sz w:val="22"/>
          </w:rPr>
          <w:fldChar w:fldCharType="begin"/>
        </w:r>
        <w:r w:rsidR="00054530" w:rsidRPr="003759B3">
          <w:rPr>
            <w:rFonts w:asciiTheme="minorHAnsi" w:hAnsiTheme="minorHAnsi"/>
            <w:sz w:val="22"/>
          </w:rPr>
          <w:instrText xml:space="preserve"> PAGE   \* MERGEFORMAT </w:instrText>
        </w:r>
        <w:r w:rsidR="00054530" w:rsidRPr="003759B3">
          <w:rPr>
            <w:rFonts w:asciiTheme="minorHAnsi" w:hAnsiTheme="minorHAnsi"/>
            <w:sz w:val="22"/>
          </w:rPr>
          <w:fldChar w:fldCharType="separate"/>
        </w:r>
        <w:r w:rsidR="008A64EF">
          <w:rPr>
            <w:rFonts w:asciiTheme="minorHAnsi" w:hAnsiTheme="minorHAnsi"/>
            <w:noProof/>
            <w:sz w:val="22"/>
          </w:rPr>
          <w:t>8</w:t>
        </w:r>
        <w:r w:rsidR="00054530" w:rsidRPr="003759B3">
          <w:rPr>
            <w:rFonts w:asciiTheme="minorHAnsi" w:hAnsiTheme="minorHAnsi"/>
            <w:noProof/>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66C" w:rsidRPr="00EA4885" w:rsidRDefault="00EA4885" w:rsidP="005A4C66">
    <w:pPr>
      <w:pStyle w:val="Footer"/>
      <w:jc w:val="center"/>
      <w:rPr>
        <w:rFonts w:asciiTheme="minorHAnsi" w:hAnsiTheme="minorHAnsi"/>
        <w:sz w:val="22"/>
      </w:rPr>
    </w:pPr>
    <w:r w:rsidRPr="00EA4885">
      <w:rPr>
        <w:rFonts w:asciiTheme="minorHAnsi" w:hAnsiTheme="minorHAnsi"/>
        <w:sz w:val="22"/>
      </w:rPr>
      <w:t xml:space="preserve">Draft as at </w:t>
    </w:r>
    <w:r w:rsidR="00AC2941">
      <w:rPr>
        <w:rFonts w:asciiTheme="minorHAnsi" w:hAnsiTheme="minorHAnsi"/>
        <w:sz w:val="22"/>
      </w:rPr>
      <w:t>16</w:t>
    </w:r>
    <w:r>
      <w:rPr>
        <w:rFonts w:asciiTheme="minorHAnsi" w:hAnsiTheme="minorHAnsi"/>
        <w:sz w:val="22"/>
      </w:rPr>
      <w:t xml:space="preserve"> March</w:t>
    </w:r>
    <w:r w:rsidR="00D9266C" w:rsidRPr="00EA4885">
      <w:rPr>
        <w:rFonts w:asciiTheme="minorHAnsi" w:hAnsiTheme="minorHAnsi"/>
        <w:sz w:val="22"/>
      </w:rPr>
      <w:t xml:space="preserve"> 2016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F5D" w:rsidRDefault="00A50F5D" w:rsidP="00B703E5">
      <w:pPr>
        <w:spacing w:after="0" w:line="240" w:lineRule="auto"/>
      </w:pPr>
      <w:r>
        <w:separator/>
      </w:r>
    </w:p>
  </w:footnote>
  <w:footnote w:type="continuationSeparator" w:id="0">
    <w:p w:rsidR="00A50F5D" w:rsidRDefault="00A50F5D" w:rsidP="00B703E5">
      <w:pPr>
        <w:spacing w:after="0" w:line="240" w:lineRule="auto"/>
      </w:pPr>
      <w:r>
        <w:continuationSeparator/>
      </w:r>
    </w:p>
  </w:footnote>
  <w:footnote w:id="1">
    <w:p w:rsidR="00A914DB" w:rsidRPr="00AC2941" w:rsidRDefault="00A914DB">
      <w:pPr>
        <w:pStyle w:val="FootnoteText"/>
        <w:rPr>
          <w:rFonts w:asciiTheme="minorHAnsi" w:hAnsiTheme="minorHAnsi"/>
        </w:rPr>
      </w:pPr>
      <w:r w:rsidRPr="00AC2941">
        <w:rPr>
          <w:rStyle w:val="FootnoteReference"/>
          <w:rFonts w:asciiTheme="minorHAnsi" w:hAnsiTheme="minorHAnsi"/>
        </w:rPr>
        <w:footnoteRef/>
      </w:r>
      <w:r w:rsidRPr="00AC2941">
        <w:rPr>
          <w:rFonts w:asciiTheme="minorHAnsi" w:hAnsiTheme="minorHAnsi"/>
        </w:rPr>
        <w:t xml:space="preserve"> Australian Government Department of Health, </w:t>
      </w:r>
      <w:r w:rsidRPr="00AC2941">
        <w:rPr>
          <w:rFonts w:asciiTheme="minorHAnsi" w:hAnsiTheme="minorHAnsi"/>
          <w:i/>
        </w:rPr>
        <w:t xml:space="preserve">Implementation Plan for the National Aboriginal and Torres Strait Islander Health Plan 2013-2023, </w:t>
      </w:r>
      <w:r w:rsidRPr="00AC2941">
        <w:rPr>
          <w:rFonts w:asciiTheme="minorHAnsi" w:hAnsiTheme="minorHAnsi"/>
        </w:rPr>
        <w:t>Australian Government, Canberra,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C4FB1"/>
    <w:multiLevelType w:val="hybridMultilevel"/>
    <w:tmpl w:val="4A5AC1E6"/>
    <w:lvl w:ilvl="0" w:tplc="0C09000F">
      <w:start w:val="1"/>
      <w:numFmt w:val="decimal"/>
      <w:lvlText w:val="%1."/>
      <w:lvlJc w:val="left"/>
      <w:pPr>
        <w:ind w:left="1665" w:hanging="360"/>
      </w:p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 w15:restartNumberingAfterBreak="0">
    <w:nsid w:val="19A159A6"/>
    <w:multiLevelType w:val="hybridMultilevel"/>
    <w:tmpl w:val="0B6466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602C06"/>
    <w:multiLevelType w:val="multilevel"/>
    <w:tmpl w:val="9000F932"/>
    <w:lvl w:ilvl="0">
      <w:start w:val="1"/>
      <w:numFmt w:val="decimal"/>
      <w:pStyle w:val="Heading1A"/>
      <w:lvlText w:val="B%1"/>
      <w:lvlJc w:val="left"/>
      <w:pPr>
        <w:tabs>
          <w:tab w:val="num" w:pos="1029"/>
        </w:tabs>
        <w:ind w:left="1029" w:hanging="924"/>
      </w:pPr>
      <w:rPr>
        <w:rFonts w:hint="default"/>
      </w:rPr>
    </w:lvl>
    <w:lvl w:ilvl="1">
      <w:start w:val="1"/>
      <w:numFmt w:val="decimal"/>
      <w:pStyle w:val="PFNumLevel2"/>
      <w:lvlText w:val="A%1.%2"/>
      <w:lvlJc w:val="left"/>
      <w:pPr>
        <w:tabs>
          <w:tab w:val="num" w:pos="924"/>
        </w:tabs>
        <w:ind w:left="924" w:hanging="924"/>
      </w:pPr>
      <w:rPr>
        <w:rFonts w:hint="default"/>
        <w:b w:val="0"/>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F0665B5"/>
    <w:multiLevelType w:val="hybridMultilevel"/>
    <w:tmpl w:val="DA3CC83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C1751"/>
    <w:multiLevelType w:val="hybridMultilevel"/>
    <w:tmpl w:val="20FA8D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2461BAB"/>
    <w:multiLevelType w:val="hybridMultilevel"/>
    <w:tmpl w:val="48068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A4C5239"/>
    <w:multiLevelType w:val="hybridMultilevel"/>
    <w:tmpl w:val="4A702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CA3D9B"/>
    <w:multiLevelType w:val="hybridMultilevel"/>
    <w:tmpl w:val="80221F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54F84"/>
    <w:multiLevelType w:val="hybridMultilevel"/>
    <w:tmpl w:val="7C36BEDA"/>
    <w:lvl w:ilvl="0" w:tplc="CD26AC5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D885754"/>
    <w:multiLevelType w:val="hybridMultilevel"/>
    <w:tmpl w:val="D23C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5F0294"/>
    <w:multiLevelType w:val="hybridMultilevel"/>
    <w:tmpl w:val="306AB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1632F1D"/>
    <w:multiLevelType w:val="hybridMultilevel"/>
    <w:tmpl w:val="8980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015142"/>
    <w:multiLevelType w:val="hybridMultilevel"/>
    <w:tmpl w:val="F574ED3E"/>
    <w:lvl w:ilvl="0" w:tplc="CD3C1FEC">
      <w:start w:val="15"/>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2756C6"/>
    <w:multiLevelType w:val="hybridMultilevel"/>
    <w:tmpl w:val="83908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4B6E76"/>
    <w:multiLevelType w:val="hybridMultilevel"/>
    <w:tmpl w:val="039E02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381555E"/>
    <w:multiLevelType w:val="hybridMultilevel"/>
    <w:tmpl w:val="84E6CFFA"/>
    <w:lvl w:ilvl="0" w:tplc="D8EA0216">
      <w:start w:val="1"/>
      <w:numFmt w:val="lowerRoman"/>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5B482EBE"/>
    <w:multiLevelType w:val="hybridMultilevel"/>
    <w:tmpl w:val="CB423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E61860"/>
    <w:multiLevelType w:val="hybridMultilevel"/>
    <w:tmpl w:val="7CCAEE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6E337A9"/>
    <w:multiLevelType w:val="hybridMultilevel"/>
    <w:tmpl w:val="CEEE0878"/>
    <w:lvl w:ilvl="0" w:tplc="166819E6">
      <w:numFmt w:val="bullet"/>
      <w:lvlText w:val="•"/>
      <w:lvlJc w:val="left"/>
      <w:pPr>
        <w:ind w:left="720" w:hanging="720"/>
      </w:pPr>
      <w:rPr>
        <w:rFonts w:ascii="Calibri" w:eastAsia="Calibri"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3"/>
  </w:num>
  <w:num w:numId="3">
    <w:abstractNumId w:val="17"/>
  </w:num>
  <w:num w:numId="4">
    <w:abstractNumId w:val="14"/>
  </w:num>
  <w:num w:numId="5">
    <w:abstractNumId w:val="13"/>
  </w:num>
  <w:num w:numId="6">
    <w:abstractNumId w:val="7"/>
  </w:num>
  <w:num w:numId="7">
    <w:abstractNumId w:val="4"/>
  </w:num>
  <w:num w:numId="8">
    <w:abstractNumId w:val="5"/>
  </w:num>
  <w:num w:numId="9">
    <w:abstractNumId w:val="2"/>
  </w:num>
  <w:num w:numId="10">
    <w:abstractNumId w:val="0"/>
  </w:num>
  <w:num w:numId="11">
    <w:abstractNumId w:val="15"/>
  </w:num>
  <w:num w:numId="12">
    <w:abstractNumId w:val="10"/>
  </w:num>
  <w:num w:numId="13">
    <w:abstractNumId w:val="6"/>
  </w:num>
  <w:num w:numId="14">
    <w:abstractNumId w:val="1"/>
  </w:num>
  <w:num w:numId="15">
    <w:abstractNumId w:val="11"/>
  </w:num>
  <w:num w:numId="16">
    <w:abstractNumId w:val="9"/>
  </w:num>
  <w:num w:numId="17">
    <w:abstractNumId w:val="16"/>
  </w:num>
  <w:num w:numId="18">
    <w:abstractNumId w:val="1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D7"/>
    <w:rsid w:val="00026945"/>
    <w:rsid w:val="00030916"/>
    <w:rsid w:val="00041080"/>
    <w:rsid w:val="000461D6"/>
    <w:rsid w:val="000473C3"/>
    <w:rsid w:val="00054530"/>
    <w:rsid w:val="000670A9"/>
    <w:rsid w:val="00070447"/>
    <w:rsid w:val="00083850"/>
    <w:rsid w:val="00085612"/>
    <w:rsid w:val="00091CDD"/>
    <w:rsid w:val="00093A11"/>
    <w:rsid w:val="00094C21"/>
    <w:rsid w:val="00096AF6"/>
    <w:rsid w:val="000A06D2"/>
    <w:rsid w:val="000A1082"/>
    <w:rsid w:val="000A1EFB"/>
    <w:rsid w:val="000A3AA9"/>
    <w:rsid w:val="000A452E"/>
    <w:rsid w:val="000D4137"/>
    <w:rsid w:val="000E2C9E"/>
    <w:rsid w:val="000F052A"/>
    <w:rsid w:val="000F28CA"/>
    <w:rsid w:val="00122D43"/>
    <w:rsid w:val="00125631"/>
    <w:rsid w:val="00126824"/>
    <w:rsid w:val="00126F05"/>
    <w:rsid w:val="00142C44"/>
    <w:rsid w:val="00160589"/>
    <w:rsid w:val="00164604"/>
    <w:rsid w:val="00176503"/>
    <w:rsid w:val="001943C4"/>
    <w:rsid w:val="001A32E1"/>
    <w:rsid w:val="001B07E0"/>
    <w:rsid w:val="001B5338"/>
    <w:rsid w:val="001D4A21"/>
    <w:rsid w:val="001E28F4"/>
    <w:rsid w:val="00203814"/>
    <w:rsid w:val="00230BFC"/>
    <w:rsid w:val="002A6DC7"/>
    <w:rsid w:val="002B3E15"/>
    <w:rsid w:val="002C4AB4"/>
    <w:rsid w:val="002D03CC"/>
    <w:rsid w:val="002D24DF"/>
    <w:rsid w:val="002D4970"/>
    <w:rsid w:val="002D5472"/>
    <w:rsid w:val="002F0B3D"/>
    <w:rsid w:val="002F17BE"/>
    <w:rsid w:val="002F1ACC"/>
    <w:rsid w:val="002F1F48"/>
    <w:rsid w:val="002F2BE0"/>
    <w:rsid w:val="002F47A6"/>
    <w:rsid w:val="002F4F6A"/>
    <w:rsid w:val="002F6696"/>
    <w:rsid w:val="003053BF"/>
    <w:rsid w:val="00315AF6"/>
    <w:rsid w:val="00316D86"/>
    <w:rsid w:val="003207E2"/>
    <w:rsid w:val="00323551"/>
    <w:rsid w:val="00340D1D"/>
    <w:rsid w:val="00345DB4"/>
    <w:rsid w:val="003512F0"/>
    <w:rsid w:val="00360191"/>
    <w:rsid w:val="00366544"/>
    <w:rsid w:val="00370995"/>
    <w:rsid w:val="00374C6F"/>
    <w:rsid w:val="0037589A"/>
    <w:rsid w:val="003759B3"/>
    <w:rsid w:val="003804AD"/>
    <w:rsid w:val="00380C8B"/>
    <w:rsid w:val="00397EE4"/>
    <w:rsid w:val="003A6577"/>
    <w:rsid w:val="003B05F5"/>
    <w:rsid w:val="003C16F4"/>
    <w:rsid w:val="003E177E"/>
    <w:rsid w:val="003F05C9"/>
    <w:rsid w:val="003F4615"/>
    <w:rsid w:val="0042677D"/>
    <w:rsid w:val="00430079"/>
    <w:rsid w:val="00431C65"/>
    <w:rsid w:val="00432699"/>
    <w:rsid w:val="00436DC4"/>
    <w:rsid w:val="004441E8"/>
    <w:rsid w:val="00445984"/>
    <w:rsid w:val="00446937"/>
    <w:rsid w:val="00450163"/>
    <w:rsid w:val="00455D49"/>
    <w:rsid w:val="00466EAB"/>
    <w:rsid w:val="00470C91"/>
    <w:rsid w:val="004824EF"/>
    <w:rsid w:val="00493889"/>
    <w:rsid w:val="00493CB9"/>
    <w:rsid w:val="004C5A37"/>
    <w:rsid w:val="004F6646"/>
    <w:rsid w:val="0051787B"/>
    <w:rsid w:val="00517BB5"/>
    <w:rsid w:val="005206E8"/>
    <w:rsid w:val="005341C1"/>
    <w:rsid w:val="005414F4"/>
    <w:rsid w:val="005536EA"/>
    <w:rsid w:val="0056181C"/>
    <w:rsid w:val="005656CF"/>
    <w:rsid w:val="0056661F"/>
    <w:rsid w:val="0057072A"/>
    <w:rsid w:val="0058109E"/>
    <w:rsid w:val="00591770"/>
    <w:rsid w:val="005A4495"/>
    <w:rsid w:val="005A4C66"/>
    <w:rsid w:val="005A7515"/>
    <w:rsid w:val="005A782C"/>
    <w:rsid w:val="005C3EF4"/>
    <w:rsid w:val="005C464A"/>
    <w:rsid w:val="005E4DD7"/>
    <w:rsid w:val="005E54A4"/>
    <w:rsid w:val="005F45D4"/>
    <w:rsid w:val="00606337"/>
    <w:rsid w:val="0061279E"/>
    <w:rsid w:val="00612DBB"/>
    <w:rsid w:val="006270A3"/>
    <w:rsid w:val="006564A8"/>
    <w:rsid w:val="00656B4A"/>
    <w:rsid w:val="006622A5"/>
    <w:rsid w:val="006707E8"/>
    <w:rsid w:val="00672415"/>
    <w:rsid w:val="00672480"/>
    <w:rsid w:val="00677202"/>
    <w:rsid w:val="006839B8"/>
    <w:rsid w:val="00683EC3"/>
    <w:rsid w:val="00694F42"/>
    <w:rsid w:val="0069623E"/>
    <w:rsid w:val="006B1B24"/>
    <w:rsid w:val="006B62E3"/>
    <w:rsid w:val="006D0267"/>
    <w:rsid w:val="006E2AB5"/>
    <w:rsid w:val="006F0F2F"/>
    <w:rsid w:val="00700297"/>
    <w:rsid w:val="00702FB6"/>
    <w:rsid w:val="007073E1"/>
    <w:rsid w:val="007077B3"/>
    <w:rsid w:val="00734258"/>
    <w:rsid w:val="007446DE"/>
    <w:rsid w:val="00744CCF"/>
    <w:rsid w:val="00751053"/>
    <w:rsid w:val="00752BEF"/>
    <w:rsid w:val="007567E1"/>
    <w:rsid w:val="00765DDC"/>
    <w:rsid w:val="00777E0A"/>
    <w:rsid w:val="0078540B"/>
    <w:rsid w:val="00787B03"/>
    <w:rsid w:val="00794BF7"/>
    <w:rsid w:val="007954FD"/>
    <w:rsid w:val="007A75B2"/>
    <w:rsid w:val="007D3CEB"/>
    <w:rsid w:val="007D6D98"/>
    <w:rsid w:val="007E259B"/>
    <w:rsid w:val="007F03CB"/>
    <w:rsid w:val="007F2470"/>
    <w:rsid w:val="007F4E20"/>
    <w:rsid w:val="008032BA"/>
    <w:rsid w:val="0081650D"/>
    <w:rsid w:val="0081737A"/>
    <w:rsid w:val="00822274"/>
    <w:rsid w:val="008240D0"/>
    <w:rsid w:val="00826D9A"/>
    <w:rsid w:val="008325D7"/>
    <w:rsid w:val="00842478"/>
    <w:rsid w:val="008514C5"/>
    <w:rsid w:val="0086285D"/>
    <w:rsid w:val="00890415"/>
    <w:rsid w:val="00891976"/>
    <w:rsid w:val="008A64EF"/>
    <w:rsid w:val="008A6BA1"/>
    <w:rsid w:val="008B1302"/>
    <w:rsid w:val="008B242B"/>
    <w:rsid w:val="008B2AE6"/>
    <w:rsid w:val="008D53A3"/>
    <w:rsid w:val="008E255B"/>
    <w:rsid w:val="008F1EF3"/>
    <w:rsid w:val="00903B0F"/>
    <w:rsid w:val="00906BAA"/>
    <w:rsid w:val="00913DAB"/>
    <w:rsid w:val="009230EC"/>
    <w:rsid w:val="009239B0"/>
    <w:rsid w:val="00927CC6"/>
    <w:rsid w:val="00932780"/>
    <w:rsid w:val="00934C72"/>
    <w:rsid w:val="00936A8D"/>
    <w:rsid w:val="00947A64"/>
    <w:rsid w:val="00970762"/>
    <w:rsid w:val="0099082C"/>
    <w:rsid w:val="009951D4"/>
    <w:rsid w:val="00995F08"/>
    <w:rsid w:val="00996484"/>
    <w:rsid w:val="009A7371"/>
    <w:rsid w:val="009B0341"/>
    <w:rsid w:val="009B65DB"/>
    <w:rsid w:val="009C0268"/>
    <w:rsid w:val="009C6AD0"/>
    <w:rsid w:val="009D0098"/>
    <w:rsid w:val="009D1871"/>
    <w:rsid w:val="009F32AE"/>
    <w:rsid w:val="009F5313"/>
    <w:rsid w:val="00A03D21"/>
    <w:rsid w:val="00A1206C"/>
    <w:rsid w:val="00A165C6"/>
    <w:rsid w:val="00A17087"/>
    <w:rsid w:val="00A205C7"/>
    <w:rsid w:val="00A231EA"/>
    <w:rsid w:val="00A24130"/>
    <w:rsid w:val="00A24F9A"/>
    <w:rsid w:val="00A27324"/>
    <w:rsid w:val="00A419DB"/>
    <w:rsid w:val="00A43C00"/>
    <w:rsid w:val="00A479B7"/>
    <w:rsid w:val="00A50F5D"/>
    <w:rsid w:val="00A554D1"/>
    <w:rsid w:val="00A60093"/>
    <w:rsid w:val="00A60627"/>
    <w:rsid w:val="00A67C15"/>
    <w:rsid w:val="00A755A9"/>
    <w:rsid w:val="00A761B4"/>
    <w:rsid w:val="00A762D8"/>
    <w:rsid w:val="00A80EF3"/>
    <w:rsid w:val="00A87D27"/>
    <w:rsid w:val="00A914DB"/>
    <w:rsid w:val="00AA229D"/>
    <w:rsid w:val="00AA74FF"/>
    <w:rsid w:val="00AB15FE"/>
    <w:rsid w:val="00AB2E19"/>
    <w:rsid w:val="00AC2941"/>
    <w:rsid w:val="00AC5AAF"/>
    <w:rsid w:val="00AD76E9"/>
    <w:rsid w:val="00AF284F"/>
    <w:rsid w:val="00B04FA6"/>
    <w:rsid w:val="00B0504A"/>
    <w:rsid w:val="00B15C45"/>
    <w:rsid w:val="00B1624C"/>
    <w:rsid w:val="00B25EAA"/>
    <w:rsid w:val="00B663DC"/>
    <w:rsid w:val="00B70284"/>
    <w:rsid w:val="00B703E5"/>
    <w:rsid w:val="00B850A7"/>
    <w:rsid w:val="00B85AAE"/>
    <w:rsid w:val="00B97BD0"/>
    <w:rsid w:val="00BC4A43"/>
    <w:rsid w:val="00BD068A"/>
    <w:rsid w:val="00BE7FCE"/>
    <w:rsid w:val="00BF57A0"/>
    <w:rsid w:val="00C11AE2"/>
    <w:rsid w:val="00C12F6A"/>
    <w:rsid w:val="00C137A4"/>
    <w:rsid w:val="00C213C9"/>
    <w:rsid w:val="00C3182B"/>
    <w:rsid w:val="00C4024C"/>
    <w:rsid w:val="00C4390C"/>
    <w:rsid w:val="00C85F78"/>
    <w:rsid w:val="00C87392"/>
    <w:rsid w:val="00C8745D"/>
    <w:rsid w:val="00CA7CC7"/>
    <w:rsid w:val="00CB384B"/>
    <w:rsid w:val="00CD6888"/>
    <w:rsid w:val="00CE2548"/>
    <w:rsid w:val="00D15CE9"/>
    <w:rsid w:val="00D33C1F"/>
    <w:rsid w:val="00D47362"/>
    <w:rsid w:val="00D54CE4"/>
    <w:rsid w:val="00D64F14"/>
    <w:rsid w:val="00D65750"/>
    <w:rsid w:val="00D71022"/>
    <w:rsid w:val="00D77724"/>
    <w:rsid w:val="00D807C0"/>
    <w:rsid w:val="00D82BD2"/>
    <w:rsid w:val="00D9266C"/>
    <w:rsid w:val="00D95D5A"/>
    <w:rsid w:val="00DA7866"/>
    <w:rsid w:val="00DB237A"/>
    <w:rsid w:val="00DB6420"/>
    <w:rsid w:val="00DC0CB7"/>
    <w:rsid w:val="00DD24CF"/>
    <w:rsid w:val="00DD2B25"/>
    <w:rsid w:val="00DE306F"/>
    <w:rsid w:val="00DE6BEA"/>
    <w:rsid w:val="00DF09F0"/>
    <w:rsid w:val="00DF1E72"/>
    <w:rsid w:val="00DF41CF"/>
    <w:rsid w:val="00DF563C"/>
    <w:rsid w:val="00E00B07"/>
    <w:rsid w:val="00E028DC"/>
    <w:rsid w:val="00E21261"/>
    <w:rsid w:val="00E21935"/>
    <w:rsid w:val="00E315A6"/>
    <w:rsid w:val="00E33943"/>
    <w:rsid w:val="00E34B77"/>
    <w:rsid w:val="00E6660D"/>
    <w:rsid w:val="00E76256"/>
    <w:rsid w:val="00E853EA"/>
    <w:rsid w:val="00E9278A"/>
    <w:rsid w:val="00EA4885"/>
    <w:rsid w:val="00EA541B"/>
    <w:rsid w:val="00EA6FBE"/>
    <w:rsid w:val="00EA7FAF"/>
    <w:rsid w:val="00EC3A6A"/>
    <w:rsid w:val="00ED2513"/>
    <w:rsid w:val="00EF3F70"/>
    <w:rsid w:val="00EF49DE"/>
    <w:rsid w:val="00EF6E10"/>
    <w:rsid w:val="00EF6F3F"/>
    <w:rsid w:val="00EF71C4"/>
    <w:rsid w:val="00F1616A"/>
    <w:rsid w:val="00F25332"/>
    <w:rsid w:val="00F25BE4"/>
    <w:rsid w:val="00F320DC"/>
    <w:rsid w:val="00F327FE"/>
    <w:rsid w:val="00F36695"/>
    <w:rsid w:val="00F44613"/>
    <w:rsid w:val="00F44952"/>
    <w:rsid w:val="00F57C8C"/>
    <w:rsid w:val="00F71FC9"/>
    <w:rsid w:val="00F83100"/>
    <w:rsid w:val="00F84726"/>
    <w:rsid w:val="00FA434B"/>
    <w:rsid w:val="00FA4491"/>
    <w:rsid w:val="00FA5A97"/>
    <w:rsid w:val="00FB24BC"/>
    <w:rsid w:val="00FB4C99"/>
    <w:rsid w:val="00FD17AB"/>
    <w:rsid w:val="00FE3FCB"/>
    <w:rsid w:val="00FE4F44"/>
    <w:rsid w:val="00FF0DE3"/>
    <w:rsid w:val="00FF1512"/>
    <w:rsid w:val="00FF6A5B"/>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4AA8595-7AA7-4192-8EB5-C17B8CEF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7A0"/>
  </w:style>
  <w:style w:type="paragraph" w:styleId="Heading1">
    <w:name w:val="heading 1"/>
    <w:basedOn w:val="Normal"/>
    <w:next w:val="Normal"/>
    <w:link w:val="Heading1Char"/>
    <w:uiPriority w:val="9"/>
    <w:qFormat/>
    <w:rsid w:val="003F05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D2B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9B0341"/>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52392"/>
    <w:rPr>
      <w:rFonts w:ascii="Lucida Grande" w:hAnsi="Lucida Grande"/>
      <w:sz w:val="18"/>
      <w:szCs w:val="18"/>
    </w:rPr>
  </w:style>
  <w:style w:type="table" w:styleId="TableGrid">
    <w:name w:val="Table Grid"/>
    <w:basedOn w:val="TableNormal"/>
    <w:uiPriority w:val="59"/>
    <w:rsid w:val="00B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B663DC"/>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B663D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B663D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663D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663DC"/>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B663D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663D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927CC6"/>
    <w:pPr>
      <w:ind w:left="720"/>
      <w:contextualSpacing/>
    </w:pPr>
  </w:style>
  <w:style w:type="character" w:customStyle="1" w:styleId="BalloonTextChar1">
    <w:name w:val="Balloon Text Char1"/>
    <w:basedOn w:val="DefaultParagraphFont"/>
    <w:link w:val="BalloonText"/>
    <w:uiPriority w:val="99"/>
    <w:semiHidden/>
    <w:rsid w:val="009B0341"/>
    <w:rPr>
      <w:rFonts w:ascii="Tahoma" w:hAnsi="Tahoma" w:cs="Tahoma"/>
      <w:sz w:val="16"/>
      <w:szCs w:val="16"/>
    </w:rPr>
  </w:style>
  <w:style w:type="character" w:styleId="CommentReference">
    <w:name w:val="annotation reference"/>
    <w:basedOn w:val="DefaultParagraphFont"/>
    <w:uiPriority w:val="99"/>
    <w:semiHidden/>
    <w:unhideWhenUsed/>
    <w:rsid w:val="002F0B3D"/>
    <w:rPr>
      <w:sz w:val="16"/>
      <w:szCs w:val="16"/>
    </w:rPr>
  </w:style>
  <w:style w:type="paragraph" w:styleId="CommentText">
    <w:name w:val="annotation text"/>
    <w:basedOn w:val="Normal"/>
    <w:link w:val="CommentTextChar"/>
    <w:uiPriority w:val="99"/>
    <w:semiHidden/>
    <w:unhideWhenUsed/>
    <w:rsid w:val="002F0B3D"/>
    <w:pPr>
      <w:spacing w:line="240" w:lineRule="auto"/>
    </w:pPr>
    <w:rPr>
      <w:sz w:val="20"/>
      <w:szCs w:val="20"/>
    </w:rPr>
  </w:style>
  <w:style w:type="character" w:customStyle="1" w:styleId="CommentTextChar">
    <w:name w:val="Comment Text Char"/>
    <w:basedOn w:val="DefaultParagraphFont"/>
    <w:link w:val="CommentText"/>
    <w:uiPriority w:val="99"/>
    <w:semiHidden/>
    <w:rsid w:val="002F0B3D"/>
    <w:rPr>
      <w:sz w:val="20"/>
      <w:szCs w:val="20"/>
    </w:rPr>
  </w:style>
  <w:style w:type="paragraph" w:styleId="CommentSubject">
    <w:name w:val="annotation subject"/>
    <w:basedOn w:val="CommentText"/>
    <w:next w:val="CommentText"/>
    <w:link w:val="CommentSubjectChar"/>
    <w:uiPriority w:val="99"/>
    <w:semiHidden/>
    <w:unhideWhenUsed/>
    <w:rsid w:val="002F0B3D"/>
    <w:rPr>
      <w:b/>
      <w:bCs/>
    </w:rPr>
  </w:style>
  <w:style w:type="character" w:customStyle="1" w:styleId="CommentSubjectChar">
    <w:name w:val="Comment Subject Char"/>
    <w:basedOn w:val="CommentTextChar"/>
    <w:link w:val="CommentSubject"/>
    <w:uiPriority w:val="99"/>
    <w:semiHidden/>
    <w:rsid w:val="002F0B3D"/>
    <w:rPr>
      <w:b/>
      <w:bCs/>
      <w:sz w:val="20"/>
      <w:szCs w:val="20"/>
    </w:rPr>
  </w:style>
  <w:style w:type="character" w:styleId="Hyperlink">
    <w:name w:val="Hyperlink"/>
    <w:basedOn w:val="DefaultParagraphFont"/>
    <w:uiPriority w:val="99"/>
    <w:unhideWhenUsed/>
    <w:rsid w:val="002D5472"/>
    <w:rPr>
      <w:color w:val="0000FF" w:themeColor="hyperlink"/>
      <w:u w:val="single"/>
    </w:rPr>
  </w:style>
  <w:style w:type="paragraph" w:styleId="FootnoteText">
    <w:name w:val="footnote text"/>
    <w:basedOn w:val="Normal"/>
    <w:link w:val="FootnoteTextChar"/>
    <w:uiPriority w:val="99"/>
    <w:semiHidden/>
    <w:unhideWhenUsed/>
    <w:rsid w:val="00B70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3E5"/>
    <w:rPr>
      <w:sz w:val="20"/>
      <w:szCs w:val="20"/>
    </w:rPr>
  </w:style>
  <w:style w:type="character" w:styleId="FootnoteReference">
    <w:name w:val="footnote reference"/>
    <w:basedOn w:val="DefaultParagraphFont"/>
    <w:uiPriority w:val="99"/>
    <w:semiHidden/>
    <w:unhideWhenUsed/>
    <w:rsid w:val="00B703E5"/>
    <w:rPr>
      <w:vertAlign w:val="superscript"/>
    </w:rPr>
  </w:style>
  <w:style w:type="paragraph" w:styleId="Header">
    <w:name w:val="header"/>
    <w:basedOn w:val="Normal"/>
    <w:link w:val="HeaderChar"/>
    <w:uiPriority w:val="99"/>
    <w:unhideWhenUsed/>
    <w:rsid w:val="005A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C66"/>
  </w:style>
  <w:style w:type="paragraph" w:styleId="Footer">
    <w:name w:val="footer"/>
    <w:basedOn w:val="Normal"/>
    <w:link w:val="FooterChar"/>
    <w:uiPriority w:val="99"/>
    <w:unhideWhenUsed/>
    <w:rsid w:val="005A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C66"/>
  </w:style>
  <w:style w:type="paragraph" w:customStyle="1" w:styleId="PFNumLevel2">
    <w:name w:val="PF (Num) Level 2"/>
    <w:basedOn w:val="Normal"/>
    <w:rsid w:val="003F05C9"/>
    <w:pPr>
      <w:numPr>
        <w:ilvl w:val="1"/>
        <w:numId w:val="9"/>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3">
    <w:name w:val="PF (Num) Level 3"/>
    <w:basedOn w:val="Normal"/>
    <w:rsid w:val="003F05C9"/>
    <w:pPr>
      <w:numPr>
        <w:ilvl w:val="2"/>
        <w:numId w:val="9"/>
      </w:numPr>
      <w:tabs>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4">
    <w:name w:val="PF (Num) Level 4"/>
    <w:basedOn w:val="Normal"/>
    <w:rsid w:val="003F05C9"/>
    <w:pPr>
      <w:numPr>
        <w:ilvl w:val="3"/>
        <w:numId w:val="9"/>
      </w:numPr>
      <w:tabs>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PFNumLevel5">
    <w:name w:val="PF (Num) Level 5"/>
    <w:basedOn w:val="Normal"/>
    <w:rsid w:val="003F05C9"/>
    <w:pPr>
      <w:numPr>
        <w:ilvl w:val="4"/>
        <w:numId w:val="9"/>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paragraph" w:customStyle="1" w:styleId="Heading1A">
    <w:name w:val="Heading 1A"/>
    <w:basedOn w:val="Heading1"/>
    <w:next w:val="Normal"/>
    <w:rsid w:val="003F05C9"/>
    <w:pPr>
      <w:keepLines w:val="0"/>
      <w:numPr>
        <w:numId w:val="9"/>
      </w:numPr>
      <w:tabs>
        <w:tab w:val="clear" w:pos="1029"/>
        <w:tab w:val="left" w:pos="924"/>
        <w:tab w:val="left" w:pos="1848"/>
        <w:tab w:val="left" w:pos="2773"/>
        <w:tab w:val="left" w:pos="3697"/>
        <w:tab w:val="left" w:pos="4621"/>
        <w:tab w:val="left" w:pos="5545"/>
        <w:tab w:val="left" w:pos="6469"/>
        <w:tab w:val="left" w:pos="7394"/>
        <w:tab w:val="left" w:pos="8318"/>
        <w:tab w:val="right" w:pos="8930"/>
      </w:tabs>
      <w:spacing w:before="400" w:after="120"/>
      <w:ind w:left="360" w:hanging="360"/>
    </w:pPr>
    <w:rPr>
      <w:rFonts w:ascii="Arial" w:eastAsia="Times New Roman" w:hAnsi="Arial" w:cs="Times New Roman"/>
      <w:bCs w:val="0"/>
      <w:caps/>
      <w:color w:val="000000"/>
      <w:kern w:val="28"/>
      <w:sz w:val="24"/>
      <w:szCs w:val="20"/>
    </w:rPr>
  </w:style>
  <w:style w:type="paragraph" w:customStyle="1" w:styleId="PFNumLevel6">
    <w:name w:val="PF (Num) Level 6"/>
    <w:basedOn w:val="PFNumLevel4"/>
    <w:rsid w:val="003F05C9"/>
    <w:pPr>
      <w:numPr>
        <w:ilvl w:val="5"/>
      </w:numPr>
    </w:pPr>
  </w:style>
  <w:style w:type="character" w:customStyle="1" w:styleId="Heading1Char">
    <w:name w:val="Heading 1 Char"/>
    <w:basedOn w:val="DefaultParagraphFont"/>
    <w:link w:val="Heading1"/>
    <w:uiPriority w:val="9"/>
    <w:rsid w:val="003F05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D2B25"/>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8514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4592">
      <w:bodyDiv w:val="1"/>
      <w:marLeft w:val="0"/>
      <w:marRight w:val="0"/>
      <w:marTop w:val="0"/>
      <w:marBottom w:val="0"/>
      <w:divBdr>
        <w:top w:val="none" w:sz="0" w:space="0" w:color="auto"/>
        <w:left w:val="none" w:sz="0" w:space="0" w:color="auto"/>
        <w:bottom w:val="none" w:sz="0" w:space="0" w:color="auto"/>
        <w:right w:val="none" w:sz="0" w:space="0" w:color="auto"/>
      </w:divBdr>
    </w:div>
    <w:div w:id="425542593">
      <w:bodyDiv w:val="1"/>
      <w:marLeft w:val="0"/>
      <w:marRight w:val="0"/>
      <w:marTop w:val="0"/>
      <w:marBottom w:val="0"/>
      <w:divBdr>
        <w:top w:val="none" w:sz="0" w:space="0" w:color="auto"/>
        <w:left w:val="none" w:sz="0" w:space="0" w:color="auto"/>
        <w:bottom w:val="none" w:sz="0" w:space="0" w:color="auto"/>
        <w:right w:val="none" w:sz="0" w:space="0" w:color="auto"/>
      </w:divBdr>
    </w:div>
    <w:div w:id="484668476">
      <w:bodyDiv w:val="1"/>
      <w:marLeft w:val="0"/>
      <w:marRight w:val="0"/>
      <w:marTop w:val="0"/>
      <w:marBottom w:val="0"/>
      <w:divBdr>
        <w:top w:val="none" w:sz="0" w:space="0" w:color="auto"/>
        <w:left w:val="none" w:sz="0" w:space="0" w:color="auto"/>
        <w:bottom w:val="none" w:sz="0" w:space="0" w:color="auto"/>
        <w:right w:val="none" w:sz="0" w:space="0" w:color="auto"/>
      </w:divBdr>
    </w:div>
    <w:div w:id="942491799">
      <w:bodyDiv w:val="1"/>
      <w:marLeft w:val="0"/>
      <w:marRight w:val="0"/>
      <w:marTop w:val="0"/>
      <w:marBottom w:val="0"/>
      <w:divBdr>
        <w:top w:val="none" w:sz="0" w:space="0" w:color="auto"/>
        <w:left w:val="none" w:sz="0" w:space="0" w:color="auto"/>
        <w:bottom w:val="none" w:sz="0" w:space="0" w:color="auto"/>
        <w:right w:val="none" w:sz="0" w:space="0" w:color="auto"/>
      </w:divBdr>
    </w:div>
    <w:div w:id="211767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ihw.gov.au/closingthegap/public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mrc.gov.au/guidelines-publications/e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hw.gov.au/uploadedFiles/ClosingTheGap/Content/Publications/2013/ctgc-ip5.pdf" TargetMode="External"/><Relationship Id="rId4" Type="http://schemas.openxmlformats.org/officeDocument/2006/relationships/settings" Target="settings.xml"/><Relationship Id="rId9" Type="http://schemas.openxmlformats.org/officeDocument/2006/relationships/hyperlink" Target="http://www.aihw.gov.au/uploadedFiles/ClosingTheGap/Content/Our_publications/2015/ctgc-ip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63BD9DF-F6C2-47D5-8EA2-6D16E7491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Rodden Glen</dc:creator>
  <cp:lastModifiedBy>MARTIN, Mel</cp:lastModifiedBy>
  <cp:revision>3</cp:revision>
  <cp:lastPrinted>2016-04-14T00:30:00Z</cp:lastPrinted>
  <dcterms:created xsi:type="dcterms:W3CDTF">2016-04-18T00:03:00Z</dcterms:created>
  <dcterms:modified xsi:type="dcterms:W3CDTF">2021-04-13T03:17:00Z</dcterms:modified>
</cp:coreProperties>
</file>