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10773180"/>
        <w:docPartObj>
          <w:docPartGallery w:val="Cover Pages"/>
          <w:docPartUnique/>
        </w:docPartObj>
      </w:sdtPr>
      <w:sdtEndPr/>
      <w:sdtContent>
        <w:p w14:paraId="250F181C" w14:textId="1E7A04AF" w:rsidR="006F19F8" w:rsidRDefault="006F19F8">
          <w:r>
            <w:rPr>
              <w:noProof/>
              <w:lang w:eastAsia="en-AU"/>
            </w:rPr>
            <mc:AlternateContent>
              <mc:Choice Requires="wpg">
                <w:drawing>
                  <wp:anchor distT="0" distB="0" distL="114300" distR="114300" simplePos="0" relativeHeight="251663360" behindDoc="1" locked="0" layoutInCell="1" allowOverlap="1" wp14:anchorId="18D2CFBA" wp14:editId="638CA69F">
                    <wp:simplePos x="0" y="0"/>
                    <wp:positionH relativeFrom="margin">
                      <wp:posOffset>-475737</wp:posOffset>
                    </wp:positionH>
                    <wp:positionV relativeFrom="page">
                      <wp:posOffset>142240</wp:posOffset>
                    </wp:positionV>
                    <wp:extent cx="7333736" cy="7499889"/>
                    <wp:effectExtent l="0" t="0" r="635" b="0"/>
                    <wp:wrapNone/>
                    <wp:docPr id="125" name="Group 125" descr="This is the background of the title page. It si coloured green." title="Title pag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33736" cy="7499889"/>
                              <a:chOff x="0" y="-540757"/>
                              <a:chExt cx="5947117" cy="6018777"/>
                            </a:xfrm>
                          </wpg:grpSpPr>
                          <wps:wsp>
                            <wps:cNvPr id="126" name="Freeform 10"/>
                            <wps:cNvSpPr>
                              <a:spLocks/>
                            </wps:cNvSpPr>
                            <wps:spPr bwMode="auto">
                              <a:xfrm>
                                <a:off x="0" y="-540757"/>
                                <a:ext cx="5947117" cy="6018777"/>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B050"/>
                              </a:solidFill>
                              <a:ln>
                                <a:noFill/>
                              </a:ln>
                            </wps:spPr>
                            <wps:style>
                              <a:lnRef idx="0">
                                <a:scrgbClr r="0" g="0" b="0"/>
                              </a:lnRef>
                              <a:fillRef idx="1003">
                                <a:schemeClr val="dk2"/>
                              </a:fillRef>
                              <a:effectRef idx="0">
                                <a:scrgbClr r="0" g="0" b="0"/>
                              </a:effectRef>
                              <a:fontRef idx="major"/>
                            </wps:style>
                            <wps:txbx>
                              <w:txbxContent>
                                <w:p w14:paraId="6B8BBE59" w14:textId="12F3DA02" w:rsidR="006F19F8" w:rsidRDefault="006F19F8">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8D2CFBA" id="Group 125" o:spid="_x0000_s1026" alt="Title: Title page - Description: This is the background of the title page. It si coloured green." style="position:absolute;margin-left:-37.45pt;margin-top:11.2pt;width:577.45pt;height:590.55pt;z-index:-251653120;mso-position-horizontal-relative:margin;mso-position-vertical-relative:page;mso-width-relative:margin" coordorigin=",-5407" coordsize="59471,6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">
                    <o:lock v:ext="edit" aspectratio="t"/>
                    <v:shape id="Freeform 10" o:spid="_x0000_s1027" style="position:absolute;top:-5407;width:59471;height:60187;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" adj="-11796480,,5400" path="m,c,644,,644,,644v23,6,62,14,113,21c250,685,476,700,720,644v,-27,,-27,,-27c720,,720,,720,,,,,,,e" fillcolor="#00b050" stroked="f">
                      <v:stroke joinstyle="miter"/>
                      <v:formulas/>
                      <v:path arrowok="t" o:connecttype="custom" o:connectlocs="0,0;0,5537275;933367,5717838;5947117,5537275;5947117,5305122;5947117,0;0,0" o:connectangles="0,0,0,0,0,0,0" textboxrect="0,0,720,700"/>
                      <v:textbox inset="1in,86.4pt,86.4pt,86.4pt">
                        <w:txbxContent>
                          <w:p w14:paraId="6B8BBE59" w14:textId="12F3DA02" w:rsidR="006F19F8" w:rsidRDefault="006F19F8">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37249C22" w14:textId="639BA3C9" w:rsidR="00984126" w:rsidRDefault="006F19F8" w:rsidP="00984126">
          <w:pPr>
            <w:tabs>
              <w:tab w:val="left" w:pos="1677"/>
            </w:tabs>
            <w:spacing w:before="0" w:line="240" w:lineRule="auto"/>
            <w:rPr>
              <w:lang w:val="en-US" w:eastAsia="en-AU"/>
            </w:rPr>
          </w:pPr>
          <w:r>
            <w:rPr>
              <w:noProof/>
              <w:lang w:eastAsia="en-AU"/>
            </w:rPr>
            <mc:AlternateContent>
              <mc:Choice Requires="wps">
                <w:drawing>
                  <wp:anchor distT="0" distB="0" distL="114300" distR="114300" simplePos="0" relativeHeight="251666432" behindDoc="0" locked="0" layoutInCell="1" allowOverlap="1" wp14:anchorId="37C0368D" wp14:editId="1D3512E8">
                    <wp:simplePos x="0" y="0"/>
                    <wp:positionH relativeFrom="margin">
                      <wp:posOffset>570865</wp:posOffset>
                    </wp:positionH>
                    <wp:positionV relativeFrom="margin">
                      <wp:posOffset>3317875</wp:posOffset>
                    </wp:positionV>
                    <wp:extent cx="5454650" cy="2743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454650" cy="2743200"/>
                            </a:xfrm>
                            <a:prstGeom prst="rect">
                              <a:avLst/>
                            </a:prstGeom>
                            <a:noFill/>
                            <a:ln w="6350">
                              <a:noFill/>
                            </a:ln>
                          </wps:spPr>
                          <wps:txbx>
                            <w:txbxContent>
                              <w:p w14:paraId="6CC8377E" w14:textId="52C2A35C" w:rsidR="006F19F8" w:rsidRDefault="000C269A" w:rsidP="006F19F8">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84126" w:rsidRPr="00984126">
                                      <w:rPr>
                                        <w:color w:val="FFFFFF" w:themeColor="background1"/>
                                        <w:sz w:val="72"/>
                                        <w:szCs w:val="72"/>
                                      </w:rPr>
                                      <w:t>Healthy Food Partnership Reformulation Program: Implementation Plan</w:t>
                                    </w:r>
                                  </w:sdtContent>
                                </w:sdt>
                              </w:p>
                              <w:p w14:paraId="7AD07CB4" w14:textId="7A475AF9" w:rsidR="006F19F8" w:rsidRPr="008508BD" w:rsidRDefault="00CE5E55">
                                <w:pPr>
                                  <w:rPr>
                                    <w:color w:val="FFFFFF" w:themeColor="background1"/>
                                  </w:rPr>
                                </w:pPr>
                                <w:r>
                                  <w:rPr>
                                    <w:color w:val="FFFFFF" w:themeColor="background1"/>
                                  </w:rPr>
                                  <w:t xml:space="preserve">October </w:t>
                                </w:r>
                                <w:r w:rsidR="008508BD" w:rsidRPr="008508BD">
                                  <w:rPr>
                                    <w:color w:val="FFFFFF" w:themeColor="background1"/>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C0368D" id="_x0000_t202" coordsize="21600,21600" o:spt="202" path="m,l,21600r21600,l21600,xe">
                    <v:stroke joinstyle="miter"/>
                    <v:path gradientshapeok="t" o:connecttype="rect"/>
                  </v:shapetype>
                  <v:shape id="Text Box 7" o:spid="_x0000_s1029" type="#_x0000_t202" style="position:absolute;margin-left:44.95pt;margin-top:261.25pt;width:429.5pt;height:3in;z-index:25166643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" filled="f" stroked="f" strokeweight=".5pt">
                    <v:textbox>
                      <w:txbxContent>
                        <w:p w14:paraId="6CC8377E" w14:textId="52C2A35C" w:rsidR="006F19F8" w:rsidRDefault="00DC7A8F" w:rsidP="006F19F8">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84126" w:rsidRPr="00984126">
                                <w:rPr>
                                  <w:color w:val="FFFFFF" w:themeColor="background1"/>
                                  <w:sz w:val="72"/>
                                  <w:szCs w:val="72"/>
                                </w:rPr>
                                <w:t>Healthy Food Partnership Reformulation Program: Implementation Plan</w:t>
                              </w:r>
                            </w:sdtContent>
                          </w:sdt>
                        </w:p>
                        <w:p w14:paraId="7AD07CB4" w14:textId="7A475AF9" w:rsidR="006F19F8" w:rsidRPr="008508BD" w:rsidRDefault="00CE5E55">
                          <w:pPr>
                            <w:rPr>
                              <w:color w:val="FFFFFF" w:themeColor="background1"/>
                            </w:rPr>
                          </w:pPr>
                          <w:r>
                            <w:rPr>
                              <w:color w:val="FFFFFF" w:themeColor="background1"/>
                            </w:rPr>
                            <w:t xml:space="preserve">October </w:t>
                          </w:r>
                          <w:r w:rsidR="008508BD" w:rsidRPr="008508BD">
                            <w:rPr>
                              <w:color w:val="FFFFFF" w:themeColor="background1"/>
                            </w:rPr>
                            <w:t>2020</w:t>
                          </w:r>
                        </w:p>
                      </w:txbxContent>
                    </v:textbox>
                    <w10:wrap type="square" anchorx="margin" anchory="margin"/>
                  </v:shape>
                </w:pict>
              </mc:Fallback>
            </mc:AlternateContent>
          </w:r>
          <w:r>
            <w:br w:type="page"/>
          </w:r>
        </w:p>
      </w:sdtContent>
    </w:sdt>
    <w:tbl>
      <w:tblPr>
        <w:tblStyle w:val="TableGrid"/>
        <w:tblW w:w="10439" w:type="dxa"/>
        <w:tblLook w:val="04A0" w:firstRow="1" w:lastRow="0" w:firstColumn="1" w:lastColumn="0" w:noHBand="0" w:noVBand="1"/>
        <w:tblCaption w:val="Document Version Control"/>
        <w:tblDescription w:val="This table has three columns. The first is the version number, the secod is the internal Department of Health location number, anf the third details chaages made between versions. "/>
      </w:tblPr>
      <w:tblGrid>
        <w:gridCol w:w="1676"/>
        <w:gridCol w:w="3719"/>
        <w:gridCol w:w="5044"/>
      </w:tblGrid>
      <w:tr w:rsidR="00CE5E55" w:rsidRPr="00210596" w14:paraId="5EBDFE18" w14:textId="77777777" w:rsidTr="00DC7A8F">
        <w:trPr>
          <w:trHeight w:val="278"/>
          <w:tblHeader/>
        </w:trPr>
        <w:tc>
          <w:tcPr>
            <w:tcW w:w="1676" w:type="dxa"/>
          </w:tcPr>
          <w:p w14:paraId="12868CCF" w14:textId="77777777" w:rsidR="00CE5E55" w:rsidRPr="00210596" w:rsidRDefault="00CE5E55" w:rsidP="00FF5690">
            <w:pPr>
              <w:autoSpaceDE w:val="0"/>
              <w:autoSpaceDN w:val="0"/>
              <w:adjustRightInd w:val="0"/>
              <w:spacing w:before="120"/>
              <w:contextualSpacing/>
              <w:rPr>
                <w:b/>
              </w:rPr>
            </w:pPr>
            <w:r w:rsidRPr="00210596">
              <w:rPr>
                <w:b/>
              </w:rPr>
              <w:lastRenderedPageBreak/>
              <w:t>Version</w:t>
            </w:r>
          </w:p>
        </w:tc>
        <w:tc>
          <w:tcPr>
            <w:tcW w:w="3719" w:type="dxa"/>
          </w:tcPr>
          <w:p w14:paraId="4ED4AD7A" w14:textId="77777777" w:rsidR="00CE5E55" w:rsidRPr="00210596" w:rsidRDefault="00CE5E55" w:rsidP="00FF5690">
            <w:pPr>
              <w:autoSpaceDE w:val="0"/>
              <w:autoSpaceDN w:val="0"/>
              <w:adjustRightInd w:val="0"/>
              <w:spacing w:before="120"/>
              <w:contextualSpacing/>
              <w:rPr>
                <w:b/>
              </w:rPr>
            </w:pPr>
            <w:r w:rsidRPr="00210596">
              <w:rPr>
                <w:b/>
              </w:rPr>
              <w:t>Location</w:t>
            </w:r>
          </w:p>
        </w:tc>
        <w:tc>
          <w:tcPr>
            <w:tcW w:w="5044" w:type="dxa"/>
          </w:tcPr>
          <w:p w14:paraId="500FF7B6" w14:textId="77777777" w:rsidR="00CE5E55" w:rsidRPr="00210596" w:rsidRDefault="00CE5E55" w:rsidP="00FF5690">
            <w:pPr>
              <w:autoSpaceDE w:val="0"/>
              <w:autoSpaceDN w:val="0"/>
              <w:adjustRightInd w:val="0"/>
              <w:spacing w:before="120"/>
              <w:contextualSpacing/>
              <w:rPr>
                <w:b/>
              </w:rPr>
            </w:pPr>
            <w:r w:rsidRPr="00210596">
              <w:rPr>
                <w:b/>
              </w:rPr>
              <w:t>Change</w:t>
            </w:r>
          </w:p>
        </w:tc>
      </w:tr>
      <w:tr w:rsidR="00CE5E55" w14:paraId="02705C4F" w14:textId="77777777" w:rsidTr="00CE5E55">
        <w:trPr>
          <w:trHeight w:val="266"/>
        </w:trPr>
        <w:tc>
          <w:tcPr>
            <w:tcW w:w="1676" w:type="dxa"/>
          </w:tcPr>
          <w:p w14:paraId="39C9C213" w14:textId="77777777" w:rsidR="00CE5E55" w:rsidRDefault="00CE5E55" w:rsidP="00FF5690">
            <w:pPr>
              <w:autoSpaceDE w:val="0"/>
              <w:autoSpaceDN w:val="0"/>
              <w:adjustRightInd w:val="0"/>
              <w:spacing w:before="120"/>
              <w:contextualSpacing/>
            </w:pPr>
            <w:r>
              <w:t>1</w:t>
            </w:r>
          </w:p>
        </w:tc>
        <w:tc>
          <w:tcPr>
            <w:tcW w:w="3719" w:type="dxa"/>
          </w:tcPr>
          <w:p w14:paraId="0C272733" w14:textId="04BBA2DC" w:rsidR="00CE5E55" w:rsidRDefault="00CE5E55" w:rsidP="00FF5690">
            <w:pPr>
              <w:autoSpaceDE w:val="0"/>
              <w:autoSpaceDN w:val="0"/>
              <w:adjustRightInd w:val="0"/>
              <w:spacing w:before="120"/>
              <w:contextualSpacing/>
            </w:pPr>
            <w:r w:rsidRPr="00A66382">
              <w:rPr>
                <w:lang w:val="en-US" w:eastAsia="en-AU"/>
              </w:rPr>
              <w:t>E19-184399</w:t>
            </w:r>
          </w:p>
        </w:tc>
        <w:tc>
          <w:tcPr>
            <w:tcW w:w="5044" w:type="dxa"/>
          </w:tcPr>
          <w:p w14:paraId="55179044" w14:textId="77777777" w:rsidR="00CE5E55" w:rsidRDefault="00CE5E55" w:rsidP="00FF5690">
            <w:pPr>
              <w:autoSpaceDE w:val="0"/>
              <w:autoSpaceDN w:val="0"/>
              <w:adjustRightInd w:val="0"/>
              <w:spacing w:before="120"/>
              <w:contextualSpacing/>
            </w:pPr>
          </w:p>
        </w:tc>
      </w:tr>
      <w:tr w:rsidR="00CE5E55" w14:paraId="7B2301C1" w14:textId="77777777" w:rsidTr="00CE5E55">
        <w:trPr>
          <w:trHeight w:val="266"/>
        </w:trPr>
        <w:tc>
          <w:tcPr>
            <w:tcW w:w="1676" w:type="dxa"/>
          </w:tcPr>
          <w:p w14:paraId="6B086E14" w14:textId="090733F7" w:rsidR="00CE5E55" w:rsidRDefault="00CE5E55" w:rsidP="00FF5690">
            <w:pPr>
              <w:autoSpaceDE w:val="0"/>
              <w:autoSpaceDN w:val="0"/>
              <w:adjustRightInd w:val="0"/>
              <w:spacing w:before="120"/>
              <w:contextualSpacing/>
            </w:pPr>
            <w:r>
              <w:t>2</w:t>
            </w:r>
          </w:p>
        </w:tc>
        <w:tc>
          <w:tcPr>
            <w:tcW w:w="3719" w:type="dxa"/>
          </w:tcPr>
          <w:p w14:paraId="3D73D83F" w14:textId="2AA0D359" w:rsidR="00CE5E55" w:rsidRPr="00A66382" w:rsidRDefault="00CE5E55" w:rsidP="00FF5690">
            <w:pPr>
              <w:autoSpaceDE w:val="0"/>
              <w:autoSpaceDN w:val="0"/>
              <w:adjustRightInd w:val="0"/>
              <w:spacing w:before="120"/>
              <w:contextualSpacing/>
              <w:rPr>
                <w:lang w:val="en-US" w:eastAsia="en-AU"/>
              </w:rPr>
            </w:pPr>
            <w:r>
              <w:rPr>
                <w:lang w:val="en-US" w:eastAsia="en-AU"/>
              </w:rPr>
              <w:t>E19-184399</w:t>
            </w:r>
          </w:p>
        </w:tc>
        <w:tc>
          <w:tcPr>
            <w:tcW w:w="5044" w:type="dxa"/>
          </w:tcPr>
          <w:p w14:paraId="203BC0C8" w14:textId="486C6EA7" w:rsidR="00CE5E55" w:rsidRDefault="00CE5E55" w:rsidP="00FF5690">
            <w:pPr>
              <w:autoSpaceDE w:val="0"/>
              <w:autoSpaceDN w:val="0"/>
              <w:adjustRightInd w:val="0"/>
              <w:spacing w:before="120"/>
              <w:contextualSpacing/>
            </w:pPr>
            <w:r>
              <w:t>Adjusted dates for Wave 2</w:t>
            </w:r>
          </w:p>
        </w:tc>
      </w:tr>
    </w:tbl>
    <w:p w14:paraId="24BA4B7D" w14:textId="153BEDF5" w:rsidR="006F19F8" w:rsidRDefault="006F19F8" w:rsidP="00984126">
      <w:pPr>
        <w:tabs>
          <w:tab w:val="left" w:pos="1677"/>
        </w:tabs>
        <w:spacing w:before="0" w:line="240" w:lineRule="auto"/>
        <w:rPr>
          <w:lang w:val="en-US" w:eastAsia="en-AU"/>
        </w:rPr>
      </w:pPr>
    </w:p>
    <w:p w14:paraId="72F9F30E" w14:textId="2A3EE0C2" w:rsidR="006F19F8" w:rsidRDefault="006F19F8" w:rsidP="00FD49C2">
      <w:pPr>
        <w:rPr>
          <w:lang w:val="en-US" w:eastAsia="en-AU"/>
        </w:rPr>
      </w:pPr>
    </w:p>
    <w:p w14:paraId="255B36EC" w14:textId="34AF92D0" w:rsidR="00277E3D" w:rsidRDefault="006F19F8">
      <w:pPr>
        <w:spacing w:before="0" w:line="240" w:lineRule="auto"/>
        <w:rPr>
          <w:lang w:val="en-US" w:eastAsia="en-AU"/>
        </w:rPr>
      </w:pPr>
      <w:r>
        <w:rPr>
          <w:lang w:val="en-US" w:eastAsia="en-AU"/>
        </w:rPr>
        <w:br w:type="page"/>
      </w:r>
    </w:p>
    <w:sdt>
      <w:sdtPr>
        <w:rPr>
          <w:rFonts w:eastAsia="Times New Roman" w:cs="Times New Roman"/>
          <w:color w:val="auto"/>
          <w:sz w:val="21"/>
          <w:szCs w:val="24"/>
          <w:lang w:val="en-AU" w:eastAsia="en-US"/>
        </w:rPr>
        <w:id w:val="335116948"/>
        <w:docPartObj>
          <w:docPartGallery w:val="Table of Contents"/>
          <w:docPartUnique/>
        </w:docPartObj>
      </w:sdtPr>
      <w:sdtEndPr>
        <w:rPr>
          <w:b/>
          <w:bCs/>
          <w:noProof/>
        </w:rPr>
      </w:sdtEndPr>
      <w:sdtContent>
        <w:p w14:paraId="3756BFB2" w14:textId="2B522907" w:rsidR="00277E3D" w:rsidRPr="00950151" w:rsidRDefault="00277E3D" w:rsidP="002B0117">
          <w:pPr>
            <w:pStyle w:val="Heading1"/>
          </w:pPr>
          <w:r w:rsidRPr="00950151">
            <w:t>Table of Contents</w:t>
          </w:r>
        </w:p>
        <w:p w14:paraId="11558DD5" w14:textId="14F024AF" w:rsidR="00637620" w:rsidRPr="00637620" w:rsidRDefault="00277E3D">
          <w:pPr>
            <w:pStyle w:val="TOC1"/>
            <w:tabs>
              <w:tab w:val="right" w:leader="dot" w:pos="9792"/>
            </w:tabs>
            <w:rPr>
              <w:rFonts w:asciiTheme="minorHAnsi" w:eastAsiaTheme="minorEastAsia" w:hAnsiTheme="minorHAnsi" w:cstheme="minorHAnsi"/>
              <w:noProof/>
              <w:sz w:val="22"/>
              <w:szCs w:val="22"/>
              <w:lang w:eastAsia="en-AU"/>
            </w:rPr>
          </w:pPr>
          <w:r>
            <w:fldChar w:fldCharType="begin"/>
          </w:r>
          <w:r>
            <w:instrText xml:space="preserve"> TOC \o "1-3" \h \z \u </w:instrText>
          </w:r>
          <w:r>
            <w:fldChar w:fldCharType="separate"/>
          </w:r>
          <w:hyperlink w:anchor="_Toc31270536" w:history="1">
            <w:r w:rsidR="00637620" w:rsidRPr="00637620">
              <w:rPr>
                <w:rStyle w:val="Hyperlink"/>
                <w:rFonts w:asciiTheme="minorHAnsi" w:hAnsiTheme="minorHAnsi" w:cstheme="minorHAnsi"/>
                <w:noProof/>
              </w:rPr>
              <w:t>The Healthy Food Partnership Reformulation Program</w:t>
            </w:r>
            <w:r w:rsidR="00637620" w:rsidRPr="00637620">
              <w:rPr>
                <w:rFonts w:asciiTheme="minorHAnsi" w:hAnsiTheme="minorHAnsi" w:cstheme="minorHAnsi"/>
                <w:noProof/>
                <w:webHidden/>
              </w:rPr>
              <w:tab/>
            </w:r>
            <w:r w:rsidR="00637620" w:rsidRPr="00637620">
              <w:rPr>
                <w:rFonts w:asciiTheme="minorHAnsi" w:hAnsiTheme="minorHAnsi" w:cstheme="minorHAnsi"/>
                <w:noProof/>
                <w:webHidden/>
              </w:rPr>
              <w:fldChar w:fldCharType="begin"/>
            </w:r>
            <w:r w:rsidR="00637620" w:rsidRPr="00637620">
              <w:rPr>
                <w:rFonts w:asciiTheme="minorHAnsi" w:hAnsiTheme="minorHAnsi" w:cstheme="minorHAnsi"/>
                <w:noProof/>
                <w:webHidden/>
              </w:rPr>
              <w:instrText xml:space="preserve"> PAGEREF _Toc31270536 \h </w:instrText>
            </w:r>
            <w:r w:rsidR="00637620" w:rsidRPr="00637620">
              <w:rPr>
                <w:rFonts w:asciiTheme="minorHAnsi" w:hAnsiTheme="minorHAnsi" w:cstheme="minorHAnsi"/>
                <w:noProof/>
                <w:webHidden/>
              </w:rPr>
            </w:r>
            <w:r w:rsidR="00637620" w:rsidRPr="00637620">
              <w:rPr>
                <w:rFonts w:asciiTheme="minorHAnsi" w:hAnsiTheme="minorHAnsi" w:cstheme="minorHAnsi"/>
                <w:noProof/>
                <w:webHidden/>
              </w:rPr>
              <w:fldChar w:fldCharType="separate"/>
            </w:r>
            <w:r w:rsidR="00CE5E55">
              <w:rPr>
                <w:rFonts w:asciiTheme="minorHAnsi" w:hAnsiTheme="minorHAnsi" w:cstheme="minorHAnsi"/>
                <w:noProof/>
                <w:webHidden/>
              </w:rPr>
              <w:t>3</w:t>
            </w:r>
            <w:r w:rsidR="00637620" w:rsidRPr="00637620">
              <w:rPr>
                <w:rFonts w:asciiTheme="minorHAnsi" w:hAnsiTheme="minorHAnsi" w:cstheme="minorHAnsi"/>
                <w:noProof/>
                <w:webHidden/>
              </w:rPr>
              <w:fldChar w:fldCharType="end"/>
            </w:r>
          </w:hyperlink>
        </w:p>
        <w:p w14:paraId="1A2ECD71" w14:textId="56F9DBF6" w:rsidR="00637620" w:rsidRPr="00637620" w:rsidRDefault="000C269A">
          <w:pPr>
            <w:pStyle w:val="TOC1"/>
            <w:tabs>
              <w:tab w:val="right" w:leader="dot" w:pos="9792"/>
            </w:tabs>
            <w:rPr>
              <w:rFonts w:asciiTheme="minorHAnsi" w:eastAsiaTheme="minorEastAsia" w:hAnsiTheme="minorHAnsi" w:cstheme="minorHAnsi"/>
              <w:noProof/>
              <w:sz w:val="22"/>
              <w:szCs w:val="22"/>
              <w:lang w:eastAsia="en-AU"/>
            </w:rPr>
          </w:pPr>
          <w:hyperlink w:anchor="_Toc31270537" w:history="1">
            <w:r w:rsidR="00637620" w:rsidRPr="00637620">
              <w:rPr>
                <w:rStyle w:val="Hyperlink"/>
                <w:rFonts w:asciiTheme="minorHAnsi" w:hAnsiTheme="minorHAnsi" w:cstheme="minorHAnsi"/>
                <w:noProof/>
              </w:rPr>
              <w:t>How the Implementation Plan should be used</w:t>
            </w:r>
            <w:r w:rsidR="00637620" w:rsidRPr="00637620">
              <w:rPr>
                <w:rFonts w:asciiTheme="minorHAnsi" w:hAnsiTheme="minorHAnsi" w:cstheme="minorHAnsi"/>
                <w:noProof/>
                <w:webHidden/>
              </w:rPr>
              <w:tab/>
            </w:r>
            <w:r w:rsidR="00637620" w:rsidRPr="00637620">
              <w:rPr>
                <w:rFonts w:asciiTheme="minorHAnsi" w:hAnsiTheme="minorHAnsi" w:cstheme="minorHAnsi"/>
                <w:noProof/>
                <w:webHidden/>
              </w:rPr>
              <w:fldChar w:fldCharType="begin"/>
            </w:r>
            <w:r w:rsidR="00637620" w:rsidRPr="00637620">
              <w:rPr>
                <w:rFonts w:asciiTheme="minorHAnsi" w:hAnsiTheme="minorHAnsi" w:cstheme="minorHAnsi"/>
                <w:noProof/>
                <w:webHidden/>
              </w:rPr>
              <w:instrText xml:space="preserve"> PAGEREF _Toc31270537 \h </w:instrText>
            </w:r>
            <w:r w:rsidR="00637620" w:rsidRPr="00637620">
              <w:rPr>
                <w:rFonts w:asciiTheme="minorHAnsi" w:hAnsiTheme="minorHAnsi" w:cstheme="minorHAnsi"/>
                <w:noProof/>
                <w:webHidden/>
              </w:rPr>
            </w:r>
            <w:r w:rsidR="00637620" w:rsidRPr="00637620">
              <w:rPr>
                <w:rFonts w:asciiTheme="minorHAnsi" w:hAnsiTheme="minorHAnsi" w:cstheme="minorHAnsi"/>
                <w:noProof/>
                <w:webHidden/>
              </w:rPr>
              <w:fldChar w:fldCharType="separate"/>
            </w:r>
            <w:r w:rsidR="00CE5E55">
              <w:rPr>
                <w:rFonts w:asciiTheme="minorHAnsi" w:hAnsiTheme="minorHAnsi" w:cstheme="minorHAnsi"/>
                <w:noProof/>
                <w:webHidden/>
              </w:rPr>
              <w:t>3</w:t>
            </w:r>
            <w:r w:rsidR="00637620" w:rsidRPr="00637620">
              <w:rPr>
                <w:rFonts w:asciiTheme="minorHAnsi" w:hAnsiTheme="minorHAnsi" w:cstheme="minorHAnsi"/>
                <w:noProof/>
                <w:webHidden/>
              </w:rPr>
              <w:fldChar w:fldCharType="end"/>
            </w:r>
          </w:hyperlink>
        </w:p>
        <w:p w14:paraId="108C3036" w14:textId="05E79160" w:rsidR="00637620" w:rsidRPr="00637620" w:rsidRDefault="000C269A">
          <w:pPr>
            <w:pStyle w:val="TOC2"/>
            <w:tabs>
              <w:tab w:val="right" w:leader="dot" w:pos="9792"/>
            </w:tabs>
            <w:rPr>
              <w:rFonts w:asciiTheme="minorHAnsi" w:eastAsiaTheme="minorEastAsia" w:hAnsiTheme="minorHAnsi" w:cstheme="minorHAnsi"/>
              <w:noProof/>
              <w:sz w:val="22"/>
              <w:szCs w:val="22"/>
              <w:lang w:eastAsia="en-AU"/>
            </w:rPr>
          </w:pPr>
          <w:hyperlink w:anchor="_Toc31270538" w:history="1">
            <w:r w:rsidR="00637620" w:rsidRPr="00637620">
              <w:rPr>
                <w:rStyle w:val="Hyperlink"/>
                <w:rFonts w:asciiTheme="minorHAnsi" w:hAnsiTheme="minorHAnsi" w:cstheme="minorHAnsi"/>
                <w:noProof/>
                <w:lang w:val="en-US" w:eastAsia="en-AU"/>
              </w:rPr>
              <w:t>Implementation guiding principles</w:t>
            </w:r>
            <w:r w:rsidR="00637620" w:rsidRPr="00637620">
              <w:rPr>
                <w:rFonts w:asciiTheme="minorHAnsi" w:hAnsiTheme="minorHAnsi" w:cstheme="minorHAnsi"/>
                <w:noProof/>
                <w:webHidden/>
              </w:rPr>
              <w:tab/>
            </w:r>
            <w:r w:rsidR="00637620" w:rsidRPr="00637620">
              <w:rPr>
                <w:rFonts w:asciiTheme="minorHAnsi" w:hAnsiTheme="minorHAnsi" w:cstheme="minorHAnsi"/>
                <w:noProof/>
                <w:webHidden/>
              </w:rPr>
              <w:fldChar w:fldCharType="begin"/>
            </w:r>
            <w:r w:rsidR="00637620" w:rsidRPr="00637620">
              <w:rPr>
                <w:rFonts w:asciiTheme="minorHAnsi" w:hAnsiTheme="minorHAnsi" w:cstheme="minorHAnsi"/>
                <w:noProof/>
                <w:webHidden/>
              </w:rPr>
              <w:instrText xml:space="preserve"> PAGEREF _Toc31270538 \h </w:instrText>
            </w:r>
            <w:r w:rsidR="00637620" w:rsidRPr="00637620">
              <w:rPr>
                <w:rFonts w:asciiTheme="minorHAnsi" w:hAnsiTheme="minorHAnsi" w:cstheme="minorHAnsi"/>
                <w:noProof/>
                <w:webHidden/>
              </w:rPr>
            </w:r>
            <w:r w:rsidR="00637620" w:rsidRPr="00637620">
              <w:rPr>
                <w:rFonts w:asciiTheme="minorHAnsi" w:hAnsiTheme="minorHAnsi" w:cstheme="minorHAnsi"/>
                <w:noProof/>
                <w:webHidden/>
              </w:rPr>
              <w:fldChar w:fldCharType="separate"/>
            </w:r>
            <w:r w:rsidR="00CE5E55">
              <w:rPr>
                <w:rFonts w:asciiTheme="minorHAnsi" w:hAnsiTheme="minorHAnsi" w:cstheme="minorHAnsi"/>
                <w:noProof/>
                <w:webHidden/>
              </w:rPr>
              <w:t>4</w:t>
            </w:r>
            <w:r w:rsidR="00637620" w:rsidRPr="00637620">
              <w:rPr>
                <w:rFonts w:asciiTheme="minorHAnsi" w:hAnsiTheme="minorHAnsi" w:cstheme="minorHAnsi"/>
                <w:noProof/>
                <w:webHidden/>
              </w:rPr>
              <w:fldChar w:fldCharType="end"/>
            </w:r>
          </w:hyperlink>
        </w:p>
        <w:p w14:paraId="6D223805" w14:textId="3FCB741C" w:rsidR="00637620" w:rsidRPr="00637620" w:rsidRDefault="000C269A">
          <w:pPr>
            <w:pStyle w:val="TOC1"/>
            <w:tabs>
              <w:tab w:val="right" w:leader="dot" w:pos="9792"/>
            </w:tabs>
            <w:rPr>
              <w:rFonts w:asciiTheme="minorHAnsi" w:eastAsiaTheme="minorEastAsia" w:hAnsiTheme="minorHAnsi" w:cstheme="minorHAnsi"/>
              <w:noProof/>
              <w:sz w:val="22"/>
              <w:szCs w:val="22"/>
              <w:lang w:eastAsia="en-AU"/>
            </w:rPr>
          </w:pPr>
          <w:hyperlink w:anchor="_Toc31270539" w:history="1">
            <w:r w:rsidR="00637620" w:rsidRPr="00637620">
              <w:rPr>
                <w:rStyle w:val="Hyperlink"/>
                <w:rFonts w:asciiTheme="minorHAnsi" w:hAnsiTheme="minorHAnsi" w:cstheme="minorHAnsi"/>
                <w:noProof/>
              </w:rPr>
              <w:t>Implementation Timeline</w:t>
            </w:r>
            <w:r w:rsidR="00637620" w:rsidRPr="00637620">
              <w:rPr>
                <w:rFonts w:asciiTheme="minorHAnsi" w:hAnsiTheme="minorHAnsi" w:cstheme="minorHAnsi"/>
                <w:noProof/>
                <w:webHidden/>
              </w:rPr>
              <w:tab/>
            </w:r>
            <w:r w:rsidR="00637620" w:rsidRPr="00637620">
              <w:rPr>
                <w:rFonts w:asciiTheme="minorHAnsi" w:hAnsiTheme="minorHAnsi" w:cstheme="minorHAnsi"/>
                <w:noProof/>
                <w:webHidden/>
              </w:rPr>
              <w:fldChar w:fldCharType="begin"/>
            </w:r>
            <w:r w:rsidR="00637620" w:rsidRPr="00637620">
              <w:rPr>
                <w:rFonts w:asciiTheme="minorHAnsi" w:hAnsiTheme="minorHAnsi" w:cstheme="minorHAnsi"/>
                <w:noProof/>
                <w:webHidden/>
              </w:rPr>
              <w:instrText xml:space="preserve"> PAGEREF _Toc31270539 \h </w:instrText>
            </w:r>
            <w:r w:rsidR="00637620" w:rsidRPr="00637620">
              <w:rPr>
                <w:rFonts w:asciiTheme="minorHAnsi" w:hAnsiTheme="minorHAnsi" w:cstheme="minorHAnsi"/>
                <w:noProof/>
                <w:webHidden/>
              </w:rPr>
            </w:r>
            <w:r w:rsidR="00637620" w:rsidRPr="00637620">
              <w:rPr>
                <w:rFonts w:asciiTheme="minorHAnsi" w:hAnsiTheme="minorHAnsi" w:cstheme="minorHAnsi"/>
                <w:noProof/>
                <w:webHidden/>
              </w:rPr>
              <w:fldChar w:fldCharType="separate"/>
            </w:r>
            <w:r w:rsidR="00CE5E55">
              <w:rPr>
                <w:rFonts w:asciiTheme="minorHAnsi" w:hAnsiTheme="minorHAnsi" w:cstheme="minorHAnsi"/>
                <w:noProof/>
                <w:webHidden/>
              </w:rPr>
              <w:t>4</w:t>
            </w:r>
            <w:r w:rsidR="00637620" w:rsidRPr="00637620">
              <w:rPr>
                <w:rFonts w:asciiTheme="minorHAnsi" w:hAnsiTheme="minorHAnsi" w:cstheme="minorHAnsi"/>
                <w:noProof/>
                <w:webHidden/>
              </w:rPr>
              <w:fldChar w:fldCharType="end"/>
            </w:r>
          </w:hyperlink>
        </w:p>
        <w:p w14:paraId="54CBFEB1" w14:textId="50C1A53E" w:rsidR="00637620" w:rsidRPr="00637620" w:rsidRDefault="000C269A">
          <w:pPr>
            <w:pStyle w:val="TOC2"/>
            <w:tabs>
              <w:tab w:val="right" w:leader="dot" w:pos="9792"/>
            </w:tabs>
            <w:rPr>
              <w:rFonts w:asciiTheme="minorHAnsi" w:eastAsiaTheme="minorEastAsia" w:hAnsiTheme="minorHAnsi" w:cstheme="minorHAnsi"/>
              <w:noProof/>
              <w:sz w:val="22"/>
              <w:szCs w:val="22"/>
              <w:lang w:eastAsia="en-AU"/>
            </w:rPr>
          </w:pPr>
          <w:hyperlink w:anchor="_Toc31270540" w:history="1">
            <w:r w:rsidR="00637620" w:rsidRPr="00637620">
              <w:rPr>
                <w:rStyle w:val="Hyperlink"/>
                <w:rFonts w:asciiTheme="minorHAnsi" w:hAnsiTheme="minorHAnsi" w:cstheme="minorHAnsi"/>
                <w:noProof/>
                <w:lang w:val="en-US" w:eastAsia="en-AU"/>
              </w:rPr>
              <w:t>Wave 1</w:t>
            </w:r>
            <w:r w:rsidR="00637620" w:rsidRPr="00637620">
              <w:rPr>
                <w:rFonts w:asciiTheme="minorHAnsi" w:hAnsiTheme="minorHAnsi" w:cstheme="minorHAnsi"/>
                <w:noProof/>
                <w:webHidden/>
              </w:rPr>
              <w:tab/>
            </w:r>
            <w:r w:rsidR="00637620" w:rsidRPr="00637620">
              <w:rPr>
                <w:rFonts w:asciiTheme="minorHAnsi" w:hAnsiTheme="minorHAnsi" w:cstheme="minorHAnsi"/>
                <w:noProof/>
                <w:webHidden/>
              </w:rPr>
              <w:fldChar w:fldCharType="begin"/>
            </w:r>
            <w:r w:rsidR="00637620" w:rsidRPr="00637620">
              <w:rPr>
                <w:rFonts w:asciiTheme="minorHAnsi" w:hAnsiTheme="minorHAnsi" w:cstheme="minorHAnsi"/>
                <w:noProof/>
                <w:webHidden/>
              </w:rPr>
              <w:instrText xml:space="preserve"> PAGEREF _Toc31270540 \h </w:instrText>
            </w:r>
            <w:r w:rsidR="00637620" w:rsidRPr="00637620">
              <w:rPr>
                <w:rFonts w:asciiTheme="minorHAnsi" w:hAnsiTheme="minorHAnsi" w:cstheme="minorHAnsi"/>
                <w:noProof/>
                <w:webHidden/>
              </w:rPr>
            </w:r>
            <w:r w:rsidR="00637620" w:rsidRPr="00637620">
              <w:rPr>
                <w:rFonts w:asciiTheme="minorHAnsi" w:hAnsiTheme="minorHAnsi" w:cstheme="minorHAnsi"/>
                <w:noProof/>
                <w:webHidden/>
              </w:rPr>
              <w:fldChar w:fldCharType="separate"/>
            </w:r>
            <w:r w:rsidR="00CE5E55">
              <w:rPr>
                <w:rFonts w:asciiTheme="minorHAnsi" w:hAnsiTheme="minorHAnsi" w:cstheme="minorHAnsi"/>
                <w:noProof/>
                <w:webHidden/>
              </w:rPr>
              <w:t>4</w:t>
            </w:r>
            <w:r w:rsidR="00637620" w:rsidRPr="00637620">
              <w:rPr>
                <w:rFonts w:asciiTheme="minorHAnsi" w:hAnsiTheme="minorHAnsi" w:cstheme="minorHAnsi"/>
                <w:noProof/>
                <w:webHidden/>
              </w:rPr>
              <w:fldChar w:fldCharType="end"/>
            </w:r>
          </w:hyperlink>
        </w:p>
        <w:p w14:paraId="30F6B547" w14:textId="35EEDBBC" w:rsidR="00637620" w:rsidRPr="00637620" w:rsidRDefault="000C269A">
          <w:pPr>
            <w:pStyle w:val="TOC2"/>
            <w:tabs>
              <w:tab w:val="right" w:leader="dot" w:pos="9792"/>
            </w:tabs>
            <w:rPr>
              <w:rFonts w:asciiTheme="minorHAnsi" w:eastAsiaTheme="minorEastAsia" w:hAnsiTheme="minorHAnsi" w:cstheme="minorHAnsi"/>
              <w:noProof/>
              <w:sz w:val="22"/>
              <w:szCs w:val="22"/>
              <w:lang w:eastAsia="en-AU"/>
            </w:rPr>
          </w:pPr>
          <w:hyperlink w:anchor="_Toc31270541" w:history="1">
            <w:r w:rsidR="00637620" w:rsidRPr="00637620">
              <w:rPr>
                <w:rStyle w:val="Hyperlink"/>
                <w:rFonts w:asciiTheme="minorHAnsi" w:hAnsiTheme="minorHAnsi" w:cstheme="minorHAnsi"/>
                <w:noProof/>
                <w:lang w:val="en-US" w:eastAsia="en-AU"/>
              </w:rPr>
              <w:t>Wave 2</w:t>
            </w:r>
            <w:r w:rsidR="00637620" w:rsidRPr="00637620">
              <w:rPr>
                <w:rFonts w:asciiTheme="minorHAnsi" w:hAnsiTheme="minorHAnsi" w:cstheme="minorHAnsi"/>
                <w:noProof/>
                <w:webHidden/>
              </w:rPr>
              <w:tab/>
            </w:r>
            <w:r w:rsidR="00637620" w:rsidRPr="00637620">
              <w:rPr>
                <w:rFonts w:asciiTheme="minorHAnsi" w:hAnsiTheme="minorHAnsi" w:cstheme="minorHAnsi"/>
                <w:noProof/>
                <w:webHidden/>
              </w:rPr>
              <w:fldChar w:fldCharType="begin"/>
            </w:r>
            <w:r w:rsidR="00637620" w:rsidRPr="00637620">
              <w:rPr>
                <w:rFonts w:asciiTheme="minorHAnsi" w:hAnsiTheme="minorHAnsi" w:cstheme="minorHAnsi"/>
                <w:noProof/>
                <w:webHidden/>
              </w:rPr>
              <w:instrText xml:space="preserve"> PAGEREF _Toc31270541 \h </w:instrText>
            </w:r>
            <w:r w:rsidR="00637620" w:rsidRPr="00637620">
              <w:rPr>
                <w:rFonts w:asciiTheme="minorHAnsi" w:hAnsiTheme="minorHAnsi" w:cstheme="minorHAnsi"/>
                <w:noProof/>
                <w:webHidden/>
              </w:rPr>
            </w:r>
            <w:r w:rsidR="00637620" w:rsidRPr="00637620">
              <w:rPr>
                <w:rFonts w:asciiTheme="minorHAnsi" w:hAnsiTheme="minorHAnsi" w:cstheme="minorHAnsi"/>
                <w:noProof/>
                <w:webHidden/>
              </w:rPr>
              <w:fldChar w:fldCharType="separate"/>
            </w:r>
            <w:r w:rsidR="00CE5E55">
              <w:rPr>
                <w:rFonts w:asciiTheme="minorHAnsi" w:hAnsiTheme="minorHAnsi" w:cstheme="minorHAnsi"/>
                <w:noProof/>
                <w:webHidden/>
              </w:rPr>
              <w:t>4</w:t>
            </w:r>
            <w:r w:rsidR="00637620" w:rsidRPr="00637620">
              <w:rPr>
                <w:rFonts w:asciiTheme="minorHAnsi" w:hAnsiTheme="minorHAnsi" w:cstheme="minorHAnsi"/>
                <w:noProof/>
                <w:webHidden/>
              </w:rPr>
              <w:fldChar w:fldCharType="end"/>
            </w:r>
          </w:hyperlink>
        </w:p>
        <w:p w14:paraId="03952AA1" w14:textId="21A698F6" w:rsidR="00637620" w:rsidRPr="00637620" w:rsidRDefault="000C269A">
          <w:pPr>
            <w:pStyle w:val="TOC1"/>
            <w:tabs>
              <w:tab w:val="right" w:leader="dot" w:pos="9792"/>
            </w:tabs>
            <w:rPr>
              <w:rFonts w:asciiTheme="minorHAnsi" w:eastAsiaTheme="minorEastAsia" w:hAnsiTheme="minorHAnsi" w:cstheme="minorHAnsi"/>
              <w:noProof/>
              <w:sz w:val="22"/>
              <w:szCs w:val="22"/>
              <w:lang w:eastAsia="en-AU"/>
            </w:rPr>
          </w:pPr>
          <w:hyperlink w:anchor="_Toc31270542" w:history="1">
            <w:r w:rsidR="00637620" w:rsidRPr="00637620">
              <w:rPr>
                <w:rStyle w:val="Hyperlink"/>
                <w:rFonts w:asciiTheme="minorHAnsi" w:hAnsiTheme="minorHAnsi" w:cstheme="minorHAnsi"/>
                <w:noProof/>
              </w:rPr>
              <w:t>Stakeholder engagement</w:t>
            </w:r>
            <w:r w:rsidR="00637620" w:rsidRPr="00637620">
              <w:rPr>
                <w:rFonts w:asciiTheme="minorHAnsi" w:hAnsiTheme="minorHAnsi" w:cstheme="minorHAnsi"/>
                <w:noProof/>
                <w:webHidden/>
              </w:rPr>
              <w:tab/>
            </w:r>
            <w:r w:rsidR="00637620" w:rsidRPr="00637620">
              <w:rPr>
                <w:rFonts w:asciiTheme="minorHAnsi" w:hAnsiTheme="minorHAnsi" w:cstheme="minorHAnsi"/>
                <w:noProof/>
                <w:webHidden/>
              </w:rPr>
              <w:fldChar w:fldCharType="begin"/>
            </w:r>
            <w:r w:rsidR="00637620" w:rsidRPr="00637620">
              <w:rPr>
                <w:rFonts w:asciiTheme="minorHAnsi" w:hAnsiTheme="minorHAnsi" w:cstheme="minorHAnsi"/>
                <w:noProof/>
                <w:webHidden/>
              </w:rPr>
              <w:instrText xml:space="preserve"> PAGEREF _Toc31270542 \h </w:instrText>
            </w:r>
            <w:r w:rsidR="00637620" w:rsidRPr="00637620">
              <w:rPr>
                <w:rFonts w:asciiTheme="minorHAnsi" w:hAnsiTheme="minorHAnsi" w:cstheme="minorHAnsi"/>
                <w:noProof/>
                <w:webHidden/>
              </w:rPr>
            </w:r>
            <w:r w:rsidR="00637620" w:rsidRPr="00637620">
              <w:rPr>
                <w:rFonts w:asciiTheme="minorHAnsi" w:hAnsiTheme="minorHAnsi" w:cstheme="minorHAnsi"/>
                <w:noProof/>
                <w:webHidden/>
              </w:rPr>
              <w:fldChar w:fldCharType="separate"/>
            </w:r>
            <w:r w:rsidR="00CE5E55">
              <w:rPr>
                <w:rFonts w:asciiTheme="minorHAnsi" w:hAnsiTheme="minorHAnsi" w:cstheme="minorHAnsi"/>
                <w:noProof/>
                <w:webHidden/>
              </w:rPr>
              <w:t>5</w:t>
            </w:r>
            <w:r w:rsidR="00637620" w:rsidRPr="00637620">
              <w:rPr>
                <w:rFonts w:asciiTheme="minorHAnsi" w:hAnsiTheme="minorHAnsi" w:cstheme="minorHAnsi"/>
                <w:noProof/>
                <w:webHidden/>
              </w:rPr>
              <w:fldChar w:fldCharType="end"/>
            </w:r>
          </w:hyperlink>
        </w:p>
        <w:p w14:paraId="0C91210F" w14:textId="2E849F3D" w:rsidR="00637620" w:rsidRPr="00637620" w:rsidRDefault="000C269A">
          <w:pPr>
            <w:pStyle w:val="TOC2"/>
            <w:tabs>
              <w:tab w:val="right" w:leader="dot" w:pos="9792"/>
            </w:tabs>
            <w:rPr>
              <w:rFonts w:asciiTheme="minorHAnsi" w:eastAsiaTheme="minorEastAsia" w:hAnsiTheme="minorHAnsi" w:cstheme="minorHAnsi"/>
              <w:noProof/>
              <w:sz w:val="22"/>
              <w:szCs w:val="22"/>
              <w:lang w:eastAsia="en-AU"/>
            </w:rPr>
          </w:pPr>
          <w:hyperlink w:anchor="_Toc31270543" w:history="1">
            <w:r w:rsidR="00637620" w:rsidRPr="00637620">
              <w:rPr>
                <w:rStyle w:val="Hyperlink"/>
                <w:rFonts w:asciiTheme="minorHAnsi" w:hAnsiTheme="minorHAnsi" w:cstheme="minorHAnsi"/>
                <w:noProof/>
                <w:lang w:val="en-US" w:eastAsia="en-AU"/>
              </w:rPr>
              <w:t>Stakeholder engagement to date</w:t>
            </w:r>
            <w:r w:rsidR="00637620" w:rsidRPr="00637620">
              <w:rPr>
                <w:rFonts w:asciiTheme="minorHAnsi" w:hAnsiTheme="minorHAnsi" w:cstheme="minorHAnsi"/>
                <w:noProof/>
                <w:webHidden/>
              </w:rPr>
              <w:tab/>
            </w:r>
            <w:r w:rsidR="00637620" w:rsidRPr="00637620">
              <w:rPr>
                <w:rFonts w:asciiTheme="minorHAnsi" w:hAnsiTheme="minorHAnsi" w:cstheme="minorHAnsi"/>
                <w:noProof/>
                <w:webHidden/>
              </w:rPr>
              <w:fldChar w:fldCharType="begin"/>
            </w:r>
            <w:r w:rsidR="00637620" w:rsidRPr="00637620">
              <w:rPr>
                <w:rFonts w:asciiTheme="minorHAnsi" w:hAnsiTheme="minorHAnsi" w:cstheme="minorHAnsi"/>
                <w:noProof/>
                <w:webHidden/>
              </w:rPr>
              <w:instrText xml:space="preserve"> PAGEREF _Toc31270543 \h </w:instrText>
            </w:r>
            <w:r w:rsidR="00637620" w:rsidRPr="00637620">
              <w:rPr>
                <w:rFonts w:asciiTheme="minorHAnsi" w:hAnsiTheme="minorHAnsi" w:cstheme="minorHAnsi"/>
                <w:noProof/>
                <w:webHidden/>
              </w:rPr>
            </w:r>
            <w:r w:rsidR="00637620" w:rsidRPr="00637620">
              <w:rPr>
                <w:rFonts w:asciiTheme="minorHAnsi" w:hAnsiTheme="minorHAnsi" w:cstheme="minorHAnsi"/>
                <w:noProof/>
                <w:webHidden/>
              </w:rPr>
              <w:fldChar w:fldCharType="separate"/>
            </w:r>
            <w:r w:rsidR="00CE5E55">
              <w:rPr>
                <w:rFonts w:asciiTheme="minorHAnsi" w:hAnsiTheme="minorHAnsi" w:cstheme="minorHAnsi"/>
                <w:noProof/>
                <w:webHidden/>
              </w:rPr>
              <w:t>5</w:t>
            </w:r>
            <w:r w:rsidR="00637620" w:rsidRPr="00637620">
              <w:rPr>
                <w:rFonts w:asciiTheme="minorHAnsi" w:hAnsiTheme="minorHAnsi" w:cstheme="minorHAnsi"/>
                <w:noProof/>
                <w:webHidden/>
              </w:rPr>
              <w:fldChar w:fldCharType="end"/>
            </w:r>
          </w:hyperlink>
        </w:p>
        <w:p w14:paraId="36ADE343" w14:textId="44A9C109" w:rsidR="00637620" w:rsidRPr="00637620" w:rsidRDefault="000C269A">
          <w:pPr>
            <w:pStyle w:val="TOC2"/>
            <w:tabs>
              <w:tab w:val="right" w:leader="dot" w:pos="9792"/>
            </w:tabs>
            <w:rPr>
              <w:rFonts w:asciiTheme="minorHAnsi" w:eastAsiaTheme="minorEastAsia" w:hAnsiTheme="minorHAnsi" w:cstheme="minorHAnsi"/>
              <w:noProof/>
              <w:sz w:val="22"/>
              <w:szCs w:val="22"/>
              <w:lang w:eastAsia="en-AU"/>
            </w:rPr>
          </w:pPr>
          <w:hyperlink w:anchor="_Toc31270544" w:history="1">
            <w:r w:rsidR="00637620" w:rsidRPr="00637620">
              <w:rPr>
                <w:rStyle w:val="Hyperlink"/>
                <w:rFonts w:asciiTheme="minorHAnsi" w:hAnsiTheme="minorHAnsi" w:cstheme="minorHAnsi"/>
                <w:noProof/>
                <w:lang w:val="en-US" w:eastAsia="en-AU"/>
              </w:rPr>
              <w:t>Stakeholder engagement plan for implementation</w:t>
            </w:r>
            <w:r w:rsidR="00637620" w:rsidRPr="00637620">
              <w:rPr>
                <w:rFonts w:asciiTheme="minorHAnsi" w:hAnsiTheme="minorHAnsi" w:cstheme="minorHAnsi"/>
                <w:noProof/>
                <w:webHidden/>
              </w:rPr>
              <w:tab/>
            </w:r>
            <w:r w:rsidR="00637620" w:rsidRPr="00637620">
              <w:rPr>
                <w:rFonts w:asciiTheme="minorHAnsi" w:hAnsiTheme="minorHAnsi" w:cstheme="minorHAnsi"/>
                <w:noProof/>
                <w:webHidden/>
              </w:rPr>
              <w:fldChar w:fldCharType="begin"/>
            </w:r>
            <w:r w:rsidR="00637620" w:rsidRPr="00637620">
              <w:rPr>
                <w:rFonts w:asciiTheme="minorHAnsi" w:hAnsiTheme="minorHAnsi" w:cstheme="minorHAnsi"/>
                <w:noProof/>
                <w:webHidden/>
              </w:rPr>
              <w:instrText xml:space="preserve"> PAGEREF _Toc31270544 \h </w:instrText>
            </w:r>
            <w:r w:rsidR="00637620" w:rsidRPr="00637620">
              <w:rPr>
                <w:rFonts w:asciiTheme="minorHAnsi" w:hAnsiTheme="minorHAnsi" w:cstheme="minorHAnsi"/>
                <w:noProof/>
                <w:webHidden/>
              </w:rPr>
            </w:r>
            <w:r w:rsidR="00637620" w:rsidRPr="00637620">
              <w:rPr>
                <w:rFonts w:asciiTheme="minorHAnsi" w:hAnsiTheme="minorHAnsi" w:cstheme="minorHAnsi"/>
                <w:noProof/>
                <w:webHidden/>
              </w:rPr>
              <w:fldChar w:fldCharType="separate"/>
            </w:r>
            <w:r w:rsidR="00CE5E55">
              <w:rPr>
                <w:rFonts w:asciiTheme="minorHAnsi" w:hAnsiTheme="minorHAnsi" w:cstheme="minorHAnsi"/>
                <w:noProof/>
                <w:webHidden/>
              </w:rPr>
              <w:t>5</w:t>
            </w:r>
            <w:r w:rsidR="00637620" w:rsidRPr="00637620">
              <w:rPr>
                <w:rFonts w:asciiTheme="minorHAnsi" w:hAnsiTheme="minorHAnsi" w:cstheme="minorHAnsi"/>
                <w:noProof/>
                <w:webHidden/>
              </w:rPr>
              <w:fldChar w:fldCharType="end"/>
            </w:r>
          </w:hyperlink>
        </w:p>
        <w:p w14:paraId="47F45EA0" w14:textId="47F583CF" w:rsidR="00637620" w:rsidRPr="00637620" w:rsidRDefault="000C269A">
          <w:pPr>
            <w:pStyle w:val="TOC1"/>
            <w:tabs>
              <w:tab w:val="right" w:leader="dot" w:pos="9792"/>
            </w:tabs>
            <w:rPr>
              <w:rFonts w:asciiTheme="minorHAnsi" w:eastAsiaTheme="minorEastAsia" w:hAnsiTheme="minorHAnsi" w:cstheme="minorHAnsi"/>
              <w:noProof/>
              <w:sz w:val="22"/>
              <w:szCs w:val="22"/>
              <w:lang w:eastAsia="en-AU"/>
            </w:rPr>
          </w:pPr>
          <w:hyperlink w:anchor="_Toc31270545" w:history="1">
            <w:r w:rsidR="00637620" w:rsidRPr="00637620">
              <w:rPr>
                <w:rStyle w:val="Hyperlink"/>
                <w:rFonts w:asciiTheme="minorHAnsi" w:hAnsiTheme="minorHAnsi" w:cstheme="minorHAnsi"/>
                <w:noProof/>
              </w:rPr>
              <w:t>Risk Management</w:t>
            </w:r>
            <w:r w:rsidR="00637620" w:rsidRPr="00637620">
              <w:rPr>
                <w:rFonts w:asciiTheme="minorHAnsi" w:hAnsiTheme="minorHAnsi" w:cstheme="minorHAnsi"/>
                <w:noProof/>
                <w:webHidden/>
              </w:rPr>
              <w:tab/>
            </w:r>
            <w:r w:rsidR="00637620" w:rsidRPr="00637620">
              <w:rPr>
                <w:rFonts w:asciiTheme="minorHAnsi" w:hAnsiTheme="minorHAnsi" w:cstheme="minorHAnsi"/>
                <w:noProof/>
                <w:webHidden/>
              </w:rPr>
              <w:fldChar w:fldCharType="begin"/>
            </w:r>
            <w:r w:rsidR="00637620" w:rsidRPr="00637620">
              <w:rPr>
                <w:rFonts w:asciiTheme="minorHAnsi" w:hAnsiTheme="minorHAnsi" w:cstheme="minorHAnsi"/>
                <w:noProof/>
                <w:webHidden/>
              </w:rPr>
              <w:instrText xml:space="preserve"> PAGEREF _Toc31270545 \h </w:instrText>
            </w:r>
            <w:r w:rsidR="00637620" w:rsidRPr="00637620">
              <w:rPr>
                <w:rFonts w:asciiTheme="minorHAnsi" w:hAnsiTheme="minorHAnsi" w:cstheme="minorHAnsi"/>
                <w:noProof/>
                <w:webHidden/>
              </w:rPr>
            </w:r>
            <w:r w:rsidR="00637620" w:rsidRPr="00637620">
              <w:rPr>
                <w:rFonts w:asciiTheme="minorHAnsi" w:hAnsiTheme="minorHAnsi" w:cstheme="minorHAnsi"/>
                <w:noProof/>
                <w:webHidden/>
              </w:rPr>
              <w:fldChar w:fldCharType="separate"/>
            </w:r>
            <w:r w:rsidR="00CE5E55">
              <w:rPr>
                <w:rFonts w:asciiTheme="minorHAnsi" w:hAnsiTheme="minorHAnsi" w:cstheme="minorHAnsi"/>
                <w:noProof/>
                <w:webHidden/>
              </w:rPr>
              <w:t>6</w:t>
            </w:r>
            <w:r w:rsidR="00637620" w:rsidRPr="00637620">
              <w:rPr>
                <w:rFonts w:asciiTheme="minorHAnsi" w:hAnsiTheme="minorHAnsi" w:cstheme="minorHAnsi"/>
                <w:noProof/>
                <w:webHidden/>
              </w:rPr>
              <w:fldChar w:fldCharType="end"/>
            </w:r>
          </w:hyperlink>
        </w:p>
        <w:p w14:paraId="04DEFF70" w14:textId="79AA8549" w:rsidR="00637620" w:rsidRPr="00637620" w:rsidRDefault="000C269A">
          <w:pPr>
            <w:pStyle w:val="TOC1"/>
            <w:tabs>
              <w:tab w:val="right" w:leader="dot" w:pos="9792"/>
            </w:tabs>
            <w:rPr>
              <w:rFonts w:asciiTheme="minorHAnsi" w:eastAsiaTheme="minorEastAsia" w:hAnsiTheme="minorHAnsi" w:cstheme="minorHAnsi"/>
              <w:noProof/>
              <w:sz w:val="22"/>
              <w:szCs w:val="22"/>
              <w:lang w:eastAsia="en-AU"/>
            </w:rPr>
          </w:pPr>
          <w:hyperlink w:anchor="_Toc31270546" w:history="1">
            <w:r w:rsidR="00637620" w:rsidRPr="00637620">
              <w:rPr>
                <w:rStyle w:val="Hyperlink"/>
                <w:rFonts w:asciiTheme="minorHAnsi" w:hAnsiTheme="minorHAnsi" w:cstheme="minorHAnsi"/>
                <w:noProof/>
              </w:rPr>
              <w:t>Monitoring and Reporting Framework</w:t>
            </w:r>
            <w:r w:rsidR="00637620" w:rsidRPr="00637620">
              <w:rPr>
                <w:rFonts w:asciiTheme="minorHAnsi" w:hAnsiTheme="minorHAnsi" w:cstheme="minorHAnsi"/>
                <w:noProof/>
                <w:webHidden/>
              </w:rPr>
              <w:tab/>
            </w:r>
            <w:r w:rsidR="00637620" w:rsidRPr="00637620">
              <w:rPr>
                <w:rFonts w:asciiTheme="minorHAnsi" w:hAnsiTheme="minorHAnsi" w:cstheme="minorHAnsi"/>
                <w:noProof/>
                <w:webHidden/>
              </w:rPr>
              <w:fldChar w:fldCharType="begin"/>
            </w:r>
            <w:r w:rsidR="00637620" w:rsidRPr="00637620">
              <w:rPr>
                <w:rFonts w:asciiTheme="minorHAnsi" w:hAnsiTheme="minorHAnsi" w:cstheme="minorHAnsi"/>
                <w:noProof/>
                <w:webHidden/>
              </w:rPr>
              <w:instrText xml:space="preserve"> PAGEREF _Toc31270546 \h </w:instrText>
            </w:r>
            <w:r w:rsidR="00637620" w:rsidRPr="00637620">
              <w:rPr>
                <w:rFonts w:asciiTheme="minorHAnsi" w:hAnsiTheme="minorHAnsi" w:cstheme="minorHAnsi"/>
                <w:noProof/>
                <w:webHidden/>
              </w:rPr>
            </w:r>
            <w:r w:rsidR="00637620" w:rsidRPr="00637620">
              <w:rPr>
                <w:rFonts w:asciiTheme="minorHAnsi" w:hAnsiTheme="minorHAnsi" w:cstheme="minorHAnsi"/>
                <w:noProof/>
                <w:webHidden/>
              </w:rPr>
              <w:fldChar w:fldCharType="separate"/>
            </w:r>
            <w:r w:rsidR="00CE5E55">
              <w:rPr>
                <w:rFonts w:asciiTheme="minorHAnsi" w:hAnsiTheme="minorHAnsi" w:cstheme="minorHAnsi"/>
                <w:noProof/>
                <w:webHidden/>
              </w:rPr>
              <w:t>6</w:t>
            </w:r>
            <w:r w:rsidR="00637620" w:rsidRPr="00637620">
              <w:rPr>
                <w:rFonts w:asciiTheme="minorHAnsi" w:hAnsiTheme="minorHAnsi" w:cstheme="minorHAnsi"/>
                <w:noProof/>
                <w:webHidden/>
              </w:rPr>
              <w:fldChar w:fldCharType="end"/>
            </w:r>
          </w:hyperlink>
        </w:p>
        <w:p w14:paraId="79FA20F5" w14:textId="78993E7B" w:rsidR="00637620" w:rsidRPr="00637620" w:rsidRDefault="00637620">
          <w:pPr>
            <w:pStyle w:val="TOC2"/>
            <w:tabs>
              <w:tab w:val="right" w:leader="dot" w:pos="9792"/>
            </w:tabs>
            <w:rPr>
              <w:rFonts w:asciiTheme="minorHAnsi" w:eastAsiaTheme="minorEastAsia" w:hAnsiTheme="minorHAnsi" w:cstheme="minorHAnsi"/>
              <w:noProof/>
              <w:sz w:val="22"/>
              <w:szCs w:val="22"/>
              <w:lang w:eastAsia="en-AU"/>
            </w:rPr>
          </w:pPr>
        </w:p>
        <w:p w14:paraId="1604DFD7" w14:textId="57DB3AB7" w:rsidR="00277E3D" w:rsidRDefault="00277E3D">
          <w:r>
            <w:rPr>
              <w:b/>
              <w:bCs/>
              <w:noProof/>
            </w:rPr>
            <w:fldChar w:fldCharType="end"/>
          </w:r>
        </w:p>
      </w:sdtContent>
    </w:sdt>
    <w:p w14:paraId="49413A08" w14:textId="2F83A520" w:rsidR="00277E3D" w:rsidRDefault="00277E3D">
      <w:pPr>
        <w:spacing w:before="0" w:line="240" w:lineRule="auto"/>
        <w:rPr>
          <w:lang w:val="en-US" w:eastAsia="en-AU"/>
        </w:rPr>
      </w:pPr>
    </w:p>
    <w:p w14:paraId="686291F7" w14:textId="77777777" w:rsidR="00277E3D" w:rsidRDefault="00277E3D">
      <w:pPr>
        <w:spacing w:before="0" w:line="240" w:lineRule="auto"/>
        <w:rPr>
          <w:lang w:val="en-US" w:eastAsia="en-AU"/>
        </w:rPr>
      </w:pPr>
      <w:r>
        <w:rPr>
          <w:lang w:val="en-US" w:eastAsia="en-AU"/>
        </w:rPr>
        <w:br w:type="page"/>
      </w:r>
    </w:p>
    <w:p w14:paraId="345EAF9B" w14:textId="1D8A5531" w:rsidR="006F19F8" w:rsidRPr="0062792B" w:rsidRDefault="00277E3D" w:rsidP="00277E3D">
      <w:pPr>
        <w:pStyle w:val="Heading1"/>
        <w:rPr>
          <w:sz w:val="36"/>
        </w:rPr>
      </w:pPr>
      <w:bookmarkStart w:id="0" w:name="_Toc31270536"/>
      <w:r w:rsidRPr="0062792B">
        <w:rPr>
          <w:sz w:val="36"/>
        </w:rPr>
        <w:lastRenderedPageBreak/>
        <w:t>The Healthy Food Partnership Reformulation Program</w:t>
      </w:r>
      <w:bookmarkEnd w:id="0"/>
    </w:p>
    <w:p w14:paraId="7F344D66" w14:textId="03ADCE3A" w:rsidR="00521419" w:rsidRPr="0062792B" w:rsidRDefault="00521419" w:rsidP="00521419">
      <w:pPr>
        <w:spacing w:after="120"/>
        <w:rPr>
          <w:rFonts w:asciiTheme="minorHAnsi" w:hAnsiTheme="minorHAnsi" w:cstheme="minorHAnsi"/>
          <w:color w:val="000000"/>
          <w:sz w:val="22"/>
          <w:szCs w:val="22"/>
        </w:rPr>
      </w:pPr>
      <w:r w:rsidRPr="0062792B">
        <w:rPr>
          <w:rFonts w:asciiTheme="minorHAnsi" w:hAnsiTheme="minorHAnsi" w:cstheme="minorHAnsi"/>
          <w:sz w:val="22"/>
          <w:szCs w:val="22"/>
        </w:rPr>
        <w:t xml:space="preserve">In late 2015, the Australian Government established the Healthy Food Partnership (Partnership) with the aim of improving the dietary habits of Australians by making healthier food choices easier and more accessible, and by raising awareness of appropriate food choices and portion sizes. </w:t>
      </w:r>
    </w:p>
    <w:p w14:paraId="148A48DB" w14:textId="6C40873F" w:rsidR="00521419" w:rsidRPr="0062792B" w:rsidRDefault="00521419" w:rsidP="00521419">
      <w:pPr>
        <w:spacing w:after="120"/>
        <w:rPr>
          <w:rFonts w:asciiTheme="minorHAnsi" w:hAnsiTheme="minorHAnsi" w:cstheme="minorHAnsi"/>
          <w:color w:val="000000"/>
          <w:sz w:val="22"/>
          <w:szCs w:val="22"/>
        </w:rPr>
      </w:pPr>
      <w:r w:rsidRPr="0062792B">
        <w:rPr>
          <w:rFonts w:asciiTheme="minorHAnsi" w:hAnsiTheme="minorHAnsi" w:cstheme="minorHAnsi"/>
          <w:color w:val="000000"/>
          <w:sz w:val="22"/>
          <w:szCs w:val="22"/>
        </w:rPr>
        <w:t>The Partnership provides a mechanism for government, the public health sector and the food industry to cooperatively tackle obesity, encourage healthy eating and empower food manufacturers to make positive changes.</w:t>
      </w:r>
      <w:r w:rsidRPr="0062792B">
        <w:rPr>
          <w:rFonts w:asciiTheme="minorHAnsi" w:hAnsiTheme="minorHAnsi" w:cstheme="minorHAnsi"/>
          <w:sz w:val="22"/>
          <w:szCs w:val="22"/>
        </w:rPr>
        <w:t xml:space="preserve"> The scope of work within the Partnership comprises several policy areas that consider portion size, food reformulation, food service environments and education.</w:t>
      </w:r>
      <w:r w:rsidRPr="0062792B">
        <w:rPr>
          <w:rFonts w:asciiTheme="minorHAnsi" w:hAnsiTheme="minorHAnsi" w:cstheme="minorHAnsi"/>
          <w:color w:val="000000"/>
          <w:sz w:val="22"/>
          <w:szCs w:val="22"/>
        </w:rPr>
        <w:t xml:space="preserve"> </w:t>
      </w:r>
      <w:r w:rsidR="004471F6" w:rsidRPr="0062792B">
        <w:rPr>
          <w:rFonts w:asciiTheme="minorHAnsi" w:hAnsiTheme="minorHAnsi" w:cstheme="minorHAnsi"/>
          <w:color w:val="000000"/>
          <w:sz w:val="22"/>
          <w:szCs w:val="22"/>
        </w:rPr>
        <w:t>Initiatives under the Partnership are voluntary in nature.</w:t>
      </w:r>
    </w:p>
    <w:p w14:paraId="2AC292F2" w14:textId="3601A9B8" w:rsidR="00521419" w:rsidRPr="0062792B" w:rsidRDefault="00521419" w:rsidP="00521419">
      <w:pPr>
        <w:spacing w:after="120"/>
        <w:rPr>
          <w:rFonts w:asciiTheme="minorHAnsi" w:hAnsiTheme="minorHAnsi" w:cstheme="minorHAnsi"/>
          <w:sz w:val="22"/>
          <w:szCs w:val="22"/>
        </w:rPr>
      </w:pPr>
      <w:r w:rsidRPr="0062792B">
        <w:rPr>
          <w:rFonts w:asciiTheme="minorHAnsi" w:hAnsiTheme="minorHAnsi" w:cstheme="minorHAnsi"/>
          <w:sz w:val="22"/>
          <w:szCs w:val="22"/>
        </w:rPr>
        <w:t xml:space="preserve">The Partnership Reformulation Program (PRP) is supported by other initiatives, including the Australian Dietary Guidelines (ADGs), the Health Star Rating (HSR) system and nutrition labelling, which enable consumers to make healthy choices when purchasing and consuming food. </w:t>
      </w:r>
    </w:p>
    <w:p w14:paraId="3A749B4F" w14:textId="6BA29425" w:rsidR="003606CA" w:rsidRPr="0062792B" w:rsidRDefault="00521419" w:rsidP="00521419">
      <w:pPr>
        <w:widowControl w:val="0"/>
        <w:autoSpaceDE w:val="0"/>
        <w:autoSpaceDN w:val="0"/>
        <w:adjustRightInd w:val="0"/>
        <w:spacing w:after="120"/>
        <w:contextualSpacing/>
        <w:rPr>
          <w:rFonts w:asciiTheme="minorHAnsi" w:hAnsiTheme="minorHAnsi" w:cstheme="minorHAnsi"/>
          <w:sz w:val="22"/>
          <w:szCs w:val="22"/>
        </w:rPr>
      </w:pPr>
      <w:r w:rsidRPr="0062792B">
        <w:rPr>
          <w:rFonts w:asciiTheme="minorHAnsi" w:hAnsiTheme="minorHAnsi" w:cstheme="minorHAnsi"/>
          <w:sz w:val="22"/>
          <w:szCs w:val="22"/>
        </w:rPr>
        <w:t xml:space="preserve">The Partnership is part of a wider public health program in Australia that aims to reduce risk factors for chronic disease. </w:t>
      </w:r>
    </w:p>
    <w:p w14:paraId="0DD55F50" w14:textId="12C507F8" w:rsidR="004D45EA" w:rsidRPr="0062792B" w:rsidRDefault="003606CA" w:rsidP="004D45EA">
      <w:pPr>
        <w:shd w:val="clear" w:color="auto" w:fill="FFFFFF" w:themeFill="background1"/>
        <w:tabs>
          <w:tab w:val="left" w:pos="5760"/>
        </w:tabs>
        <w:rPr>
          <w:rFonts w:asciiTheme="minorHAnsi" w:hAnsiTheme="minorHAnsi" w:cstheme="minorHAnsi"/>
          <w:sz w:val="22"/>
          <w:szCs w:val="22"/>
        </w:rPr>
      </w:pPr>
      <w:r w:rsidRPr="0062792B">
        <w:rPr>
          <w:rFonts w:asciiTheme="minorHAnsi" w:hAnsiTheme="minorHAnsi" w:cstheme="minorHAnsi"/>
          <w:sz w:val="22"/>
          <w:szCs w:val="22"/>
        </w:rPr>
        <w:t xml:space="preserve">The </w:t>
      </w:r>
      <w:r w:rsidR="000228A3">
        <w:rPr>
          <w:rFonts w:asciiTheme="minorHAnsi" w:hAnsiTheme="minorHAnsi" w:cstheme="minorHAnsi"/>
          <w:sz w:val="22"/>
          <w:szCs w:val="22"/>
        </w:rPr>
        <w:t>PRP</w:t>
      </w:r>
      <w:r w:rsidRPr="0062792B">
        <w:rPr>
          <w:rFonts w:asciiTheme="minorHAnsi" w:hAnsiTheme="minorHAnsi" w:cstheme="minorHAnsi"/>
          <w:sz w:val="22"/>
          <w:szCs w:val="22"/>
        </w:rPr>
        <w:t xml:space="preserve"> builds upon current and previous work undertaken by the food industry in Australia and takes into consideration global examples of reformulation targets to assist in gauging technical feasibility. </w:t>
      </w:r>
      <w:r w:rsidR="004D45EA" w:rsidRPr="0062792B">
        <w:rPr>
          <w:rFonts w:asciiTheme="minorHAnsi" w:hAnsiTheme="minorHAnsi" w:cstheme="minorHAnsi"/>
          <w:sz w:val="22"/>
          <w:szCs w:val="22"/>
        </w:rPr>
        <w:t>The reformulation targets apply to 80 percent of the product category by sales volume, with businesses to show effort towards reformulating the remaining 20 percent of products.</w:t>
      </w:r>
    </w:p>
    <w:p w14:paraId="026070C2" w14:textId="2A2ADC86" w:rsidR="00020F87" w:rsidRPr="0062792B" w:rsidRDefault="00020F87" w:rsidP="00020F87">
      <w:pPr>
        <w:shd w:val="clear" w:color="auto" w:fill="FFFFFF" w:themeFill="background1"/>
        <w:tabs>
          <w:tab w:val="left" w:pos="5760"/>
        </w:tabs>
        <w:rPr>
          <w:rFonts w:asciiTheme="minorHAnsi" w:hAnsiTheme="minorHAnsi" w:cstheme="minorHAnsi"/>
          <w:sz w:val="22"/>
          <w:szCs w:val="22"/>
        </w:rPr>
      </w:pPr>
      <w:bookmarkStart w:id="1" w:name="_Toc31270537"/>
      <w:r w:rsidRPr="0062792B">
        <w:rPr>
          <w:rFonts w:asciiTheme="minorHAnsi" w:hAnsiTheme="minorHAnsi" w:cstheme="minorHAnsi"/>
          <w:sz w:val="22"/>
          <w:szCs w:val="22"/>
        </w:rPr>
        <w:t xml:space="preserve">The </w:t>
      </w:r>
      <w:r w:rsidR="000228A3">
        <w:rPr>
          <w:rFonts w:asciiTheme="minorHAnsi" w:hAnsiTheme="minorHAnsi" w:cstheme="minorHAnsi"/>
          <w:sz w:val="22"/>
          <w:szCs w:val="22"/>
        </w:rPr>
        <w:t>PRP</w:t>
      </w:r>
      <w:r w:rsidRPr="0062792B">
        <w:rPr>
          <w:rFonts w:asciiTheme="minorHAnsi" w:hAnsiTheme="minorHAnsi" w:cstheme="minorHAnsi"/>
          <w:sz w:val="22"/>
          <w:szCs w:val="22"/>
        </w:rPr>
        <w:t xml:space="preserve"> is voluntary and provides sodium, saturated fat and sugar targets for food categories that companies can work towards</w:t>
      </w:r>
      <w:r w:rsidR="00627F8B" w:rsidRPr="0062792B">
        <w:rPr>
          <w:rFonts w:asciiTheme="minorHAnsi" w:hAnsiTheme="minorHAnsi" w:cstheme="minorHAnsi"/>
          <w:sz w:val="22"/>
          <w:szCs w:val="22"/>
        </w:rPr>
        <w:t xml:space="preserve"> over a four year period</w:t>
      </w:r>
      <w:r w:rsidR="000228A3">
        <w:rPr>
          <w:rFonts w:asciiTheme="minorHAnsi" w:hAnsiTheme="minorHAnsi" w:cstheme="minorHAnsi"/>
          <w:sz w:val="22"/>
          <w:szCs w:val="22"/>
        </w:rPr>
        <w:t>.</w:t>
      </w:r>
      <w:r w:rsidR="000228A3" w:rsidRPr="000228A3">
        <w:t xml:space="preserve"> </w:t>
      </w:r>
      <w:r w:rsidR="000228A3" w:rsidRPr="000228A3">
        <w:rPr>
          <w:rFonts w:asciiTheme="minorHAnsi" w:hAnsiTheme="minorHAnsi" w:cstheme="minorHAnsi"/>
          <w:sz w:val="22"/>
          <w:szCs w:val="22"/>
        </w:rPr>
        <w:t xml:space="preserve">The </w:t>
      </w:r>
      <w:r w:rsidR="000228A3">
        <w:rPr>
          <w:rFonts w:asciiTheme="minorHAnsi" w:hAnsiTheme="minorHAnsi" w:cstheme="minorHAnsi"/>
          <w:sz w:val="22"/>
          <w:szCs w:val="22"/>
        </w:rPr>
        <w:t>PRP</w:t>
      </w:r>
      <w:r w:rsidR="000228A3" w:rsidRPr="000228A3">
        <w:rPr>
          <w:rFonts w:asciiTheme="minorHAnsi" w:hAnsiTheme="minorHAnsi" w:cstheme="minorHAnsi"/>
          <w:sz w:val="22"/>
          <w:szCs w:val="22"/>
        </w:rPr>
        <w:t xml:space="preserve"> Program commenced in 2020 with the introduction of voluntary reformulation targets for 27 categories/subcategories. In 2021, the program was expanded to include a further 14 categories/subcategories. </w:t>
      </w:r>
      <w:r w:rsidRPr="0062792B">
        <w:rPr>
          <w:rFonts w:asciiTheme="minorHAnsi" w:hAnsiTheme="minorHAnsi" w:cstheme="minorHAnsi"/>
          <w:sz w:val="22"/>
          <w:szCs w:val="22"/>
        </w:rPr>
        <w:t xml:space="preserve"> </w:t>
      </w:r>
      <w:r w:rsidR="00B853FF" w:rsidRPr="0062792B">
        <w:rPr>
          <w:rFonts w:asciiTheme="minorHAnsi" w:hAnsiTheme="minorHAnsi" w:cstheme="minorHAnsi"/>
          <w:sz w:val="22"/>
          <w:szCs w:val="22"/>
        </w:rPr>
        <w:t xml:space="preserve">A link to the targets is available </w:t>
      </w:r>
      <w:hyperlink r:id="rId9" w:history="1">
        <w:r w:rsidR="00B853FF" w:rsidRPr="0062792B">
          <w:rPr>
            <w:rStyle w:val="Hyperlink"/>
            <w:rFonts w:asciiTheme="minorHAnsi" w:hAnsiTheme="minorHAnsi" w:cstheme="minorHAnsi"/>
            <w:sz w:val="22"/>
            <w:szCs w:val="22"/>
          </w:rPr>
          <w:t>here</w:t>
        </w:r>
      </w:hyperlink>
      <w:r w:rsidR="00B853FF" w:rsidRPr="0062792B">
        <w:rPr>
          <w:rFonts w:asciiTheme="minorHAnsi" w:hAnsiTheme="minorHAnsi" w:cstheme="minorHAnsi"/>
          <w:sz w:val="22"/>
          <w:szCs w:val="22"/>
        </w:rPr>
        <w:t>.</w:t>
      </w:r>
      <w:r w:rsidR="000228A3">
        <w:rPr>
          <w:rFonts w:asciiTheme="minorHAnsi" w:hAnsiTheme="minorHAnsi" w:cstheme="minorHAnsi"/>
          <w:sz w:val="22"/>
          <w:szCs w:val="22"/>
        </w:rPr>
        <w:t xml:space="preserve"> </w:t>
      </w:r>
    </w:p>
    <w:p w14:paraId="48D2719B" w14:textId="12D0D75C" w:rsidR="00020F87" w:rsidRPr="0062792B" w:rsidRDefault="00020F87" w:rsidP="0062792B">
      <w:pPr>
        <w:shd w:val="clear" w:color="auto" w:fill="FFFFFF" w:themeFill="background1"/>
        <w:tabs>
          <w:tab w:val="left" w:pos="5760"/>
        </w:tabs>
        <w:spacing w:after="240"/>
        <w:rPr>
          <w:rFonts w:asciiTheme="minorHAnsi" w:hAnsiTheme="minorHAnsi" w:cstheme="minorHAnsi"/>
          <w:sz w:val="22"/>
          <w:szCs w:val="22"/>
        </w:rPr>
      </w:pPr>
      <w:r w:rsidRPr="0062792B">
        <w:rPr>
          <w:rFonts w:asciiTheme="minorHAnsi" w:hAnsiTheme="minorHAnsi" w:cstheme="minorHAnsi"/>
          <w:sz w:val="22"/>
          <w:szCs w:val="22"/>
        </w:rPr>
        <w:t>For further information o</w:t>
      </w:r>
      <w:r w:rsidR="00B853FF" w:rsidRPr="0062792B">
        <w:rPr>
          <w:rFonts w:asciiTheme="minorHAnsi" w:hAnsiTheme="minorHAnsi" w:cstheme="minorHAnsi"/>
          <w:sz w:val="22"/>
          <w:szCs w:val="22"/>
        </w:rPr>
        <w:t>n the development of the Partnership</w:t>
      </w:r>
      <w:r w:rsidRPr="0062792B">
        <w:rPr>
          <w:rFonts w:asciiTheme="minorHAnsi" w:hAnsiTheme="minorHAnsi" w:cstheme="minorHAnsi"/>
          <w:sz w:val="22"/>
          <w:szCs w:val="22"/>
        </w:rPr>
        <w:t xml:space="preserve"> Reformulation Program and the rationale for food reformulation, see </w:t>
      </w:r>
      <w:hyperlink r:id="rId10" w:history="1">
        <w:r w:rsidRPr="0062792B">
          <w:rPr>
            <w:rStyle w:val="Hyperlink"/>
            <w:rFonts w:asciiTheme="minorHAnsi" w:hAnsiTheme="minorHAnsi" w:cstheme="minorHAnsi"/>
            <w:sz w:val="22"/>
            <w:szCs w:val="22"/>
          </w:rPr>
          <w:t xml:space="preserve">The </w:t>
        </w:r>
        <w:bookmarkStart w:id="2" w:name="_Toc518298467"/>
        <w:r w:rsidRPr="0062792B">
          <w:rPr>
            <w:rStyle w:val="Hyperlink"/>
            <w:rFonts w:asciiTheme="minorHAnsi" w:hAnsiTheme="minorHAnsi" w:cstheme="minorHAnsi"/>
            <w:sz w:val="22"/>
            <w:szCs w:val="22"/>
          </w:rPr>
          <w:t>Evidence Informing the Approach, Draft Targets and Modelling Outcomes</w:t>
        </w:r>
        <w:bookmarkEnd w:id="2"/>
      </w:hyperlink>
      <w:r w:rsidRPr="0062792B">
        <w:rPr>
          <w:rFonts w:asciiTheme="minorHAnsi" w:hAnsiTheme="minorHAnsi" w:cstheme="minorHAnsi"/>
          <w:sz w:val="22"/>
          <w:szCs w:val="22"/>
        </w:rPr>
        <w:t>.</w:t>
      </w:r>
    </w:p>
    <w:p w14:paraId="301DA816" w14:textId="50B3A812" w:rsidR="00240F40" w:rsidRPr="0062792B" w:rsidRDefault="00240F40" w:rsidP="0062792B">
      <w:pPr>
        <w:pStyle w:val="Heading1"/>
        <w:spacing w:before="0" w:after="0"/>
        <w:rPr>
          <w:sz w:val="36"/>
        </w:rPr>
      </w:pPr>
      <w:r w:rsidRPr="0062792B">
        <w:rPr>
          <w:sz w:val="36"/>
        </w:rPr>
        <w:t>How the Implementation Plan should be used</w:t>
      </w:r>
      <w:bookmarkEnd w:id="1"/>
      <w:r w:rsidRPr="0062792B">
        <w:rPr>
          <w:sz w:val="36"/>
        </w:rPr>
        <w:t xml:space="preserve"> </w:t>
      </w:r>
    </w:p>
    <w:p w14:paraId="5DF586EA" w14:textId="1F099C25" w:rsidR="00240F40" w:rsidRPr="0062792B" w:rsidRDefault="00240F40" w:rsidP="0062792B">
      <w:pPr>
        <w:spacing w:after="120"/>
        <w:rPr>
          <w:rFonts w:asciiTheme="minorHAnsi" w:hAnsiTheme="minorHAnsi" w:cstheme="minorHAnsi"/>
          <w:sz w:val="22"/>
          <w:szCs w:val="22"/>
        </w:rPr>
      </w:pPr>
      <w:r w:rsidRPr="0062792B">
        <w:rPr>
          <w:rFonts w:asciiTheme="minorHAnsi" w:hAnsiTheme="minorHAnsi" w:cstheme="minorHAnsi"/>
          <w:sz w:val="22"/>
          <w:szCs w:val="22"/>
        </w:rPr>
        <w:t>This implementation plan will detail the actions the Department of Health</w:t>
      </w:r>
      <w:r w:rsidR="00903FBB">
        <w:rPr>
          <w:rFonts w:asciiTheme="minorHAnsi" w:hAnsiTheme="minorHAnsi" w:cstheme="minorHAnsi"/>
          <w:sz w:val="22"/>
          <w:szCs w:val="22"/>
        </w:rPr>
        <w:t xml:space="preserve"> (the Department)</w:t>
      </w:r>
      <w:r w:rsidRPr="0062792B">
        <w:rPr>
          <w:rFonts w:asciiTheme="minorHAnsi" w:hAnsiTheme="minorHAnsi" w:cstheme="minorHAnsi"/>
          <w:sz w:val="22"/>
          <w:szCs w:val="22"/>
        </w:rPr>
        <w:t xml:space="preserve"> </w:t>
      </w:r>
      <w:r w:rsidR="00627F8B" w:rsidRPr="0062792B">
        <w:rPr>
          <w:rFonts w:asciiTheme="minorHAnsi" w:hAnsiTheme="minorHAnsi" w:cstheme="minorHAnsi"/>
          <w:sz w:val="22"/>
          <w:szCs w:val="22"/>
        </w:rPr>
        <w:t>will</w:t>
      </w:r>
      <w:r w:rsidRPr="0062792B">
        <w:rPr>
          <w:rFonts w:asciiTheme="minorHAnsi" w:hAnsiTheme="minorHAnsi" w:cstheme="minorHAnsi"/>
          <w:sz w:val="22"/>
          <w:szCs w:val="22"/>
        </w:rPr>
        <w:t xml:space="preserve"> take in order to successfully implement the PRP. This includes stakeholder engagement, risk management strategies – including guiding principles for reformulation, </w:t>
      </w:r>
      <w:r w:rsidR="00950151" w:rsidRPr="0062792B">
        <w:rPr>
          <w:rFonts w:asciiTheme="minorHAnsi" w:hAnsiTheme="minorHAnsi" w:cstheme="minorHAnsi"/>
          <w:sz w:val="22"/>
          <w:szCs w:val="22"/>
        </w:rPr>
        <w:t>monitoring and reporting framework</w:t>
      </w:r>
      <w:r w:rsidRPr="0062792B">
        <w:rPr>
          <w:rFonts w:asciiTheme="minorHAnsi" w:hAnsiTheme="minorHAnsi" w:cstheme="minorHAnsi"/>
          <w:sz w:val="22"/>
          <w:szCs w:val="22"/>
        </w:rPr>
        <w:t xml:space="preserve">, and considerations for evaluation. </w:t>
      </w:r>
    </w:p>
    <w:p w14:paraId="764B62D7" w14:textId="54ABBA8E" w:rsidR="00CB061E" w:rsidRPr="0062792B" w:rsidRDefault="00903FBB" w:rsidP="00521419">
      <w:pPr>
        <w:spacing w:after="240"/>
        <w:rPr>
          <w:rFonts w:asciiTheme="minorHAnsi" w:hAnsiTheme="minorHAnsi" w:cstheme="minorHAnsi"/>
          <w:sz w:val="22"/>
          <w:szCs w:val="22"/>
        </w:rPr>
      </w:pPr>
      <w:r>
        <w:rPr>
          <w:rFonts w:asciiTheme="minorHAnsi" w:hAnsiTheme="minorHAnsi" w:cstheme="minorHAnsi"/>
          <w:sz w:val="22"/>
          <w:szCs w:val="22"/>
        </w:rPr>
        <w:t xml:space="preserve">Responsibility for the </w:t>
      </w:r>
      <w:r w:rsidR="00240F40" w:rsidRPr="0062792B">
        <w:rPr>
          <w:rFonts w:asciiTheme="minorHAnsi" w:hAnsiTheme="minorHAnsi" w:cstheme="minorHAnsi"/>
          <w:sz w:val="22"/>
          <w:szCs w:val="22"/>
        </w:rPr>
        <w:t xml:space="preserve">implementation of the PRP rests with the </w:t>
      </w:r>
      <w:r>
        <w:rPr>
          <w:rFonts w:asciiTheme="minorHAnsi" w:hAnsiTheme="minorHAnsi" w:cstheme="minorHAnsi"/>
          <w:sz w:val="22"/>
          <w:szCs w:val="22"/>
        </w:rPr>
        <w:t>Department</w:t>
      </w:r>
      <w:r w:rsidR="00B853FF" w:rsidRPr="0062792B">
        <w:rPr>
          <w:rFonts w:asciiTheme="minorHAnsi" w:hAnsiTheme="minorHAnsi" w:cstheme="minorHAnsi"/>
          <w:sz w:val="22"/>
          <w:szCs w:val="22"/>
        </w:rPr>
        <w:t>.</w:t>
      </w:r>
    </w:p>
    <w:p w14:paraId="55E9D5C6" w14:textId="68284412" w:rsidR="00950151" w:rsidRPr="0062792B" w:rsidRDefault="00950151" w:rsidP="00CA7341">
      <w:pPr>
        <w:pStyle w:val="Heading2"/>
        <w:keepNext/>
        <w:spacing w:before="0"/>
        <w:rPr>
          <w:b/>
          <w:sz w:val="24"/>
          <w:lang w:val="en-US" w:eastAsia="en-AU"/>
        </w:rPr>
      </w:pPr>
      <w:bookmarkStart w:id="3" w:name="_Toc31270538"/>
      <w:r w:rsidRPr="0062792B">
        <w:rPr>
          <w:b/>
          <w:sz w:val="24"/>
          <w:lang w:val="en-US" w:eastAsia="en-AU"/>
        </w:rPr>
        <w:t>Implementation guiding principles</w:t>
      </w:r>
      <w:bookmarkEnd w:id="3"/>
    </w:p>
    <w:p w14:paraId="25668C1F" w14:textId="209BF077" w:rsidR="00240F40" w:rsidRPr="0062792B" w:rsidRDefault="00240F40" w:rsidP="00277E3D">
      <w:pPr>
        <w:rPr>
          <w:rFonts w:asciiTheme="minorHAnsi" w:hAnsiTheme="minorHAnsi" w:cstheme="minorHAnsi"/>
          <w:sz w:val="22"/>
          <w:lang w:val="en-US" w:eastAsia="en-AU"/>
        </w:rPr>
      </w:pPr>
      <w:r w:rsidRPr="0062792B">
        <w:rPr>
          <w:rFonts w:asciiTheme="minorHAnsi" w:hAnsiTheme="minorHAnsi" w:cstheme="minorHAnsi"/>
          <w:sz w:val="22"/>
          <w:lang w:val="en-US" w:eastAsia="en-AU"/>
        </w:rPr>
        <w:t xml:space="preserve"> </w:t>
      </w:r>
      <w:r w:rsidR="00521419" w:rsidRPr="0062792B">
        <w:rPr>
          <w:rFonts w:asciiTheme="minorHAnsi" w:hAnsiTheme="minorHAnsi" w:cstheme="minorHAnsi"/>
          <w:sz w:val="22"/>
          <w:lang w:val="en-US" w:eastAsia="en-AU"/>
        </w:rPr>
        <w:t>The following principles were considered when developing the PRP Implementation Plan:</w:t>
      </w:r>
    </w:p>
    <w:p w14:paraId="4D98470E" w14:textId="2E459C6B" w:rsidR="00950151" w:rsidRPr="0062792B" w:rsidRDefault="00950151" w:rsidP="00950151">
      <w:pPr>
        <w:numPr>
          <w:ilvl w:val="0"/>
          <w:numId w:val="17"/>
        </w:numPr>
        <w:autoSpaceDE w:val="0"/>
        <w:autoSpaceDN w:val="0"/>
        <w:adjustRightInd w:val="0"/>
        <w:spacing w:before="0" w:after="120" w:line="240" w:lineRule="auto"/>
        <w:rPr>
          <w:rFonts w:asciiTheme="minorHAnsi" w:hAnsiTheme="minorHAnsi" w:cstheme="minorHAnsi"/>
          <w:sz w:val="22"/>
        </w:rPr>
      </w:pPr>
      <w:r w:rsidRPr="0062792B">
        <w:rPr>
          <w:rFonts w:asciiTheme="minorHAnsi" w:hAnsiTheme="minorHAnsi" w:cstheme="minorHAnsi"/>
          <w:sz w:val="22"/>
        </w:rPr>
        <w:t xml:space="preserve">Implementation must be practical, widespread, </w:t>
      </w:r>
      <w:r w:rsidR="00273D17" w:rsidRPr="0062792B">
        <w:rPr>
          <w:rFonts w:asciiTheme="minorHAnsi" w:hAnsiTheme="minorHAnsi" w:cstheme="minorHAnsi"/>
          <w:sz w:val="22"/>
        </w:rPr>
        <w:t xml:space="preserve">and </w:t>
      </w:r>
      <w:r w:rsidRPr="0062792B">
        <w:rPr>
          <w:rFonts w:asciiTheme="minorHAnsi" w:hAnsiTheme="minorHAnsi" w:cstheme="minorHAnsi"/>
          <w:sz w:val="22"/>
        </w:rPr>
        <w:t>properly resourced</w:t>
      </w:r>
      <w:r w:rsidR="00273D17" w:rsidRPr="0062792B">
        <w:rPr>
          <w:rFonts w:asciiTheme="minorHAnsi" w:hAnsiTheme="minorHAnsi" w:cstheme="minorHAnsi"/>
          <w:sz w:val="22"/>
        </w:rPr>
        <w:t>.</w:t>
      </w:r>
      <w:r w:rsidRPr="0062792B">
        <w:rPr>
          <w:rFonts w:asciiTheme="minorHAnsi" w:hAnsiTheme="minorHAnsi" w:cstheme="minorHAnsi"/>
          <w:sz w:val="22"/>
        </w:rPr>
        <w:t xml:space="preserve"> </w:t>
      </w:r>
    </w:p>
    <w:p w14:paraId="65EAC351" w14:textId="2E0EA50D" w:rsidR="00950151" w:rsidRPr="0062792B" w:rsidRDefault="00273D17" w:rsidP="00950151">
      <w:pPr>
        <w:numPr>
          <w:ilvl w:val="0"/>
          <w:numId w:val="17"/>
        </w:numPr>
        <w:autoSpaceDE w:val="0"/>
        <w:autoSpaceDN w:val="0"/>
        <w:adjustRightInd w:val="0"/>
        <w:spacing w:before="0" w:after="120" w:line="240" w:lineRule="auto"/>
        <w:rPr>
          <w:rFonts w:asciiTheme="minorHAnsi" w:hAnsiTheme="minorHAnsi" w:cstheme="minorHAnsi"/>
          <w:sz w:val="22"/>
        </w:rPr>
      </w:pPr>
      <w:r w:rsidRPr="0062792B">
        <w:rPr>
          <w:rFonts w:asciiTheme="minorHAnsi" w:hAnsiTheme="minorHAnsi" w:cstheme="minorHAnsi"/>
          <w:sz w:val="22"/>
        </w:rPr>
        <w:t>The</w:t>
      </w:r>
      <w:r w:rsidR="0096756B" w:rsidRPr="0062792B">
        <w:rPr>
          <w:rFonts w:asciiTheme="minorHAnsi" w:hAnsiTheme="minorHAnsi" w:cstheme="minorHAnsi"/>
          <w:sz w:val="22"/>
        </w:rPr>
        <w:t xml:space="preserve"> PRP</w:t>
      </w:r>
      <w:r w:rsidR="00950151" w:rsidRPr="0062792B">
        <w:rPr>
          <w:rFonts w:asciiTheme="minorHAnsi" w:hAnsiTheme="minorHAnsi" w:cstheme="minorHAnsi"/>
          <w:sz w:val="22"/>
        </w:rPr>
        <w:t xml:space="preserve"> must </w:t>
      </w:r>
      <w:r w:rsidRPr="0062792B">
        <w:rPr>
          <w:rFonts w:asciiTheme="minorHAnsi" w:hAnsiTheme="minorHAnsi" w:cstheme="minorHAnsi"/>
          <w:sz w:val="22"/>
        </w:rPr>
        <w:t xml:space="preserve">include stakeholders in an </w:t>
      </w:r>
      <w:r w:rsidR="00950151" w:rsidRPr="0062792B">
        <w:rPr>
          <w:rFonts w:asciiTheme="minorHAnsi" w:hAnsiTheme="minorHAnsi" w:cstheme="minorHAnsi"/>
          <w:sz w:val="22"/>
        </w:rPr>
        <w:t>ongoing process of engagement.</w:t>
      </w:r>
    </w:p>
    <w:p w14:paraId="7A53F574" w14:textId="3B0A188C" w:rsidR="00950151" w:rsidRPr="0062792B" w:rsidRDefault="00950151" w:rsidP="00950151">
      <w:pPr>
        <w:numPr>
          <w:ilvl w:val="0"/>
          <w:numId w:val="17"/>
        </w:numPr>
        <w:autoSpaceDE w:val="0"/>
        <w:autoSpaceDN w:val="0"/>
        <w:adjustRightInd w:val="0"/>
        <w:spacing w:before="0" w:after="120" w:line="240" w:lineRule="auto"/>
        <w:rPr>
          <w:rFonts w:asciiTheme="minorHAnsi" w:hAnsiTheme="minorHAnsi" w:cstheme="minorHAnsi"/>
          <w:sz w:val="22"/>
        </w:rPr>
      </w:pPr>
      <w:r w:rsidRPr="0062792B">
        <w:rPr>
          <w:rFonts w:asciiTheme="minorHAnsi" w:hAnsiTheme="minorHAnsi" w:cstheme="minorHAnsi"/>
          <w:sz w:val="22"/>
        </w:rPr>
        <w:t>The</w:t>
      </w:r>
      <w:r w:rsidR="00273D17" w:rsidRPr="0062792B">
        <w:rPr>
          <w:rFonts w:asciiTheme="minorHAnsi" w:hAnsiTheme="minorHAnsi" w:cstheme="minorHAnsi"/>
          <w:sz w:val="22"/>
        </w:rPr>
        <w:t xml:space="preserve"> </w:t>
      </w:r>
      <w:r w:rsidR="0096756B" w:rsidRPr="0062792B">
        <w:rPr>
          <w:rFonts w:asciiTheme="minorHAnsi" w:hAnsiTheme="minorHAnsi" w:cstheme="minorHAnsi"/>
          <w:sz w:val="22"/>
        </w:rPr>
        <w:t>PRP</w:t>
      </w:r>
      <w:r w:rsidR="00273D17" w:rsidRPr="0062792B">
        <w:rPr>
          <w:rFonts w:asciiTheme="minorHAnsi" w:hAnsiTheme="minorHAnsi" w:cstheme="minorHAnsi"/>
          <w:sz w:val="22"/>
        </w:rPr>
        <w:t xml:space="preserve"> </w:t>
      </w:r>
      <w:r w:rsidRPr="0062792B">
        <w:rPr>
          <w:rFonts w:asciiTheme="minorHAnsi" w:hAnsiTheme="minorHAnsi" w:cstheme="minorHAnsi"/>
          <w:sz w:val="22"/>
        </w:rPr>
        <w:t>should be fully and effectively mo</w:t>
      </w:r>
      <w:r w:rsidR="0096756B" w:rsidRPr="0062792B">
        <w:rPr>
          <w:rFonts w:asciiTheme="minorHAnsi" w:hAnsiTheme="minorHAnsi" w:cstheme="minorHAnsi"/>
          <w:sz w:val="22"/>
        </w:rPr>
        <w:t xml:space="preserve">nitored and evaluated both at </w:t>
      </w:r>
      <w:r w:rsidRPr="0062792B">
        <w:rPr>
          <w:rFonts w:asciiTheme="minorHAnsi" w:hAnsiTheme="minorHAnsi" w:cstheme="minorHAnsi"/>
          <w:sz w:val="22"/>
        </w:rPr>
        <w:t>fixed time</w:t>
      </w:r>
      <w:r w:rsidR="0096756B" w:rsidRPr="0062792B">
        <w:rPr>
          <w:rFonts w:asciiTheme="minorHAnsi" w:hAnsiTheme="minorHAnsi" w:cstheme="minorHAnsi"/>
          <w:sz w:val="22"/>
        </w:rPr>
        <w:t xml:space="preserve"> points</w:t>
      </w:r>
      <w:r w:rsidRPr="0062792B">
        <w:rPr>
          <w:rFonts w:asciiTheme="minorHAnsi" w:hAnsiTheme="minorHAnsi" w:cstheme="minorHAnsi"/>
          <w:sz w:val="22"/>
        </w:rPr>
        <w:t xml:space="preserve"> and on an ongoing bas</w:t>
      </w:r>
      <w:r w:rsidR="009D7894" w:rsidRPr="0062792B">
        <w:rPr>
          <w:rFonts w:asciiTheme="minorHAnsi" w:hAnsiTheme="minorHAnsi" w:cstheme="minorHAnsi"/>
          <w:sz w:val="22"/>
        </w:rPr>
        <w:t>is</w:t>
      </w:r>
      <w:r w:rsidRPr="0062792B">
        <w:rPr>
          <w:rFonts w:asciiTheme="minorHAnsi" w:hAnsiTheme="minorHAnsi" w:cstheme="minorHAnsi"/>
          <w:sz w:val="22"/>
        </w:rPr>
        <w:t>.</w:t>
      </w:r>
    </w:p>
    <w:p w14:paraId="5F583294" w14:textId="5DCC428A" w:rsidR="00950151" w:rsidRPr="0062792B" w:rsidRDefault="00950151" w:rsidP="0096756B">
      <w:pPr>
        <w:numPr>
          <w:ilvl w:val="0"/>
          <w:numId w:val="17"/>
        </w:numPr>
        <w:autoSpaceDE w:val="0"/>
        <w:autoSpaceDN w:val="0"/>
        <w:adjustRightInd w:val="0"/>
        <w:spacing w:before="0" w:after="120" w:line="240" w:lineRule="auto"/>
        <w:rPr>
          <w:rFonts w:asciiTheme="minorHAnsi" w:hAnsiTheme="minorHAnsi" w:cstheme="minorHAnsi"/>
          <w:sz w:val="22"/>
        </w:rPr>
      </w:pPr>
      <w:r w:rsidRPr="0062792B">
        <w:rPr>
          <w:rFonts w:asciiTheme="minorHAnsi" w:hAnsiTheme="minorHAnsi" w:cstheme="minorHAnsi"/>
          <w:sz w:val="22"/>
        </w:rPr>
        <w:t>Implementation should include</w:t>
      </w:r>
      <w:r w:rsidR="00273D17" w:rsidRPr="0062792B">
        <w:rPr>
          <w:rFonts w:asciiTheme="minorHAnsi" w:hAnsiTheme="minorHAnsi" w:cstheme="minorHAnsi"/>
          <w:sz w:val="22"/>
        </w:rPr>
        <w:t xml:space="preserve"> risk management strategies,</w:t>
      </w:r>
      <w:r w:rsidR="009D7894" w:rsidRPr="0062792B">
        <w:rPr>
          <w:rFonts w:asciiTheme="minorHAnsi" w:hAnsiTheme="minorHAnsi" w:cstheme="minorHAnsi"/>
          <w:sz w:val="22"/>
        </w:rPr>
        <w:t xml:space="preserve"> as</w:t>
      </w:r>
      <w:r w:rsidR="00273D17" w:rsidRPr="0062792B">
        <w:rPr>
          <w:rFonts w:asciiTheme="minorHAnsi" w:hAnsiTheme="minorHAnsi" w:cstheme="minorHAnsi"/>
          <w:sz w:val="22"/>
        </w:rPr>
        <w:t xml:space="preserve"> informed by risk analysis.  </w:t>
      </w:r>
    </w:p>
    <w:p w14:paraId="2FC74A7E" w14:textId="037B6BB5" w:rsidR="00EE3DE3" w:rsidRPr="0062792B" w:rsidRDefault="00EE3DE3" w:rsidP="00CB061E">
      <w:pPr>
        <w:pStyle w:val="Heading1"/>
        <w:spacing w:before="600"/>
        <w:rPr>
          <w:sz w:val="36"/>
        </w:rPr>
      </w:pPr>
      <w:bookmarkStart w:id="4" w:name="_Toc31270539"/>
      <w:r w:rsidRPr="0062792B">
        <w:rPr>
          <w:sz w:val="36"/>
        </w:rPr>
        <w:lastRenderedPageBreak/>
        <w:t>Implementation Timeline</w:t>
      </w:r>
      <w:bookmarkEnd w:id="4"/>
    </w:p>
    <w:p w14:paraId="738D0528" w14:textId="3B9E3DB6" w:rsidR="00EE3DE3" w:rsidRPr="0062792B" w:rsidRDefault="00EE3DE3" w:rsidP="00CE5E55">
      <w:pPr>
        <w:pStyle w:val="Heading2"/>
        <w:spacing w:before="0" w:after="0"/>
        <w:rPr>
          <w:b/>
          <w:sz w:val="24"/>
          <w:lang w:val="en-US" w:eastAsia="en-AU"/>
        </w:rPr>
      </w:pPr>
      <w:bookmarkStart w:id="5" w:name="_Toc31270540"/>
      <w:r w:rsidRPr="0062792B">
        <w:rPr>
          <w:b/>
          <w:sz w:val="24"/>
          <w:lang w:val="en-US" w:eastAsia="en-AU"/>
        </w:rPr>
        <w:t>Wave 1</w:t>
      </w:r>
      <w:bookmarkEnd w:id="5"/>
    </w:p>
    <w:tbl>
      <w:tblPr>
        <w:tblStyle w:val="TableGrid"/>
        <w:tblW w:w="0" w:type="auto"/>
        <w:tblLook w:val="04A0" w:firstRow="1" w:lastRow="0" w:firstColumn="1" w:lastColumn="0" w:noHBand="0" w:noVBand="1"/>
        <w:tblCaption w:val="Implementation Timeline for Wave 1"/>
        <w:tblDescription w:val="This table has two columns. The first lists the Milestone and the second lists the expected date of completion."/>
      </w:tblPr>
      <w:tblGrid>
        <w:gridCol w:w="7308"/>
        <w:gridCol w:w="2710"/>
      </w:tblGrid>
      <w:tr w:rsidR="00EE3DE3" w14:paraId="5EC0695C" w14:textId="77777777" w:rsidTr="00DC7A8F">
        <w:trPr>
          <w:trHeight w:val="397"/>
          <w:tblHeader/>
        </w:trPr>
        <w:tc>
          <w:tcPr>
            <w:tcW w:w="7308" w:type="dxa"/>
            <w:vAlign w:val="center"/>
          </w:tcPr>
          <w:p w14:paraId="607EE684" w14:textId="6E5A3650" w:rsidR="00EE3DE3" w:rsidRPr="0062792B" w:rsidRDefault="00EE3DE3" w:rsidP="00EE3DE3">
            <w:pPr>
              <w:spacing w:before="0"/>
              <w:jc w:val="center"/>
              <w:rPr>
                <w:rFonts w:asciiTheme="minorHAnsi" w:hAnsiTheme="minorHAnsi" w:cstheme="minorHAnsi"/>
                <w:b/>
                <w:sz w:val="22"/>
                <w:szCs w:val="24"/>
                <w:lang w:val="en-US" w:eastAsia="en-AU"/>
              </w:rPr>
            </w:pPr>
            <w:r w:rsidRPr="0062792B">
              <w:rPr>
                <w:rFonts w:asciiTheme="minorHAnsi" w:hAnsiTheme="minorHAnsi" w:cstheme="minorHAnsi"/>
                <w:b/>
                <w:sz w:val="22"/>
                <w:szCs w:val="24"/>
                <w:lang w:val="en-US" w:eastAsia="en-AU"/>
              </w:rPr>
              <w:t>Milestone</w:t>
            </w:r>
          </w:p>
        </w:tc>
        <w:tc>
          <w:tcPr>
            <w:tcW w:w="2710" w:type="dxa"/>
            <w:vAlign w:val="center"/>
          </w:tcPr>
          <w:p w14:paraId="7F5E466B" w14:textId="2F56C9B3" w:rsidR="00EE3DE3" w:rsidRPr="0062792B" w:rsidRDefault="00EE3DE3" w:rsidP="00EE3DE3">
            <w:pPr>
              <w:spacing w:before="0"/>
              <w:jc w:val="center"/>
              <w:rPr>
                <w:rFonts w:asciiTheme="minorHAnsi" w:hAnsiTheme="minorHAnsi" w:cstheme="minorHAnsi"/>
                <w:b/>
                <w:sz w:val="22"/>
                <w:szCs w:val="24"/>
                <w:lang w:val="en-US" w:eastAsia="en-AU"/>
              </w:rPr>
            </w:pPr>
            <w:r w:rsidRPr="0062792B">
              <w:rPr>
                <w:rFonts w:asciiTheme="minorHAnsi" w:hAnsiTheme="minorHAnsi" w:cstheme="minorHAnsi"/>
                <w:b/>
                <w:sz w:val="22"/>
                <w:szCs w:val="24"/>
                <w:lang w:val="en-US" w:eastAsia="en-AU"/>
              </w:rPr>
              <w:t>Date</w:t>
            </w:r>
          </w:p>
        </w:tc>
      </w:tr>
      <w:tr w:rsidR="00EE3DE3" w14:paraId="3A1211DE" w14:textId="77777777" w:rsidTr="00EE3DE3">
        <w:trPr>
          <w:trHeight w:val="397"/>
        </w:trPr>
        <w:tc>
          <w:tcPr>
            <w:tcW w:w="7308" w:type="dxa"/>
          </w:tcPr>
          <w:p w14:paraId="1696DD3E" w14:textId="022669C7"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Targets endorsed</w:t>
            </w:r>
          </w:p>
        </w:tc>
        <w:tc>
          <w:tcPr>
            <w:tcW w:w="2710" w:type="dxa"/>
          </w:tcPr>
          <w:p w14:paraId="34B25FCD" w14:textId="6E92B1AD"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 xml:space="preserve">14 February 2020 </w:t>
            </w:r>
          </w:p>
        </w:tc>
      </w:tr>
      <w:tr w:rsidR="00EE3DE3" w14:paraId="5267BCD6" w14:textId="77777777" w:rsidTr="00EE3DE3">
        <w:trPr>
          <w:trHeight w:val="397"/>
        </w:trPr>
        <w:tc>
          <w:tcPr>
            <w:tcW w:w="7308" w:type="dxa"/>
          </w:tcPr>
          <w:p w14:paraId="624435AE" w14:textId="15F0EA71"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Targets announced</w:t>
            </w:r>
          </w:p>
        </w:tc>
        <w:tc>
          <w:tcPr>
            <w:tcW w:w="2710" w:type="dxa"/>
          </w:tcPr>
          <w:p w14:paraId="6DCC51B7" w14:textId="64E1BB11" w:rsidR="00EE3DE3" w:rsidRPr="0062792B" w:rsidRDefault="00970DF9"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April</w:t>
            </w:r>
            <w:r w:rsidR="00EE3DE3" w:rsidRPr="0062792B">
              <w:rPr>
                <w:rFonts w:asciiTheme="minorHAnsi" w:hAnsiTheme="minorHAnsi" w:cstheme="minorHAnsi"/>
                <w:sz w:val="22"/>
                <w:szCs w:val="24"/>
              </w:rPr>
              <w:t xml:space="preserve"> 2020 </w:t>
            </w:r>
          </w:p>
        </w:tc>
      </w:tr>
      <w:tr w:rsidR="00EE3DE3" w14:paraId="1A4A69E3" w14:textId="77777777" w:rsidTr="00EE3DE3">
        <w:trPr>
          <w:trHeight w:val="397"/>
        </w:trPr>
        <w:tc>
          <w:tcPr>
            <w:tcW w:w="7308" w:type="dxa"/>
          </w:tcPr>
          <w:p w14:paraId="70C4322F" w14:textId="650FDBBA"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Implementation plan agreed</w:t>
            </w:r>
          </w:p>
        </w:tc>
        <w:tc>
          <w:tcPr>
            <w:tcW w:w="2710" w:type="dxa"/>
          </w:tcPr>
          <w:p w14:paraId="31C62A1D" w14:textId="42D26BCB" w:rsidR="00EE3DE3" w:rsidRPr="0062792B" w:rsidRDefault="00970DF9"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April</w:t>
            </w:r>
            <w:r w:rsidR="00EE3DE3" w:rsidRPr="0062792B">
              <w:rPr>
                <w:rFonts w:asciiTheme="minorHAnsi" w:hAnsiTheme="minorHAnsi" w:cstheme="minorHAnsi"/>
                <w:sz w:val="22"/>
                <w:szCs w:val="24"/>
              </w:rPr>
              <w:t xml:space="preserve"> 2020 </w:t>
            </w:r>
          </w:p>
        </w:tc>
      </w:tr>
      <w:tr w:rsidR="00EE3DE3" w14:paraId="21F0A517" w14:textId="77777777" w:rsidTr="00EE3DE3">
        <w:trPr>
          <w:trHeight w:val="397"/>
        </w:trPr>
        <w:tc>
          <w:tcPr>
            <w:tcW w:w="7308" w:type="dxa"/>
          </w:tcPr>
          <w:p w14:paraId="33CCEAA7" w14:textId="051AF643"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All companies contacted and commitment obtained</w:t>
            </w:r>
          </w:p>
        </w:tc>
        <w:tc>
          <w:tcPr>
            <w:tcW w:w="2710" w:type="dxa"/>
          </w:tcPr>
          <w:p w14:paraId="5752E38E" w14:textId="1D7E24D0"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By</w:t>
            </w:r>
            <w:r w:rsidR="00970DF9" w:rsidRPr="0062792B">
              <w:rPr>
                <w:rFonts w:asciiTheme="minorHAnsi" w:hAnsiTheme="minorHAnsi" w:cstheme="minorHAnsi"/>
                <w:sz w:val="22"/>
                <w:szCs w:val="24"/>
              </w:rPr>
              <w:t xml:space="preserve"> June</w:t>
            </w:r>
            <w:r w:rsidRPr="0062792B">
              <w:rPr>
                <w:rFonts w:asciiTheme="minorHAnsi" w:hAnsiTheme="minorHAnsi" w:cstheme="minorHAnsi"/>
                <w:sz w:val="22"/>
                <w:szCs w:val="24"/>
              </w:rPr>
              <w:t xml:space="preserve"> 2020 </w:t>
            </w:r>
          </w:p>
        </w:tc>
      </w:tr>
      <w:tr w:rsidR="00EE3DE3" w14:paraId="622D4FFF" w14:textId="77777777" w:rsidTr="00EE3DE3">
        <w:trPr>
          <w:trHeight w:val="397"/>
        </w:trPr>
        <w:tc>
          <w:tcPr>
            <w:tcW w:w="7308" w:type="dxa"/>
          </w:tcPr>
          <w:p w14:paraId="27FA296A" w14:textId="676E35E3"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4 year implementation period begins</w:t>
            </w:r>
          </w:p>
        </w:tc>
        <w:tc>
          <w:tcPr>
            <w:tcW w:w="2710" w:type="dxa"/>
          </w:tcPr>
          <w:p w14:paraId="43139AFA" w14:textId="0A436A49"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1 July 2020</w:t>
            </w:r>
          </w:p>
        </w:tc>
      </w:tr>
      <w:tr w:rsidR="00EE3DE3" w14:paraId="457E5511" w14:textId="77777777" w:rsidTr="00EE3DE3">
        <w:trPr>
          <w:trHeight w:val="397"/>
        </w:trPr>
        <w:tc>
          <w:tcPr>
            <w:tcW w:w="7308" w:type="dxa"/>
          </w:tcPr>
          <w:p w14:paraId="7F62C80B" w14:textId="532CAC02"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eastAsia="en-AU"/>
              </w:rPr>
              <w:t xml:space="preserve">2 year progress due to the Implementation Monitoring and Evaluation Reference Group (IMERG) </w:t>
            </w:r>
          </w:p>
        </w:tc>
        <w:tc>
          <w:tcPr>
            <w:tcW w:w="2710" w:type="dxa"/>
          </w:tcPr>
          <w:p w14:paraId="0BA1491B" w14:textId="3AA35D0E"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val="en-US" w:eastAsia="en-AU"/>
              </w:rPr>
              <w:t>30 June 2022</w:t>
            </w:r>
          </w:p>
        </w:tc>
      </w:tr>
      <w:tr w:rsidR="00EE3DE3" w14:paraId="6DEEC671" w14:textId="77777777" w:rsidTr="00EE3DE3">
        <w:trPr>
          <w:trHeight w:val="397"/>
        </w:trPr>
        <w:tc>
          <w:tcPr>
            <w:tcW w:w="7308" w:type="dxa"/>
          </w:tcPr>
          <w:p w14:paraId="1A92593A" w14:textId="5295ED2E"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val="en-US" w:eastAsia="en-AU"/>
              </w:rPr>
              <w:t xml:space="preserve">Department to hold mid-implementation Stakeholder roundtables </w:t>
            </w:r>
          </w:p>
        </w:tc>
        <w:tc>
          <w:tcPr>
            <w:tcW w:w="2710" w:type="dxa"/>
          </w:tcPr>
          <w:p w14:paraId="7B75B6B2" w14:textId="76AB0D43" w:rsidR="00EE3DE3" w:rsidRPr="0062792B" w:rsidRDefault="003A6794"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val="en-US" w:eastAsia="en-AU"/>
              </w:rPr>
              <w:t>August</w:t>
            </w:r>
            <w:r w:rsidR="00EE3DE3" w:rsidRPr="0062792B">
              <w:rPr>
                <w:rFonts w:asciiTheme="minorHAnsi" w:hAnsiTheme="minorHAnsi" w:cstheme="minorHAnsi"/>
                <w:sz w:val="22"/>
                <w:szCs w:val="24"/>
                <w:lang w:val="en-US" w:eastAsia="en-AU"/>
              </w:rPr>
              <w:t xml:space="preserve"> 2022</w:t>
            </w:r>
          </w:p>
        </w:tc>
      </w:tr>
      <w:tr w:rsidR="00EE3DE3" w14:paraId="05BF1974" w14:textId="77777777" w:rsidTr="00EE3DE3">
        <w:trPr>
          <w:trHeight w:val="397"/>
        </w:trPr>
        <w:tc>
          <w:tcPr>
            <w:tcW w:w="7308" w:type="dxa"/>
          </w:tcPr>
          <w:p w14:paraId="19444EFF" w14:textId="10F42D73"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eastAsia="en-AU"/>
              </w:rPr>
              <w:t xml:space="preserve">4 year progress due to the Implementation Monitoring and Evaluation Reference Group (IMERG) </w:t>
            </w:r>
          </w:p>
        </w:tc>
        <w:tc>
          <w:tcPr>
            <w:tcW w:w="2710" w:type="dxa"/>
          </w:tcPr>
          <w:p w14:paraId="6C975C5C" w14:textId="07AF9118" w:rsidR="00EE3DE3" w:rsidRPr="0062792B" w:rsidRDefault="00EE3DE3" w:rsidP="00EE3DE3">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val="en-US" w:eastAsia="en-AU"/>
              </w:rPr>
              <w:t>30 June 2024</w:t>
            </w:r>
          </w:p>
        </w:tc>
      </w:tr>
      <w:tr w:rsidR="00EE3DE3" w14:paraId="62758C39" w14:textId="77777777" w:rsidTr="00EE3DE3">
        <w:trPr>
          <w:trHeight w:val="397"/>
        </w:trPr>
        <w:tc>
          <w:tcPr>
            <w:tcW w:w="7308" w:type="dxa"/>
          </w:tcPr>
          <w:p w14:paraId="1707891F" w14:textId="47F9AD70" w:rsidR="00EE3DE3" w:rsidRPr="0062792B" w:rsidRDefault="00EE3DE3" w:rsidP="00EE3DE3">
            <w:pPr>
              <w:spacing w:before="0"/>
              <w:rPr>
                <w:rFonts w:asciiTheme="minorHAnsi" w:hAnsiTheme="minorHAnsi" w:cstheme="minorHAnsi"/>
                <w:sz w:val="22"/>
                <w:lang w:eastAsia="en-AU"/>
              </w:rPr>
            </w:pPr>
            <w:r w:rsidRPr="0062792B">
              <w:rPr>
                <w:rFonts w:asciiTheme="minorHAnsi" w:hAnsiTheme="minorHAnsi" w:cstheme="minorHAnsi"/>
                <w:sz w:val="22"/>
                <w:lang w:eastAsia="en-AU"/>
              </w:rPr>
              <w:t>Commence evaluation of Partnership Reformulation Program</w:t>
            </w:r>
          </w:p>
        </w:tc>
        <w:tc>
          <w:tcPr>
            <w:tcW w:w="2710" w:type="dxa"/>
          </w:tcPr>
          <w:p w14:paraId="172430EC" w14:textId="0BBD3F67" w:rsidR="00EE3DE3" w:rsidRPr="0062792B" w:rsidRDefault="00EE3DE3" w:rsidP="00EE3DE3">
            <w:pPr>
              <w:spacing w:before="0"/>
              <w:rPr>
                <w:rFonts w:asciiTheme="minorHAnsi" w:hAnsiTheme="minorHAnsi" w:cstheme="minorHAnsi"/>
                <w:sz w:val="22"/>
                <w:lang w:val="en-US" w:eastAsia="en-AU"/>
              </w:rPr>
            </w:pPr>
            <w:r w:rsidRPr="0062792B">
              <w:rPr>
                <w:rFonts w:asciiTheme="minorHAnsi" w:hAnsiTheme="minorHAnsi" w:cstheme="minorHAnsi"/>
                <w:sz w:val="22"/>
                <w:lang w:val="en-US" w:eastAsia="en-AU"/>
              </w:rPr>
              <w:t>July – December 2024</w:t>
            </w:r>
          </w:p>
        </w:tc>
      </w:tr>
    </w:tbl>
    <w:p w14:paraId="0FB4DF74" w14:textId="77777777" w:rsidR="00970DF9" w:rsidRDefault="00970DF9" w:rsidP="00EE3DE3">
      <w:pPr>
        <w:rPr>
          <w:lang w:val="en-US" w:eastAsia="en-AU"/>
        </w:rPr>
      </w:pPr>
    </w:p>
    <w:p w14:paraId="592F9836" w14:textId="02F3DC29" w:rsidR="00EE3DE3" w:rsidRPr="0062792B" w:rsidRDefault="00EE3DE3" w:rsidP="00CE5E55">
      <w:pPr>
        <w:pStyle w:val="Heading2"/>
        <w:spacing w:before="0" w:after="0"/>
        <w:rPr>
          <w:b/>
          <w:sz w:val="24"/>
          <w:lang w:val="en-US" w:eastAsia="en-AU"/>
        </w:rPr>
      </w:pPr>
      <w:bookmarkStart w:id="6" w:name="_Toc31270541"/>
      <w:r w:rsidRPr="0062792B">
        <w:rPr>
          <w:b/>
          <w:sz w:val="24"/>
          <w:lang w:val="en-US" w:eastAsia="en-AU"/>
        </w:rPr>
        <w:t>Wave 2</w:t>
      </w:r>
      <w:bookmarkEnd w:id="6"/>
    </w:p>
    <w:tbl>
      <w:tblPr>
        <w:tblStyle w:val="TableGrid"/>
        <w:tblW w:w="0" w:type="auto"/>
        <w:tblLook w:val="04A0" w:firstRow="1" w:lastRow="0" w:firstColumn="1" w:lastColumn="0" w:noHBand="0" w:noVBand="1"/>
        <w:tblCaption w:val="Implementation Timeline - Wave 2"/>
        <w:tblDescription w:val="This table has two columns. The first lists the Milestone and the second lists the expected date of completion."/>
      </w:tblPr>
      <w:tblGrid>
        <w:gridCol w:w="7308"/>
        <w:gridCol w:w="2710"/>
      </w:tblGrid>
      <w:tr w:rsidR="00EE3DE3" w14:paraId="2163814C" w14:textId="77777777" w:rsidTr="00DC7A8F">
        <w:trPr>
          <w:trHeight w:val="397"/>
          <w:tblHeader/>
        </w:trPr>
        <w:tc>
          <w:tcPr>
            <w:tcW w:w="7308" w:type="dxa"/>
            <w:vAlign w:val="center"/>
          </w:tcPr>
          <w:p w14:paraId="50A51AA4" w14:textId="77777777" w:rsidR="00EE3DE3" w:rsidRPr="0062792B" w:rsidRDefault="00EE3DE3" w:rsidP="00F624C2">
            <w:pPr>
              <w:spacing w:before="0"/>
              <w:jc w:val="center"/>
              <w:rPr>
                <w:rFonts w:asciiTheme="minorHAnsi" w:hAnsiTheme="minorHAnsi" w:cstheme="minorHAnsi"/>
                <w:b/>
                <w:sz w:val="22"/>
                <w:szCs w:val="24"/>
                <w:lang w:val="en-US" w:eastAsia="en-AU"/>
              </w:rPr>
            </w:pPr>
            <w:r w:rsidRPr="0062792B">
              <w:rPr>
                <w:rFonts w:asciiTheme="minorHAnsi" w:hAnsiTheme="minorHAnsi" w:cstheme="minorHAnsi"/>
                <w:b/>
                <w:sz w:val="22"/>
                <w:szCs w:val="24"/>
                <w:lang w:val="en-US" w:eastAsia="en-AU"/>
              </w:rPr>
              <w:t>Milestone</w:t>
            </w:r>
          </w:p>
        </w:tc>
        <w:tc>
          <w:tcPr>
            <w:tcW w:w="2710" w:type="dxa"/>
            <w:vAlign w:val="center"/>
          </w:tcPr>
          <w:p w14:paraId="68FBDD3E" w14:textId="77777777" w:rsidR="00EE3DE3" w:rsidRPr="0062792B" w:rsidRDefault="00EE3DE3" w:rsidP="00F624C2">
            <w:pPr>
              <w:spacing w:before="0"/>
              <w:jc w:val="center"/>
              <w:rPr>
                <w:rFonts w:asciiTheme="minorHAnsi" w:hAnsiTheme="minorHAnsi" w:cstheme="minorHAnsi"/>
                <w:b/>
                <w:sz w:val="22"/>
                <w:szCs w:val="24"/>
                <w:lang w:val="en-US" w:eastAsia="en-AU"/>
              </w:rPr>
            </w:pPr>
            <w:r w:rsidRPr="0062792B">
              <w:rPr>
                <w:rFonts w:asciiTheme="minorHAnsi" w:hAnsiTheme="minorHAnsi" w:cstheme="minorHAnsi"/>
                <w:b/>
                <w:sz w:val="22"/>
                <w:szCs w:val="24"/>
                <w:lang w:val="en-US" w:eastAsia="en-AU"/>
              </w:rPr>
              <w:t>Date</w:t>
            </w:r>
          </w:p>
        </w:tc>
      </w:tr>
      <w:tr w:rsidR="00EE3DE3" w14:paraId="17815C5B" w14:textId="77777777" w:rsidTr="00F624C2">
        <w:trPr>
          <w:trHeight w:val="397"/>
        </w:trPr>
        <w:tc>
          <w:tcPr>
            <w:tcW w:w="7308" w:type="dxa"/>
          </w:tcPr>
          <w:p w14:paraId="0163F80F" w14:textId="77777777" w:rsidR="00EE3DE3" w:rsidRPr="0062792B" w:rsidRDefault="00EE3DE3" w:rsidP="00F624C2">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Targets endorsed</w:t>
            </w:r>
          </w:p>
        </w:tc>
        <w:tc>
          <w:tcPr>
            <w:tcW w:w="2710" w:type="dxa"/>
          </w:tcPr>
          <w:p w14:paraId="73301ACF" w14:textId="5649D1B6" w:rsidR="00EE3DE3" w:rsidRPr="0062792B" w:rsidRDefault="008D4961" w:rsidP="00F624C2">
            <w:pPr>
              <w:spacing w:before="0"/>
              <w:rPr>
                <w:rFonts w:asciiTheme="minorHAnsi" w:hAnsiTheme="minorHAnsi" w:cstheme="minorHAnsi"/>
                <w:sz w:val="22"/>
                <w:szCs w:val="24"/>
                <w:lang w:val="en-US" w:eastAsia="en-AU"/>
              </w:rPr>
            </w:pPr>
            <w:r>
              <w:rPr>
                <w:rFonts w:asciiTheme="minorHAnsi" w:hAnsiTheme="minorHAnsi" w:cstheme="minorHAnsi"/>
                <w:sz w:val="22"/>
                <w:szCs w:val="24"/>
              </w:rPr>
              <w:t xml:space="preserve">19 </w:t>
            </w:r>
            <w:r w:rsidR="0062792B" w:rsidRPr="0062792B">
              <w:rPr>
                <w:rFonts w:asciiTheme="minorHAnsi" w:hAnsiTheme="minorHAnsi" w:cstheme="minorHAnsi"/>
                <w:sz w:val="22"/>
                <w:szCs w:val="24"/>
              </w:rPr>
              <w:t>March 2021</w:t>
            </w:r>
            <w:r w:rsidR="00EE3DE3" w:rsidRPr="0062792B">
              <w:rPr>
                <w:rFonts w:asciiTheme="minorHAnsi" w:hAnsiTheme="minorHAnsi" w:cstheme="minorHAnsi"/>
                <w:sz w:val="22"/>
                <w:szCs w:val="24"/>
              </w:rPr>
              <w:t xml:space="preserve"> </w:t>
            </w:r>
          </w:p>
        </w:tc>
      </w:tr>
      <w:tr w:rsidR="00EE3DE3" w14:paraId="5EA0A293" w14:textId="77777777" w:rsidTr="00F624C2">
        <w:trPr>
          <w:trHeight w:val="397"/>
        </w:trPr>
        <w:tc>
          <w:tcPr>
            <w:tcW w:w="7308" w:type="dxa"/>
          </w:tcPr>
          <w:p w14:paraId="58C0D650" w14:textId="77777777" w:rsidR="00EE3DE3" w:rsidRPr="0062792B" w:rsidRDefault="00EE3DE3" w:rsidP="00F624C2">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Targets announced</w:t>
            </w:r>
          </w:p>
        </w:tc>
        <w:tc>
          <w:tcPr>
            <w:tcW w:w="2710" w:type="dxa"/>
          </w:tcPr>
          <w:p w14:paraId="78EAB14C" w14:textId="561ADCF1" w:rsidR="00EE3DE3" w:rsidRPr="0062792B" w:rsidRDefault="002F5549" w:rsidP="00A66706">
            <w:pPr>
              <w:spacing w:before="0"/>
              <w:rPr>
                <w:rFonts w:asciiTheme="minorHAnsi" w:hAnsiTheme="minorHAnsi" w:cstheme="minorHAnsi"/>
                <w:sz w:val="22"/>
                <w:szCs w:val="24"/>
                <w:lang w:val="en-US" w:eastAsia="en-AU"/>
              </w:rPr>
            </w:pPr>
            <w:r>
              <w:rPr>
                <w:rFonts w:asciiTheme="minorHAnsi" w:hAnsiTheme="minorHAnsi" w:cstheme="minorHAnsi"/>
                <w:sz w:val="22"/>
                <w:szCs w:val="24"/>
              </w:rPr>
              <w:t>April</w:t>
            </w:r>
            <w:r w:rsidR="0062792B" w:rsidRPr="0062792B">
              <w:rPr>
                <w:rFonts w:asciiTheme="minorHAnsi" w:hAnsiTheme="minorHAnsi" w:cstheme="minorHAnsi"/>
                <w:sz w:val="22"/>
                <w:szCs w:val="24"/>
              </w:rPr>
              <w:t xml:space="preserve"> 2021</w:t>
            </w:r>
          </w:p>
        </w:tc>
      </w:tr>
      <w:tr w:rsidR="00EE3DE3" w14:paraId="043CF21F" w14:textId="77777777" w:rsidTr="00F624C2">
        <w:trPr>
          <w:trHeight w:val="397"/>
        </w:trPr>
        <w:tc>
          <w:tcPr>
            <w:tcW w:w="7308" w:type="dxa"/>
          </w:tcPr>
          <w:p w14:paraId="2294D09B" w14:textId="77777777" w:rsidR="00EE3DE3" w:rsidRPr="0062792B" w:rsidRDefault="00EE3DE3" w:rsidP="00F624C2">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All companies contacted and commitment obtained</w:t>
            </w:r>
          </w:p>
        </w:tc>
        <w:tc>
          <w:tcPr>
            <w:tcW w:w="2710" w:type="dxa"/>
          </w:tcPr>
          <w:p w14:paraId="421394B6" w14:textId="79C4D083" w:rsidR="00EE3DE3" w:rsidRPr="0062792B" w:rsidRDefault="0062792B" w:rsidP="0062792B">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 xml:space="preserve">End </w:t>
            </w:r>
            <w:r w:rsidR="00B853FF" w:rsidRPr="0062792B">
              <w:rPr>
                <w:rFonts w:asciiTheme="minorHAnsi" w:hAnsiTheme="minorHAnsi" w:cstheme="minorHAnsi"/>
                <w:sz w:val="22"/>
                <w:szCs w:val="24"/>
              </w:rPr>
              <w:t>J</w:t>
            </w:r>
            <w:r w:rsidRPr="0062792B">
              <w:rPr>
                <w:rFonts w:asciiTheme="minorHAnsi" w:hAnsiTheme="minorHAnsi" w:cstheme="minorHAnsi"/>
                <w:sz w:val="22"/>
                <w:szCs w:val="24"/>
              </w:rPr>
              <w:t>une</w:t>
            </w:r>
            <w:r w:rsidR="00B853FF" w:rsidRPr="0062792B">
              <w:rPr>
                <w:rFonts w:asciiTheme="minorHAnsi" w:hAnsiTheme="minorHAnsi" w:cstheme="minorHAnsi"/>
                <w:sz w:val="22"/>
                <w:szCs w:val="24"/>
              </w:rPr>
              <w:t xml:space="preserve"> 2021</w:t>
            </w:r>
            <w:r w:rsidR="00EE3DE3" w:rsidRPr="0062792B">
              <w:rPr>
                <w:rFonts w:asciiTheme="minorHAnsi" w:hAnsiTheme="minorHAnsi" w:cstheme="minorHAnsi"/>
                <w:sz w:val="22"/>
                <w:szCs w:val="24"/>
              </w:rPr>
              <w:t xml:space="preserve"> </w:t>
            </w:r>
          </w:p>
        </w:tc>
      </w:tr>
      <w:tr w:rsidR="00EE3DE3" w14:paraId="4BBB4DB5" w14:textId="77777777" w:rsidTr="00F624C2">
        <w:trPr>
          <w:trHeight w:val="397"/>
        </w:trPr>
        <w:tc>
          <w:tcPr>
            <w:tcW w:w="7308" w:type="dxa"/>
          </w:tcPr>
          <w:p w14:paraId="3121473C" w14:textId="77777777" w:rsidR="00EE3DE3" w:rsidRPr="0062792B" w:rsidRDefault="00EE3DE3" w:rsidP="00F624C2">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4 year implementation period begins</w:t>
            </w:r>
          </w:p>
        </w:tc>
        <w:tc>
          <w:tcPr>
            <w:tcW w:w="2710" w:type="dxa"/>
          </w:tcPr>
          <w:p w14:paraId="64B69692" w14:textId="641BC663" w:rsidR="00EE3DE3" w:rsidRPr="0062792B" w:rsidRDefault="0062792B" w:rsidP="00F624C2">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rPr>
              <w:t>1 July 2021</w:t>
            </w:r>
          </w:p>
        </w:tc>
      </w:tr>
      <w:tr w:rsidR="00EE3DE3" w14:paraId="17973871" w14:textId="77777777" w:rsidTr="00F624C2">
        <w:trPr>
          <w:trHeight w:val="397"/>
        </w:trPr>
        <w:tc>
          <w:tcPr>
            <w:tcW w:w="7308" w:type="dxa"/>
          </w:tcPr>
          <w:p w14:paraId="6BA0FD75" w14:textId="77777777" w:rsidR="00EE3DE3" w:rsidRPr="0062792B" w:rsidRDefault="00EE3DE3" w:rsidP="00F624C2">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eastAsia="en-AU"/>
              </w:rPr>
              <w:t xml:space="preserve">2 year progress due to the Implementation Monitoring and Evaluation Reference Group (IMERG) </w:t>
            </w:r>
          </w:p>
        </w:tc>
        <w:tc>
          <w:tcPr>
            <w:tcW w:w="2710" w:type="dxa"/>
          </w:tcPr>
          <w:p w14:paraId="1A285024" w14:textId="27115CDA" w:rsidR="00EE3DE3" w:rsidRPr="0062792B" w:rsidRDefault="00A66706" w:rsidP="0062792B">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val="en-US" w:eastAsia="en-AU"/>
              </w:rPr>
              <w:t xml:space="preserve">30 </w:t>
            </w:r>
            <w:r w:rsidR="003A6794" w:rsidRPr="0062792B">
              <w:rPr>
                <w:rFonts w:asciiTheme="minorHAnsi" w:hAnsiTheme="minorHAnsi" w:cstheme="minorHAnsi"/>
                <w:sz w:val="22"/>
                <w:szCs w:val="24"/>
                <w:lang w:val="en-US" w:eastAsia="en-AU"/>
              </w:rPr>
              <w:t>June</w:t>
            </w:r>
            <w:r w:rsidR="0062792B" w:rsidRPr="0062792B">
              <w:rPr>
                <w:rFonts w:asciiTheme="minorHAnsi" w:hAnsiTheme="minorHAnsi" w:cstheme="minorHAnsi"/>
                <w:sz w:val="22"/>
                <w:szCs w:val="24"/>
                <w:lang w:val="en-US" w:eastAsia="en-AU"/>
              </w:rPr>
              <w:t xml:space="preserve"> 2023</w:t>
            </w:r>
            <w:r w:rsidR="003A6794" w:rsidRPr="0062792B">
              <w:rPr>
                <w:rFonts w:asciiTheme="minorHAnsi" w:hAnsiTheme="minorHAnsi" w:cstheme="minorHAnsi"/>
                <w:sz w:val="22"/>
                <w:szCs w:val="24"/>
                <w:lang w:val="en-US" w:eastAsia="en-AU"/>
              </w:rPr>
              <w:t xml:space="preserve"> </w:t>
            </w:r>
          </w:p>
        </w:tc>
      </w:tr>
      <w:tr w:rsidR="00EE3DE3" w14:paraId="340C615C" w14:textId="77777777" w:rsidTr="00F624C2">
        <w:trPr>
          <w:trHeight w:val="397"/>
        </w:trPr>
        <w:tc>
          <w:tcPr>
            <w:tcW w:w="7308" w:type="dxa"/>
          </w:tcPr>
          <w:p w14:paraId="1F5D05D8" w14:textId="628F5B19" w:rsidR="00EE3DE3" w:rsidRPr="0062792B" w:rsidRDefault="00EE3DE3" w:rsidP="00F624C2">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val="en-US" w:eastAsia="en-AU"/>
              </w:rPr>
              <w:t xml:space="preserve">Department to hold mid-implementation Stakeholder roundtables </w:t>
            </w:r>
            <w:r w:rsidR="0062792B" w:rsidRPr="0062792B">
              <w:rPr>
                <w:rFonts w:asciiTheme="minorHAnsi" w:hAnsiTheme="minorHAnsi" w:cstheme="minorHAnsi"/>
                <w:sz w:val="22"/>
                <w:szCs w:val="24"/>
                <w:lang w:val="en-US" w:eastAsia="en-AU"/>
              </w:rPr>
              <w:t>(if required)</w:t>
            </w:r>
          </w:p>
        </w:tc>
        <w:tc>
          <w:tcPr>
            <w:tcW w:w="2710" w:type="dxa"/>
          </w:tcPr>
          <w:p w14:paraId="4EB5EB30" w14:textId="4F5AFBB9" w:rsidR="00EE3DE3" w:rsidRPr="0062792B" w:rsidRDefault="003A6794" w:rsidP="00F624C2">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val="en-US" w:eastAsia="en-AU"/>
              </w:rPr>
              <w:t>August</w:t>
            </w:r>
            <w:r w:rsidR="0062792B" w:rsidRPr="0062792B">
              <w:rPr>
                <w:rFonts w:asciiTheme="minorHAnsi" w:hAnsiTheme="minorHAnsi" w:cstheme="minorHAnsi"/>
                <w:sz w:val="22"/>
                <w:szCs w:val="24"/>
                <w:lang w:val="en-US" w:eastAsia="en-AU"/>
              </w:rPr>
              <w:t xml:space="preserve"> 2023</w:t>
            </w:r>
          </w:p>
        </w:tc>
      </w:tr>
      <w:tr w:rsidR="00EE3DE3" w14:paraId="717E7EDB" w14:textId="77777777" w:rsidTr="00F624C2">
        <w:trPr>
          <w:trHeight w:val="397"/>
        </w:trPr>
        <w:tc>
          <w:tcPr>
            <w:tcW w:w="7308" w:type="dxa"/>
          </w:tcPr>
          <w:p w14:paraId="59FFE6DA" w14:textId="77777777" w:rsidR="00EE3DE3" w:rsidRPr="0062792B" w:rsidRDefault="00EE3DE3" w:rsidP="00F624C2">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eastAsia="en-AU"/>
              </w:rPr>
              <w:t xml:space="preserve">4 year progress due to the Implementation Monitoring and Evaluation Reference Group (IMERG) </w:t>
            </w:r>
          </w:p>
        </w:tc>
        <w:tc>
          <w:tcPr>
            <w:tcW w:w="2710" w:type="dxa"/>
          </w:tcPr>
          <w:p w14:paraId="494830A1" w14:textId="78392A63" w:rsidR="00EE3DE3" w:rsidRPr="0062792B" w:rsidRDefault="00A66706" w:rsidP="0062792B">
            <w:pPr>
              <w:spacing w:before="0"/>
              <w:rPr>
                <w:rFonts w:asciiTheme="minorHAnsi" w:hAnsiTheme="minorHAnsi" w:cstheme="minorHAnsi"/>
                <w:sz w:val="22"/>
                <w:szCs w:val="24"/>
                <w:lang w:val="en-US" w:eastAsia="en-AU"/>
              </w:rPr>
            </w:pPr>
            <w:r w:rsidRPr="0062792B">
              <w:rPr>
                <w:rFonts w:asciiTheme="minorHAnsi" w:hAnsiTheme="minorHAnsi" w:cstheme="minorHAnsi"/>
                <w:sz w:val="22"/>
                <w:szCs w:val="24"/>
                <w:lang w:val="en-US" w:eastAsia="en-AU"/>
              </w:rPr>
              <w:t xml:space="preserve">30 </w:t>
            </w:r>
            <w:r w:rsidR="003A6794" w:rsidRPr="0062792B">
              <w:rPr>
                <w:rFonts w:asciiTheme="minorHAnsi" w:hAnsiTheme="minorHAnsi" w:cstheme="minorHAnsi"/>
                <w:sz w:val="22"/>
                <w:szCs w:val="24"/>
                <w:lang w:val="en-US" w:eastAsia="en-AU"/>
              </w:rPr>
              <w:t>June</w:t>
            </w:r>
            <w:r w:rsidR="0062792B" w:rsidRPr="0062792B">
              <w:rPr>
                <w:rFonts w:asciiTheme="minorHAnsi" w:hAnsiTheme="minorHAnsi" w:cstheme="minorHAnsi"/>
                <w:sz w:val="22"/>
                <w:szCs w:val="24"/>
                <w:lang w:val="en-US" w:eastAsia="en-AU"/>
              </w:rPr>
              <w:t xml:space="preserve"> 2025</w:t>
            </w:r>
            <w:r w:rsidR="0062792B" w:rsidRPr="0062792B">
              <w:rPr>
                <w:rStyle w:val="FootnoteReference"/>
                <w:rFonts w:asciiTheme="minorHAnsi" w:hAnsiTheme="minorHAnsi" w:cstheme="minorHAnsi"/>
                <w:sz w:val="22"/>
                <w:szCs w:val="24"/>
                <w:lang w:val="en-US" w:eastAsia="en-AU"/>
              </w:rPr>
              <w:footnoteReference w:id="1"/>
            </w:r>
            <w:r w:rsidR="0062792B" w:rsidRPr="0062792B">
              <w:rPr>
                <w:rFonts w:asciiTheme="minorHAnsi" w:hAnsiTheme="minorHAnsi" w:cstheme="minorHAnsi"/>
                <w:sz w:val="22"/>
                <w:szCs w:val="24"/>
                <w:lang w:val="en-US" w:eastAsia="en-AU"/>
              </w:rPr>
              <w:t xml:space="preserve"> </w:t>
            </w:r>
            <w:r w:rsidR="00881CD1" w:rsidRPr="0062792B">
              <w:rPr>
                <w:rFonts w:asciiTheme="minorHAnsi" w:hAnsiTheme="minorHAnsi" w:cstheme="minorHAnsi"/>
                <w:sz w:val="22"/>
                <w:szCs w:val="24"/>
                <w:lang w:val="en-US" w:eastAsia="en-AU"/>
              </w:rPr>
              <w:t xml:space="preserve"> </w:t>
            </w:r>
          </w:p>
        </w:tc>
      </w:tr>
      <w:tr w:rsidR="00EE3DE3" w14:paraId="6BA0C6CC" w14:textId="77777777" w:rsidTr="00F624C2">
        <w:trPr>
          <w:trHeight w:val="397"/>
        </w:trPr>
        <w:tc>
          <w:tcPr>
            <w:tcW w:w="7308" w:type="dxa"/>
          </w:tcPr>
          <w:p w14:paraId="1CD586C1" w14:textId="5CB001E9" w:rsidR="00EE3DE3" w:rsidRPr="0062792B" w:rsidRDefault="00EE3DE3" w:rsidP="00F624C2">
            <w:pPr>
              <w:spacing w:before="0"/>
              <w:rPr>
                <w:rFonts w:asciiTheme="minorHAnsi" w:hAnsiTheme="minorHAnsi" w:cstheme="minorHAnsi"/>
                <w:sz w:val="22"/>
                <w:lang w:eastAsia="en-AU"/>
              </w:rPr>
            </w:pPr>
            <w:r w:rsidRPr="0062792B">
              <w:rPr>
                <w:rFonts w:asciiTheme="minorHAnsi" w:hAnsiTheme="minorHAnsi" w:cstheme="minorHAnsi"/>
                <w:sz w:val="22"/>
                <w:lang w:eastAsia="en-AU"/>
              </w:rPr>
              <w:t>Commence evaluation of Partnership Reformulation Program</w:t>
            </w:r>
            <w:r w:rsidR="0062792B" w:rsidRPr="0062792B">
              <w:rPr>
                <w:rFonts w:asciiTheme="minorHAnsi" w:hAnsiTheme="minorHAnsi" w:cstheme="minorHAnsi"/>
                <w:sz w:val="22"/>
                <w:lang w:eastAsia="en-AU"/>
              </w:rPr>
              <w:t>, beginning with Wave 1</w:t>
            </w:r>
          </w:p>
        </w:tc>
        <w:tc>
          <w:tcPr>
            <w:tcW w:w="2710" w:type="dxa"/>
          </w:tcPr>
          <w:p w14:paraId="469F62DE" w14:textId="49ED46AC" w:rsidR="00EE3DE3" w:rsidRPr="0062792B" w:rsidRDefault="00EE3DE3" w:rsidP="00F624C2">
            <w:pPr>
              <w:spacing w:before="0"/>
              <w:rPr>
                <w:rFonts w:asciiTheme="minorHAnsi" w:hAnsiTheme="minorHAnsi" w:cstheme="minorHAnsi"/>
                <w:sz w:val="22"/>
                <w:lang w:val="en-US" w:eastAsia="en-AU"/>
              </w:rPr>
            </w:pPr>
            <w:r w:rsidRPr="0062792B">
              <w:rPr>
                <w:rFonts w:asciiTheme="minorHAnsi" w:hAnsiTheme="minorHAnsi" w:cstheme="minorHAnsi"/>
                <w:sz w:val="22"/>
                <w:lang w:val="en-US" w:eastAsia="en-AU"/>
              </w:rPr>
              <w:t>December 2024</w:t>
            </w:r>
          </w:p>
        </w:tc>
      </w:tr>
    </w:tbl>
    <w:p w14:paraId="1B5B95C1" w14:textId="77777777" w:rsidR="0062792B" w:rsidRDefault="0062792B" w:rsidP="00CB061E">
      <w:pPr>
        <w:pStyle w:val="Heading1"/>
        <w:spacing w:before="600"/>
        <w:rPr>
          <w:sz w:val="36"/>
        </w:rPr>
      </w:pPr>
      <w:bookmarkStart w:id="7" w:name="_Toc31270542"/>
    </w:p>
    <w:p w14:paraId="6B631FE7" w14:textId="77777777" w:rsidR="0062792B" w:rsidRDefault="0062792B">
      <w:pPr>
        <w:spacing w:before="0" w:line="240" w:lineRule="auto"/>
        <w:rPr>
          <w:rFonts w:eastAsia="MS Gothic" w:cstheme="majorBidi"/>
          <w:color w:val="007A33"/>
          <w:sz w:val="36"/>
          <w:szCs w:val="36"/>
          <w:lang w:val="en-US" w:eastAsia="en-AU"/>
        </w:rPr>
      </w:pPr>
      <w:r>
        <w:rPr>
          <w:sz w:val="36"/>
        </w:rPr>
        <w:br w:type="page"/>
      </w:r>
    </w:p>
    <w:p w14:paraId="17031D65" w14:textId="238CCB61" w:rsidR="00240F40" w:rsidRPr="0062792B" w:rsidRDefault="00950151" w:rsidP="00CB061E">
      <w:pPr>
        <w:pStyle w:val="Heading1"/>
        <w:spacing w:before="600"/>
        <w:rPr>
          <w:sz w:val="36"/>
        </w:rPr>
      </w:pPr>
      <w:r w:rsidRPr="0062792B">
        <w:rPr>
          <w:sz w:val="36"/>
        </w:rPr>
        <w:lastRenderedPageBreak/>
        <w:t>S</w:t>
      </w:r>
      <w:r w:rsidR="00240F40" w:rsidRPr="0062792B">
        <w:rPr>
          <w:sz w:val="36"/>
        </w:rPr>
        <w:t>takeholder engagement</w:t>
      </w:r>
      <w:bookmarkEnd w:id="7"/>
      <w:r w:rsidR="00240F40" w:rsidRPr="0062792B">
        <w:rPr>
          <w:sz w:val="36"/>
        </w:rPr>
        <w:t xml:space="preserve"> </w:t>
      </w:r>
    </w:p>
    <w:p w14:paraId="6683FC54" w14:textId="047C63EF" w:rsidR="005A4841" w:rsidRPr="0062792B" w:rsidRDefault="005A4841" w:rsidP="005A4841">
      <w:pPr>
        <w:pStyle w:val="Heading2"/>
        <w:spacing w:before="0"/>
        <w:rPr>
          <w:b/>
          <w:sz w:val="24"/>
          <w:lang w:val="en-US" w:eastAsia="en-AU"/>
        </w:rPr>
      </w:pPr>
      <w:bookmarkStart w:id="8" w:name="_Toc31270543"/>
      <w:r w:rsidRPr="0062792B">
        <w:rPr>
          <w:b/>
          <w:sz w:val="24"/>
          <w:lang w:val="en-US" w:eastAsia="en-AU"/>
        </w:rPr>
        <w:t>Stakeholder engagement to date</w:t>
      </w:r>
      <w:bookmarkEnd w:id="8"/>
      <w:r w:rsidRPr="0062792B">
        <w:rPr>
          <w:b/>
          <w:sz w:val="24"/>
          <w:lang w:val="en-US" w:eastAsia="en-AU"/>
        </w:rPr>
        <w:t xml:space="preserve"> </w:t>
      </w:r>
    </w:p>
    <w:p w14:paraId="534C4835" w14:textId="79423DF8" w:rsidR="00627F8B" w:rsidRPr="0062792B" w:rsidRDefault="00CA7341" w:rsidP="005A4841">
      <w:pPr>
        <w:autoSpaceDE w:val="0"/>
        <w:autoSpaceDN w:val="0"/>
        <w:adjustRightInd w:val="0"/>
        <w:spacing w:after="120"/>
        <w:rPr>
          <w:rFonts w:asciiTheme="minorHAnsi" w:hAnsiTheme="minorHAnsi" w:cstheme="minorHAnsi"/>
          <w:sz w:val="22"/>
          <w:lang w:eastAsia="en-AU"/>
        </w:rPr>
      </w:pPr>
      <w:r w:rsidRPr="0062792B">
        <w:rPr>
          <w:i/>
          <w:sz w:val="20"/>
          <w:u w:val="single"/>
          <w:lang w:eastAsia="en-AU"/>
        </w:rPr>
        <w:t>Summary of the Consultation Process</w:t>
      </w:r>
      <w:r w:rsidR="00627F8B" w:rsidRPr="0062792B">
        <w:rPr>
          <w:rFonts w:asciiTheme="minorHAnsi" w:hAnsiTheme="minorHAnsi" w:cstheme="minorHAnsi"/>
          <w:sz w:val="22"/>
          <w:lang w:eastAsia="en-AU"/>
        </w:rPr>
        <w:t xml:space="preserve"> </w:t>
      </w:r>
    </w:p>
    <w:p w14:paraId="2A4782F3" w14:textId="671CB4AD" w:rsidR="005A4841" w:rsidRPr="0062792B" w:rsidRDefault="005A4841" w:rsidP="005A4841">
      <w:pPr>
        <w:autoSpaceDE w:val="0"/>
        <w:autoSpaceDN w:val="0"/>
        <w:adjustRightInd w:val="0"/>
        <w:spacing w:after="120"/>
        <w:rPr>
          <w:rFonts w:asciiTheme="minorHAnsi" w:hAnsiTheme="minorHAnsi" w:cstheme="minorHAnsi"/>
          <w:sz w:val="22"/>
          <w:lang w:eastAsia="en-AU"/>
        </w:rPr>
      </w:pPr>
      <w:r w:rsidRPr="0062792B">
        <w:rPr>
          <w:rFonts w:asciiTheme="minorHAnsi" w:hAnsiTheme="minorHAnsi" w:cstheme="minorHAnsi"/>
          <w:sz w:val="22"/>
          <w:lang w:eastAsia="en-AU"/>
        </w:rPr>
        <w:t xml:space="preserve">The draft food reformulation targets and category definitions, supported by the </w:t>
      </w:r>
      <w:r w:rsidR="003871F4" w:rsidRPr="0062792B">
        <w:rPr>
          <w:rFonts w:asciiTheme="minorHAnsi" w:hAnsiTheme="minorHAnsi" w:cstheme="minorHAnsi"/>
          <w:sz w:val="22"/>
          <w:lang w:eastAsia="en-AU"/>
        </w:rPr>
        <w:t>PRP</w:t>
      </w:r>
      <w:r w:rsidRPr="0062792B">
        <w:rPr>
          <w:rFonts w:asciiTheme="minorHAnsi" w:hAnsiTheme="minorHAnsi" w:cstheme="minorHAnsi"/>
          <w:sz w:val="22"/>
          <w:lang w:eastAsia="en-AU"/>
        </w:rPr>
        <w:t xml:space="preserve"> Rationale, were released for public consultation on 16 July – 12 November 2018. </w:t>
      </w:r>
    </w:p>
    <w:p w14:paraId="147760AC" w14:textId="47A617DA" w:rsidR="005A4841" w:rsidRPr="0062792B" w:rsidRDefault="005A4841" w:rsidP="005A4841">
      <w:pPr>
        <w:autoSpaceDE w:val="0"/>
        <w:autoSpaceDN w:val="0"/>
        <w:adjustRightInd w:val="0"/>
        <w:spacing w:after="120"/>
        <w:rPr>
          <w:rFonts w:asciiTheme="minorHAnsi" w:hAnsiTheme="minorHAnsi" w:cstheme="minorHAnsi"/>
          <w:sz w:val="22"/>
          <w:lang w:eastAsia="en-AU"/>
        </w:rPr>
      </w:pPr>
      <w:r w:rsidRPr="0062792B">
        <w:rPr>
          <w:rFonts w:asciiTheme="minorHAnsi" w:hAnsiTheme="minorHAnsi" w:cstheme="minorHAnsi"/>
          <w:sz w:val="22"/>
          <w:lang w:eastAsia="en-AU"/>
        </w:rPr>
        <w:t>The consultation was publicised on the Department of Health website and Twitter and Facebook accounts, and was listed on the Department’s Consultation Hub. Ema</w:t>
      </w:r>
      <w:r w:rsidR="002C27C1" w:rsidRPr="0062792B">
        <w:rPr>
          <w:rFonts w:asciiTheme="minorHAnsi" w:hAnsiTheme="minorHAnsi" w:cstheme="minorHAnsi"/>
          <w:sz w:val="22"/>
          <w:lang w:eastAsia="en-AU"/>
        </w:rPr>
        <w:t>ils were sent to approximately 3</w:t>
      </w:r>
      <w:r w:rsidRPr="0062792B">
        <w:rPr>
          <w:rFonts w:asciiTheme="minorHAnsi" w:hAnsiTheme="minorHAnsi" w:cstheme="minorHAnsi"/>
          <w:sz w:val="22"/>
          <w:lang w:eastAsia="en-AU"/>
        </w:rPr>
        <w:t>00 food companies known to have products in the food categories for which targets are proposed. Communication materials (draft newsletter article, social media posts) were shared with Executive Committee members to disperse through their networks as appropriate.</w:t>
      </w:r>
    </w:p>
    <w:p w14:paraId="040C2967" w14:textId="345E63CF" w:rsidR="005A4841" w:rsidRPr="0062792B" w:rsidRDefault="008D4961" w:rsidP="005A4841">
      <w:pPr>
        <w:autoSpaceDE w:val="0"/>
        <w:autoSpaceDN w:val="0"/>
        <w:adjustRightInd w:val="0"/>
        <w:spacing w:after="120"/>
        <w:rPr>
          <w:rFonts w:asciiTheme="minorHAnsi" w:hAnsiTheme="minorHAnsi" w:cstheme="minorHAnsi"/>
          <w:sz w:val="22"/>
          <w:lang w:eastAsia="en-AU"/>
        </w:rPr>
      </w:pPr>
      <w:r>
        <w:rPr>
          <w:rFonts w:asciiTheme="minorHAnsi" w:hAnsiTheme="minorHAnsi" w:cstheme="minorHAnsi"/>
          <w:sz w:val="22"/>
          <w:lang w:eastAsia="en-AU"/>
        </w:rPr>
        <w:t>Twenty-two</w:t>
      </w:r>
      <w:r w:rsidRPr="0062792B">
        <w:rPr>
          <w:rFonts w:asciiTheme="minorHAnsi" w:hAnsiTheme="minorHAnsi" w:cstheme="minorHAnsi"/>
          <w:sz w:val="22"/>
          <w:lang w:eastAsia="en-AU"/>
        </w:rPr>
        <w:t xml:space="preserve"> </w:t>
      </w:r>
      <w:r w:rsidR="005A4841" w:rsidRPr="0062792B">
        <w:rPr>
          <w:rFonts w:asciiTheme="minorHAnsi" w:hAnsiTheme="minorHAnsi" w:cstheme="minorHAnsi"/>
          <w:sz w:val="22"/>
          <w:lang w:eastAsia="en-AU"/>
        </w:rPr>
        <w:t xml:space="preserve">submissions were received in relation to the sodium (only) target categories. </w:t>
      </w:r>
      <w:r>
        <w:rPr>
          <w:rFonts w:asciiTheme="minorHAnsi" w:hAnsiTheme="minorHAnsi" w:cstheme="minorHAnsi"/>
          <w:sz w:val="22"/>
          <w:lang w:eastAsia="en-AU"/>
        </w:rPr>
        <w:t xml:space="preserve">Thirteen </w:t>
      </w:r>
      <w:r w:rsidR="005A4841" w:rsidRPr="0062792B">
        <w:rPr>
          <w:rFonts w:asciiTheme="minorHAnsi" w:hAnsiTheme="minorHAnsi" w:cstheme="minorHAnsi"/>
          <w:sz w:val="22"/>
          <w:lang w:eastAsia="en-AU"/>
        </w:rPr>
        <w:t>submissions were received in relation to the sugars, saturated fats or multiple-nutrient target categories. A further four submissions made comments of a more general nature.</w:t>
      </w:r>
      <w:r w:rsidR="00B375DB">
        <w:rPr>
          <w:rFonts w:asciiTheme="minorHAnsi" w:hAnsiTheme="minorHAnsi" w:cstheme="minorHAnsi"/>
          <w:sz w:val="22"/>
          <w:lang w:eastAsia="en-AU"/>
        </w:rPr>
        <w:t xml:space="preserve"> </w:t>
      </w:r>
      <w:r w:rsidR="003871F4" w:rsidRPr="0062792B">
        <w:rPr>
          <w:rFonts w:asciiTheme="minorHAnsi" w:hAnsiTheme="minorHAnsi" w:cstheme="minorHAnsi"/>
          <w:sz w:val="22"/>
          <w:lang w:eastAsia="en-AU"/>
        </w:rPr>
        <w:t xml:space="preserve">Where </w:t>
      </w:r>
      <w:r w:rsidR="005A4841" w:rsidRPr="0062792B">
        <w:rPr>
          <w:rFonts w:asciiTheme="minorHAnsi" w:hAnsiTheme="minorHAnsi" w:cstheme="minorHAnsi"/>
          <w:sz w:val="22"/>
          <w:lang w:eastAsia="en-AU"/>
        </w:rPr>
        <w:t xml:space="preserve">consideration of the submissions indicated a change, beyond clarification, to the definition or to the target, a further targeted consultation was conducted relevant to those product categories. </w:t>
      </w:r>
    </w:p>
    <w:p w14:paraId="18AC5AA0" w14:textId="1863C851" w:rsidR="005A4841" w:rsidRPr="0062792B" w:rsidRDefault="005A4841" w:rsidP="005A4841">
      <w:pPr>
        <w:pStyle w:val="Heading2"/>
        <w:spacing w:before="0"/>
        <w:rPr>
          <w:b/>
          <w:sz w:val="24"/>
          <w:lang w:val="en-US" w:eastAsia="en-AU"/>
        </w:rPr>
      </w:pPr>
      <w:bookmarkStart w:id="9" w:name="_Toc31270544"/>
      <w:r w:rsidRPr="0062792B">
        <w:rPr>
          <w:b/>
          <w:sz w:val="24"/>
          <w:lang w:val="en-US" w:eastAsia="en-AU"/>
        </w:rPr>
        <w:t>Stakeholder engagement plan for implementation</w:t>
      </w:r>
      <w:bookmarkEnd w:id="9"/>
      <w:r w:rsidRPr="0062792B">
        <w:rPr>
          <w:b/>
          <w:sz w:val="24"/>
          <w:lang w:val="en-US" w:eastAsia="en-AU"/>
        </w:rPr>
        <w:t xml:space="preserve"> </w:t>
      </w:r>
    </w:p>
    <w:p w14:paraId="4D549C98" w14:textId="7351DCB2" w:rsidR="00B36659" w:rsidRPr="0062792B" w:rsidRDefault="005A4841" w:rsidP="00521419">
      <w:pPr>
        <w:rPr>
          <w:rFonts w:asciiTheme="minorHAnsi" w:hAnsiTheme="minorHAnsi" w:cstheme="minorHAnsi"/>
          <w:sz w:val="22"/>
          <w:lang w:val="en-US" w:eastAsia="en-AU"/>
        </w:rPr>
      </w:pPr>
      <w:r w:rsidRPr="0062792B">
        <w:rPr>
          <w:rFonts w:asciiTheme="minorHAnsi" w:hAnsiTheme="minorHAnsi" w:cstheme="minorHAnsi"/>
          <w:sz w:val="22"/>
          <w:lang w:val="en-US" w:eastAsia="en-AU"/>
        </w:rPr>
        <w:t xml:space="preserve">To ensure the PRP is implemented effectively, </w:t>
      </w:r>
      <w:r w:rsidR="00627F8B" w:rsidRPr="0062792B">
        <w:rPr>
          <w:rFonts w:asciiTheme="minorHAnsi" w:hAnsiTheme="minorHAnsi" w:cstheme="minorHAnsi"/>
          <w:sz w:val="22"/>
          <w:lang w:val="en-US" w:eastAsia="en-AU"/>
        </w:rPr>
        <w:t>s</w:t>
      </w:r>
      <w:r w:rsidRPr="0062792B">
        <w:rPr>
          <w:rFonts w:asciiTheme="minorHAnsi" w:hAnsiTheme="minorHAnsi" w:cstheme="minorHAnsi"/>
          <w:sz w:val="22"/>
          <w:lang w:val="en-US" w:eastAsia="en-AU"/>
        </w:rPr>
        <w:t>takeholders should be fully informed of the program</w:t>
      </w:r>
      <w:r w:rsidR="00B36659" w:rsidRPr="0062792B">
        <w:rPr>
          <w:rFonts w:asciiTheme="minorHAnsi" w:hAnsiTheme="minorHAnsi" w:cstheme="minorHAnsi"/>
          <w:sz w:val="22"/>
          <w:lang w:val="en-US" w:eastAsia="en-AU"/>
        </w:rPr>
        <w:t xml:space="preserve">’s requirements and their obligations as </w:t>
      </w:r>
      <w:r w:rsidR="00627F8B" w:rsidRPr="0062792B">
        <w:rPr>
          <w:rFonts w:asciiTheme="minorHAnsi" w:hAnsiTheme="minorHAnsi" w:cstheme="minorHAnsi"/>
          <w:sz w:val="22"/>
          <w:lang w:val="en-US" w:eastAsia="en-AU"/>
        </w:rPr>
        <w:t xml:space="preserve">voluntary </w:t>
      </w:r>
      <w:r w:rsidR="00B36659" w:rsidRPr="0062792B">
        <w:rPr>
          <w:rFonts w:asciiTheme="minorHAnsi" w:hAnsiTheme="minorHAnsi" w:cstheme="minorHAnsi"/>
          <w:sz w:val="22"/>
          <w:lang w:val="en-US" w:eastAsia="en-AU"/>
        </w:rPr>
        <w:t>participants.</w:t>
      </w:r>
    </w:p>
    <w:p w14:paraId="69E86A50" w14:textId="6AE3BB02" w:rsidR="00B36659" w:rsidRPr="0062792B" w:rsidRDefault="00B36659" w:rsidP="00521419">
      <w:pPr>
        <w:rPr>
          <w:rFonts w:asciiTheme="minorHAnsi" w:hAnsiTheme="minorHAnsi" w:cstheme="minorHAnsi"/>
          <w:sz w:val="22"/>
          <w:lang w:val="en-US" w:eastAsia="en-AU"/>
        </w:rPr>
      </w:pPr>
      <w:r w:rsidRPr="0062792B">
        <w:rPr>
          <w:rFonts w:asciiTheme="minorHAnsi" w:hAnsiTheme="minorHAnsi" w:cstheme="minorHAnsi"/>
          <w:sz w:val="22"/>
          <w:lang w:val="en-US" w:eastAsia="en-AU"/>
        </w:rPr>
        <w:t>The Partnership’s Secretariat will</w:t>
      </w:r>
      <w:r w:rsidR="00B942C8" w:rsidRPr="0062792B">
        <w:rPr>
          <w:rFonts w:asciiTheme="minorHAnsi" w:hAnsiTheme="minorHAnsi" w:cstheme="minorHAnsi"/>
          <w:sz w:val="22"/>
          <w:lang w:val="en-US" w:eastAsia="en-AU"/>
        </w:rPr>
        <w:t xml:space="preserve"> write/email the approximately 3</w:t>
      </w:r>
      <w:r w:rsidRPr="0062792B">
        <w:rPr>
          <w:rFonts w:asciiTheme="minorHAnsi" w:hAnsiTheme="minorHAnsi" w:cstheme="minorHAnsi"/>
          <w:sz w:val="22"/>
          <w:lang w:val="en-US" w:eastAsia="en-AU"/>
        </w:rPr>
        <w:t xml:space="preserve">00 food companies </w:t>
      </w:r>
      <w:r w:rsidR="00627F8B" w:rsidRPr="0062792B">
        <w:rPr>
          <w:rFonts w:asciiTheme="minorHAnsi" w:hAnsiTheme="minorHAnsi" w:cstheme="minorHAnsi"/>
          <w:sz w:val="22"/>
          <w:lang w:val="en-US" w:eastAsia="en-AU"/>
        </w:rPr>
        <w:t xml:space="preserve">who were </w:t>
      </w:r>
      <w:r w:rsidRPr="0062792B">
        <w:rPr>
          <w:rFonts w:asciiTheme="minorHAnsi" w:hAnsiTheme="minorHAnsi" w:cstheme="minorHAnsi"/>
          <w:sz w:val="22"/>
          <w:lang w:val="en-US" w:eastAsia="en-AU"/>
        </w:rPr>
        <w:t>initially identified during the consultation process. The email will:</w:t>
      </w:r>
    </w:p>
    <w:p w14:paraId="048F41A0" w14:textId="3B60A63F" w:rsidR="00B36659" w:rsidRPr="0062792B" w:rsidRDefault="00B36659" w:rsidP="00C1267F">
      <w:pPr>
        <w:pStyle w:val="ListParagraph"/>
        <w:numPr>
          <w:ilvl w:val="0"/>
          <w:numId w:val="20"/>
        </w:numPr>
        <w:spacing w:before="0"/>
        <w:rPr>
          <w:rFonts w:asciiTheme="minorHAnsi" w:hAnsiTheme="minorHAnsi" w:cstheme="minorHAnsi"/>
          <w:sz w:val="22"/>
          <w:lang w:val="en-US" w:eastAsia="en-AU"/>
        </w:rPr>
      </w:pPr>
      <w:r w:rsidRPr="0062792B">
        <w:rPr>
          <w:rFonts w:asciiTheme="minorHAnsi" w:hAnsiTheme="minorHAnsi" w:cstheme="minorHAnsi"/>
          <w:sz w:val="22"/>
          <w:lang w:val="en-US" w:eastAsia="en-AU"/>
        </w:rPr>
        <w:t>Provide details of the PRP</w:t>
      </w:r>
      <w:r w:rsidR="009D7894" w:rsidRPr="0062792B">
        <w:rPr>
          <w:rFonts w:asciiTheme="minorHAnsi" w:hAnsiTheme="minorHAnsi" w:cstheme="minorHAnsi"/>
          <w:sz w:val="22"/>
          <w:lang w:val="en-US" w:eastAsia="en-AU"/>
        </w:rPr>
        <w:t>;</w:t>
      </w:r>
    </w:p>
    <w:p w14:paraId="16210B95" w14:textId="6BB0F74A" w:rsidR="00B36659" w:rsidRPr="0062792B" w:rsidRDefault="00B36659" w:rsidP="00B36659">
      <w:pPr>
        <w:pStyle w:val="ListParagraph"/>
        <w:numPr>
          <w:ilvl w:val="0"/>
          <w:numId w:val="19"/>
        </w:numPr>
        <w:rPr>
          <w:rFonts w:asciiTheme="minorHAnsi" w:hAnsiTheme="minorHAnsi" w:cstheme="minorHAnsi"/>
          <w:sz w:val="22"/>
          <w:lang w:val="en-US" w:eastAsia="en-AU"/>
        </w:rPr>
      </w:pPr>
      <w:r w:rsidRPr="0062792B">
        <w:rPr>
          <w:rFonts w:asciiTheme="minorHAnsi" w:hAnsiTheme="minorHAnsi" w:cstheme="minorHAnsi"/>
          <w:sz w:val="22"/>
          <w:lang w:val="en-US" w:eastAsia="en-AU"/>
        </w:rPr>
        <w:t xml:space="preserve">Include an information pack, comprising </w:t>
      </w:r>
      <w:r w:rsidR="009D7894" w:rsidRPr="0062792B">
        <w:rPr>
          <w:rFonts w:asciiTheme="minorHAnsi" w:hAnsiTheme="minorHAnsi" w:cstheme="minorHAnsi"/>
          <w:sz w:val="22"/>
          <w:lang w:val="en-US" w:eastAsia="en-AU"/>
        </w:rPr>
        <w:t xml:space="preserve">the </w:t>
      </w:r>
      <w:r w:rsidRPr="0062792B">
        <w:rPr>
          <w:rFonts w:asciiTheme="minorHAnsi" w:hAnsiTheme="minorHAnsi" w:cstheme="minorHAnsi"/>
          <w:sz w:val="22"/>
          <w:lang w:val="en-US" w:eastAsia="en-AU"/>
        </w:rPr>
        <w:t>rationale for reformulation</w:t>
      </w:r>
      <w:r w:rsidR="002A6F5B" w:rsidRPr="0062792B">
        <w:rPr>
          <w:rFonts w:asciiTheme="minorHAnsi" w:hAnsiTheme="minorHAnsi" w:cstheme="minorHAnsi"/>
          <w:sz w:val="22"/>
          <w:lang w:val="en-US" w:eastAsia="en-AU"/>
        </w:rPr>
        <w:t>,</w:t>
      </w:r>
      <w:r w:rsidRPr="0062792B">
        <w:rPr>
          <w:rFonts w:asciiTheme="minorHAnsi" w:hAnsiTheme="minorHAnsi" w:cstheme="minorHAnsi"/>
          <w:i/>
          <w:sz w:val="22"/>
          <w:lang w:val="en-US" w:eastAsia="en-AU"/>
        </w:rPr>
        <w:t xml:space="preserve"> </w:t>
      </w:r>
      <w:r w:rsidR="009D7894" w:rsidRPr="0062792B">
        <w:rPr>
          <w:rFonts w:asciiTheme="minorHAnsi" w:hAnsiTheme="minorHAnsi" w:cstheme="minorHAnsi"/>
          <w:sz w:val="22"/>
          <w:lang w:val="en-US" w:eastAsia="en-AU"/>
        </w:rPr>
        <w:t xml:space="preserve">details of </w:t>
      </w:r>
      <w:r w:rsidRPr="0062792B">
        <w:rPr>
          <w:rFonts w:asciiTheme="minorHAnsi" w:hAnsiTheme="minorHAnsi" w:cstheme="minorHAnsi"/>
          <w:sz w:val="22"/>
          <w:lang w:val="en-US" w:eastAsia="en-AU"/>
        </w:rPr>
        <w:t xml:space="preserve">each category and targets, </w:t>
      </w:r>
      <w:r w:rsidR="00B942C8" w:rsidRPr="0062792B">
        <w:rPr>
          <w:rFonts w:asciiTheme="minorHAnsi" w:hAnsiTheme="minorHAnsi" w:cstheme="minorHAnsi"/>
          <w:sz w:val="22"/>
          <w:lang w:val="en-US" w:eastAsia="en-AU"/>
        </w:rPr>
        <w:t xml:space="preserve">available </w:t>
      </w:r>
      <w:r w:rsidR="007305B9" w:rsidRPr="0062792B">
        <w:rPr>
          <w:rFonts w:asciiTheme="minorHAnsi" w:hAnsiTheme="minorHAnsi" w:cstheme="minorHAnsi"/>
          <w:sz w:val="22"/>
          <w:lang w:val="en-US" w:eastAsia="en-AU"/>
        </w:rPr>
        <w:t xml:space="preserve">reformulation </w:t>
      </w:r>
      <w:r w:rsidR="00B942C8" w:rsidRPr="0062792B">
        <w:rPr>
          <w:rFonts w:asciiTheme="minorHAnsi" w:hAnsiTheme="minorHAnsi" w:cstheme="minorHAnsi"/>
          <w:sz w:val="22"/>
          <w:lang w:val="en-US" w:eastAsia="en-AU"/>
        </w:rPr>
        <w:t xml:space="preserve">guidance </w:t>
      </w:r>
      <w:r w:rsidRPr="0062792B">
        <w:rPr>
          <w:rFonts w:asciiTheme="minorHAnsi" w:hAnsiTheme="minorHAnsi" w:cstheme="minorHAnsi"/>
          <w:sz w:val="22"/>
          <w:lang w:val="en-US" w:eastAsia="en-AU"/>
        </w:rPr>
        <w:t xml:space="preserve">and the </w:t>
      </w:r>
      <w:r w:rsidR="009D7894" w:rsidRPr="0062792B">
        <w:rPr>
          <w:rFonts w:asciiTheme="minorHAnsi" w:hAnsiTheme="minorHAnsi" w:cstheme="minorHAnsi"/>
          <w:sz w:val="22"/>
          <w:lang w:val="en-US" w:eastAsia="en-AU"/>
        </w:rPr>
        <w:t>Reporting T</w:t>
      </w:r>
      <w:r w:rsidRPr="0062792B">
        <w:rPr>
          <w:rFonts w:asciiTheme="minorHAnsi" w:hAnsiTheme="minorHAnsi" w:cstheme="minorHAnsi"/>
          <w:sz w:val="22"/>
          <w:lang w:val="en-US" w:eastAsia="en-AU"/>
        </w:rPr>
        <w:t>emplate</w:t>
      </w:r>
      <w:r w:rsidR="003871F4" w:rsidRPr="0062792B">
        <w:rPr>
          <w:rFonts w:asciiTheme="minorHAnsi" w:hAnsiTheme="minorHAnsi" w:cstheme="minorHAnsi"/>
          <w:sz w:val="22"/>
          <w:lang w:val="en-US" w:eastAsia="en-AU"/>
        </w:rPr>
        <w:t xml:space="preserve"> (in the form of an Excel spread sheet)</w:t>
      </w:r>
      <w:r w:rsidR="009D7894" w:rsidRPr="0062792B">
        <w:rPr>
          <w:rFonts w:asciiTheme="minorHAnsi" w:hAnsiTheme="minorHAnsi" w:cstheme="minorHAnsi"/>
          <w:sz w:val="22"/>
          <w:lang w:val="en-US" w:eastAsia="en-AU"/>
        </w:rPr>
        <w:t xml:space="preserve">; </w:t>
      </w:r>
    </w:p>
    <w:p w14:paraId="0FA280E6" w14:textId="1B451C90" w:rsidR="00DE0895" w:rsidRPr="0062792B" w:rsidRDefault="00DE0895" w:rsidP="00DE0895">
      <w:pPr>
        <w:pStyle w:val="ListParagraph"/>
        <w:numPr>
          <w:ilvl w:val="0"/>
          <w:numId w:val="19"/>
        </w:numPr>
        <w:rPr>
          <w:rFonts w:asciiTheme="minorHAnsi" w:hAnsiTheme="minorHAnsi" w:cstheme="minorHAnsi"/>
          <w:sz w:val="22"/>
          <w:lang w:val="en-US" w:eastAsia="en-AU"/>
        </w:rPr>
      </w:pPr>
      <w:r w:rsidRPr="0062792B">
        <w:rPr>
          <w:rFonts w:asciiTheme="minorHAnsi" w:hAnsiTheme="minorHAnsi" w:cstheme="minorHAnsi"/>
          <w:sz w:val="22"/>
          <w:lang w:val="en-US" w:eastAsia="en-AU"/>
        </w:rPr>
        <w:t>Ask for a response/commitment/pledge</w:t>
      </w:r>
      <w:r w:rsidR="00412286" w:rsidRPr="0062792B">
        <w:rPr>
          <w:rFonts w:asciiTheme="minorHAnsi" w:hAnsiTheme="minorHAnsi" w:cstheme="minorHAnsi"/>
          <w:sz w:val="22"/>
          <w:lang w:val="en-US" w:eastAsia="en-AU"/>
        </w:rPr>
        <w:t>;</w:t>
      </w:r>
    </w:p>
    <w:p w14:paraId="67596931" w14:textId="79E3EE69" w:rsidR="0079463C" w:rsidRDefault="0079463C" w:rsidP="00DE0895">
      <w:pPr>
        <w:pStyle w:val="ListParagraph"/>
        <w:numPr>
          <w:ilvl w:val="0"/>
          <w:numId w:val="19"/>
        </w:numPr>
        <w:rPr>
          <w:rFonts w:asciiTheme="minorHAnsi" w:hAnsiTheme="minorHAnsi" w:cstheme="minorHAnsi"/>
          <w:sz w:val="22"/>
          <w:lang w:val="en-US" w:eastAsia="en-AU"/>
        </w:rPr>
      </w:pPr>
      <w:r w:rsidRPr="0062792B">
        <w:rPr>
          <w:rFonts w:asciiTheme="minorHAnsi" w:hAnsiTheme="minorHAnsi" w:cstheme="minorHAnsi"/>
          <w:sz w:val="22"/>
          <w:lang w:val="en-US" w:eastAsia="en-AU"/>
        </w:rPr>
        <w:t xml:space="preserve">Request permission to note their company’s </w:t>
      </w:r>
      <w:r w:rsidR="00412286" w:rsidRPr="0062792B">
        <w:rPr>
          <w:rFonts w:asciiTheme="minorHAnsi" w:hAnsiTheme="minorHAnsi" w:cstheme="minorHAnsi"/>
          <w:sz w:val="22"/>
          <w:lang w:val="en-US" w:eastAsia="en-AU"/>
        </w:rPr>
        <w:t xml:space="preserve">brand and its </w:t>
      </w:r>
      <w:r w:rsidRPr="0062792B">
        <w:rPr>
          <w:rFonts w:asciiTheme="minorHAnsi" w:hAnsiTheme="minorHAnsi" w:cstheme="minorHAnsi"/>
          <w:sz w:val="22"/>
          <w:lang w:val="en-US" w:eastAsia="en-AU"/>
        </w:rPr>
        <w:t>commitment to the PRP on the Partnership’s website</w:t>
      </w:r>
      <w:r w:rsidR="00412286" w:rsidRPr="0062792B">
        <w:rPr>
          <w:rFonts w:asciiTheme="minorHAnsi" w:hAnsiTheme="minorHAnsi" w:cstheme="minorHAnsi"/>
          <w:sz w:val="22"/>
          <w:lang w:val="en-US" w:eastAsia="en-AU"/>
        </w:rPr>
        <w:t>;</w:t>
      </w:r>
    </w:p>
    <w:p w14:paraId="383E2802" w14:textId="27E21B27" w:rsidR="0062792B" w:rsidRPr="0062792B" w:rsidRDefault="0062792B" w:rsidP="0062792B">
      <w:pPr>
        <w:pStyle w:val="ListParagraph"/>
        <w:numPr>
          <w:ilvl w:val="0"/>
          <w:numId w:val="19"/>
        </w:numPr>
        <w:rPr>
          <w:rFonts w:asciiTheme="minorHAnsi" w:hAnsiTheme="minorHAnsi" w:cstheme="minorHAnsi"/>
          <w:sz w:val="22"/>
          <w:lang w:val="en-US" w:eastAsia="en-AU"/>
        </w:rPr>
      </w:pPr>
      <w:r w:rsidRPr="0062792B">
        <w:rPr>
          <w:rFonts w:asciiTheme="minorHAnsi" w:hAnsiTheme="minorHAnsi" w:cstheme="minorHAnsi"/>
          <w:sz w:val="22"/>
          <w:lang w:val="en-US" w:eastAsia="en-AU"/>
        </w:rPr>
        <w:t>Request baseline data for food categories</w:t>
      </w:r>
      <w:r>
        <w:rPr>
          <w:rFonts w:asciiTheme="minorHAnsi" w:hAnsiTheme="minorHAnsi" w:cstheme="minorHAnsi"/>
          <w:sz w:val="22"/>
          <w:lang w:val="en-US" w:eastAsia="en-AU"/>
        </w:rPr>
        <w:t xml:space="preserve">; and </w:t>
      </w:r>
    </w:p>
    <w:p w14:paraId="3CF7F065" w14:textId="68A4D055" w:rsidR="00432EB9" w:rsidRPr="0062792B" w:rsidRDefault="00432EB9" w:rsidP="00DE0895">
      <w:pPr>
        <w:pStyle w:val="ListParagraph"/>
        <w:numPr>
          <w:ilvl w:val="0"/>
          <w:numId w:val="19"/>
        </w:numPr>
        <w:rPr>
          <w:rFonts w:asciiTheme="minorHAnsi" w:hAnsiTheme="minorHAnsi" w:cstheme="minorHAnsi"/>
          <w:sz w:val="22"/>
          <w:lang w:val="en-US" w:eastAsia="en-AU"/>
        </w:rPr>
      </w:pPr>
      <w:r w:rsidRPr="0062792B">
        <w:rPr>
          <w:rFonts w:asciiTheme="minorHAnsi" w:hAnsiTheme="minorHAnsi" w:cstheme="minorHAnsi"/>
          <w:sz w:val="22"/>
          <w:lang w:val="en-US" w:eastAsia="en-AU"/>
        </w:rPr>
        <w:t>Request report</w:t>
      </w:r>
      <w:r w:rsidR="0062792B">
        <w:rPr>
          <w:rFonts w:asciiTheme="minorHAnsi" w:hAnsiTheme="minorHAnsi" w:cstheme="minorHAnsi"/>
          <w:sz w:val="22"/>
          <w:lang w:val="en-US" w:eastAsia="en-AU"/>
        </w:rPr>
        <w:t>s on product nutrient data and changes from participating companies</w:t>
      </w:r>
      <w:r w:rsidRPr="0062792B">
        <w:rPr>
          <w:rFonts w:asciiTheme="minorHAnsi" w:hAnsiTheme="minorHAnsi" w:cstheme="minorHAnsi"/>
          <w:sz w:val="22"/>
          <w:lang w:val="en-US" w:eastAsia="en-AU"/>
        </w:rPr>
        <w:t xml:space="preserve"> every second year</w:t>
      </w:r>
      <w:r w:rsidR="0062792B">
        <w:rPr>
          <w:rFonts w:asciiTheme="minorHAnsi" w:hAnsiTheme="minorHAnsi" w:cstheme="minorHAnsi"/>
          <w:sz w:val="22"/>
          <w:lang w:val="en-US" w:eastAsia="en-AU"/>
        </w:rPr>
        <w:t>.</w:t>
      </w:r>
    </w:p>
    <w:p w14:paraId="56B9BC53" w14:textId="650CD68E" w:rsidR="00412286" w:rsidRPr="0062792B" w:rsidRDefault="00412286" w:rsidP="00DE0895">
      <w:pPr>
        <w:rPr>
          <w:rFonts w:asciiTheme="minorHAnsi" w:hAnsiTheme="minorHAnsi" w:cstheme="minorHAnsi"/>
          <w:sz w:val="22"/>
          <w:lang w:val="en-US" w:eastAsia="en-AU"/>
        </w:rPr>
      </w:pPr>
      <w:r w:rsidRPr="0062792B">
        <w:rPr>
          <w:rFonts w:asciiTheme="minorHAnsi" w:hAnsiTheme="minorHAnsi" w:cstheme="minorHAnsi"/>
          <w:sz w:val="22"/>
          <w:lang w:val="en-US" w:eastAsia="en-AU"/>
        </w:rPr>
        <w:t>If required, the Partnership Secretariat will follow up with individual companies.</w:t>
      </w:r>
    </w:p>
    <w:p w14:paraId="057B0533" w14:textId="02DA3750" w:rsidR="00DE0895" w:rsidRPr="0062792B" w:rsidRDefault="00DE0895" w:rsidP="00DE0895">
      <w:pPr>
        <w:rPr>
          <w:rFonts w:asciiTheme="minorHAnsi" w:hAnsiTheme="minorHAnsi" w:cstheme="minorHAnsi"/>
          <w:sz w:val="22"/>
          <w:lang w:val="en-US" w:eastAsia="en-AU"/>
        </w:rPr>
      </w:pPr>
      <w:r w:rsidRPr="0062792B">
        <w:rPr>
          <w:rFonts w:asciiTheme="minorHAnsi" w:hAnsiTheme="minorHAnsi" w:cstheme="minorHAnsi"/>
          <w:sz w:val="22"/>
          <w:lang w:val="en-US" w:eastAsia="en-AU"/>
        </w:rPr>
        <w:t>The Partnership’s Secretariat will main</w:t>
      </w:r>
      <w:r w:rsidR="002A6F5B" w:rsidRPr="0062792B">
        <w:rPr>
          <w:rFonts w:asciiTheme="minorHAnsi" w:hAnsiTheme="minorHAnsi" w:cstheme="minorHAnsi"/>
          <w:sz w:val="22"/>
          <w:lang w:val="en-US" w:eastAsia="en-AU"/>
        </w:rPr>
        <w:t>tain</w:t>
      </w:r>
      <w:r w:rsidRPr="0062792B">
        <w:rPr>
          <w:rFonts w:asciiTheme="minorHAnsi" w:hAnsiTheme="minorHAnsi" w:cstheme="minorHAnsi"/>
          <w:sz w:val="22"/>
          <w:lang w:val="en-US" w:eastAsia="en-AU"/>
        </w:rPr>
        <w:t xml:space="preserve"> a record of all responses in a</w:t>
      </w:r>
      <w:r w:rsidR="003871F4" w:rsidRPr="0062792B">
        <w:rPr>
          <w:rFonts w:asciiTheme="minorHAnsi" w:hAnsiTheme="minorHAnsi" w:cstheme="minorHAnsi"/>
          <w:sz w:val="22"/>
          <w:lang w:val="en-US" w:eastAsia="en-AU"/>
        </w:rPr>
        <w:t>n Excel</w:t>
      </w:r>
      <w:r w:rsidR="0079463C" w:rsidRPr="0062792B">
        <w:rPr>
          <w:rFonts w:asciiTheme="minorHAnsi" w:hAnsiTheme="minorHAnsi" w:cstheme="minorHAnsi"/>
          <w:sz w:val="22"/>
          <w:lang w:val="en-US" w:eastAsia="en-AU"/>
        </w:rPr>
        <w:t xml:space="preserve"> spreadsheet, and note the participating companies (where permission is granted) on the Partnership’s website.</w:t>
      </w:r>
    </w:p>
    <w:p w14:paraId="18674F90" w14:textId="7EDCEC03" w:rsidR="0062792B" w:rsidRDefault="0062792B" w:rsidP="0062792B">
      <w:pPr>
        <w:spacing w:after="240"/>
        <w:rPr>
          <w:rFonts w:asciiTheme="minorHAnsi" w:hAnsiTheme="minorHAnsi" w:cstheme="minorHAnsi"/>
          <w:sz w:val="22"/>
          <w:lang w:val="en-US" w:eastAsia="en-AU"/>
        </w:rPr>
      </w:pPr>
      <w:r>
        <w:rPr>
          <w:rFonts w:asciiTheme="minorHAnsi" w:hAnsiTheme="minorHAnsi" w:cstheme="minorHAnsi"/>
          <w:sz w:val="22"/>
          <w:lang w:val="en-US" w:eastAsia="en-AU"/>
        </w:rPr>
        <w:t xml:space="preserve">A series for Frequently Asked Questions targeted at stakeholders will be maintained of the Healthy Food Partnership </w:t>
      </w:r>
      <w:hyperlink r:id="rId11" w:history="1">
        <w:r w:rsidRPr="0062792B">
          <w:rPr>
            <w:rStyle w:val="Hyperlink"/>
            <w:rFonts w:asciiTheme="minorHAnsi" w:hAnsiTheme="minorHAnsi" w:cstheme="minorHAnsi"/>
            <w:sz w:val="22"/>
            <w:lang w:val="en-US" w:eastAsia="en-AU"/>
          </w:rPr>
          <w:t>Website</w:t>
        </w:r>
      </w:hyperlink>
      <w:r>
        <w:rPr>
          <w:rFonts w:asciiTheme="minorHAnsi" w:hAnsiTheme="minorHAnsi" w:cstheme="minorHAnsi"/>
          <w:sz w:val="22"/>
          <w:lang w:val="en-US" w:eastAsia="en-AU"/>
        </w:rPr>
        <w:t xml:space="preserve">. Alternatively, stakeholders can contact the Healthy Food Partnership Secretariat at </w:t>
      </w:r>
      <w:hyperlink r:id="rId12" w:history="1">
        <w:r w:rsidRPr="00EB0032">
          <w:rPr>
            <w:rStyle w:val="Hyperlink"/>
            <w:rFonts w:asciiTheme="minorHAnsi" w:hAnsiTheme="minorHAnsi" w:cstheme="minorHAnsi"/>
            <w:sz w:val="22"/>
            <w:lang w:val="en-US" w:eastAsia="en-AU"/>
          </w:rPr>
          <w:t>healthyfoodpartnership@health.gov.au</w:t>
        </w:r>
      </w:hyperlink>
      <w:r>
        <w:rPr>
          <w:rFonts w:asciiTheme="minorHAnsi" w:hAnsiTheme="minorHAnsi" w:cstheme="minorHAnsi"/>
          <w:sz w:val="22"/>
          <w:lang w:val="en-US" w:eastAsia="en-AU"/>
        </w:rPr>
        <w:t xml:space="preserve"> </w:t>
      </w:r>
    </w:p>
    <w:p w14:paraId="23D6C7F0" w14:textId="71ADCDB2" w:rsidR="0062792B" w:rsidRPr="0062792B" w:rsidRDefault="0062792B" w:rsidP="00B375DB">
      <w:pPr>
        <w:pStyle w:val="Heading2"/>
        <w:keepNext/>
        <w:keepLines/>
        <w:spacing w:before="0"/>
        <w:rPr>
          <w:b/>
          <w:sz w:val="24"/>
          <w:lang w:val="en-US" w:eastAsia="en-AU"/>
        </w:rPr>
      </w:pPr>
      <w:r w:rsidRPr="0062792B">
        <w:rPr>
          <w:b/>
          <w:sz w:val="24"/>
          <w:lang w:val="en-US" w:eastAsia="en-AU"/>
        </w:rPr>
        <w:lastRenderedPageBreak/>
        <w:t>Stakeholder communication</w:t>
      </w:r>
    </w:p>
    <w:p w14:paraId="2785F184" w14:textId="4D4A55EA" w:rsidR="0062792B" w:rsidRDefault="0062792B" w:rsidP="0062792B">
      <w:pPr>
        <w:rPr>
          <w:rFonts w:asciiTheme="minorHAnsi" w:hAnsiTheme="minorHAnsi" w:cstheme="minorHAnsi"/>
          <w:sz w:val="22"/>
          <w:lang w:val="en-US" w:eastAsia="en-AU"/>
        </w:rPr>
      </w:pPr>
      <w:r>
        <w:rPr>
          <w:rFonts w:asciiTheme="minorHAnsi" w:hAnsiTheme="minorHAnsi" w:cstheme="minorHAnsi"/>
          <w:sz w:val="22"/>
          <w:lang w:val="en-US" w:eastAsia="en-AU"/>
        </w:rPr>
        <w:t xml:space="preserve">The Healthy Food Partnership Secretariat has developed a </w:t>
      </w:r>
      <w:r w:rsidR="00D63399">
        <w:rPr>
          <w:rFonts w:asciiTheme="minorHAnsi" w:hAnsiTheme="minorHAnsi" w:cstheme="minorHAnsi"/>
          <w:sz w:val="22"/>
          <w:lang w:val="en-US" w:eastAsia="en-AU"/>
        </w:rPr>
        <w:t xml:space="preserve">separate </w:t>
      </w:r>
      <w:r>
        <w:rPr>
          <w:rFonts w:asciiTheme="minorHAnsi" w:hAnsiTheme="minorHAnsi" w:cstheme="minorHAnsi"/>
          <w:sz w:val="22"/>
          <w:lang w:val="en-US" w:eastAsia="en-AU"/>
        </w:rPr>
        <w:t xml:space="preserve">Communication Plan for the implementation of the PRP. The goal of the plan is to </w:t>
      </w:r>
      <w:r w:rsidRPr="0062792B">
        <w:rPr>
          <w:rFonts w:asciiTheme="minorHAnsi" w:hAnsiTheme="minorHAnsi" w:cstheme="minorHAnsi"/>
          <w:sz w:val="22"/>
          <w:lang w:val="en-US" w:eastAsia="en-AU"/>
        </w:rPr>
        <w:t xml:space="preserve">inform food companies that the </w:t>
      </w:r>
      <w:r>
        <w:rPr>
          <w:rFonts w:asciiTheme="minorHAnsi" w:hAnsiTheme="minorHAnsi" w:cstheme="minorHAnsi"/>
          <w:sz w:val="22"/>
          <w:lang w:val="en-US" w:eastAsia="en-AU"/>
        </w:rPr>
        <w:t xml:space="preserve">PRP </w:t>
      </w:r>
      <w:r w:rsidRPr="0062792B">
        <w:rPr>
          <w:rFonts w:asciiTheme="minorHAnsi" w:hAnsiTheme="minorHAnsi" w:cstheme="minorHAnsi"/>
          <w:sz w:val="22"/>
          <w:lang w:val="en-US" w:eastAsia="en-AU"/>
        </w:rPr>
        <w:t>has been launched and that th</w:t>
      </w:r>
      <w:r>
        <w:rPr>
          <w:rFonts w:asciiTheme="minorHAnsi" w:hAnsiTheme="minorHAnsi" w:cstheme="minorHAnsi"/>
          <w:sz w:val="22"/>
          <w:lang w:val="en-US" w:eastAsia="en-AU"/>
        </w:rPr>
        <w:t>eir participation is important, and t</w:t>
      </w:r>
      <w:r w:rsidRPr="0062792B">
        <w:rPr>
          <w:rFonts w:asciiTheme="minorHAnsi" w:hAnsiTheme="minorHAnsi" w:cstheme="minorHAnsi"/>
          <w:sz w:val="22"/>
          <w:lang w:val="en-US" w:eastAsia="en-AU"/>
        </w:rPr>
        <w:t>o champion the program and its participants to the community</w:t>
      </w:r>
      <w:r>
        <w:rPr>
          <w:rFonts w:asciiTheme="minorHAnsi" w:hAnsiTheme="minorHAnsi" w:cstheme="minorHAnsi"/>
          <w:sz w:val="22"/>
          <w:lang w:val="en-US" w:eastAsia="en-AU"/>
        </w:rPr>
        <w:t>.</w:t>
      </w:r>
    </w:p>
    <w:p w14:paraId="2AD45684" w14:textId="00EDBC0B" w:rsidR="0062792B" w:rsidRDefault="0062792B" w:rsidP="005B0F91">
      <w:pPr>
        <w:rPr>
          <w:rFonts w:asciiTheme="minorHAnsi" w:hAnsiTheme="minorHAnsi" w:cstheme="minorHAnsi"/>
          <w:sz w:val="22"/>
          <w:lang w:val="en-US" w:eastAsia="en-AU"/>
        </w:rPr>
      </w:pPr>
      <w:r>
        <w:rPr>
          <w:rFonts w:asciiTheme="minorHAnsi" w:hAnsiTheme="minorHAnsi" w:cstheme="minorHAnsi"/>
          <w:sz w:val="22"/>
          <w:lang w:val="en-US" w:eastAsia="en-AU"/>
        </w:rPr>
        <w:t xml:space="preserve">Effective communication of the program will ensure </w:t>
      </w:r>
      <w:r w:rsidRPr="0062792B">
        <w:rPr>
          <w:rFonts w:asciiTheme="minorHAnsi" w:hAnsiTheme="minorHAnsi" w:cstheme="minorHAnsi"/>
          <w:sz w:val="22"/>
          <w:lang w:val="en-US" w:eastAsia="en-AU"/>
        </w:rPr>
        <w:t>food</w:t>
      </w:r>
      <w:r w:rsidR="005B0F91">
        <w:rPr>
          <w:rFonts w:asciiTheme="minorHAnsi" w:hAnsiTheme="minorHAnsi" w:cstheme="minorHAnsi"/>
          <w:sz w:val="22"/>
          <w:lang w:val="en-US" w:eastAsia="en-AU"/>
        </w:rPr>
        <w:t xml:space="preserve"> companies are aware of the PRP, encouraging participation. Awareness within the general population will also </w:t>
      </w:r>
      <w:r w:rsidR="005B0F91" w:rsidRPr="005B0F91">
        <w:rPr>
          <w:rFonts w:asciiTheme="minorHAnsi" w:hAnsiTheme="minorHAnsi" w:cstheme="minorHAnsi"/>
          <w:sz w:val="22"/>
          <w:lang w:val="en-US" w:eastAsia="en-AU"/>
        </w:rPr>
        <w:t xml:space="preserve">increase confidence in the </w:t>
      </w:r>
      <w:r w:rsidR="005B0F91">
        <w:rPr>
          <w:rFonts w:asciiTheme="minorHAnsi" w:hAnsiTheme="minorHAnsi" w:cstheme="minorHAnsi"/>
          <w:sz w:val="22"/>
          <w:lang w:val="en-US" w:eastAsia="en-AU"/>
        </w:rPr>
        <w:t xml:space="preserve">benefits of food reformulation. </w:t>
      </w:r>
      <w:r w:rsidR="005B0F91" w:rsidRPr="005B0F91">
        <w:rPr>
          <w:rFonts w:asciiTheme="minorHAnsi" w:hAnsiTheme="minorHAnsi" w:cstheme="minorHAnsi"/>
          <w:sz w:val="22"/>
          <w:lang w:val="en-US" w:eastAsia="en-AU"/>
        </w:rPr>
        <w:t>For food companies</w:t>
      </w:r>
      <w:r w:rsidR="005B0F91">
        <w:rPr>
          <w:rFonts w:asciiTheme="minorHAnsi" w:hAnsiTheme="minorHAnsi" w:cstheme="minorHAnsi"/>
          <w:sz w:val="22"/>
          <w:lang w:val="en-US" w:eastAsia="en-AU"/>
        </w:rPr>
        <w:t xml:space="preserve">, these are largely </w:t>
      </w:r>
      <w:r w:rsidR="005B0F91" w:rsidRPr="005B0F91">
        <w:rPr>
          <w:rFonts w:asciiTheme="minorHAnsi" w:hAnsiTheme="minorHAnsi" w:cstheme="minorHAnsi"/>
          <w:sz w:val="22"/>
          <w:lang w:val="en-US" w:eastAsia="en-AU"/>
        </w:rPr>
        <w:t>commercial benefits</w:t>
      </w:r>
      <w:r w:rsidR="005B0F91">
        <w:rPr>
          <w:rFonts w:asciiTheme="minorHAnsi" w:hAnsiTheme="minorHAnsi" w:cstheme="minorHAnsi"/>
          <w:sz w:val="22"/>
          <w:lang w:val="en-US" w:eastAsia="en-AU"/>
        </w:rPr>
        <w:t>, such as</w:t>
      </w:r>
      <w:r w:rsidR="005B0F91" w:rsidRPr="005B0F91">
        <w:rPr>
          <w:rFonts w:asciiTheme="minorHAnsi" w:hAnsiTheme="minorHAnsi" w:cstheme="minorHAnsi"/>
          <w:sz w:val="22"/>
          <w:lang w:val="en-US" w:eastAsia="en-AU"/>
        </w:rPr>
        <w:t xml:space="preserve"> </w:t>
      </w:r>
      <w:r w:rsidR="005B0F91">
        <w:rPr>
          <w:rFonts w:asciiTheme="minorHAnsi" w:hAnsiTheme="minorHAnsi" w:cstheme="minorHAnsi"/>
          <w:sz w:val="22"/>
          <w:lang w:val="en-US" w:eastAsia="en-AU"/>
        </w:rPr>
        <w:t>participating in</w:t>
      </w:r>
      <w:r w:rsidR="005B0F91" w:rsidRPr="005B0F91">
        <w:rPr>
          <w:rFonts w:asciiTheme="minorHAnsi" w:hAnsiTheme="minorHAnsi" w:cstheme="minorHAnsi"/>
          <w:sz w:val="22"/>
          <w:lang w:val="en-US" w:eastAsia="en-AU"/>
        </w:rPr>
        <w:t xml:space="preserve"> a program that has the endorsement of big business, and as a way of showing their commitment to producing healthier products to the public</w:t>
      </w:r>
      <w:r w:rsidR="005B0F91">
        <w:rPr>
          <w:rFonts w:asciiTheme="minorHAnsi" w:hAnsiTheme="minorHAnsi" w:cstheme="minorHAnsi"/>
          <w:sz w:val="22"/>
          <w:lang w:val="en-US" w:eastAsia="en-AU"/>
        </w:rPr>
        <w:t>. For consumers, it is important that they are aware of the</w:t>
      </w:r>
      <w:r w:rsidR="005B0F91" w:rsidRPr="005B0F91">
        <w:rPr>
          <w:rFonts w:asciiTheme="minorHAnsi" w:hAnsiTheme="minorHAnsi" w:cstheme="minorHAnsi"/>
          <w:sz w:val="22"/>
          <w:lang w:val="en-US" w:eastAsia="en-AU"/>
        </w:rPr>
        <w:t xml:space="preserve"> public health benefits</w:t>
      </w:r>
      <w:r w:rsidR="005B0F91">
        <w:rPr>
          <w:rFonts w:asciiTheme="minorHAnsi" w:hAnsiTheme="minorHAnsi" w:cstheme="minorHAnsi"/>
          <w:sz w:val="22"/>
          <w:lang w:val="en-US" w:eastAsia="en-AU"/>
        </w:rPr>
        <w:t>.</w:t>
      </w:r>
    </w:p>
    <w:p w14:paraId="27D0CCCF" w14:textId="77777777" w:rsidR="005B0F91" w:rsidRDefault="005B0F91" w:rsidP="005B0F91">
      <w:pPr>
        <w:rPr>
          <w:rFonts w:asciiTheme="minorHAnsi" w:hAnsiTheme="minorHAnsi" w:cstheme="minorHAnsi"/>
          <w:sz w:val="22"/>
          <w:lang w:val="en-US" w:eastAsia="en-AU"/>
        </w:rPr>
      </w:pPr>
      <w:r>
        <w:rPr>
          <w:rFonts w:asciiTheme="minorHAnsi" w:hAnsiTheme="minorHAnsi" w:cstheme="minorHAnsi"/>
          <w:sz w:val="22"/>
          <w:lang w:val="en-US" w:eastAsia="en-AU"/>
        </w:rPr>
        <w:t>Communication activities will include:</w:t>
      </w:r>
    </w:p>
    <w:p w14:paraId="2E37F08F" w14:textId="5FC35BAD" w:rsidR="005B0F91" w:rsidRPr="005B0F91" w:rsidRDefault="005B0F91" w:rsidP="005B0F91">
      <w:pPr>
        <w:pStyle w:val="ListParagraph"/>
        <w:numPr>
          <w:ilvl w:val="0"/>
          <w:numId w:val="25"/>
        </w:numPr>
        <w:spacing w:before="0"/>
        <w:rPr>
          <w:rFonts w:asciiTheme="minorHAnsi" w:hAnsiTheme="minorHAnsi" w:cstheme="minorHAnsi"/>
          <w:sz w:val="22"/>
          <w:lang w:val="en-US" w:eastAsia="en-AU"/>
        </w:rPr>
      </w:pPr>
      <w:r w:rsidRPr="005B0F91">
        <w:rPr>
          <w:rFonts w:asciiTheme="minorHAnsi" w:hAnsiTheme="minorHAnsi" w:cstheme="minorHAnsi"/>
          <w:sz w:val="22"/>
          <w:lang w:val="en-US" w:eastAsia="en-AU"/>
        </w:rPr>
        <w:t xml:space="preserve">updating the Partnership website to ensure information on the PRP is accessible to stakeholders and the general population; </w:t>
      </w:r>
    </w:p>
    <w:p w14:paraId="3B53A818" w14:textId="4FED5CA8" w:rsidR="005B0F91" w:rsidRDefault="005B0F91" w:rsidP="005B0F91">
      <w:pPr>
        <w:pStyle w:val="ListParagraph"/>
        <w:numPr>
          <w:ilvl w:val="0"/>
          <w:numId w:val="25"/>
        </w:numPr>
        <w:rPr>
          <w:rFonts w:asciiTheme="minorHAnsi" w:hAnsiTheme="minorHAnsi" w:cstheme="minorHAnsi"/>
          <w:sz w:val="22"/>
          <w:lang w:val="en-US" w:eastAsia="en-AU"/>
        </w:rPr>
      </w:pPr>
      <w:r w:rsidRPr="005B0F91">
        <w:rPr>
          <w:rFonts w:asciiTheme="minorHAnsi" w:hAnsiTheme="minorHAnsi" w:cstheme="minorHAnsi"/>
          <w:sz w:val="22"/>
          <w:lang w:val="en-US" w:eastAsia="en-AU"/>
        </w:rPr>
        <w:t>providing an electronic kit for participating food companies that includes social media assets (for company pages) and other promotional material, helping companies promote their involvement</w:t>
      </w:r>
      <w:r>
        <w:rPr>
          <w:rFonts w:asciiTheme="minorHAnsi" w:hAnsiTheme="minorHAnsi" w:cstheme="minorHAnsi"/>
          <w:sz w:val="22"/>
          <w:lang w:val="en-US" w:eastAsia="en-AU"/>
        </w:rPr>
        <w:t>;</w:t>
      </w:r>
    </w:p>
    <w:p w14:paraId="60088441" w14:textId="5135EC12" w:rsidR="005B0F91" w:rsidRDefault="005B0F91" w:rsidP="005B0F91">
      <w:pPr>
        <w:pStyle w:val="ListParagraph"/>
        <w:numPr>
          <w:ilvl w:val="0"/>
          <w:numId w:val="25"/>
        </w:numPr>
        <w:rPr>
          <w:rFonts w:asciiTheme="minorHAnsi" w:hAnsiTheme="minorHAnsi" w:cstheme="minorHAnsi"/>
          <w:sz w:val="22"/>
          <w:lang w:val="en-US" w:eastAsia="en-AU"/>
        </w:rPr>
      </w:pPr>
      <w:r>
        <w:rPr>
          <w:rFonts w:asciiTheme="minorHAnsi" w:hAnsiTheme="minorHAnsi" w:cstheme="minorHAnsi"/>
          <w:sz w:val="22"/>
          <w:lang w:val="en-US" w:eastAsia="en-AU"/>
        </w:rPr>
        <w:t>a media release</w:t>
      </w:r>
      <w:r w:rsidR="00861B1C">
        <w:rPr>
          <w:rFonts w:asciiTheme="minorHAnsi" w:hAnsiTheme="minorHAnsi" w:cstheme="minorHAnsi"/>
          <w:sz w:val="22"/>
          <w:lang w:val="en-US" w:eastAsia="en-AU"/>
        </w:rPr>
        <w:t xml:space="preserve"> </w:t>
      </w:r>
      <w:r w:rsidR="006449E5">
        <w:rPr>
          <w:rFonts w:asciiTheme="minorHAnsi" w:hAnsiTheme="minorHAnsi" w:cstheme="minorHAnsi"/>
          <w:sz w:val="22"/>
          <w:lang w:val="en-US" w:eastAsia="en-AU"/>
        </w:rPr>
        <w:t>from Minister Colbeck to formally announce the PRP; and</w:t>
      </w:r>
    </w:p>
    <w:p w14:paraId="0531D8F6" w14:textId="1DBA6C1B" w:rsidR="006449E5" w:rsidRPr="005B0F91" w:rsidRDefault="006449E5" w:rsidP="006449E5">
      <w:pPr>
        <w:pStyle w:val="ListParagraph"/>
        <w:numPr>
          <w:ilvl w:val="0"/>
          <w:numId w:val="25"/>
        </w:numPr>
        <w:rPr>
          <w:rFonts w:asciiTheme="minorHAnsi" w:hAnsiTheme="minorHAnsi" w:cstheme="minorHAnsi"/>
          <w:sz w:val="22"/>
          <w:lang w:val="en-US" w:eastAsia="en-AU"/>
        </w:rPr>
      </w:pPr>
      <w:proofErr w:type="gramStart"/>
      <w:r>
        <w:rPr>
          <w:rFonts w:asciiTheme="minorHAnsi" w:hAnsiTheme="minorHAnsi" w:cstheme="minorHAnsi"/>
          <w:sz w:val="22"/>
          <w:lang w:val="en-US" w:eastAsia="en-AU"/>
        </w:rPr>
        <w:t>preparing</w:t>
      </w:r>
      <w:proofErr w:type="gramEnd"/>
      <w:r>
        <w:rPr>
          <w:rFonts w:asciiTheme="minorHAnsi" w:hAnsiTheme="minorHAnsi" w:cstheme="minorHAnsi"/>
          <w:sz w:val="22"/>
          <w:lang w:val="en-US" w:eastAsia="en-AU"/>
        </w:rPr>
        <w:t xml:space="preserve"> </w:t>
      </w:r>
      <w:r w:rsidRPr="006449E5">
        <w:rPr>
          <w:rFonts w:asciiTheme="minorHAnsi" w:hAnsiTheme="minorHAnsi" w:cstheme="minorHAnsi"/>
          <w:sz w:val="22"/>
          <w:lang w:val="en-US" w:eastAsia="en-AU"/>
        </w:rPr>
        <w:t>an industry-specific press release to related trade media outlets</w:t>
      </w:r>
      <w:r>
        <w:rPr>
          <w:rFonts w:asciiTheme="minorHAnsi" w:hAnsiTheme="minorHAnsi" w:cstheme="minorHAnsi"/>
          <w:sz w:val="22"/>
          <w:lang w:val="en-US" w:eastAsia="en-AU"/>
        </w:rPr>
        <w:t xml:space="preserve"> </w:t>
      </w:r>
      <w:r w:rsidRPr="006449E5">
        <w:rPr>
          <w:rFonts w:asciiTheme="minorHAnsi" w:hAnsiTheme="minorHAnsi" w:cstheme="minorHAnsi"/>
          <w:sz w:val="22"/>
          <w:lang w:val="en-US" w:eastAsia="en-AU"/>
        </w:rPr>
        <w:t>to encourage participation and champion the program</w:t>
      </w:r>
      <w:r>
        <w:rPr>
          <w:rFonts w:asciiTheme="minorHAnsi" w:hAnsiTheme="minorHAnsi" w:cstheme="minorHAnsi"/>
          <w:sz w:val="22"/>
          <w:lang w:val="en-US" w:eastAsia="en-AU"/>
        </w:rPr>
        <w:t>.</w:t>
      </w:r>
    </w:p>
    <w:p w14:paraId="5D73C96B" w14:textId="6D07F6A1" w:rsidR="00950151" w:rsidRPr="0062792B" w:rsidRDefault="00950151" w:rsidP="00CB061E">
      <w:pPr>
        <w:pStyle w:val="Heading1"/>
        <w:spacing w:before="600"/>
        <w:rPr>
          <w:sz w:val="36"/>
        </w:rPr>
      </w:pPr>
      <w:bookmarkStart w:id="10" w:name="_Toc31270545"/>
      <w:r w:rsidRPr="0062792B">
        <w:rPr>
          <w:sz w:val="36"/>
        </w:rPr>
        <w:t>Risk Management</w:t>
      </w:r>
      <w:bookmarkEnd w:id="10"/>
    </w:p>
    <w:p w14:paraId="109FDCB9" w14:textId="29264546" w:rsidR="00552BEC" w:rsidRPr="00B375DB" w:rsidRDefault="00B375DB" w:rsidP="00B375DB">
      <w:pPr>
        <w:pStyle w:val="Heading2"/>
        <w:spacing w:before="0"/>
        <w:rPr>
          <w:b/>
          <w:sz w:val="24"/>
          <w:lang w:val="en-US" w:eastAsia="en-AU"/>
        </w:rPr>
      </w:pPr>
      <w:r>
        <w:rPr>
          <w:b/>
          <w:sz w:val="24"/>
          <w:lang w:val="en-US" w:eastAsia="en-AU"/>
        </w:rPr>
        <w:t>Potential risks of n</w:t>
      </w:r>
      <w:r w:rsidR="00552BEC" w:rsidRPr="00B375DB">
        <w:rPr>
          <w:b/>
          <w:sz w:val="24"/>
          <w:lang w:val="en-US" w:eastAsia="en-AU"/>
        </w:rPr>
        <w:t>utrient reformulation</w:t>
      </w:r>
    </w:p>
    <w:p w14:paraId="7EBDFB3A" w14:textId="04CEED42" w:rsidR="009D7894" w:rsidRPr="0062792B" w:rsidRDefault="003871F4" w:rsidP="009D7894">
      <w:pPr>
        <w:tabs>
          <w:tab w:val="left" w:pos="426"/>
        </w:tabs>
        <w:autoSpaceDE w:val="0"/>
        <w:autoSpaceDN w:val="0"/>
        <w:adjustRightInd w:val="0"/>
        <w:rPr>
          <w:rFonts w:asciiTheme="minorHAnsi" w:hAnsiTheme="minorHAnsi" w:cstheme="minorHAnsi"/>
          <w:b/>
          <w:bCs/>
          <w:sz w:val="22"/>
          <w:lang w:eastAsia="en-AU"/>
        </w:rPr>
      </w:pPr>
      <w:r w:rsidRPr="0062792B">
        <w:rPr>
          <w:rFonts w:asciiTheme="minorHAnsi" w:hAnsiTheme="minorHAnsi" w:cstheme="minorHAnsi"/>
          <w:sz w:val="22"/>
          <w:lang w:eastAsia="en-AU"/>
        </w:rPr>
        <w:t>P</w:t>
      </w:r>
      <w:r w:rsidR="009D7894" w:rsidRPr="0062792B">
        <w:rPr>
          <w:rFonts w:asciiTheme="minorHAnsi" w:hAnsiTheme="minorHAnsi" w:cstheme="minorHAnsi"/>
          <w:sz w:val="22"/>
          <w:lang w:eastAsia="en-AU"/>
        </w:rPr>
        <w:t>otential risks of a nutrient reformulation program</w:t>
      </w:r>
      <w:r w:rsidRPr="0062792B">
        <w:rPr>
          <w:rFonts w:asciiTheme="minorHAnsi" w:hAnsiTheme="minorHAnsi" w:cstheme="minorHAnsi"/>
          <w:sz w:val="22"/>
          <w:lang w:eastAsia="en-AU"/>
        </w:rPr>
        <w:t xml:space="preserve"> </w:t>
      </w:r>
      <w:r w:rsidR="009D7894" w:rsidRPr="0062792B">
        <w:rPr>
          <w:rFonts w:asciiTheme="minorHAnsi" w:hAnsiTheme="minorHAnsi" w:cstheme="minorHAnsi"/>
          <w:sz w:val="22"/>
          <w:lang w:eastAsia="en-AU"/>
        </w:rPr>
        <w:t xml:space="preserve">were identified by the </w:t>
      </w:r>
      <w:r w:rsidRPr="0062792B">
        <w:rPr>
          <w:rFonts w:asciiTheme="minorHAnsi" w:hAnsiTheme="minorHAnsi" w:cstheme="minorHAnsi"/>
          <w:sz w:val="22"/>
          <w:lang w:eastAsia="en-AU"/>
        </w:rPr>
        <w:t xml:space="preserve">Reformulation Working Group </w:t>
      </w:r>
      <w:r w:rsidR="009D7894" w:rsidRPr="0062792B">
        <w:rPr>
          <w:rFonts w:asciiTheme="minorHAnsi" w:hAnsiTheme="minorHAnsi" w:cstheme="minorHAnsi"/>
          <w:sz w:val="22"/>
          <w:lang w:eastAsia="en-AU"/>
        </w:rPr>
        <w:t>and/or raised in the submissions</w:t>
      </w:r>
      <w:r w:rsidRPr="0062792B">
        <w:rPr>
          <w:rFonts w:asciiTheme="minorHAnsi" w:hAnsiTheme="minorHAnsi" w:cstheme="minorHAnsi"/>
          <w:sz w:val="22"/>
          <w:lang w:eastAsia="en-AU"/>
        </w:rPr>
        <w:t xml:space="preserve"> to the public consultation</w:t>
      </w:r>
      <w:r w:rsidR="009D7894" w:rsidRPr="0062792B">
        <w:rPr>
          <w:rFonts w:asciiTheme="minorHAnsi" w:hAnsiTheme="minorHAnsi" w:cstheme="minorHAnsi"/>
          <w:sz w:val="22"/>
          <w:lang w:eastAsia="en-AU"/>
        </w:rPr>
        <w:t>. To ensure the integrity of the process, assessments of identified potential risks of the nutrient reformulation program were conducted by external technical experts and the Department</w:t>
      </w:r>
      <w:r w:rsidRPr="0062792B">
        <w:rPr>
          <w:rFonts w:asciiTheme="minorHAnsi" w:hAnsiTheme="minorHAnsi" w:cstheme="minorHAnsi"/>
          <w:sz w:val="22"/>
          <w:lang w:eastAsia="en-AU"/>
        </w:rPr>
        <w:t xml:space="preserve"> </w:t>
      </w:r>
      <w:r w:rsidR="009D7894" w:rsidRPr="0062792B">
        <w:rPr>
          <w:rFonts w:asciiTheme="minorHAnsi" w:hAnsiTheme="minorHAnsi" w:cstheme="minorHAnsi"/>
          <w:sz w:val="22"/>
          <w:lang w:eastAsia="en-AU"/>
        </w:rPr>
        <w:t xml:space="preserve">as appropriate. </w:t>
      </w:r>
    </w:p>
    <w:p w14:paraId="595BD45C" w14:textId="5520ED90" w:rsidR="009D7894" w:rsidRPr="0062792B" w:rsidRDefault="009D7894" w:rsidP="009D7894">
      <w:pPr>
        <w:autoSpaceDE w:val="0"/>
        <w:autoSpaceDN w:val="0"/>
        <w:adjustRightInd w:val="0"/>
        <w:spacing w:after="120"/>
        <w:rPr>
          <w:rFonts w:asciiTheme="minorHAnsi" w:hAnsiTheme="minorHAnsi" w:cstheme="minorHAnsi"/>
          <w:sz w:val="22"/>
          <w:lang w:eastAsia="en-AU"/>
        </w:rPr>
      </w:pPr>
      <w:r w:rsidRPr="0062792B">
        <w:rPr>
          <w:rFonts w:asciiTheme="minorHAnsi" w:hAnsiTheme="minorHAnsi" w:cstheme="minorHAnsi"/>
          <w:sz w:val="22"/>
          <w:lang w:eastAsia="en-AU"/>
        </w:rPr>
        <w:t xml:space="preserve">The </w:t>
      </w:r>
      <w:hyperlink r:id="rId13" w:history="1">
        <w:r w:rsidRPr="0062792B">
          <w:rPr>
            <w:rStyle w:val="Hyperlink"/>
            <w:rFonts w:asciiTheme="minorHAnsi" w:hAnsiTheme="minorHAnsi" w:cstheme="minorHAnsi"/>
            <w:sz w:val="22"/>
            <w:lang w:eastAsia="en-AU"/>
          </w:rPr>
          <w:t>risk assessment</w:t>
        </w:r>
      </w:hyperlink>
      <w:r w:rsidR="00126E62" w:rsidRPr="0062792B">
        <w:rPr>
          <w:rFonts w:asciiTheme="minorHAnsi" w:hAnsiTheme="minorHAnsi" w:cstheme="minorHAnsi"/>
          <w:sz w:val="22"/>
          <w:lang w:eastAsia="en-AU"/>
        </w:rPr>
        <w:t xml:space="preserve"> </w:t>
      </w:r>
      <w:r w:rsidRPr="0062792B">
        <w:rPr>
          <w:rFonts w:asciiTheme="minorHAnsi" w:hAnsiTheme="minorHAnsi" w:cstheme="minorHAnsi"/>
          <w:sz w:val="22"/>
          <w:lang w:eastAsia="en-AU"/>
        </w:rPr>
        <w:t>determined that none of the potential risks preclude sodium</w:t>
      </w:r>
      <w:r w:rsidR="00052ED2" w:rsidRPr="0062792B">
        <w:rPr>
          <w:rFonts w:asciiTheme="minorHAnsi" w:hAnsiTheme="minorHAnsi" w:cstheme="minorHAnsi"/>
          <w:sz w:val="22"/>
          <w:lang w:eastAsia="en-AU"/>
        </w:rPr>
        <w:t>, sugar</w:t>
      </w:r>
      <w:r w:rsidRPr="0062792B">
        <w:rPr>
          <w:rFonts w:asciiTheme="minorHAnsi" w:hAnsiTheme="minorHAnsi" w:cstheme="minorHAnsi"/>
          <w:sz w:val="22"/>
          <w:lang w:eastAsia="en-AU"/>
        </w:rPr>
        <w:t xml:space="preserve"> or saturated fat reformulation as a population-level health strategy, but noted some should be monitored. </w:t>
      </w:r>
    </w:p>
    <w:p w14:paraId="15CCABE0" w14:textId="63482F96" w:rsidR="00052ED2" w:rsidRPr="0062792B" w:rsidRDefault="009D7894" w:rsidP="009D7894">
      <w:pPr>
        <w:autoSpaceDE w:val="0"/>
        <w:autoSpaceDN w:val="0"/>
        <w:adjustRightInd w:val="0"/>
        <w:spacing w:after="120"/>
        <w:rPr>
          <w:rFonts w:asciiTheme="minorHAnsi" w:hAnsiTheme="minorHAnsi" w:cstheme="minorHAnsi"/>
          <w:sz w:val="22"/>
          <w:lang w:eastAsia="en-AU"/>
        </w:rPr>
      </w:pPr>
      <w:r w:rsidRPr="0062792B">
        <w:rPr>
          <w:rFonts w:asciiTheme="minorHAnsi" w:hAnsiTheme="minorHAnsi" w:cstheme="minorHAnsi"/>
          <w:sz w:val="22"/>
          <w:lang w:eastAsia="en-AU"/>
        </w:rPr>
        <w:t>In particular, if partial potassium-based replacement of sodium were to be implemented, it would be advisable to monitor for the increased consumption of potassium which may be a risk for at-risk populations. The Department has commenced work with the Australian Bureau of Statistics (ABS) to explore ways to monitor this potential risk. Iodine intake from iodised salt</w:t>
      </w:r>
      <w:r w:rsidR="005B0F91">
        <w:rPr>
          <w:rFonts w:asciiTheme="minorHAnsi" w:hAnsiTheme="minorHAnsi" w:cstheme="minorHAnsi"/>
          <w:sz w:val="22"/>
          <w:lang w:eastAsia="en-AU"/>
        </w:rPr>
        <w:t>, as well as total iodine intake,</w:t>
      </w:r>
      <w:r w:rsidRPr="0062792B">
        <w:rPr>
          <w:rFonts w:asciiTheme="minorHAnsi" w:hAnsiTheme="minorHAnsi" w:cstheme="minorHAnsi"/>
          <w:sz w:val="22"/>
          <w:lang w:eastAsia="en-AU"/>
        </w:rPr>
        <w:t xml:space="preserve"> should also continue to be monitored, and provisions are already in place for the </w:t>
      </w:r>
      <w:r w:rsidR="006C6ACA" w:rsidRPr="0062792B">
        <w:rPr>
          <w:rFonts w:asciiTheme="minorHAnsi" w:hAnsiTheme="minorHAnsi" w:cstheme="minorHAnsi"/>
          <w:sz w:val="22"/>
          <w:lang w:eastAsia="en-AU"/>
        </w:rPr>
        <w:t xml:space="preserve">iodine </w:t>
      </w:r>
      <w:r w:rsidRPr="0062792B">
        <w:rPr>
          <w:rFonts w:asciiTheme="minorHAnsi" w:hAnsiTheme="minorHAnsi" w:cstheme="minorHAnsi"/>
          <w:sz w:val="22"/>
          <w:lang w:eastAsia="en-AU"/>
        </w:rPr>
        <w:t xml:space="preserve">fortification level </w:t>
      </w:r>
      <w:r w:rsidR="006C6ACA" w:rsidRPr="0062792B">
        <w:rPr>
          <w:rFonts w:asciiTheme="minorHAnsi" w:hAnsiTheme="minorHAnsi" w:cstheme="minorHAnsi"/>
          <w:sz w:val="22"/>
          <w:lang w:eastAsia="en-AU"/>
        </w:rPr>
        <w:t xml:space="preserve">in salt </w:t>
      </w:r>
      <w:r w:rsidRPr="0062792B">
        <w:rPr>
          <w:rFonts w:asciiTheme="minorHAnsi" w:hAnsiTheme="minorHAnsi" w:cstheme="minorHAnsi"/>
          <w:sz w:val="22"/>
          <w:lang w:eastAsia="en-AU"/>
        </w:rPr>
        <w:t xml:space="preserve">to be increased if population intakes are insufficient. </w:t>
      </w:r>
      <w:r w:rsidR="003871F4" w:rsidRPr="0062792B">
        <w:rPr>
          <w:rFonts w:asciiTheme="minorHAnsi" w:hAnsiTheme="minorHAnsi" w:cstheme="minorHAnsi"/>
          <w:sz w:val="22"/>
          <w:lang w:eastAsia="en-AU"/>
        </w:rPr>
        <w:t>In addition, the use of sugar replacers should be monitored to ensure consumption remains under the</w:t>
      </w:r>
      <w:r w:rsidR="006449E5">
        <w:rPr>
          <w:rFonts w:asciiTheme="minorHAnsi" w:hAnsiTheme="minorHAnsi" w:cstheme="minorHAnsi"/>
          <w:sz w:val="22"/>
          <w:lang w:eastAsia="en-AU"/>
        </w:rPr>
        <w:t xml:space="preserve"> acceptable daily intake</w:t>
      </w:r>
      <w:r w:rsidR="003871F4" w:rsidRPr="0062792B">
        <w:rPr>
          <w:rFonts w:asciiTheme="minorHAnsi" w:hAnsiTheme="minorHAnsi" w:cstheme="minorHAnsi"/>
          <w:sz w:val="22"/>
          <w:lang w:eastAsia="en-AU"/>
        </w:rPr>
        <w:t xml:space="preserve"> for each substance. </w:t>
      </w:r>
    </w:p>
    <w:p w14:paraId="13C47BCD" w14:textId="78B45DE8" w:rsidR="00432EB9" w:rsidRDefault="009D7894" w:rsidP="009D7894">
      <w:pPr>
        <w:autoSpaceDE w:val="0"/>
        <w:autoSpaceDN w:val="0"/>
        <w:adjustRightInd w:val="0"/>
        <w:spacing w:after="120"/>
        <w:rPr>
          <w:rFonts w:asciiTheme="minorHAnsi" w:hAnsiTheme="minorHAnsi" w:cstheme="minorHAnsi"/>
          <w:sz w:val="22"/>
          <w:lang w:eastAsia="en-AU"/>
        </w:rPr>
      </w:pPr>
      <w:r w:rsidRPr="0062792B">
        <w:rPr>
          <w:rFonts w:asciiTheme="minorHAnsi" w:hAnsiTheme="minorHAnsi" w:cstheme="minorHAnsi"/>
          <w:sz w:val="22"/>
          <w:lang w:eastAsia="en-AU"/>
        </w:rPr>
        <w:t>Future</w:t>
      </w:r>
      <w:r w:rsidR="00CA7341" w:rsidRPr="0062792B">
        <w:rPr>
          <w:rFonts w:asciiTheme="minorHAnsi" w:hAnsiTheme="minorHAnsi" w:cstheme="minorHAnsi"/>
          <w:sz w:val="22"/>
          <w:lang w:eastAsia="en-AU"/>
        </w:rPr>
        <w:t xml:space="preserve"> </w:t>
      </w:r>
      <w:r w:rsidR="006C6ACA" w:rsidRPr="0062792B">
        <w:rPr>
          <w:rFonts w:asciiTheme="minorHAnsi" w:hAnsiTheme="minorHAnsi" w:cstheme="minorHAnsi"/>
          <w:sz w:val="22"/>
          <w:lang w:eastAsia="en-AU"/>
        </w:rPr>
        <w:t>nutrition</w:t>
      </w:r>
      <w:r w:rsidRPr="0062792B">
        <w:rPr>
          <w:rFonts w:asciiTheme="minorHAnsi" w:hAnsiTheme="minorHAnsi" w:cstheme="minorHAnsi"/>
          <w:sz w:val="22"/>
          <w:lang w:eastAsia="en-AU"/>
        </w:rPr>
        <w:t xml:space="preserve"> surveys and updates to food composition databases will also be considered with a view t</w:t>
      </w:r>
      <w:r w:rsidR="006449E5">
        <w:rPr>
          <w:rFonts w:asciiTheme="minorHAnsi" w:hAnsiTheme="minorHAnsi" w:cstheme="minorHAnsi"/>
          <w:sz w:val="22"/>
          <w:lang w:eastAsia="en-AU"/>
        </w:rPr>
        <w:t>o tracking changes in food and nutrient consumption</w:t>
      </w:r>
      <w:r w:rsidRPr="0062792B">
        <w:rPr>
          <w:rFonts w:asciiTheme="minorHAnsi" w:hAnsiTheme="minorHAnsi" w:cstheme="minorHAnsi"/>
          <w:sz w:val="22"/>
          <w:lang w:eastAsia="en-AU"/>
        </w:rPr>
        <w:t>.</w:t>
      </w:r>
      <w:r w:rsidR="00052ED2" w:rsidRPr="0062792B">
        <w:rPr>
          <w:rFonts w:asciiTheme="minorHAnsi" w:hAnsiTheme="minorHAnsi" w:cstheme="minorHAnsi"/>
          <w:sz w:val="22"/>
          <w:lang w:eastAsia="en-AU"/>
        </w:rPr>
        <w:t xml:space="preserve"> The Department has strengthened the </w:t>
      </w:r>
      <w:r w:rsidR="00052ED2" w:rsidRPr="0062792B">
        <w:rPr>
          <w:rFonts w:asciiTheme="minorHAnsi" w:hAnsiTheme="minorHAnsi" w:cstheme="minorHAnsi"/>
          <w:i/>
          <w:sz w:val="22"/>
          <w:lang w:eastAsia="en-AU"/>
        </w:rPr>
        <w:t>Principles for Reformulation</w:t>
      </w:r>
      <w:r w:rsidR="00052ED2" w:rsidRPr="0062792B">
        <w:rPr>
          <w:rFonts w:asciiTheme="minorHAnsi" w:hAnsiTheme="minorHAnsi" w:cstheme="minorHAnsi"/>
          <w:sz w:val="22"/>
          <w:lang w:eastAsia="en-AU"/>
        </w:rPr>
        <w:t xml:space="preserve"> for companies to</w:t>
      </w:r>
      <w:r w:rsidR="007C4250" w:rsidRPr="0062792B">
        <w:rPr>
          <w:rFonts w:asciiTheme="minorHAnsi" w:hAnsiTheme="minorHAnsi" w:cstheme="minorHAnsi"/>
          <w:sz w:val="22"/>
          <w:lang w:eastAsia="en-AU"/>
        </w:rPr>
        <w:t xml:space="preserve"> consider to further reduce potential </w:t>
      </w:r>
      <w:r w:rsidR="00052ED2" w:rsidRPr="0062792B">
        <w:rPr>
          <w:rFonts w:asciiTheme="minorHAnsi" w:hAnsiTheme="minorHAnsi" w:cstheme="minorHAnsi"/>
          <w:sz w:val="22"/>
          <w:lang w:eastAsia="en-AU"/>
        </w:rPr>
        <w:t>risks.</w:t>
      </w:r>
    </w:p>
    <w:p w14:paraId="67843646" w14:textId="02379000" w:rsidR="00552BEC" w:rsidRDefault="00552BEC" w:rsidP="00CF3D0B">
      <w:pPr>
        <w:pStyle w:val="Heading2"/>
        <w:keepNext/>
        <w:keepLines/>
        <w:spacing w:before="0"/>
        <w:rPr>
          <w:b/>
          <w:sz w:val="24"/>
          <w:lang w:val="en-US" w:eastAsia="en-AU"/>
        </w:rPr>
      </w:pPr>
      <w:r w:rsidRPr="00B375DB">
        <w:rPr>
          <w:b/>
          <w:sz w:val="24"/>
          <w:lang w:val="en-US" w:eastAsia="en-AU"/>
        </w:rPr>
        <w:lastRenderedPageBreak/>
        <w:t>Reputational risk</w:t>
      </w:r>
      <w:r w:rsidR="00861B1C">
        <w:rPr>
          <w:b/>
          <w:sz w:val="24"/>
          <w:lang w:val="en-US" w:eastAsia="en-AU"/>
        </w:rPr>
        <w:t>s</w:t>
      </w:r>
    </w:p>
    <w:p w14:paraId="792634C8" w14:textId="6634F0D1" w:rsidR="00D54880" w:rsidRDefault="00D54880" w:rsidP="00B375DB">
      <w:pPr>
        <w:autoSpaceDE w:val="0"/>
        <w:autoSpaceDN w:val="0"/>
        <w:adjustRightInd w:val="0"/>
        <w:spacing w:after="120"/>
        <w:rPr>
          <w:rFonts w:asciiTheme="minorHAnsi" w:hAnsiTheme="minorHAnsi" w:cstheme="minorHAnsi"/>
          <w:sz w:val="22"/>
          <w:lang w:eastAsia="en-AU"/>
        </w:rPr>
      </w:pPr>
      <w:r>
        <w:rPr>
          <w:rFonts w:asciiTheme="minorHAnsi" w:hAnsiTheme="minorHAnsi" w:cstheme="minorHAnsi"/>
          <w:sz w:val="22"/>
          <w:lang w:eastAsia="en-AU"/>
        </w:rPr>
        <w:t xml:space="preserve">There are reputational risks to the Healthy Food Partnership. For example, there may be criticisms associated with the voluntary nature of the Partnership, or concern that the time period for change is too long. </w:t>
      </w:r>
      <w:r w:rsidR="00B60703" w:rsidRPr="00B60703">
        <w:rPr>
          <w:rFonts w:asciiTheme="minorHAnsi" w:hAnsiTheme="minorHAnsi" w:cstheme="minorHAnsi"/>
          <w:sz w:val="22"/>
          <w:lang w:eastAsia="en-AU"/>
        </w:rPr>
        <w:t xml:space="preserve"> </w:t>
      </w:r>
      <w:r w:rsidR="00E15538">
        <w:rPr>
          <w:rFonts w:asciiTheme="minorHAnsi" w:hAnsiTheme="minorHAnsi" w:cstheme="minorHAnsi"/>
          <w:sz w:val="22"/>
          <w:lang w:eastAsia="en-AU"/>
        </w:rPr>
        <w:t xml:space="preserve">The timeframes for implementation are considered feasible and realistic, allowing companies to make gradual changes to </w:t>
      </w:r>
      <w:r w:rsidR="005B3C75">
        <w:rPr>
          <w:rFonts w:asciiTheme="minorHAnsi" w:hAnsiTheme="minorHAnsi" w:cstheme="minorHAnsi"/>
          <w:sz w:val="22"/>
          <w:lang w:eastAsia="en-AU"/>
        </w:rPr>
        <w:t>support</w:t>
      </w:r>
      <w:r w:rsidR="00E15538">
        <w:rPr>
          <w:rFonts w:asciiTheme="minorHAnsi" w:hAnsiTheme="minorHAnsi" w:cstheme="minorHAnsi"/>
          <w:sz w:val="22"/>
          <w:lang w:eastAsia="en-AU"/>
        </w:rPr>
        <w:t xml:space="preserve"> consumer acceptability. The Department will monitor engagement with the program and progress towards the target. If, at the end of the four-year timeframe significant progress towards the targets</w:t>
      </w:r>
      <w:r w:rsidR="008D4961">
        <w:rPr>
          <w:rFonts w:asciiTheme="minorHAnsi" w:hAnsiTheme="minorHAnsi" w:cstheme="minorHAnsi"/>
          <w:sz w:val="22"/>
          <w:lang w:eastAsia="en-AU"/>
        </w:rPr>
        <w:t xml:space="preserve"> has not been achieved</w:t>
      </w:r>
      <w:r w:rsidR="00E15538">
        <w:rPr>
          <w:rFonts w:asciiTheme="minorHAnsi" w:hAnsiTheme="minorHAnsi" w:cstheme="minorHAnsi"/>
          <w:sz w:val="22"/>
          <w:lang w:eastAsia="en-AU"/>
        </w:rPr>
        <w:t>,</w:t>
      </w:r>
      <w:r w:rsidR="00B93543">
        <w:rPr>
          <w:rFonts w:asciiTheme="minorHAnsi" w:hAnsiTheme="minorHAnsi" w:cstheme="minorHAnsi"/>
          <w:sz w:val="22"/>
          <w:lang w:eastAsia="en-AU"/>
        </w:rPr>
        <w:t xml:space="preserve"> a review will be undertaken and</w:t>
      </w:r>
      <w:r w:rsidR="00E15538">
        <w:rPr>
          <w:rFonts w:asciiTheme="minorHAnsi" w:hAnsiTheme="minorHAnsi" w:cstheme="minorHAnsi"/>
          <w:sz w:val="22"/>
          <w:lang w:eastAsia="en-AU"/>
        </w:rPr>
        <w:t xml:space="preserve"> other options may be considered. </w:t>
      </w:r>
    </w:p>
    <w:p w14:paraId="01A6F005" w14:textId="1A82674F" w:rsidR="00903FBB" w:rsidRDefault="00B375DB" w:rsidP="00B375DB">
      <w:pPr>
        <w:autoSpaceDE w:val="0"/>
        <w:autoSpaceDN w:val="0"/>
        <w:adjustRightInd w:val="0"/>
        <w:spacing w:after="120"/>
        <w:rPr>
          <w:rFonts w:asciiTheme="minorHAnsi" w:hAnsiTheme="minorHAnsi" w:cstheme="minorHAnsi"/>
          <w:sz w:val="22"/>
          <w:lang w:eastAsia="en-AU"/>
        </w:rPr>
      </w:pPr>
      <w:r>
        <w:rPr>
          <w:rFonts w:asciiTheme="minorHAnsi" w:hAnsiTheme="minorHAnsi" w:cstheme="minorHAnsi"/>
          <w:sz w:val="22"/>
          <w:lang w:eastAsia="en-AU"/>
        </w:rPr>
        <w:t>There is</w:t>
      </w:r>
      <w:r w:rsidR="00D54880">
        <w:rPr>
          <w:rFonts w:asciiTheme="minorHAnsi" w:hAnsiTheme="minorHAnsi" w:cstheme="minorHAnsi"/>
          <w:sz w:val="22"/>
          <w:lang w:eastAsia="en-AU"/>
        </w:rPr>
        <w:t xml:space="preserve"> also</w:t>
      </w:r>
      <w:r>
        <w:rPr>
          <w:rFonts w:asciiTheme="minorHAnsi" w:hAnsiTheme="minorHAnsi" w:cstheme="minorHAnsi"/>
          <w:sz w:val="22"/>
          <w:lang w:eastAsia="en-AU"/>
        </w:rPr>
        <w:t xml:space="preserve"> a risk that food companies may receive negative attention for </w:t>
      </w:r>
      <w:r w:rsidR="00021F2E">
        <w:rPr>
          <w:rFonts w:asciiTheme="minorHAnsi" w:hAnsiTheme="minorHAnsi" w:cstheme="minorHAnsi"/>
          <w:sz w:val="22"/>
          <w:lang w:eastAsia="en-AU"/>
        </w:rPr>
        <w:t xml:space="preserve">not signing up to the </w:t>
      </w:r>
      <w:r w:rsidR="00861B1C">
        <w:rPr>
          <w:rFonts w:asciiTheme="minorHAnsi" w:hAnsiTheme="minorHAnsi" w:cstheme="minorHAnsi"/>
          <w:sz w:val="22"/>
          <w:lang w:eastAsia="en-AU"/>
        </w:rPr>
        <w:t>PRP</w:t>
      </w:r>
      <w:r w:rsidR="00021F2E">
        <w:rPr>
          <w:rFonts w:asciiTheme="minorHAnsi" w:hAnsiTheme="minorHAnsi" w:cstheme="minorHAnsi"/>
          <w:sz w:val="22"/>
          <w:lang w:eastAsia="en-AU"/>
        </w:rPr>
        <w:t xml:space="preserve">, or failing to meet the reformulation targets within the agreed timeframes. The Department is taking following steps to mitigate this risk. </w:t>
      </w:r>
    </w:p>
    <w:p w14:paraId="1E7E21E6" w14:textId="2B83580D" w:rsidR="00903FBB" w:rsidRDefault="000430BA" w:rsidP="00903FBB">
      <w:pPr>
        <w:pStyle w:val="ListParagraph"/>
        <w:numPr>
          <w:ilvl w:val="0"/>
          <w:numId w:val="26"/>
        </w:numPr>
        <w:autoSpaceDE w:val="0"/>
        <w:autoSpaceDN w:val="0"/>
        <w:adjustRightInd w:val="0"/>
        <w:spacing w:after="120"/>
        <w:rPr>
          <w:rFonts w:asciiTheme="minorHAnsi" w:hAnsiTheme="minorHAnsi" w:cstheme="minorHAnsi"/>
          <w:sz w:val="22"/>
          <w:lang w:eastAsia="en-AU"/>
        </w:rPr>
      </w:pPr>
      <w:r>
        <w:rPr>
          <w:rFonts w:asciiTheme="minorHAnsi" w:hAnsiTheme="minorHAnsi" w:cstheme="minorHAnsi"/>
          <w:sz w:val="22"/>
          <w:lang w:eastAsia="en-AU"/>
        </w:rPr>
        <w:t>Asking companies</w:t>
      </w:r>
      <w:r w:rsidRPr="00903FBB">
        <w:rPr>
          <w:rFonts w:asciiTheme="minorHAnsi" w:hAnsiTheme="minorHAnsi" w:cstheme="minorHAnsi"/>
          <w:sz w:val="22"/>
          <w:lang w:eastAsia="en-AU"/>
        </w:rPr>
        <w:t xml:space="preserve"> to commit to work towards all relevant targets</w:t>
      </w:r>
      <w:r>
        <w:rPr>
          <w:rFonts w:asciiTheme="minorHAnsi" w:hAnsiTheme="minorHAnsi" w:cstheme="minorHAnsi"/>
          <w:sz w:val="22"/>
          <w:lang w:eastAsia="en-AU"/>
        </w:rPr>
        <w:t xml:space="preserve">, rather than </w:t>
      </w:r>
      <w:r w:rsidR="00021F2E" w:rsidRPr="00903FBB">
        <w:rPr>
          <w:rFonts w:asciiTheme="minorHAnsi" w:hAnsiTheme="minorHAnsi" w:cstheme="minorHAnsi"/>
          <w:sz w:val="22"/>
          <w:lang w:eastAsia="en-AU"/>
        </w:rPr>
        <w:t>individual targets</w:t>
      </w:r>
      <w:r>
        <w:rPr>
          <w:rFonts w:asciiTheme="minorHAnsi" w:hAnsiTheme="minorHAnsi" w:cstheme="minorHAnsi"/>
          <w:sz w:val="22"/>
          <w:lang w:eastAsia="en-AU"/>
        </w:rPr>
        <w:t xml:space="preserve">. </w:t>
      </w:r>
    </w:p>
    <w:p w14:paraId="305DFDDA" w14:textId="7F1B920A" w:rsidR="00903FBB" w:rsidRDefault="00861B1C" w:rsidP="00993A96">
      <w:pPr>
        <w:pStyle w:val="ListParagraph"/>
        <w:numPr>
          <w:ilvl w:val="0"/>
          <w:numId w:val="26"/>
        </w:numPr>
        <w:autoSpaceDE w:val="0"/>
        <w:autoSpaceDN w:val="0"/>
        <w:adjustRightInd w:val="0"/>
        <w:spacing w:after="120"/>
        <w:rPr>
          <w:rFonts w:asciiTheme="minorHAnsi" w:hAnsiTheme="minorHAnsi" w:cstheme="minorHAnsi"/>
          <w:sz w:val="22"/>
          <w:lang w:eastAsia="en-AU"/>
        </w:rPr>
      </w:pPr>
      <w:r>
        <w:rPr>
          <w:rFonts w:asciiTheme="minorHAnsi" w:hAnsiTheme="minorHAnsi" w:cstheme="minorHAnsi"/>
          <w:sz w:val="22"/>
          <w:lang w:eastAsia="en-AU"/>
        </w:rPr>
        <w:t>Recognising</w:t>
      </w:r>
      <w:r w:rsidR="00021F2E" w:rsidRPr="00903FBB">
        <w:rPr>
          <w:rFonts w:asciiTheme="minorHAnsi" w:hAnsiTheme="minorHAnsi" w:cstheme="minorHAnsi"/>
          <w:sz w:val="22"/>
          <w:lang w:eastAsia="en-AU"/>
        </w:rPr>
        <w:t xml:space="preserve"> that formulations of international products may not be within an Australian subsidiary’s </w:t>
      </w:r>
      <w:r w:rsidR="00CF3D0B" w:rsidRPr="00903FBB">
        <w:rPr>
          <w:rFonts w:asciiTheme="minorHAnsi" w:hAnsiTheme="minorHAnsi" w:cstheme="minorHAnsi"/>
          <w:sz w:val="22"/>
          <w:lang w:eastAsia="en-AU"/>
        </w:rPr>
        <w:t xml:space="preserve">level of </w:t>
      </w:r>
      <w:r w:rsidR="00021F2E" w:rsidRPr="00903FBB">
        <w:rPr>
          <w:rFonts w:asciiTheme="minorHAnsi" w:hAnsiTheme="minorHAnsi" w:cstheme="minorHAnsi"/>
          <w:sz w:val="22"/>
          <w:lang w:eastAsia="en-AU"/>
        </w:rPr>
        <w:t>influence</w:t>
      </w:r>
      <w:r w:rsidR="00903FBB">
        <w:rPr>
          <w:rFonts w:asciiTheme="minorHAnsi" w:hAnsiTheme="minorHAnsi" w:cstheme="minorHAnsi"/>
          <w:sz w:val="22"/>
          <w:lang w:eastAsia="en-AU"/>
        </w:rPr>
        <w:t xml:space="preserve"> or control</w:t>
      </w:r>
      <w:r w:rsidR="00021F2E" w:rsidRPr="00903FBB">
        <w:rPr>
          <w:rFonts w:asciiTheme="minorHAnsi" w:hAnsiTheme="minorHAnsi" w:cstheme="minorHAnsi"/>
          <w:sz w:val="22"/>
          <w:lang w:eastAsia="en-AU"/>
        </w:rPr>
        <w:t>.</w:t>
      </w:r>
      <w:r w:rsidR="00CF3D0B" w:rsidRPr="00903FBB">
        <w:rPr>
          <w:rFonts w:asciiTheme="minorHAnsi" w:hAnsiTheme="minorHAnsi" w:cstheme="minorHAnsi"/>
          <w:sz w:val="22"/>
          <w:lang w:eastAsia="en-AU"/>
        </w:rPr>
        <w:t xml:space="preserve"> </w:t>
      </w:r>
    </w:p>
    <w:p w14:paraId="2961E554" w14:textId="5A8770AF" w:rsidR="00903FBB" w:rsidRDefault="00861B1C" w:rsidP="00993A96">
      <w:pPr>
        <w:pStyle w:val="ListParagraph"/>
        <w:numPr>
          <w:ilvl w:val="0"/>
          <w:numId w:val="26"/>
        </w:numPr>
        <w:autoSpaceDE w:val="0"/>
        <w:autoSpaceDN w:val="0"/>
        <w:adjustRightInd w:val="0"/>
        <w:spacing w:after="120"/>
        <w:rPr>
          <w:rFonts w:asciiTheme="minorHAnsi" w:hAnsiTheme="minorHAnsi" w:cstheme="minorHAnsi"/>
          <w:sz w:val="22"/>
          <w:lang w:eastAsia="en-AU"/>
        </w:rPr>
      </w:pPr>
      <w:r>
        <w:rPr>
          <w:rFonts w:asciiTheme="minorHAnsi" w:hAnsiTheme="minorHAnsi" w:cstheme="minorHAnsi"/>
          <w:sz w:val="22"/>
          <w:lang w:eastAsia="en-AU"/>
        </w:rPr>
        <w:t>Not reporting</w:t>
      </w:r>
      <w:r w:rsidR="00CF3D0B" w:rsidRPr="00903FBB">
        <w:rPr>
          <w:rFonts w:asciiTheme="minorHAnsi" w:hAnsiTheme="minorHAnsi" w:cstheme="minorHAnsi"/>
          <w:sz w:val="22"/>
          <w:lang w:eastAsia="en-AU"/>
        </w:rPr>
        <w:t xml:space="preserve"> on the progress of the PRP</w:t>
      </w:r>
      <w:r w:rsidR="00021F2E" w:rsidRPr="00903FBB">
        <w:rPr>
          <w:rFonts w:asciiTheme="minorHAnsi" w:hAnsiTheme="minorHAnsi" w:cstheme="minorHAnsi"/>
          <w:sz w:val="22"/>
          <w:lang w:eastAsia="en-AU"/>
        </w:rPr>
        <w:t xml:space="preserve"> </w:t>
      </w:r>
      <w:r w:rsidR="00CF3D0B" w:rsidRPr="00903FBB">
        <w:rPr>
          <w:rFonts w:asciiTheme="minorHAnsi" w:hAnsiTheme="minorHAnsi" w:cstheme="minorHAnsi"/>
          <w:sz w:val="22"/>
          <w:lang w:eastAsia="en-AU"/>
        </w:rPr>
        <w:t xml:space="preserve">at an individual company level. All reporting will be at the category/sub-category level. </w:t>
      </w:r>
    </w:p>
    <w:p w14:paraId="33D3BDEB" w14:textId="3C93147D" w:rsidR="00B375DB" w:rsidRPr="00903FBB" w:rsidRDefault="00CF3D0B" w:rsidP="00903FBB">
      <w:pPr>
        <w:autoSpaceDE w:val="0"/>
        <w:autoSpaceDN w:val="0"/>
        <w:adjustRightInd w:val="0"/>
        <w:spacing w:after="120"/>
        <w:rPr>
          <w:rFonts w:asciiTheme="minorHAnsi" w:hAnsiTheme="minorHAnsi" w:cstheme="minorHAnsi"/>
          <w:sz w:val="22"/>
          <w:lang w:eastAsia="en-AU"/>
        </w:rPr>
      </w:pPr>
      <w:r w:rsidRPr="00903FBB">
        <w:rPr>
          <w:rFonts w:asciiTheme="minorHAnsi" w:hAnsiTheme="minorHAnsi" w:cstheme="minorHAnsi"/>
          <w:sz w:val="22"/>
          <w:lang w:eastAsia="en-AU"/>
        </w:rPr>
        <w:t xml:space="preserve">However, this does not prevent </w:t>
      </w:r>
      <w:r w:rsidR="00861B1C">
        <w:rPr>
          <w:rFonts w:asciiTheme="minorHAnsi" w:hAnsiTheme="minorHAnsi" w:cstheme="minorHAnsi"/>
          <w:sz w:val="22"/>
          <w:lang w:eastAsia="en-AU"/>
        </w:rPr>
        <w:t>other stakeholders</w:t>
      </w:r>
      <w:r w:rsidRPr="00903FBB">
        <w:rPr>
          <w:rFonts w:asciiTheme="minorHAnsi" w:hAnsiTheme="minorHAnsi" w:cstheme="minorHAnsi"/>
          <w:sz w:val="22"/>
          <w:lang w:eastAsia="en-AU"/>
        </w:rPr>
        <w:t xml:space="preserve"> from undertaking their own analysis</w:t>
      </w:r>
      <w:r w:rsidR="00903FBB">
        <w:rPr>
          <w:rFonts w:asciiTheme="minorHAnsi" w:hAnsiTheme="minorHAnsi" w:cstheme="minorHAnsi"/>
          <w:sz w:val="22"/>
          <w:lang w:eastAsia="en-AU"/>
        </w:rPr>
        <w:t xml:space="preserve"> </w:t>
      </w:r>
      <w:r w:rsidR="00861B1C">
        <w:rPr>
          <w:rFonts w:asciiTheme="minorHAnsi" w:hAnsiTheme="minorHAnsi" w:cstheme="minorHAnsi"/>
          <w:sz w:val="22"/>
          <w:lang w:eastAsia="en-AU"/>
        </w:rPr>
        <w:t xml:space="preserve">and </w:t>
      </w:r>
      <w:r w:rsidR="00903FBB">
        <w:rPr>
          <w:rFonts w:asciiTheme="minorHAnsi" w:hAnsiTheme="minorHAnsi" w:cstheme="minorHAnsi"/>
          <w:sz w:val="22"/>
          <w:lang w:eastAsia="en-AU"/>
        </w:rPr>
        <w:t>reporting on</w:t>
      </w:r>
      <w:r w:rsidRPr="00903FBB">
        <w:rPr>
          <w:rFonts w:asciiTheme="minorHAnsi" w:hAnsiTheme="minorHAnsi" w:cstheme="minorHAnsi"/>
          <w:sz w:val="22"/>
          <w:lang w:eastAsia="en-AU"/>
        </w:rPr>
        <w:t xml:space="preserve"> the PRP.</w:t>
      </w:r>
      <w:r w:rsidR="00903FBB">
        <w:rPr>
          <w:rFonts w:asciiTheme="minorHAnsi" w:hAnsiTheme="minorHAnsi" w:cstheme="minorHAnsi"/>
          <w:sz w:val="22"/>
          <w:lang w:eastAsia="en-AU"/>
        </w:rPr>
        <w:t xml:space="preserve"> </w:t>
      </w:r>
      <w:r w:rsidR="000430BA">
        <w:rPr>
          <w:rFonts w:asciiTheme="minorHAnsi" w:hAnsiTheme="minorHAnsi" w:cstheme="minorHAnsi"/>
          <w:sz w:val="22"/>
          <w:lang w:eastAsia="en-AU"/>
        </w:rPr>
        <w:t xml:space="preserve"> </w:t>
      </w:r>
    </w:p>
    <w:p w14:paraId="084B16B4" w14:textId="2DD781C7" w:rsidR="00552BEC" w:rsidRPr="00CF3D0B" w:rsidRDefault="00552BEC" w:rsidP="00CF3D0B">
      <w:pPr>
        <w:pStyle w:val="Heading2"/>
        <w:keepNext/>
        <w:keepLines/>
        <w:spacing w:before="0"/>
        <w:rPr>
          <w:b/>
          <w:sz w:val="24"/>
          <w:lang w:val="en-US" w:eastAsia="en-AU"/>
        </w:rPr>
      </w:pPr>
      <w:r w:rsidRPr="00CF3D0B">
        <w:rPr>
          <w:b/>
          <w:sz w:val="24"/>
          <w:lang w:val="en-US" w:eastAsia="en-AU"/>
        </w:rPr>
        <w:t>Implementation risk</w:t>
      </w:r>
      <w:r w:rsidR="000430BA">
        <w:rPr>
          <w:b/>
          <w:sz w:val="24"/>
          <w:lang w:val="en-US" w:eastAsia="en-AU"/>
        </w:rPr>
        <w:t>s</w:t>
      </w:r>
      <w:r w:rsidRPr="00CF3D0B">
        <w:rPr>
          <w:b/>
          <w:sz w:val="24"/>
          <w:lang w:val="en-US" w:eastAsia="en-AU"/>
        </w:rPr>
        <w:t xml:space="preserve"> </w:t>
      </w:r>
    </w:p>
    <w:p w14:paraId="5622FC89" w14:textId="5A620B6B" w:rsidR="00552BEC" w:rsidRDefault="00903FBB" w:rsidP="00903FBB">
      <w:pPr>
        <w:autoSpaceDE w:val="0"/>
        <w:autoSpaceDN w:val="0"/>
        <w:adjustRightInd w:val="0"/>
        <w:rPr>
          <w:rFonts w:asciiTheme="minorHAnsi" w:hAnsiTheme="minorHAnsi" w:cstheme="minorHAnsi"/>
          <w:sz w:val="22"/>
          <w:lang w:eastAsia="en-AU"/>
        </w:rPr>
      </w:pPr>
      <w:r>
        <w:rPr>
          <w:rFonts w:asciiTheme="minorHAnsi" w:hAnsiTheme="minorHAnsi" w:cstheme="minorHAnsi"/>
          <w:sz w:val="22"/>
          <w:lang w:eastAsia="en-AU"/>
        </w:rPr>
        <w:t xml:space="preserve">There is a risk that the PRP </w:t>
      </w:r>
      <w:r w:rsidR="00861B1C">
        <w:rPr>
          <w:rFonts w:asciiTheme="minorHAnsi" w:hAnsiTheme="minorHAnsi" w:cstheme="minorHAnsi"/>
          <w:sz w:val="22"/>
          <w:lang w:eastAsia="en-AU"/>
        </w:rPr>
        <w:t>does not achieve meaningful reductions in sodium, saturated fat and sugar</w:t>
      </w:r>
      <w:r>
        <w:rPr>
          <w:rFonts w:asciiTheme="minorHAnsi" w:hAnsiTheme="minorHAnsi" w:cstheme="minorHAnsi"/>
          <w:sz w:val="22"/>
          <w:lang w:eastAsia="en-AU"/>
        </w:rPr>
        <w:t xml:space="preserve">. This risks will be minimised by ensuring there are ample </w:t>
      </w:r>
      <w:r w:rsidR="00552BEC">
        <w:rPr>
          <w:rFonts w:asciiTheme="minorHAnsi" w:hAnsiTheme="minorHAnsi" w:cstheme="minorHAnsi"/>
          <w:sz w:val="22"/>
          <w:lang w:eastAsia="en-AU"/>
        </w:rPr>
        <w:t>awareness</w:t>
      </w:r>
      <w:r>
        <w:rPr>
          <w:rFonts w:asciiTheme="minorHAnsi" w:hAnsiTheme="minorHAnsi" w:cstheme="minorHAnsi"/>
          <w:sz w:val="22"/>
          <w:lang w:eastAsia="en-AU"/>
        </w:rPr>
        <w:t xml:space="preserve"> raising activities through multiple channels</w:t>
      </w:r>
      <w:r w:rsidR="00861B1C">
        <w:rPr>
          <w:rFonts w:asciiTheme="minorHAnsi" w:hAnsiTheme="minorHAnsi" w:cstheme="minorHAnsi"/>
          <w:sz w:val="22"/>
          <w:lang w:eastAsia="en-AU"/>
        </w:rPr>
        <w:t xml:space="preserve"> to </w:t>
      </w:r>
      <w:r w:rsidR="002F5549">
        <w:rPr>
          <w:rFonts w:asciiTheme="minorHAnsi" w:hAnsiTheme="minorHAnsi" w:cstheme="minorHAnsi"/>
          <w:sz w:val="22"/>
          <w:lang w:eastAsia="en-AU"/>
        </w:rPr>
        <w:t>achieve</w:t>
      </w:r>
      <w:r>
        <w:rPr>
          <w:rFonts w:asciiTheme="minorHAnsi" w:hAnsiTheme="minorHAnsi" w:cstheme="minorHAnsi"/>
          <w:sz w:val="22"/>
          <w:lang w:eastAsia="en-AU"/>
        </w:rPr>
        <w:t xml:space="preserve"> a</w:t>
      </w:r>
      <w:r w:rsidR="00552BEC">
        <w:rPr>
          <w:rFonts w:asciiTheme="minorHAnsi" w:hAnsiTheme="minorHAnsi" w:cstheme="minorHAnsi"/>
          <w:sz w:val="22"/>
          <w:lang w:eastAsia="en-AU"/>
        </w:rPr>
        <w:t xml:space="preserve"> </w:t>
      </w:r>
      <w:r>
        <w:rPr>
          <w:rFonts w:asciiTheme="minorHAnsi" w:hAnsiTheme="minorHAnsi" w:cstheme="minorHAnsi"/>
          <w:sz w:val="22"/>
          <w:lang w:eastAsia="en-AU"/>
        </w:rPr>
        <w:t xml:space="preserve">sufficient </w:t>
      </w:r>
      <w:r w:rsidR="00552BEC">
        <w:rPr>
          <w:rFonts w:asciiTheme="minorHAnsi" w:hAnsiTheme="minorHAnsi" w:cstheme="minorHAnsi"/>
          <w:sz w:val="22"/>
          <w:lang w:eastAsia="en-AU"/>
        </w:rPr>
        <w:t xml:space="preserve">level of engagement </w:t>
      </w:r>
      <w:r>
        <w:rPr>
          <w:rFonts w:asciiTheme="minorHAnsi" w:hAnsiTheme="minorHAnsi" w:cstheme="minorHAnsi"/>
          <w:sz w:val="22"/>
          <w:lang w:eastAsia="en-AU"/>
        </w:rPr>
        <w:t xml:space="preserve">with the program. </w:t>
      </w:r>
      <w:r w:rsidR="00861B1C">
        <w:rPr>
          <w:rFonts w:asciiTheme="minorHAnsi" w:hAnsiTheme="minorHAnsi" w:cstheme="minorHAnsi"/>
          <w:sz w:val="22"/>
          <w:lang w:eastAsia="en-AU"/>
        </w:rPr>
        <w:t>Targets</w:t>
      </w:r>
      <w:r w:rsidR="00D26462">
        <w:rPr>
          <w:rFonts w:asciiTheme="minorHAnsi" w:hAnsiTheme="minorHAnsi" w:cstheme="minorHAnsi"/>
          <w:sz w:val="22"/>
          <w:lang w:eastAsia="en-AU"/>
        </w:rPr>
        <w:t xml:space="preserve"> are considered feasible, having</w:t>
      </w:r>
      <w:r w:rsidR="00861B1C">
        <w:rPr>
          <w:rFonts w:asciiTheme="minorHAnsi" w:hAnsiTheme="minorHAnsi" w:cstheme="minorHAnsi"/>
          <w:sz w:val="22"/>
          <w:lang w:eastAsia="en-AU"/>
        </w:rPr>
        <w:t xml:space="preserve"> been set through analysis of the current food supply, what has been achieved internationally, and through consultation with industry. </w:t>
      </w:r>
      <w:r w:rsidR="000C5E86">
        <w:rPr>
          <w:rFonts w:asciiTheme="minorHAnsi" w:hAnsiTheme="minorHAnsi" w:cstheme="minorHAnsi"/>
          <w:sz w:val="22"/>
          <w:lang w:eastAsia="en-AU"/>
        </w:rPr>
        <w:t>S</w:t>
      </w:r>
      <w:r w:rsidR="002F5549">
        <w:rPr>
          <w:rFonts w:asciiTheme="minorHAnsi" w:hAnsiTheme="minorHAnsi" w:cstheme="minorHAnsi"/>
          <w:sz w:val="22"/>
          <w:lang w:eastAsia="en-AU"/>
        </w:rPr>
        <w:t>p</w:t>
      </w:r>
      <w:r>
        <w:rPr>
          <w:rFonts w:asciiTheme="minorHAnsi" w:hAnsiTheme="minorHAnsi" w:cstheme="minorHAnsi"/>
          <w:sz w:val="22"/>
          <w:lang w:eastAsia="en-AU"/>
        </w:rPr>
        <w:t>ecific actions are detailed in the PRP Communication Plan.</w:t>
      </w:r>
    </w:p>
    <w:p w14:paraId="6DBA1858" w14:textId="06FC0A2D" w:rsidR="00950151" w:rsidRPr="0062792B" w:rsidRDefault="00903FBB" w:rsidP="00CB061E">
      <w:pPr>
        <w:pStyle w:val="Heading1"/>
        <w:spacing w:before="600"/>
        <w:rPr>
          <w:sz w:val="36"/>
        </w:rPr>
      </w:pPr>
      <w:bookmarkStart w:id="11" w:name="_Toc31270546"/>
      <w:r>
        <w:rPr>
          <w:sz w:val="36"/>
        </w:rPr>
        <w:t>M</w:t>
      </w:r>
      <w:r w:rsidR="00950151" w:rsidRPr="0062792B">
        <w:rPr>
          <w:sz w:val="36"/>
        </w:rPr>
        <w:t>onitoring and Reporting Framework</w:t>
      </w:r>
      <w:bookmarkStart w:id="12" w:name="_GoBack"/>
      <w:bookmarkEnd w:id="11"/>
      <w:bookmarkEnd w:id="12"/>
    </w:p>
    <w:p w14:paraId="78DF4DC4" w14:textId="4E0E6E7C" w:rsidR="003871F4" w:rsidRPr="0062792B" w:rsidRDefault="003871F4" w:rsidP="003871F4">
      <w:pPr>
        <w:autoSpaceDE w:val="0"/>
        <w:autoSpaceDN w:val="0"/>
        <w:adjustRightInd w:val="0"/>
        <w:spacing w:after="120"/>
        <w:rPr>
          <w:rFonts w:asciiTheme="minorHAnsi" w:hAnsiTheme="minorHAnsi" w:cstheme="minorHAnsi"/>
          <w:sz w:val="22"/>
          <w:lang w:eastAsia="en-AU"/>
        </w:rPr>
      </w:pPr>
      <w:r w:rsidRPr="0062792B">
        <w:rPr>
          <w:rFonts w:asciiTheme="minorHAnsi" w:hAnsiTheme="minorHAnsi" w:cstheme="minorHAnsi"/>
          <w:sz w:val="22"/>
          <w:lang w:eastAsia="en-AU"/>
        </w:rPr>
        <w:t xml:space="preserve">Each target has an implementation period of four years, with reports on progress due to the </w:t>
      </w:r>
      <w:r w:rsidR="000228A3">
        <w:rPr>
          <w:rFonts w:asciiTheme="minorHAnsi" w:hAnsiTheme="minorHAnsi" w:cstheme="minorHAnsi"/>
          <w:sz w:val="22"/>
          <w:lang w:eastAsia="en-AU"/>
        </w:rPr>
        <w:t>Partnership Secretariat</w:t>
      </w:r>
      <w:r w:rsidRPr="0062792B">
        <w:rPr>
          <w:rFonts w:asciiTheme="minorHAnsi" w:hAnsiTheme="minorHAnsi" w:cstheme="minorHAnsi"/>
          <w:sz w:val="22"/>
          <w:lang w:eastAsia="en-AU"/>
        </w:rPr>
        <w:t xml:space="preserve"> at year 2 and after year 4.  </w:t>
      </w:r>
      <w:r w:rsidR="00126E62" w:rsidRPr="0062792B">
        <w:rPr>
          <w:rFonts w:asciiTheme="minorHAnsi" w:hAnsiTheme="minorHAnsi" w:cstheme="minorHAnsi"/>
          <w:sz w:val="22"/>
          <w:lang w:eastAsia="en-AU"/>
        </w:rPr>
        <w:t>Baseline data will also be required</w:t>
      </w:r>
      <w:r w:rsidR="006C6ACA" w:rsidRPr="0062792B">
        <w:rPr>
          <w:rFonts w:asciiTheme="minorHAnsi" w:hAnsiTheme="minorHAnsi" w:cstheme="minorHAnsi"/>
          <w:sz w:val="22"/>
          <w:lang w:eastAsia="en-AU"/>
        </w:rPr>
        <w:t xml:space="preserve"> at the commencement of the PRP</w:t>
      </w:r>
      <w:r w:rsidR="00126E62" w:rsidRPr="0062792B">
        <w:rPr>
          <w:rFonts w:asciiTheme="minorHAnsi" w:hAnsiTheme="minorHAnsi" w:cstheme="minorHAnsi"/>
          <w:sz w:val="22"/>
          <w:lang w:eastAsia="en-AU"/>
        </w:rPr>
        <w:t>.</w:t>
      </w:r>
    </w:p>
    <w:p w14:paraId="29B74706" w14:textId="1E132454" w:rsidR="003871F4" w:rsidRPr="0062792B" w:rsidRDefault="005E7FE8" w:rsidP="003871F4">
      <w:pPr>
        <w:autoSpaceDE w:val="0"/>
        <w:autoSpaceDN w:val="0"/>
        <w:adjustRightInd w:val="0"/>
        <w:spacing w:after="120"/>
        <w:rPr>
          <w:rFonts w:asciiTheme="minorHAnsi" w:hAnsiTheme="minorHAnsi" w:cstheme="minorHAnsi"/>
          <w:sz w:val="22"/>
          <w:lang w:eastAsia="en-AU"/>
        </w:rPr>
      </w:pPr>
      <w:r w:rsidRPr="0062792B">
        <w:rPr>
          <w:rFonts w:asciiTheme="minorHAnsi" w:hAnsiTheme="minorHAnsi" w:cstheme="minorHAnsi"/>
          <w:sz w:val="22"/>
          <w:lang w:eastAsia="en-AU"/>
        </w:rPr>
        <w:t>An</w:t>
      </w:r>
      <w:r w:rsidR="00335B9F" w:rsidRPr="0062792B">
        <w:rPr>
          <w:rFonts w:asciiTheme="minorHAnsi" w:hAnsiTheme="minorHAnsi" w:cstheme="minorHAnsi"/>
          <w:sz w:val="22"/>
          <w:lang w:eastAsia="en-AU"/>
        </w:rPr>
        <w:t xml:space="preserve"> </w:t>
      </w:r>
      <w:r w:rsidR="00126E62" w:rsidRPr="0062792B">
        <w:rPr>
          <w:rFonts w:asciiTheme="minorHAnsi" w:hAnsiTheme="minorHAnsi" w:cstheme="minorHAnsi"/>
          <w:sz w:val="22"/>
          <w:lang w:eastAsia="en-AU"/>
        </w:rPr>
        <w:t xml:space="preserve">Excel spreadsheet </w:t>
      </w:r>
      <w:r w:rsidRPr="0062792B">
        <w:rPr>
          <w:rFonts w:asciiTheme="minorHAnsi" w:hAnsiTheme="minorHAnsi" w:cstheme="minorHAnsi"/>
          <w:sz w:val="22"/>
          <w:lang w:eastAsia="en-AU"/>
        </w:rPr>
        <w:t>reporting template</w:t>
      </w:r>
      <w:r w:rsidR="00126E62" w:rsidRPr="0062792B">
        <w:rPr>
          <w:rFonts w:asciiTheme="minorHAnsi" w:hAnsiTheme="minorHAnsi" w:cstheme="minorHAnsi"/>
          <w:sz w:val="22"/>
          <w:lang w:eastAsia="en-AU"/>
        </w:rPr>
        <w:t xml:space="preserve"> </w:t>
      </w:r>
      <w:r w:rsidR="003871F4" w:rsidRPr="0062792B">
        <w:rPr>
          <w:rFonts w:asciiTheme="minorHAnsi" w:hAnsiTheme="minorHAnsi" w:cstheme="minorHAnsi"/>
          <w:sz w:val="22"/>
          <w:lang w:eastAsia="en-AU"/>
        </w:rPr>
        <w:t>w</w:t>
      </w:r>
      <w:r w:rsidR="00275996" w:rsidRPr="0062792B">
        <w:rPr>
          <w:rFonts w:asciiTheme="minorHAnsi" w:hAnsiTheme="minorHAnsi" w:cstheme="minorHAnsi"/>
          <w:sz w:val="22"/>
          <w:lang w:eastAsia="en-AU"/>
        </w:rPr>
        <w:t>ill</w:t>
      </w:r>
      <w:r w:rsidR="003871F4" w:rsidRPr="0062792B">
        <w:rPr>
          <w:rFonts w:asciiTheme="minorHAnsi" w:hAnsiTheme="minorHAnsi" w:cstheme="minorHAnsi"/>
          <w:sz w:val="22"/>
          <w:lang w:eastAsia="en-AU"/>
        </w:rPr>
        <w:t xml:space="preserve"> be made available to industry </w:t>
      </w:r>
      <w:r w:rsidR="00126E62" w:rsidRPr="0062792B">
        <w:rPr>
          <w:rFonts w:asciiTheme="minorHAnsi" w:hAnsiTheme="minorHAnsi" w:cstheme="minorHAnsi"/>
          <w:sz w:val="22"/>
          <w:lang w:eastAsia="en-AU"/>
        </w:rPr>
        <w:t>for reporting</w:t>
      </w:r>
      <w:r w:rsidR="003871F4" w:rsidRPr="0062792B">
        <w:rPr>
          <w:rFonts w:asciiTheme="minorHAnsi" w:hAnsiTheme="minorHAnsi" w:cstheme="minorHAnsi"/>
          <w:sz w:val="22"/>
          <w:lang w:eastAsia="en-AU"/>
        </w:rPr>
        <w:t>. If companies are finding that reformulation targets cannot be met this should be noted in the report for timely consideration.</w:t>
      </w:r>
    </w:p>
    <w:p w14:paraId="185ED88D" w14:textId="42241DB6" w:rsidR="006449E5" w:rsidRDefault="00126E62" w:rsidP="00CB061E">
      <w:pPr>
        <w:autoSpaceDE w:val="0"/>
        <w:autoSpaceDN w:val="0"/>
        <w:adjustRightInd w:val="0"/>
        <w:spacing w:after="120"/>
        <w:rPr>
          <w:rFonts w:asciiTheme="minorHAnsi" w:hAnsiTheme="minorHAnsi" w:cstheme="minorHAnsi"/>
          <w:sz w:val="22"/>
          <w:lang w:eastAsia="en-AU"/>
        </w:rPr>
      </w:pPr>
      <w:r w:rsidRPr="0062792B">
        <w:rPr>
          <w:rFonts w:asciiTheme="minorHAnsi" w:hAnsiTheme="minorHAnsi" w:cstheme="minorHAnsi"/>
          <w:sz w:val="22"/>
          <w:lang w:eastAsia="en-AU"/>
        </w:rPr>
        <w:t>All</w:t>
      </w:r>
      <w:r w:rsidR="00804A93" w:rsidRPr="0062792B">
        <w:rPr>
          <w:rFonts w:asciiTheme="minorHAnsi" w:hAnsiTheme="minorHAnsi" w:cstheme="minorHAnsi"/>
          <w:sz w:val="22"/>
          <w:lang w:eastAsia="en-AU"/>
        </w:rPr>
        <w:t xml:space="preserve"> identifiable</w:t>
      </w:r>
      <w:r w:rsidRPr="0062792B">
        <w:rPr>
          <w:rFonts w:asciiTheme="minorHAnsi" w:hAnsiTheme="minorHAnsi" w:cstheme="minorHAnsi"/>
          <w:sz w:val="22"/>
          <w:lang w:eastAsia="en-AU"/>
        </w:rPr>
        <w:t xml:space="preserve"> data provided will be </w:t>
      </w:r>
      <w:r w:rsidR="00804A93" w:rsidRPr="0062792B">
        <w:rPr>
          <w:rFonts w:asciiTheme="minorHAnsi" w:hAnsiTheme="minorHAnsi" w:cstheme="minorHAnsi"/>
          <w:sz w:val="22"/>
          <w:lang w:eastAsia="en-AU"/>
        </w:rPr>
        <w:t xml:space="preserve">kept </w:t>
      </w:r>
      <w:r w:rsidRPr="0062792B">
        <w:rPr>
          <w:rFonts w:asciiTheme="minorHAnsi" w:hAnsiTheme="minorHAnsi" w:cstheme="minorHAnsi"/>
          <w:sz w:val="22"/>
          <w:lang w:eastAsia="en-AU"/>
        </w:rPr>
        <w:t>confidential</w:t>
      </w:r>
      <w:r w:rsidR="00261306" w:rsidRPr="0062792B">
        <w:rPr>
          <w:rFonts w:asciiTheme="minorHAnsi" w:hAnsiTheme="minorHAnsi" w:cstheme="minorHAnsi"/>
          <w:sz w:val="22"/>
          <w:lang w:eastAsia="en-AU"/>
        </w:rPr>
        <w:t xml:space="preserve">. Annualised unit volume of sales </w:t>
      </w:r>
      <w:r w:rsidRPr="0062792B">
        <w:rPr>
          <w:rFonts w:asciiTheme="minorHAnsi" w:hAnsiTheme="minorHAnsi" w:cstheme="minorHAnsi"/>
          <w:sz w:val="22"/>
          <w:lang w:eastAsia="en-AU"/>
        </w:rPr>
        <w:t>will</w:t>
      </w:r>
      <w:r w:rsidR="001759F7">
        <w:rPr>
          <w:rFonts w:asciiTheme="minorHAnsi" w:hAnsiTheme="minorHAnsi" w:cstheme="minorHAnsi"/>
          <w:sz w:val="22"/>
          <w:lang w:eastAsia="en-AU"/>
        </w:rPr>
        <w:t xml:space="preserve"> be requested to</w:t>
      </w:r>
      <w:r w:rsidRPr="0062792B">
        <w:rPr>
          <w:rFonts w:asciiTheme="minorHAnsi" w:hAnsiTheme="minorHAnsi" w:cstheme="minorHAnsi"/>
          <w:sz w:val="22"/>
          <w:lang w:eastAsia="en-AU"/>
        </w:rPr>
        <w:t xml:space="preserve"> allow the Department to calculate an estimate of the reduction of each nutrient in the Australian food supply</w:t>
      </w:r>
      <w:r w:rsidR="00861B1C">
        <w:rPr>
          <w:rFonts w:asciiTheme="minorHAnsi" w:hAnsiTheme="minorHAnsi" w:cstheme="minorHAnsi"/>
          <w:sz w:val="22"/>
          <w:lang w:eastAsia="en-AU"/>
        </w:rPr>
        <w:t xml:space="preserve"> compared to the baseline</w:t>
      </w:r>
      <w:r w:rsidRPr="0062792B">
        <w:rPr>
          <w:rFonts w:asciiTheme="minorHAnsi" w:hAnsiTheme="minorHAnsi" w:cstheme="minorHAnsi"/>
          <w:sz w:val="22"/>
          <w:lang w:eastAsia="en-AU"/>
        </w:rPr>
        <w:t>.</w:t>
      </w:r>
      <w:r w:rsidR="006449E5">
        <w:rPr>
          <w:rFonts w:asciiTheme="minorHAnsi" w:hAnsiTheme="minorHAnsi" w:cstheme="minorHAnsi"/>
          <w:sz w:val="22"/>
          <w:lang w:eastAsia="en-AU"/>
        </w:rPr>
        <w:t xml:space="preserve"> </w:t>
      </w:r>
      <w:r w:rsidR="001759F7">
        <w:rPr>
          <w:rFonts w:asciiTheme="minorHAnsi" w:hAnsiTheme="minorHAnsi" w:cstheme="minorHAnsi"/>
          <w:sz w:val="22"/>
          <w:lang w:eastAsia="en-AU"/>
        </w:rPr>
        <w:t>However, it is noted that some businesses will not be in a position to provide this data.</w:t>
      </w:r>
      <w:r w:rsidR="00D63399">
        <w:rPr>
          <w:rFonts w:asciiTheme="minorHAnsi" w:hAnsiTheme="minorHAnsi" w:cstheme="minorHAnsi"/>
          <w:sz w:val="22"/>
          <w:lang w:eastAsia="en-AU"/>
        </w:rPr>
        <w:t xml:space="preserve"> The Department will consider the purchase of sales data and nutrient data as appropriate.  </w:t>
      </w:r>
    </w:p>
    <w:p w14:paraId="71D38C9A" w14:textId="3BD1C1C5" w:rsidR="00950151" w:rsidRDefault="006449E5" w:rsidP="00CB061E">
      <w:pPr>
        <w:autoSpaceDE w:val="0"/>
        <w:autoSpaceDN w:val="0"/>
        <w:adjustRightInd w:val="0"/>
        <w:spacing w:after="120"/>
        <w:rPr>
          <w:rFonts w:asciiTheme="minorHAnsi" w:hAnsiTheme="minorHAnsi" w:cstheme="minorHAnsi"/>
          <w:sz w:val="22"/>
          <w:lang w:eastAsia="en-AU"/>
        </w:rPr>
      </w:pPr>
      <w:r>
        <w:rPr>
          <w:rFonts w:asciiTheme="minorHAnsi" w:hAnsiTheme="minorHAnsi" w:cstheme="minorHAnsi"/>
          <w:sz w:val="22"/>
          <w:lang w:eastAsia="en-AU"/>
        </w:rPr>
        <w:t xml:space="preserve">The Department will use the data to report on the progress of </w:t>
      </w:r>
      <w:r w:rsidR="005707A1">
        <w:rPr>
          <w:rFonts w:asciiTheme="minorHAnsi" w:hAnsiTheme="minorHAnsi" w:cstheme="minorHAnsi"/>
          <w:sz w:val="22"/>
          <w:lang w:eastAsia="en-AU"/>
        </w:rPr>
        <w:t xml:space="preserve">the PRP after year 2, and </w:t>
      </w:r>
      <w:r>
        <w:rPr>
          <w:rFonts w:asciiTheme="minorHAnsi" w:hAnsiTheme="minorHAnsi" w:cstheme="minorHAnsi"/>
          <w:sz w:val="22"/>
          <w:lang w:eastAsia="en-AU"/>
        </w:rPr>
        <w:t xml:space="preserve">at the end of year 4. Final reporting for each Wave will be competed separately, with a </w:t>
      </w:r>
      <w:r w:rsidR="005707A1">
        <w:rPr>
          <w:rFonts w:asciiTheme="minorHAnsi" w:hAnsiTheme="minorHAnsi" w:cstheme="minorHAnsi"/>
          <w:sz w:val="22"/>
          <w:lang w:eastAsia="en-AU"/>
        </w:rPr>
        <w:t xml:space="preserve">comprehensive </w:t>
      </w:r>
      <w:r>
        <w:rPr>
          <w:rFonts w:asciiTheme="minorHAnsi" w:hAnsiTheme="minorHAnsi" w:cstheme="minorHAnsi"/>
          <w:sz w:val="22"/>
          <w:lang w:eastAsia="en-AU"/>
        </w:rPr>
        <w:t>report prepared in 2027</w:t>
      </w:r>
      <w:r w:rsidR="005707A1">
        <w:rPr>
          <w:rFonts w:asciiTheme="minorHAnsi" w:hAnsiTheme="minorHAnsi" w:cstheme="minorHAnsi"/>
          <w:sz w:val="22"/>
          <w:lang w:eastAsia="en-AU"/>
        </w:rPr>
        <w:t>.</w:t>
      </w:r>
      <w:r w:rsidR="00CF3D0B">
        <w:rPr>
          <w:rFonts w:asciiTheme="minorHAnsi" w:hAnsiTheme="minorHAnsi" w:cstheme="minorHAnsi"/>
          <w:sz w:val="22"/>
          <w:lang w:eastAsia="en-AU"/>
        </w:rPr>
        <w:t xml:space="preserve"> Reporting will be at the category/sub-category level, and include analysis of nutrient changes at 2 and 4 years when compared to baseline. This analysis may be performed in-house, or out-sourced as appropriate.</w:t>
      </w:r>
    </w:p>
    <w:p w14:paraId="536E3955" w14:textId="5CB39246" w:rsidR="000B0EEF" w:rsidRDefault="000228A3" w:rsidP="000B0EEF">
      <w:pPr>
        <w:rPr>
          <w:rFonts w:asciiTheme="minorHAnsi" w:hAnsiTheme="minorHAnsi" w:cstheme="minorHAnsi"/>
          <w:sz w:val="22"/>
          <w:lang w:val="en-US" w:eastAsia="en-AU"/>
        </w:rPr>
      </w:pPr>
      <w:r>
        <w:rPr>
          <w:rFonts w:asciiTheme="minorHAnsi" w:hAnsiTheme="minorHAnsi" w:cstheme="minorHAnsi"/>
          <w:sz w:val="22"/>
          <w:lang w:val="en-US" w:eastAsia="en-AU"/>
        </w:rPr>
        <w:lastRenderedPageBreak/>
        <w:t>The Partnership</w:t>
      </w:r>
      <w:r w:rsidR="000B0EEF" w:rsidRPr="0062792B">
        <w:rPr>
          <w:rFonts w:asciiTheme="minorHAnsi" w:hAnsiTheme="minorHAnsi" w:cstheme="minorHAnsi"/>
          <w:sz w:val="22"/>
          <w:lang w:val="en-US" w:eastAsia="en-AU"/>
        </w:rPr>
        <w:t xml:space="preserve"> Secretariat will consider holding </w:t>
      </w:r>
      <w:r w:rsidR="000B0EEF">
        <w:rPr>
          <w:rFonts w:asciiTheme="minorHAnsi" w:hAnsiTheme="minorHAnsi" w:cstheme="minorHAnsi"/>
          <w:sz w:val="22"/>
          <w:lang w:val="en-US" w:eastAsia="en-AU"/>
        </w:rPr>
        <w:t xml:space="preserve">targeted </w:t>
      </w:r>
      <w:r w:rsidR="000B0EEF" w:rsidRPr="0062792B">
        <w:rPr>
          <w:rFonts w:asciiTheme="minorHAnsi" w:hAnsiTheme="minorHAnsi" w:cstheme="minorHAnsi"/>
          <w:sz w:val="22"/>
          <w:lang w:val="en-US" w:eastAsia="en-AU"/>
        </w:rPr>
        <w:t xml:space="preserve">stakeholder </w:t>
      </w:r>
      <w:r w:rsidR="000B0EEF">
        <w:rPr>
          <w:rFonts w:asciiTheme="minorHAnsi" w:hAnsiTheme="minorHAnsi" w:cstheme="minorHAnsi"/>
          <w:sz w:val="22"/>
          <w:lang w:val="en-US" w:eastAsia="en-AU"/>
        </w:rPr>
        <w:t xml:space="preserve">consultation </w:t>
      </w:r>
      <w:r w:rsidR="000B0EEF" w:rsidRPr="0062792B">
        <w:rPr>
          <w:rFonts w:asciiTheme="minorHAnsi" w:hAnsiTheme="minorHAnsi" w:cstheme="minorHAnsi"/>
          <w:sz w:val="22"/>
          <w:lang w:val="en-US" w:eastAsia="en-AU"/>
        </w:rPr>
        <w:t>at the end of years 2 and 4 to assist with evaluation</w:t>
      </w:r>
      <w:r w:rsidR="000B0EEF">
        <w:rPr>
          <w:rFonts w:asciiTheme="minorHAnsi" w:hAnsiTheme="minorHAnsi" w:cstheme="minorHAnsi"/>
          <w:sz w:val="22"/>
          <w:lang w:val="en-US" w:eastAsia="en-AU"/>
        </w:rPr>
        <w:t xml:space="preserve">. This will </w:t>
      </w:r>
      <w:r w:rsidR="000B0EEF" w:rsidRPr="0062792B">
        <w:rPr>
          <w:rFonts w:asciiTheme="minorHAnsi" w:hAnsiTheme="minorHAnsi" w:cstheme="minorHAnsi"/>
          <w:sz w:val="22"/>
          <w:lang w:val="en-US" w:eastAsia="en-AU"/>
        </w:rPr>
        <w:t xml:space="preserve">assist the Secretariat with identifying targets that may need to be considered for adjustment due to feasibility or food safety concerns as encountered by food companies during the implementation process. </w:t>
      </w:r>
    </w:p>
    <w:p w14:paraId="105322DE" w14:textId="180102BF" w:rsidR="00D63399" w:rsidRDefault="00D63399" w:rsidP="00CB061E">
      <w:pPr>
        <w:autoSpaceDE w:val="0"/>
        <w:autoSpaceDN w:val="0"/>
        <w:adjustRightInd w:val="0"/>
        <w:spacing w:after="120"/>
        <w:rPr>
          <w:rFonts w:asciiTheme="minorHAnsi" w:hAnsiTheme="minorHAnsi" w:cstheme="minorHAnsi"/>
          <w:sz w:val="22"/>
          <w:lang w:eastAsia="en-AU"/>
        </w:rPr>
      </w:pPr>
    </w:p>
    <w:sectPr w:rsidR="00D63399" w:rsidSect="00CE5E55">
      <w:headerReference w:type="even" r:id="rId14"/>
      <w:headerReference w:type="default" r:id="rId15"/>
      <w:footerReference w:type="even" r:id="rId16"/>
      <w:footerReference w:type="default" r:id="rId17"/>
      <w:headerReference w:type="first" r:id="rId18"/>
      <w:footerReference w:type="first" r:id="rId19"/>
      <w:pgSz w:w="11900" w:h="16840"/>
      <w:pgMar w:top="1191" w:right="907" w:bottom="680" w:left="907" w:header="709" w:footer="8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86070" w14:textId="77777777" w:rsidR="006A24C7" w:rsidRDefault="006A24C7" w:rsidP="00F15E50">
      <w:pPr>
        <w:spacing w:before="0" w:line="240" w:lineRule="auto"/>
      </w:pPr>
      <w:r>
        <w:separator/>
      </w:r>
    </w:p>
  </w:endnote>
  <w:endnote w:type="continuationSeparator" w:id="0">
    <w:p w14:paraId="3B1627AD" w14:textId="77777777" w:rsidR="006A24C7" w:rsidRDefault="006A24C7" w:rsidP="00F15E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Arial"/>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79AB" w14:textId="77777777" w:rsidR="00DC7A8F" w:rsidRDefault="00DC7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325206"/>
      <w:docPartObj>
        <w:docPartGallery w:val="Page Numbers (Bottom of Page)"/>
        <w:docPartUnique/>
      </w:docPartObj>
    </w:sdtPr>
    <w:sdtEndPr>
      <w:rPr>
        <w:noProof/>
        <w:color w:val="auto"/>
      </w:rPr>
    </w:sdtEndPr>
    <w:sdtContent>
      <w:p w14:paraId="4BADEEAD" w14:textId="43EFEB67" w:rsidR="00CE5E55" w:rsidRPr="00CE5E55" w:rsidRDefault="00CE5E55">
        <w:pPr>
          <w:pStyle w:val="Footer"/>
          <w:jc w:val="right"/>
          <w:rPr>
            <w:color w:val="auto"/>
          </w:rPr>
        </w:pPr>
        <w:r w:rsidRPr="00CE5E55">
          <w:rPr>
            <w:color w:val="auto"/>
          </w:rPr>
          <w:fldChar w:fldCharType="begin"/>
        </w:r>
        <w:r w:rsidRPr="00CE5E55">
          <w:rPr>
            <w:color w:val="auto"/>
          </w:rPr>
          <w:instrText xml:space="preserve"> PAGE   \* MERGEFORMAT </w:instrText>
        </w:r>
        <w:r w:rsidRPr="00CE5E55">
          <w:rPr>
            <w:color w:val="auto"/>
          </w:rPr>
          <w:fldChar w:fldCharType="separate"/>
        </w:r>
        <w:r w:rsidR="000C269A">
          <w:rPr>
            <w:noProof/>
            <w:color w:val="auto"/>
          </w:rPr>
          <w:t>8</w:t>
        </w:r>
        <w:r w:rsidRPr="00CE5E55">
          <w:rPr>
            <w:noProof/>
            <w:color w:val="auto"/>
          </w:rPr>
          <w:fldChar w:fldCharType="end"/>
        </w:r>
      </w:p>
    </w:sdtContent>
  </w:sdt>
  <w:p w14:paraId="46BF26A0" w14:textId="77777777" w:rsidR="00CE5E55" w:rsidRDefault="00CE5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E6AA4" w14:textId="03FC7824" w:rsidR="00B56DBD" w:rsidRDefault="00B56DBD" w:rsidP="006D1A93">
    <w:pPr>
      <w:pStyle w:val="Footer"/>
      <w:tabs>
        <w:tab w:val="clear" w:pos="4513"/>
        <w:tab w:val="left" w:pos="8505"/>
      </w:tabs>
    </w:pPr>
    <w:r w:rsidRPr="00740EC6">
      <w:rPr>
        <w:noProof/>
        <w:color w:val="D9E2F3" w:themeColor="accent1" w:themeTint="33"/>
        <w:sz w:val="20"/>
        <w:szCs w:val="20"/>
        <w:lang w:eastAsia="en-AU"/>
      </w:rPr>
      <mc:AlternateContent>
        <mc:Choice Requires="wps">
          <w:drawing>
            <wp:anchor distT="0" distB="0" distL="114300" distR="114300" simplePos="0" relativeHeight="251653632" behindDoc="1" locked="0" layoutInCell="1" allowOverlap="1" wp14:anchorId="51D512C7" wp14:editId="6F5FBC32">
              <wp:simplePos x="0" y="0"/>
              <wp:positionH relativeFrom="page">
                <wp:posOffset>-75156</wp:posOffset>
              </wp:positionH>
              <wp:positionV relativeFrom="paragraph">
                <wp:posOffset>-40657</wp:posOffset>
              </wp:positionV>
              <wp:extent cx="11136856" cy="1009667"/>
              <wp:effectExtent l="0" t="0" r="7620" b="0"/>
              <wp:wrapNone/>
              <wp:docPr id="13" name="Rectangle 13" descr="This is the background of the title page. It is coloured white." title="Tile page"/>
              <wp:cNvGraphicFramePr/>
              <a:graphic xmlns:a="http://schemas.openxmlformats.org/drawingml/2006/main">
                <a:graphicData uri="http://schemas.microsoft.com/office/word/2010/wordprocessingShape">
                  <wps:wsp>
                    <wps:cNvSpPr/>
                    <wps:spPr>
                      <a:xfrm>
                        <a:off x="0" y="0"/>
                        <a:ext cx="11136856" cy="1009667"/>
                      </a:xfrm>
                      <a:prstGeom prst="rect">
                        <a:avLst/>
                      </a:prstGeom>
                      <a:solidFill>
                        <a:srgbClr val="007A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24332" id="Rectangle 13" o:spid="_x0000_s1026" alt="Title: Tile page - Description: This is the background of the title page. It is coloured white." style="position:absolute;margin-left:-5.9pt;margin-top:-3.2pt;width:876.9pt;height:7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" fillcolor="#007a33" stroked="f" strokeweight="1pt">
              <w10:wrap anchorx="page"/>
            </v:rect>
          </w:pict>
        </mc:Fallback>
      </mc:AlternateContent>
    </w:r>
    <w:r w:rsidRPr="00B6633D">
      <w:rPr>
        <w:sz w:val="20"/>
        <w:szCs w:val="20"/>
      </w:rPr>
      <w:t>Healthy Food Partnership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10392" w14:textId="77777777" w:rsidR="006A24C7" w:rsidRDefault="006A24C7" w:rsidP="00F15E50">
      <w:pPr>
        <w:spacing w:before="0" w:line="240" w:lineRule="auto"/>
      </w:pPr>
      <w:r>
        <w:separator/>
      </w:r>
    </w:p>
  </w:footnote>
  <w:footnote w:type="continuationSeparator" w:id="0">
    <w:p w14:paraId="247715E9" w14:textId="77777777" w:rsidR="006A24C7" w:rsidRDefault="006A24C7" w:rsidP="00F15E50">
      <w:pPr>
        <w:spacing w:before="0" w:line="240" w:lineRule="auto"/>
      </w:pPr>
      <w:r>
        <w:continuationSeparator/>
      </w:r>
    </w:p>
  </w:footnote>
  <w:footnote w:id="1">
    <w:p w14:paraId="441C140C" w14:textId="463FF51E" w:rsidR="0062792B" w:rsidRPr="00D63399" w:rsidRDefault="0062792B" w:rsidP="0062792B">
      <w:pPr>
        <w:pStyle w:val="FootnoteText"/>
        <w:rPr>
          <w:rFonts w:asciiTheme="minorHAnsi" w:hAnsiTheme="minorHAnsi" w:cstheme="minorHAnsi"/>
        </w:rPr>
      </w:pPr>
      <w:r w:rsidRPr="00D63399">
        <w:rPr>
          <w:rStyle w:val="FootnoteReference"/>
          <w:rFonts w:asciiTheme="minorHAnsi" w:hAnsiTheme="minorHAnsi" w:cstheme="minorHAnsi"/>
        </w:rPr>
        <w:footnoteRef/>
      </w:r>
      <w:r w:rsidRPr="00D63399">
        <w:rPr>
          <w:rFonts w:asciiTheme="minorHAnsi" w:hAnsiTheme="minorHAnsi" w:cstheme="minorHAnsi"/>
        </w:rPr>
        <w:t xml:space="preserve"> Final reporting on breakfast cereals due 30 June 2026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91388" w14:textId="77777777" w:rsidR="00DC7A8F" w:rsidRDefault="00DC7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629E" w14:textId="77777777" w:rsidR="00DC7A8F" w:rsidRDefault="00DC7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037D" w14:textId="77777777" w:rsidR="00DC7A8F" w:rsidRDefault="00DC7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B7828B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3" w15:restartNumberingAfterBreak="0">
    <w:nsid w:val="0F612D3C"/>
    <w:multiLevelType w:val="hybridMultilevel"/>
    <w:tmpl w:val="8AA43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911BDF"/>
    <w:multiLevelType w:val="hybridMultilevel"/>
    <w:tmpl w:val="17989B88"/>
    <w:lvl w:ilvl="0" w:tplc="2242A666">
      <w:start w:val="1"/>
      <w:numFmt w:val="bullet"/>
      <w:lvlText w:val=""/>
      <w:lvlJc w:val="left"/>
      <w:pPr>
        <w:ind w:left="720" w:hanging="360"/>
      </w:pPr>
      <w:rPr>
        <w:rFonts w:ascii="Symbol" w:hAnsi="Symbol" w:hint="default"/>
        <w:color w:val="70AD47"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5771B"/>
    <w:multiLevelType w:val="hybridMultilevel"/>
    <w:tmpl w:val="34D8A976"/>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192A16D7"/>
    <w:multiLevelType w:val="multilevel"/>
    <w:tmpl w:val="857C8D78"/>
    <w:lvl w:ilvl="0">
      <w:start w:val="1"/>
      <w:numFmt w:val="bullet"/>
      <w:lvlText w:val=""/>
      <w:lvlJc w:val="left"/>
      <w:pPr>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2B4BC5"/>
    <w:multiLevelType w:val="hybridMultilevel"/>
    <w:tmpl w:val="10D28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E22427"/>
    <w:multiLevelType w:val="hybridMultilevel"/>
    <w:tmpl w:val="100AB886"/>
    <w:lvl w:ilvl="0" w:tplc="E25EB960">
      <w:start w:val="1"/>
      <w:numFmt w:val="bullet"/>
      <w:lvlText w:val=""/>
      <w:lvlJc w:val="left"/>
      <w:pPr>
        <w:ind w:left="360" w:hanging="360"/>
      </w:pPr>
      <w:rPr>
        <w:rFonts w:ascii="Symbol" w:hAnsi="Symbol" w:hint="default"/>
        <w:color w:val="007A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B1D3A"/>
    <w:multiLevelType w:val="hybridMultilevel"/>
    <w:tmpl w:val="D29EA204"/>
    <w:lvl w:ilvl="0" w:tplc="FC363A52">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465181"/>
    <w:multiLevelType w:val="hybridMultilevel"/>
    <w:tmpl w:val="F80A451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7A4966"/>
    <w:multiLevelType w:val="hybridMultilevel"/>
    <w:tmpl w:val="02B8A0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0596573"/>
    <w:multiLevelType w:val="hybridMultilevel"/>
    <w:tmpl w:val="A5D8FBC6"/>
    <w:lvl w:ilvl="0" w:tplc="8EB652F2">
      <w:numFmt w:val="bullet"/>
      <w:lvlText w:val="–"/>
      <w:lvlJc w:val="left"/>
      <w:pPr>
        <w:ind w:left="1080" w:hanging="360"/>
      </w:pPr>
      <w:rPr>
        <w:rFonts w:ascii="Arial" w:eastAsia="Times New Roman" w:hAnsi="Aria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7942FB5"/>
    <w:multiLevelType w:val="hybridMultilevel"/>
    <w:tmpl w:val="E9EA35BA"/>
    <w:lvl w:ilvl="0" w:tplc="FE98C686">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9574100"/>
    <w:multiLevelType w:val="hybridMultilevel"/>
    <w:tmpl w:val="C5F26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3108C"/>
    <w:multiLevelType w:val="hybridMultilevel"/>
    <w:tmpl w:val="4A5E8E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6B6D04"/>
    <w:multiLevelType w:val="hybridMultilevel"/>
    <w:tmpl w:val="5CC6AF52"/>
    <w:lvl w:ilvl="0" w:tplc="37646A60">
      <w:start w:val="1"/>
      <w:numFmt w:val="bullet"/>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52F10"/>
    <w:multiLevelType w:val="hybridMultilevel"/>
    <w:tmpl w:val="A8E28000"/>
    <w:lvl w:ilvl="0" w:tplc="8EB652F2">
      <w:numFmt w:val="bullet"/>
      <w:lvlText w:val="–"/>
      <w:lvlJc w:val="left"/>
      <w:pPr>
        <w:ind w:left="1080" w:hanging="360"/>
      </w:pPr>
      <w:rPr>
        <w:rFonts w:ascii="Arial" w:eastAsia="Times New Roman" w:hAnsi="Aria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36A3F59"/>
    <w:multiLevelType w:val="hybridMultilevel"/>
    <w:tmpl w:val="B4F820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346A73"/>
    <w:multiLevelType w:val="hybridMultilevel"/>
    <w:tmpl w:val="2530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63593D"/>
    <w:multiLevelType w:val="hybridMultilevel"/>
    <w:tmpl w:val="6F4648EE"/>
    <w:lvl w:ilvl="0" w:tplc="2242A666">
      <w:start w:val="1"/>
      <w:numFmt w:val="bullet"/>
      <w:lvlText w:val=""/>
      <w:lvlJc w:val="left"/>
      <w:pPr>
        <w:ind w:left="720" w:hanging="360"/>
      </w:pPr>
      <w:rPr>
        <w:rFonts w:ascii="Symbol" w:hAnsi="Symbol" w:hint="default"/>
        <w:color w:val="70AD47"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584724"/>
    <w:multiLevelType w:val="multilevel"/>
    <w:tmpl w:val="8676EFCC"/>
    <w:lvl w:ilvl="0">
      <w:start w:val="1"/>
      <w:numFmt w:val="bullet"/>
      <w:lvlText w:val=""/>
      <w:lvlJc w:val="left"/>
      <w:pPr>
        <w:ind w:left="284" w:hanging="284"/>
      </w:pPr>
      <w:rPr>
        <w:rFonts w:ascii="Wingdings" w:hAnsi="Wingdings"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F5488"/>
    <w:multiLevelType w:val="multilevel"/>
    <w:tmpl w:val="1F266850"/>
    <w:lvl w:ilvl="0">
      <w:start w:val="1"/>
      <w:numFmt w:val="bullet"/>
      <w:lvlText w:val=""/>
      <w:lvlJc w:val="left"/>
      <w:pPr>
        <w:ind w:left="360" w:hanging="360"/>
      </w:pPr>
      <w:rPr>
        <w:rFonts w:ascii="Symbol" w:hAnsi="Symbol"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16"/>
  </w:num>
  <w:num w:numId="7">
    <w:abstractNumId w:val="22"/>
  </w:num>
  <w:num w:numId="8">
    <w:abstractNumId w:val="6"/>
  </w:num>
  <w:num w:numId="9">
    <w:abstractNumId w:val="8"/>
  </w:num>
  <w:num w:numId="10">
    <w:abstractNumId w:val="21"/>
  </w:num>
  <w:num w:numId="11">
    <w:abstractNumId w:val="23"/>
  </w:num>
  <w:num w:numId="12">
    <w:abstractNumId w:val="3"/>
  </w:num>
  <w:num w:numId="13">
    <w:abstractNumId w:val="9"/>
  </w:num>
  <w:num w:numId="14">
    <w:abstractNumId w:val="7"/>
  </w:num>
  <w:num w:numId="15">
    <w:abstractNumId w:val="4"/>
  </w:num>
  <w:num w:numId="16">
    <w:abstractNumId w:val="20"/>
  </w:num>
  <w:num w:numId="17">
    <w:abstractNumId w:val="5"/>
  </w:num>
  <w:num w:numId="18">
    <w:abstractNumId w:val="11"/>
  </w:num>
  <w:num w:numId="19">
    <w:abstractNumId w:val="12"/>
  </w:num>
  <w:num w:numId="20">
    <w:abstractNumId w:val="17"/>
  </w:num>
  <w:num w:numId="21">
    <w:abstractNumId w:val="13"/>
  </w:num>
  <w:num w:numId="22">
    <w:abstractNumId w:val="15"/>
  </w:num>
  <w:num w:numId="23">
    <w:abstractNumId w:val="18"/>
  </w:num>
  <w:num w:numId="24">
    <w:abstractNumId w:val="10"/>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1B"/>
    <w:rsid w:val="000049E0"/>
    <w:rsid w:val="00020F87"/>
    <w:rsid w:val="00021F2E"/>
    <w:rsid w:val="000228A3"/>
    <w:rsid w:val="000430BA"/>
    <w:rsid w:val="00052ED2"/>
    <w:rsid w:val="00077F21"/>
    <w:rsid w:val="00081727"/>
    <w:rsid w:val="0008333A"/>
    <w:rsid w:val="000B0EEF"/>
    <w:rsid w:val="000B549F"/>
    <w:rsid w:val="000B6D1C"/>
    <w:rsid w:val="000C269A"/>
    <w:rsid w:val="000C5E86"/>
    <w:rsid w:val="000D3909"/>
    <w:rsid w:val="000F714E"/>
    <w:rsid w:val="00105224"/>
    <w:rsid w:val="001108B0"/>
    <w:rsid w:val="00126E62"/>
    <w:rsid w:val="001759F7"/>
    <w:rsid w:val="00180A15"/>
    <w:rsid w:val="001956F3"/>
    <w:rsid w:val="001D3B66"/>
    <w:rsid w:val="002302A6"/>
    <w:rsid w:val="002355A2"/>
    <w:rsid w:val="00240F40"/>
    <w:rsid w:val="00261306"/>
    <w:rsid w:val="002733B8"/>
    <w:rsid w:val="00273D17"/>
    <w:rsid w:val="00275996"/>
    <w:rsid w:val="00277E3D"/>
    <w:rsid w:val="0028138A"/>
    <w:rsid w:val="002A6F5B"/>
    <w:rsid w:val="002A71B0"/>
    <w:rsid w:val="002B0117"/>
    <w:rsid w:val="002B2143"/>
    <w:rsid w:val="002C22E9"/>
    <w:rsid w:val="002C27C1"/>
    <w:rsid w:val="002C6AF6"/>
    <w:rsid w:val="002E28C3"/>
    <w:rsid w:val="002E67B0"/>
    <w:rsid w:val="002E79F3"/>
    <w:rsid w:val="002F5549"/>
    <w:rsid w:val="00314BE5"/>
    <w:rsid w:val="00335B9F"/>
    <w:rsid w:val="0033600D"/>
    <w:rsid w:val="00340D8E"/>
    <w:rsid w:val="003571BE"/>
    <w:rsid w:val="003606CA"/>
    <w:rsid w:val="00365042"/>
    <w:rsid w:val="00374FA0"/>
    <w:rsid w:val="003871F4"/>
    <w:rsid w:val="003A6794"/>
    <w:rsid w:val="003D12EE"/>
    <w:rsid w:val="00412286"/>
    <w:rsid w:val="0041384D"/>
    <w:rsid w:val="00432EB9"/>
    <w:rsid w:val="00441C2B"/>
    <w:rsid w:val="004471F6"/>
    <w:rsid w:val="0048373F"/>
    <w:rsid w:val="004B402B"/>
    <w:rsid w:val="004D45EA"/>
    <w:rsid w:val="004D4CFA"/>
    <w:rsid w:val="00521419"/>
    <w:rsid w:val="005305AD"/>
    <w:rsid w:val="00552BEC"/>
    <w:rsid w:val="005559F2"/>
    <w:rsid w:val="00557B05"/>
    <w:rsid w:val="00562A04"/>
    <w:rsid w:val="005707A1"/>
    <w:rsid w:val="00576285"/>
    <w:rsid w:val="00585835"/>
    <w:rsid w:val="005A4841"/>
    <w:rsid w:val="005B0F91"/>
    <w:rsid w:val="005B3C75"/>
    <w:rsid w:val="005D2A21"/>
    <w:rsid w:val="005E7FE8"/>
    <w:rsid w:val="0060275B"/>
    <w:rsid w:val="00616171"/>
    <w:rsid w:val="00625BFA"/>
    <w:rsid w:val="0062792B"/>
    <w:rsid w:val="00627F8B"/>
    <w:rsid w:val="006303A5"/>
    <w:rsid w:val="00632A0B"/>
    <w:rsid w:val="00637620"/>
    <w:rsid w:val="00643318"/>
    <w:rsid w:val="006449E5"/>
    <w:rsid w:val="006743DA"/>
    <w:rsid w:val="0069389C"/>
    <w:rsid w:val="006A24C7"/>
    <w:rsid w:val="006C6ACA"/>
    <w:rsid w:val="006D1A93"/>
    <w:rsid w:val="006F19F8"/>
    <w:rsid w:val="00710FA3"/>
    <w:rsid w:val="007305B9"/>
    <w:rsid w:val="00740EC6"/>
    <w:rsid w:val="0075034E"/>
    <w:rsid w:val="0079463C"/>
    <w:rsid w:val="007C4250"/>
    <w:rsid w:val="007E753C"/>
    <w:rsid w:val="007F7F43"/>
    <w:rsid w:val="00804A93"/>
    <w:rsid w:val="0082723D"/>
    <w:rsid w:val="00843974"/>
    <w:rsid w:val="008508BD"/>
    <w:rsid w:val="00861B1C"/>
    <w:rsid w:val="0086674F"/>
    <w:rsid w:val="00881CD1"/>
    <w:rsid w:val="008C1D69"/>
    <w:rsid w:val="008D4961"/>
    <w:rsid w:val="00901279"/>
    <w:rsid w:val="00903FBB"/>
    <w:rsid w:val="0094077E"/>
    <w:rsid w:val="00950151"/>
    <w:rsid w:val="00952FE7"/>
    <w:rsid w:val="0095327E"/>
    <w:rsid w:val="0096756B"/>
    <w:rsid w:val="00970DF9"/>
    <w:rsid w:val="009823BB"/>
    <w:rsid w:val="00984126"/>
    <w:rsid w:val="009B4266"/>
    <w:rsid w:val="009D7894"/>
    <w:rsid w:val="009F57F5"/>
    <w:rsid w:val="00A13D0B"/>
    <w:rsid w:val="00A360C6"/>
    <w:rsid w:val="00A41839"/>
    <w:rsid w:val="00A50415"/>
    <w:rsid w:val="00A578FB"/>
    <w:rsid w:val="00A62B5D"/>
    <w:rsid w:val="00A66382"/>
    <w:rsid w:val="00A66706"/>
    <w:rsid w:val="00AA1B8A"/>
    <w:rsid w:val="00AA29B3"/>
    <w:rsid w:val="00AE00D9"/>
    <w:rsid w:val="00B03017"/>
    <w:rsid w:val="00B0541E"/>
    <w:rsid w:val="00B07D9B"/>
    <w:rsid w:val="00B36659"/>
    <w:rsid w:val="00B375DB"/>
    <w:rsid w:val="00B401C3"/>
    <w:rsid w:val="00B56DBD"/>
    <w:rsid w:val="00B60703"/>
    <w:rsid w:val="00B6633D"/>
    <w:rsid w:val="00B853FF"/>
    <w:rsid w:val="00B93543"/>
    <w:rsid w:val="00B942C8"/>
    <w:rsid w:val="00BF16AB"/>
    <w:rsid w:val="00C523DD"/>
    <w:rsid w:val="00C74007"/>
    <w:rsid w:val="00C93519"/>
    <w:rsid w:val="00CA7341"/>
    <w:rsid w:val="00CB061E"/>
    <w:rsid w:val="00CE5E55"/>
    <w:rsid w:val="00CF3D0B"/>
    <w:rsid w:val="00D26462"/>
    <w:rsid w:val="00D265AF"/>
    <w:rsid w:val="00D54880"/>
    <w:rsid w:val="00D56BF7"/>
    <w:rsid w:val="00D63399"/>
    <w:rsid w:val="00D75349"/>
    <w:rsid w:val="00D75691"/>
    <w:rsid w:val="00D96E3A"/>
    <w:rsid w:val="00DC7A8F"/>
    <w:rsid w:val="00DE0895"/>
    <w:rsid w:val="00DE7C03"/>
    <w:rsid w:val="00E000A7"/>
    <w:rsid w:val="00E00B5D"/>
    <w:rsid w:val="00E04571"/>
    <w:rsid w:val="00E15538"/>
    <w:rsid w:val="00E73F7E"/>
    <w:rsid w:val="00EB0E4F"/>
    <w:rsid w:val="00EC34BE"/>
    <w:rsid w:val="00EC6E7E"/>
    <w:rsid w:val="00ED136A"/>
    <w:rsid w:val="00EE3DE3"/>
    <w:rsid w:val="00F15E50"/>
    <w:rsid w:val="00F27636"/>
    <w:rsid w:val="00F33CEE"/>
    <w:rsid w:val="00F44307"/>
    <w:rsid w:val="00F472F7"/>
    <w:rsid w:val="00F53DD6"/>
    <w:rsid w:val="00F81571"/>
    <w:rsid w:val="00FA62E3"/>
    <w:rsid w:val="00FC6E53"/>
    <w:rsid w:val="00FD0A8F"/>
    <w:rsid w:val="00FD49C2"/>
    <w:rsid w:val="00FE2CE0"/>
    <w:rsid w:val="00FE30D6"/>
    <w:rsid w:val="00FE61CA"/>
    <w:rsid w:val="00FF381B"/>
    <w:rsid w:val="00FF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9C7AAD2"/>
  <w14:defaultImageDpi w14:val="32767"/>
  <w15:docId w15:val="{D727BBCD-2543-4E04-8F9C-5FC036A8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53"/>
    <w:pPr>
      <w:spacing w:before="240" w:line="260" w:lineRule="auto"/>
    </w:pPr>
    <w:rPr>
      <w:rFonts w:ascii="Arial" w:eastAsia="Times New Roman" w:hAnsi="Arial" w:cs="Times New Roman"/>
      <w:sz w:val="21"/>
      <w:lang w:val="en-AU"/>
    </w:rPr>
  </w:style>
  <w:style w:type="paragraph" w:styleId="Heading1">
    <w:name w:val="heading 1"/>
    <w:next w:val="Normal"/>
    <w:link w:val="Heading1Char"/>
    <w:qFormat/>
    <w:rsid w:val="00740EC6"/>
    <w:pPr>
      <w:keepNext/>
      <w:keepLines/>
      <w:spacing w:before="960" w:after="360"/>
      <w:outlineLvl w:val="0"/>
    </w:pPr>
    <w:rPr>
      <w:rFonts w:ascii="Arial" w:eastAsia="MS Gothic" w:hAnsi="Arial" w:cstheme="majorBidi"/>
      <w:color w:val="007A33"/>
      <w:sz w:val="40"/>
      <w:szCs w:val="36"/>
      <w:lang w:val="en-US" w:eastAsia="en-AU"/>
    </w:rPr>
  </w:style>
  <w:style w:type="paragraph" w:styleId="Heading2">
    <w:name w:val="heading 2"/>
    <w:basedOn w:val="IntenseQuote"/>
    <w:next w:val="Normal"/>
    <w:link w:val="Heading2Char"/>
    <w:uiPriority w:val="9"/>
    <w:unhideWhenUsed/>
    <w:qFormat/>
    <w:rsid w:val="00740EC6"/>
    <w:pPr>
      <w:outlineLvl w:val="1"/>
    </w:pPr>
  </w:style>
  <w:style w:type="paragraph" w:styleId="Heading3">
    <w:name w:val="heading 3"/>
    <w:basedOn w:val="Normal"/>
    <w:next w:val="Normal"/>
    <w:link w:val="Heading3Char"/>
    <w:uiPriority w:val="9"/>
    <w:unhideWhenUsed/>
    <w:qFormat/>
    <w:rsid w:val="000B549F"/>
    <w:pPr>
      <w:keepNext/>
      <w:keepLines/>
      <w:spacing w:before="360" w:line="271" w:lineRule="auto"/>
      <w:outlineLvl w:val="2"/>
    </w:pPr>
    <w:rPr>
      <w:rFonts w:eastAsia="MS Gothic"/>
      <w:b/>
      <w:sz w:val="22"/>
      <w:lang w:val="en-US"/>
    </w:rPr>
  </w:style>
  <w:style w:type="paragraph" w:styleId="Heading4">
    <w:name w:val="heading 4"/>
    <w:basedOn w:val="Normal"/>
    <w:next w:val="Normal"/>
    <w:link w:val="Heading4Char"/>
    <w:uiPriority w:val="9"/>
    <w:unhideWhenUsed/>
    <w:qFormat/>
    <w:rsid w:val="000B549F"/>
    <w:pPr>
      <w:keepNext/>
      <w:keepLines/>
      <w:spacing w:before="360" w:line="259" w:lineRule="auto"/>
      <w:outlineLvl w:val="3"/>
    </w:pPr>
    <w:rPr>
      <w:rFonts w:eastAsia="MS Gothic"/>
      <w:i/>
      <w:iCs/>
      <w:sz w:val="22"/>
      <w:lang w:val="en-US"/>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EC6"/>
    <w:rPr>
      <w:rFonts w:ascii="Arial" w:eastAsia="MS Gothic" w:hAnsi="Arial" w:cstheme="majorBidi"/>
      <w:color w:val="007A33"/>
      <w:sz w:val="40"/>
      <w:szCs w:val="36"/>
      <w:lang w:val="en-US" w:eastAsia="en-AU"/>
    </w:rPr>
  </w:style>
  <w:style w:type="character" w:customStyle="1" w:styleId="Heading2Char">
    <w:name w:val="Heading 2 Char"/>
    <w:basedOn w:val="DefaultParagraphFont"/>
    <w:link w:val="Heading2"/>
    <w:uiPriority w:val="9"/>
    <w:rsid w:val="00740EC6"/>
    <w:rPr>
      <w:rFonts w:ascii="Arial" w:eastAsia="Times New Roman" w:hAnsi="Arial" w:cs="Times New Roman"/>
      <w:iCs/>
      <w:sz w:val="28"/>
      <w:lang w:val="en-AU"/>
    </w:rPr>
  </w:style>
  <w:style w:type="character" w:customStyle="1" w:styleId="Heading3Char">
    <w:name w:val="Heading 3 Char"/>
    <w:basedOn w:val="DefaultParagraphFont"/>
    <w:link w:val="Heading3"/>
    <w:uiPriority w:val="9"/>
    <w:rsid w:val="000B549F"/>
    <w:rPr>
      <w:rFonts w:ascii="Arial" w:eastAsia="MS Gothic" w:hAnsi="Arial" w:cs="Times New Roman"/>
      <w:b/>
      <w:sz w:val="22"/>
      <w:lang w:val="en-US"/>
    </w:rPr>
  </w:style>
  <w:style w:type="character" w:customStyle="1" w:styleId="Heading4Char">
    <w:name w:val="Heading 4 Char"/>
    <w:basedOn w:val="DefaultParagraphFont"/>
    <w:link w:val="Heading4"/>
    <w:uiPriority w:val="9"/>
    <w:rsid w:val="000B549F"/>
    <w:rPr>
      <w:rFonts w:ascii="Arial" w:eastAsia="MS Gothic" w:hAnsi="Arial" w:cs="Times New Roman"/>
      <w:i/>
      <w:iCs/>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2E28C3"/>
    <w:pPr>
      <w:spacing w:after="120" w:line="320" w:lineRule="auto"/>
    </w:pPr>
    <w:rPr>
      <w:rFonts w:cs="Times New Roman (Body CS)"/>
      <w:sz w:val="26"/>
    </w:rPr>
  </w:style>
  <w:style w:type="paragraph" w:styleId="ListBullet">
    <w:name w:val="List Bullet"/>
    <w:basedOn w:val="Normal"/>
    <w:uiPriority w:val="99"/>
    <w:unhideWhenUsed/>
    <w:qFormat/>
    <w:rsid w:val="002E28C3"/>
    <w:pPr>
      <w:spacing w:after="120" w:line="271" w:lineRule="auto"/>
      <w:ind w:left="357" w:hanging="357"/>
    </w:pPr>
    <w:rPr>
      <w:szCs w:val="21"/>
    </w:rPr>
  </w:style>
  <w:style w:type="paragraph" w:styleId="ListNumber">
    <w:name w:val="List Number"/>
    <w:basedOn w:val="Normal"/>
    <w:uiPriority w:val="99"/>
    <w:unhideWhenUsed/>
    <w:qFormat/>
    <w:rsid w:val="002E28C3"/>
    <w:pPr>
      <w:spacing w:after="120"/>
    </w:pPr>
  </w:style>
  <w:style w:type="paragraph" w:styleId="ListNumber2">
    <w:name w:val="List Number 2"/>
    <w:basedOn w:val="Normal"/>
    <w:uiPriority w:val="99"/>
    <w:unhideWhenUsed/>
    <w:qFormat/>
    <w:rsid w:val="002E28C3"/>
    <w:pPr>
      <w:contextualSpacing/>
    </w:pPr>
  </w:style>
  <w:style w:type="paragraph" w:styleId="ListParagraph">
    <w:name w:val="List Paragraph"/>
    <w:basedOn w:val="Normal"/>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0B549F"/>
    <w:pPr>
      <w:spacing w:before="480" w:after="240" w:line="400" w:lineRule="exact"/>
      <w:ind w:right="1134"/>
    </w:pPr>
    <w:rPr>
      <w:iCs/>
      <w:sz w:val="28"/>
    </w:rPr>
  </w:style>
  <w:style w:type="character" w:customStyle="1" w:styleId="IntenseQuoteChar">
    <w:name w:val="Intense Quote Char"/>
    <w:basedOn w:val="DefaultParagraphFont"/>
    <w:link w:val="IntenseQuote"/>
    <w:uiPriority w:val="30"/>
    <w:rsid w:val="000B549F"/>
    <w:rPr>
      <w:rFonts w:ascii="Arial" w:eastAsia="Times New Roman" w:hAnsi="Arial" w:cs="Times New Roman"/>
      <w:iCs/>
      <w:sz w:val="28"/>
      <w:lang w:val="en-AU"/>
    </w:rPr>
  </w:style>
  <w:style w:type="paragraph" w:customStyle="1" w:styleId="PolicyStatement">
    <w:name w:val="PolicyStatement"/>
    <w:basedOn w:val="Normal"/>
    <w:qFormat/>
    <w:rsid w:val="00557B0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ind w:left="227" w:right="227"/>
    </w:pPr>
  </w:style>
  <w:style w:type="paragraph" w:customStyle="1" w:styleId="VisionBox">
    <w:name w:val="VisionBox"/>
    <w:basedOn w:val="Normal"/>
    <w:qFormat/>
    <w:rsid w:val="00740EC6"/>
    <w:pPr>
      <w:pBdr>
        <w:top w:val="single" w:sz="4" w:space="15" w:color="007A33"/>
        <w:bottom w:val="single" w:sz="4" w:space="10" w:color="007A33"/>
      </w:pBdr>
      <w:spacing w:before="360" w:after="360" w:line="340" w:lineRule="exact"/>
    </w:pPr>
    <w:rPr>
      <w:rFonts w:eastAsiaTheme="minorHAnsi"/>
      <w:color w:val="007A33"/>
      <w:sz w:val="22"/>
    </w:rPr>
  </w:style>
  <w:style w:type="paragraph" w:customStyle="1" w:styleId="Policystylebullet">
    <w:name w:val="Policy style bullet"/>
    <w:basedOn w:val="PolicyStatement"/>
    <w:qFormat/>
    <w:rsid w:val="00FF381B"/>
    <w:pPr>
      <w:numPr>
        <w:numId w:val="7"/>
      </w:numPr>
    </w:pPr>
  </w:style>
  <w:style w:type="paragraph" w:customStyle="1" w:styleId="Style1">
    <w:name w:val="Style1"/>
    <w:next w:val="Normal"/>
    <w:qFormat/>
    <w:rsid w:val="00557B05"/>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740EC6"/>
    <w:rPr>
      <w:b/>
      <w:caps/>
      <w:smallCaps w:val="0"/>
      <w:color w:val="007A33"/>
      <w:bdr w:val="none" w:sz="0" w:space="0" w:color="auto"/>
    </w:rPr>
  </w:style>
  <w:style w:type="paragraph" w:customStyle="1" w:styleId="BulletPoint1">
    <w:name w:val="Bullet Point 1"/>
    <w:basedOn w:val="Normal"/>
    <w:qFormat/>
    <w:rsid w:val="00740EC6"/>
    <w:pPr>
      <w:spacing w:before="120"/>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740EC6"/>
    <w:pPr>
      <w:tabs>
        <w:tab w:val="center" w:pos="4513"/>
        <w:tab w:val="right" w:pos="9026"/>
      </w:tabs>
      <w:spacing w:before="0" w:line="240" w:lineRule="auto"/>
    </w:pPr>
    <w:rPr>
      <w:color w:val="FFFFFF" w:themeColor="background1"/>
    </w:rPr>
  </w:style>
  <w:style w:type="character" w:customStyle="1" w:styleId="FooterChar">
    <w:name w:val="Footer Char"/>
    <w:basedOn w:val="DefaultParagraphFont"/>
    <w:link w:val="Footer"/>
    <w:uiPriority w:val="99"/>
    <w:rsid w:val="00740EC6"/>
    <w:rPr>
      <w:rFonts w:ascii="Arial" w:eastAsia="Times New Roman" w:hAnsi="Arial" w:cs="Times New Roman"/>
      <w:color w:val="FFFFFF" w:themeColor="background1"/>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character" w:styleId="IntenseEmphasis">
    <w:name w:val="Intense Emphasis"/>
    <w:basedOn w:val="DefaultParagraphFont"/>
    <w:uiPriority w:val="21"/>
    <w:qFormat/>
    <w:rsid w:val="00740EC6"/>
    <w:rPr>
      <w:i/>
      <w:iCs/>
      <w:color w:val="007A33"/>
    </w:rPr>
  </w:style>
  <w:style w:type="character" w:styleId="IntenseReference">
    <w:name w:val="Intense Reference"/>
    <w:basedOn w:val="DefaultParagraphFont"/>
    <w:uiPriority w:val="32"/>
    <w:qFormat/>
    <w:rsid w:val="00740EC6"/>
    <w:rPr>
      <w:b/>
      <w:bCs/>
      <w:smallCaps/>
      <w:color w:val="007A33"/>
      <w:spacing w:val="5"/>
    </w:rPr>
  </w:style>
  <w:style w:type="table" w:styleId="TableGrid">
    <w:name w:val="Table Grid"/>
    <w:basedOn w:val="TableNormal"/>
    <w:rsid w:val="00FE30D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30D6"/>
    <w:rPr>
      <w:color w:val="0563C1" w:themeColor="hyperlink"/>
      <w:u w:val="single"/>
    </w:rPr>
  </w:style>
  <w:style w:type="paragraph" w:styleId="NoSpacing">
    <w:name w:val="No Spacing"/>
    <w:link w:val="NoSpacingChar"/>
    <w:uiPriority w:val="1"/>
    <w:qFormat/>
    <w:rsid w:val="006F19F8"/>
    <w:rPr>
      <w:rFonts w:eastAsiaTheme="minorEastAsia"/>
      <w:sz w:val="22"/>
      <w:szCs w:val="22"/>
      <w:lang w:val="en-US"/>
    </w:rPr>
  </w:style>
  <w:style w:type="character" w:customStyle="1" w:styleId="NoSpacingChar">
    <w:name w:val="No Spacing Char"/>
    <w:basedOn w:val="DefaultParagraphFont"/>
    <w:link w:val="NoSpacing"/>
    <w:uiPriority w:val="1"/>
    <w:rsid w:val="006F19F8"/>
    <w:rPr>
      <w:rFonts w:eastAsiaTheme="minorEastAsia"/>
      <w:sz w:val="22"/>
      <w:szCs w:val="22"/>
      <w:lang w:val="en-US"/>
    </w:rPr>
  </w:style>
  <w:style w:type="paragraph" w:styleId="TOCHeading">
    <w:name w:val="TOC Heading"/>
    <w:basedOn w:val="Heading1"/>
    <w:next w:val="Normal"/>
    <w:uiPriority w:val="39"/>
    <w:unhideWhenUsed/>
    <w:qFormat/>
    <w:rsid w:val="00277E3D"/>
    <w:pPr>
      <w:spacing w:before="240" w:after="0" w:line="259" w:lineRule="auto"/>
      <w:outlineLvl w:val="9"/>
    </w:pPr>
    <w:rPr>
      <w:rFonts w:asciiTheme="majorHAnsi" w:eastAsiaTheme="majorEastAsia" w:hAnsiTheme="majorHAnsi"/>
      <w:color w:val="2F5496" w:themeColor="accent1" w:themeShade="BF"/>
      <w:sz w:val="32"/>
      <w:szCs w:val="32"/>
      <w:lang w:eastAsia="en-US"/>
    </w:rPr>
  </w:style>
  <w:style w:type="paragraph" w:styleId="TOC1">
    <w:name w:val="toc 1"/>
    <w:basedOn w:val="Normal"/>
    <w:next w:val="Normal"/>
    <w:autoRedefine/>
    <w:uiPriority w:val="39"/>
    <w:unhideWhenUsed/>
    <w:rsid w:val="00950151"/>
    <w:pPr>
      <w:spacing w:after="100"/>
    </w:pPr>
  </w:style>
  <w:style w:type="paragraph" w:styleId="TOC2">
    <w:name w:val="toc 2"/>
    <w:basedOn w:val="Normal"/>
    <w:next w:val="Normal"/>
    <w:autoRedefine/>
    <w:uiPriority w:val="39"/>
    <w:unhideWhenUsed/>
    <w:rsid w:val="00DE0895"/>
    <w:pPr>
      <w:spacing w:after="100"/>
      <w:ind w:left="210"/>
    </w:pPr>
  </w:style>
  <w:style w:type="character" w:styleId="CommentReference">
    <w:name w:val="annotation reference"/>
    <w:basedOn w:val="DefaultParagraphFont"/>
    <w:uiPriority w:val="99"/>
    <w:semiHidden/>
    <w:unhideWhenUsed/>
    <w:rsid w:val="002C27C1"/>
    <w:rPr>
      <w:sz w:val="16"/>
      <w:szCs w:val="16"/>
    </w:rPr>
  </w:style>
  <w:style w:type="paragraph" w:styleId="CommentText">
    <w:name w:val="annotation text"/>
    <w:basedOn w:val="Normal"/>
    <w:link w:val="CommentTextChar"/>
    <w:uiPriority w:val="99"/>
    <w:semiHidden/>
    <w:unhideWhenUsed/>
    <w:rsid w:val="002C27C1"/>
    <w:pPr>
      <w:spacing w:line="240" w:lineRule="auto"/>
    </w:pPr>
    <w:rPr>
      <w:sz w:val="20"/>
      <w:szCs w:val="20"/>
    </w:rPr>
  </w:style>
  <w:style w:type="character" w:customStyle="1" w:styleId="CommentTextChar">
    <w:name w:val="Comment Text Char"/>
    <w:basedOn w:val="DefaultParagraphFont"/>
    <w:link w:val="CommentText"/>
    <w:uiPriority w:val="99"/>
    <w:semiHidden/>
    <w:rsid w:val="002C27C1"/>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C27C1"/>
    <w:rPr>
      <w:b/>
      <w:bCs/>
    </w:rPr>
  </w:style>
  <w:style w:type="character" w:customStyle="1" w:styleId="CommentSubjectChar">
    <w:name w:val="Comment Subject Char"/>
    <w:basedOn w:val="CommentTextChar"/>
    <w:link w:val="CommentSubject"/>
    <w:uiPriority w:val="99"/>
    <w:semiHidden/>
    <w:rsid w:val="002C27C1"/>
    <w:rPr>
      <w:rFonts w:ascii="Arial" w:eastAsia="Times New Roman" w:hAnsi="Arial" w:cs="Times New Roman"/>
      <w:b/>
      <w:bCs/>
      <w:sz w:val="20"/>
      <w:szCs w:val="20"/>
      <w:lang w:val="en-AU"/>
    </w:rPr>
  </w:style>
  <w:style w:type="paragraph" w:styleId="FootnoteText">
    <w:name w:val="footnote text"/>
    <w:basedOn w:val="Normal"/>
    <w:link w:val="FootnoteTextChar"/>
    <w:uiPriority w:val="99"/>
    <w:semiHidden/>
    <w:unhideWhenUsed/>
    <w:rsid w:val="0062792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2792B"/>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627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06448">
      <w:bodyDiv w:val="1"/>
      <w:marLeft w:val="0"/>
      <w:marRight w:val="0"/>
      <w:marTop w:val="0"/>
      <w:marBottom w:val="0"/>
      <w:divBdr>
        <w:top w:val="none" w:sz="0" w:space="0" w:color="auto"/>
        <w:left w:val="none" w:sz="0" w:space="0" w:color="auto"/>
        <w:bottom w:val="none" w:sz="0" w:space="0" w:color="auto"/>
        <w:right w:val="none" w:sz="0" w:space="0" w:color="auto"/>
      </w:divBdr>
    </w:div>
    <w:div w:id="20950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1.health.gov.au/internet/main/publishing.nsf/Content/03BB9EB356FA47C1CA25856E001A8027/$File/Risk%20Assessment%20Report.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healthyfoodpartnership@health.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health.gov.au/internet/main/publishing.nsf/Content/Healthy-Food-Partnership-Ho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1.health.gov.au/internet/main/publishing.nsf/Content/reformulation-further-informatio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1.health.gov.au/internet/main/publishing.nsf/Content/reformulation-targe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EF8D12-6E61-4567-9B4F-37A78509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Healthy Food Partnership Reformulation Program: Implementation Plan</vt:lpstr>
    </vt:vector>
  </TitlesOfParts>
  <Company>Dept Health And Ageing</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Food Partnership Reformulation Program: Implementation Plan</dc:title>
  <dc:creator>The Australian Government Department of Health</dc:creator>
  <cp:lastModifiedBy>HATT, Laura</cp:lastModifiedBy>
  <cp:revision>22</cp:revision>
  <cp:lastPrinted>2020-03-10T00:33:00Z</cp:lastPrinted>
  <dcterms:created xsi:type="dcterms:W3CDTF">2020-10-14T01:42:00Z</dcterms:created>
  <dcterms:modified xsi:type="dcterms:W3CDTF">2021-04-06T02:14:00Z</dcterms:modified>
</cp:coreProperties>
</file>