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A34" w:rsidRPr="005B1409" w:rsidRDefault="00324A34" w:rsidP="00784A72">
      <w:pPr>
        <w:pStyle w:val="Title"/>
      </w:pPr>
      <w:r w:rsidRPr="005B1409">
        <w:t>Opioid Prescribing Practices Project:</w:t>
      </w:r>
    </w:p>
    <w:p w:rsidR="00324A34" w:rsidRPr="005B1409" w:rsidRDefault="00324A34" w:rsidP="00784A72">
      <w:pPr>
        <w:pStyle w:val="Subtitle"/>
      </w:pPr>
      <w:r w:rsidRPr="005B1409">
        <w:t>Key Outcomes</w:t>
      </w:r>
    </w:p>
    <w:p w:rsidR="00CA79CF" w:rsidRPr="005B1409" w:rsidRDefault="00324A34" w:rsidP="00784A72">
      <w:pPr>
        <w:pStyle w:val="Whitetext"/>
      </w:pPr>
      <w:r w:rsidRPr="005B1409">
        <w:t>March 2021</w:t>
      </w:r>
    </w:p>
    <w:p w:rsidR="00CA79CF" w:rsidRPr="005B1409" w:rsidRDefault="00CA79CF" w:rsidP="00784A72">
      <w:pPr>
        <w:sectPr w:rsidR="00CA79CF" w:rsidRPr="005B1409" w:rsidSect="008E0380">
          <w:headerReference w:type="default" r:id="rId11"/>
          <w:headerReference w:type="first" r:id="rId12"/>
          <w:footnotePr>
            <w:numFmt w:val="lowerLetter"/>
          </w:footnotePr>
          <w:endnotePr>
            <w:numFmt w:val="decimal"/>
          </w:endnotePr>
          <w:type w:val="continuous"/>
          <w:pgSz w:w="11906" w:h="16838"/>
          <w:pgMar w:top="1701" w:right="1418" w:bottom="1418" w:left="1418" w:header="709" w:footer="709" w:gutter="0"/>
          <w:pgNumType w:start="2"/>
          <w:cols w:space="708"/>
          <w:titlePg/>
          <w:docGrid w:linePitch="360"/>
        </w:sectPr>
      </w:pPr>
    </w:p>
    <w:p w:rsidR="00B732AA" w:rsidRPr="005B1409" w:rsidRDefault="00B732AA" w:rsidP="00784A72">
      <w:r w:rsidRPr="005B1409">
        <w:lastRenderedPageBreak/>
        <w:t>© Commonwealth of Australia as represented by the Department of Health 2021</w:t>
      </w:r>
    </w:p>
    <w:p w:rsidR="00B732AA" w:rsidRPr="005B1409" w:rsidRDefault="00B732AA" w:rsidP="00784A72">
      <w:r w:rsidRPr="005B1409">
        <w:t>Opioid Prescribing</w:t>
      </w:r>
      <w:r w:rsidR="00A44248">
        <w:t xml:space="preserve"> Practices Report: Key Outcomes</w:t>
      </w:r>
    </w:p>
    <w:p w:rsidR="00B732AA" w:rsidRPr="005B1409" w:rsidRDefault="00B732AA" w:rsidP="00784A72">
      <w:r w:rsidRPr="005B1409">
        <w:t>DT0001267</w:t>
      </w:r>
    </w:p>
    <w:p w:rsidR="00B732AA" w:rsidRDefault="00B732AA" w:rsidP="005B1409">
      <w:pPr>
        <w:rPr>
          <w:rStyle w:val="Strong"/>
        </w:rPr>
      </w:pPr>
      <w:r w:rsidRPr="00784A72">
        <w:rPr>
          <w:rStyle w:val="Strong"/>
        </w:rPr>
        <w:t>Creative Commons Licence</w:t>
      </w:r>
    </w:p>
    <w:p w:rsidR="00CB72C2" w:rsidRPr="00784A72" w:rsidRDefault="00CB72C2" w:rsidP="005B1409">
      <w:pPr>
        <w:rPr>
          <w:rStyle w:val="Strong"/>
        </w:rPr>
      </w:pPr>
      <w:r w:rsidRPr="00CB72C2">
        <w:rPr>
          <w:rStyle w:val="Strong"/>
          <w:noProof/>
          <w:lang w:eastAsia="en-AU"/>
        </w:rPr>
        <w:drawing>
          <wp:inline distT="0" distB="0" distL="0" distR="0" wp14:anchorId="1E6293C8" wp14:editId="1CA8D25D">
            <wp:extent cx="1228725" cy="428625"/>
            <wp:effectExtent l="0" t="0" r="9525" b="9525"/>
            <wp:docPr id="2" name="Picture 2" descr="CC BY 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b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B732AA" w:rsidRPr="005B1409" w:rsidRDefault="00B732AA" w:rsidP="00784A72">
      <w:r w:rsidRPr="005B1409">
        <w:t xml:space="preserve">This publication is licensed under the Creative Commons Attribution 4.0 International Public License available from https://creativecommons.org/licenses/by/4.0/legalcode (“Licence”). You must read and understand the Licence before using any </w:t>
      </w:r>
      <w:r w:rsidR="00A44248">
        <w:t>material from this publication.</w:t>
      </w:r>
    </w:p>
    <w:p w:rsidR="00B732AA" w:rsidRPr="00784A72" w:rsidRDefault="00B732AA" w:rsidP="005B1409">
      <w:pPr>
        <w:rPr>
          <w:rStyle w:val="Strong"/>
        </w:rPr>
      </w:pPr>
      <w:r w:rsidRPr="00784A72">
        <w:rPr>
          <w:rStyle w:val="Strong"/>
        </w:rPr>
        <w:t>Restrictions</w:t>
      </w:r>
    </w:p>
    <w:p w:rsidR="00B732AA" w:rsidRPr="005B1409" w:rsidRDefault="00B732AA" w:rsidP="00A44248">
      <w:r w:rsidRPr="005B1409">
        <w:t>The Licence may not give you all the permissions necessary for your intended use. For example, other rights (such as publicity, privacy and moral rights) may limit how you use the mate</w:t>
      </w:r>
      <w:r w:rsidR="00A44248">
        <w:t>rial found in this publication.</w:t>
      </w:r>
    </w:p>
    <w:p w:rsidR="00B732AA" w:rsidRPr="005B1409" w:rsidRDefault="00B732AA" w:rsidP="00784A72">
      <w:r w:rsidRPr="005B1409">
        <w:t>The Licence does not cover, and there is no permission given for, use of any of the following mate</w:t>
      </w:r>
      <w:r w:rsidR="00A44248">
        <w:t>rial found in this publication:</w:t>
      </w:r>
    </w:p>
    <w:p w:rsidR="00B732AA" w:rsidRPr="005B1409" w:rsidRDefault="00B732AA" w:rsidP="00784A72">
      <w:pPr>
        <w:pStyle w:val="ListBullet"/>
      </w:pPr>
      <w:r w:rsidRPr="005B1409">
        <w:t>the</w:t>
      </w:r>
      <w:r w:rsidR="00EE4A6C">
        <w:t xml:space="preserve"> Commonwealth Coat of Arms</w:t>
      </w:r>
      <w:r w:rsidRPr="005B1409">
        <w:t xml:space="preserve"> (by way of information, the terms under which the Coat of Arms may be used can be found on the Department of Prime Minister and Cabinet website http://www.dpmc.gov.au/government/commonwealth-coat-arms);</w:t>
      </w:r>
    </w:p>
    <w:p w:rsidR="00B732AA" w:rsidRPr="005B1409" w:rsidRDefault="00B732AA" w:rsidP="00784A72">
      <w:pPr>
        <w:pStyle w:val="ListBullet"/>
      </w:pPr>
      <w:r w:rsidRPr="005B1409">
        <w:t>any logos and trademarks;</w:t>
      </w:r>
    </w:p>
    <w:p w:rsidR="00B732AA" w:rsidRPr="005B1409" w:rsidRDefault="00B732AA" w:rsidP="00784A72">
      <w:pPr>
        <w:pStyle w:val="ListBullet"/>
      </w:pPr>
      <w:r w:rsidRPr="005B1409">
        <w:t xml:space="preserve">any photographs and images; </w:t>
      </w:r>
    </w:p>
    <w:p w:rsidR="00B732AA" w:rsidRPr="005B1409" w:rsidRDefault="00B732AA" w:rsidP="00784A72">
      <w:pPr>
        <w:pStyle w:val="ListBullet"/>
      </w:pPr>
      <w:r w:rsidRPr="005B1409">
        <w:t>any signatures; and</w:t>
      </w:r>
    </w:p>
    <w:p w:rsidR="00B732AA" w:rsidRPr="005B1409" w:rsidRDefault="00B732AA" w:rsidP="00784A72">
      <w:pPr>
        <w:pStyle w:val="ListBullet"/>
      </w:pPr>
      <w:r w:rsidRPr="005B1409">
        <w:t>any material belonging to third parties. The third party elements must be included here or have a footnote reference throughout the document showing where they are</w:t>
      </w:r>
      <w:r w:rsidR="00E90D53">
        <w:t>.</w:t>
      </w:r>
    </w:p>
    <w:p w:rsidR="00B732AA" w:rsidRPr="00784A72" w:rsidRDefault="00B732AA" w:rsidP="005B1409">
      <w:pPr>
        <w:rPr>
          <w:rStyle w:val="Strong"/>
        </w:rPr>
      </w:pPr>
      <w:r w:rsidRPr="00784A72">
        <w:rPr>
          <w:rStyle w:val="Strong"/>
        </w:rPr>
        <w:t>Attribution</w:t>
      </w:r>
    </w:p>
    <w:p w:rsidR="00B732AA" w:rsidRPr="005B1409" w:rsidRDefault="00B732AA" w:rsidP="00784A72">
      <w:r w:rsidRPr="005B1409">
        <w:t>Without limiting your obligations under the Licence, the Department of Health requests that you attribute this publication in your work. Any reasonable form of words may be used provided that you:</w:t>
      </w:r>
    </w:p>
    <w:p w:rsidR="00B732AA" w:rsidRPr="005B1409" w:rsidRDefault="00B732AA" w:rsidP="00784A72">
      <w:pPr>
        <w:pStyle w:val="ListBullet"/>
      </w:pPr>
      <w:r w:rsidRPr="005B1409">
        <w:t xml:space="preserve">include a reference to this publication and where, practicable, the relevant page numbers; </w:t>
      </w:r>
    </w:p>
    <w:p w:rsidR="00B732AA" w:rsidRPr="005B1409" w:rsidRDefault="00B732AA" w:rsidP="00784A72">
      <w:pPr>
        <w:pStyle w:val="ListBullet"/>
      </w:pPr>
      <w:r w:rsidRPr="005B1409">
        <w:t>make it clear that you have permission to use the material under the Creative Commons Attribution 4.0 International Public License;</w:t>
      </w:r>
    </w:p>
    <w:p w:rsidR="00B732AA" w:rsidRPr="005B1409" w:rsidRDefault="00B732AA" w:rsidP="00784A72">
      <w:pPr>
        <w:pStyle w:val="ListBullet"/>
      </w:pPr>
      <w:r w:rsidRPr="005B1409">
        <w:t xml:space="preserve">make it clear whether or not you have changed the material used from this publication; </w:t>
      </w:r>
    </w:p>
    <w:p w:rsidR="00B732AA" w:rsidRPr="005B1409" w:rsidRDefault="00B732AA" w:rsidP="00784A72">
      <w:pPr>
        <w:pStyle w:val="ListBullet"/>
      </w:pPr>
      <w:r w:rsidRPr="005B1409">
        <w:t>include a copyright notice in relation to the material used. In the case of no change to the material, the words “© Commonwealth of Australia (Department of Health) 2021” may be used. In the case where the material has been changed or adapted, the words: “Based on Commonwealth of Australia (Department of Health) material” may be used; and</w:t>
      </w:r>
    </w:p>
    <w:p w:rsidR="00B732AA" w:rsidRPr="005B1409" w:rsidRDefault="00B732AA" w:rsidP="00784A72">
      <w:pPr>
        <w:pStyle w:val="ListBullet"/>
      </w:pPr>
      <w:r w:rsidRPr="005B1409">
        <w:t>do not suggest that the Department of Health endorses you or your use of the material.</w:t>
      </w:r>
    </w:p>
    <w:p w:rsidR="00B732AA" w:rsidRPr="00784A72" w:rsidRDefault="00B732AA" w:rsidP="005B1409">
      <w:pPr>
        <w:rPr>
          <w:rStyle w:val="Strong"/>
        </w:rPr>
      </w:pPr>
      <w:r w:rsidRPr="00784A72">
        <w:rPr>
          <w:rStyle w:val="Strong"/>
        </w:rPr>
        <w:t>Enquiries</w:t>
      </w:r>
    </w:p>
    <w:p w:rsidR="00B732AA" w:rsidRPr="005B1409" w:rsidRDefault="00B732AA" w:rsidP="00784A72">
      <w:r w:rsidRPr="005B1409">
        <w:t>Enquiries regarding any other use of this publication should be addressed to the Branch Manager, Communication Branch, Department of Health, GPO Box 9848, Canberra ACT 2601, or via e-mail to copyright@health.gov.au</w:t>
      </w:r>
    </w:p>
    <w:p w:rsidR="00B732AA" w:rsidRPr="005B1409" w:rsidRDefault="00B732AA" w:rsidP="00784A72">
      <w:r w:rsidRPr="005B1409">
        <w:br w:type="page"/>
      </w:r>
    </w:p>
    <w:p w:rsidR="00841111" w:rsidRPr="005B1409" w:rsidRDefault="00841111" w:rsidP="00784A72">
      <w:pPr>
        <w:sectPr w:rsidR="00841111" w:rsidRPr="005B1409" w:rsidSect="00CA79CF">
          <w:headerReference w:type="even" r:id="rId14"/>
          <w:headerReference w:type="default" r:id="rId15"/>
          <w:footerReference w:type="even" r:id="rId16"/>
          <w:footerReference w:type="default" r:id="rId17"/>
          <w:headerReference w:type="first" r:id="rId18"/>
          <w:footerReference w:type="first" r:id="rId19"/>
          <w:footnotePr>
            <w:numFmt w:val="lowerLetter"/>
          </w:footnotePr>
          <w:endnotePr>
            <w:numFmt w:val="decimal"/>
          </w:endnotePr>
          <w:pgSz w:w="11906" w:h="16838"/>
          <w:pgMar w:top="1701" w:right="1418" w:bottom="1418" w:left="1418" w:header="709" w:footer="709" w:gutter="0"/>
          <w:cols w:space="708"/>
          <w:titlePg/>
          <w:docGrid w:linePitch="360"/>
        </w:sectPr>
      </w:pPr>
    </w:p>
    <w:sdt>
      <w:sdtPr>
        <w:id w:val="1433003484"/>
        <w:docPartObj>
          <w:docPartGallery w:val="Table of Contents"/>
          <w:docPartUnique/>
        </w:docPartObj>
      </w:sdtPr>
      <w:sdtEndPr/>
      <w:sdtContent>
        <w:p w:rsidR="003073EA" w:rsidRPr="005B1409" w:rsidRDefault="003073EA" w:rsidP="00784A72">
          <w:r w:rsidRPr="005B1409">
            <w:t>Contents</w:t>
          </w:r>
        </w:p>
        <w:p w:rsidR="002C47E1" w:rsidRDefault="003073EA">
          <w:pPr>
            <w:pStyle w:val="TOC1"/>
            <w:tabs>
              <w:tab w:val="right" w:leader="dot" w:pos="9060"/>
            </w:tabs>
            <w:rPr>
              <w:rFonts w:cstheme="minorBidi"/>
              <w:noProof/>
              <w:lang w:val="en-AU" w:eastAsia="en-AU"/>
            </w:rPr>
          </w:pPr>
          <w:r>
            <w:fldChar w:fldCharType="begin"/>
          </w:r>
          <w:r>
            <w:instrText xml:space="preserve"> TOC \o "1-3" \h \z \u </w:instrText>
          </w:r>
          <w:r>
            <w:fldChar w:fldCharType="separate"/>
          </w:r>
          <w:hyperlink w:anchor="_Toc68860042" w:history="1">
            <w:r w:rsidR="002C47E1" w:rsidRPr="00D17CA9">
              <w:rPr>
                <w:rStyle w:val="Hyperlink"/>
                <w:noProof/>
              </w:rPr>
              <w:t>Opioid prescribing in Australia</w:t>
            </w:r>
            <w:r w:rsidR="002C47E1">
              <w:rPr>
                <w:noProof/>
                <w:webHidden/>
              </w:rPr>
              <w:tab/>
            </w:r>
            <w:r w:rsidR="002C47E1">
              <w:rPr>
                <w:noProof/>
                <w:webHidden/>
              </w:rPr>
              <w:fldChar w:fldCharType="begin"/>
            </w:r>
            <w:r w:rsidR="002C47E1">
              <w:rPr>
                <w:noProof/>
                <w:webHidden/>
              </w:rPr>
              <w:instrText xml:space="preserve"> PAGEREF _Toc68860042 \h </w:instrText>
            </w:r>
            <w:r w:rsidR="002C47E1">
              <w:rPr>
                <w:noProof/>
                <w:webHidden/>
              </w:rPr>
            </w:r>
            <w:r w:rsidR="002C47E1">
              <w:rPr>
                <w:noProof/>
                <w:webHidden/>
              </w:rPr>
              <w:fldChar w:fldCharType="separate"/>
            </w:r>
            <w:r w:rsidR="002C47E1">
              <w:rPr>
                <w:noProof/>
                <w:webHidden/>
              </w:rPr>
              <w:t>3</w:t>
            </w:r>
            <w:r w:rsidR="002C47E1">
              <w:rPr>
                <w:noProof/>
                <w:webHidden/>
              </w:rPr>
              <w:fldChar w:fldCharType="end"/>
            </w:r>
          </w:hyperlink>
        </w:p>
        <w:p w:rsidR="002C47E1" w:rsidRDefault="00426F62">
          <w:pPr>
            <w:pStyle w:val="TOC1"/>
            <w:tabs>
              <w:tab w:val="right" w:leader="dot" w:pos="9060"/>
            </w:tabs>
            <w:rPr>
              <w:rFonts w:cstheme="minorBidi"/>
              <w:noProof/>
              <w:lang w:val="en-AU" w:eastAsia="en-AU"/>
            </w:rPr>
          </w:pPr>
          <w:hyperlink w:anchor="_Toc68860043" w:history="1">
            <w:r w:rsidR="002C47E1" w:rsidRPr="00D17CA9">
              <w:rPr>
                <w:rStyle w:val="Hyperlink"/>
                <w:noProof/>
              </w:rPr>
              <w:t>Randomised Controlled Trial</w:t>
            </w:r>
            <w:r w:rsidR="002C47E1">
              <w:rPr>
                <w:noProof/>
                <w:webHidden/>
              </w:rPr>
              <w:tab/>
            </w:r>
            <w:r w:rsidR="002C47E1">
              <w:rPr>
                <w:noProof/>
                <w:webHidden/>
              </w:rPr>
              <w:fldChar w:fldCharType="begin"/>
            </w:r>
            <w:r w:rsidR="002C47E1">
              <w:rPr>
                <w:noProof/>
                <w:webHidden/>
              </w:rPr>
              <w:instrText xml:space="preserve"> PAGEREF _Toc68860043 \h </w:instrText>
            </w:r>
            <w:r w:rsidR="002C47E1">
              <w:rPr>
                <w:noProof/>
                <w:webHidden/>
              </w:rPr>
            </w:r>
            <w:r w:rsidR="002C47E1">
              <w:rPr>
                <w:noProof/>
                <w:webHidden/>
              </w:rPr>
              <w:fldChar w:fldCharType="separate"/>
            </w:r>
            <w:r w:rsidR="002C47E1">
              <w:rPr>
                <w:noProof/>
                <w:webHidden/>
              </w:rPr>
              <w:t>4</w:t>
            </w:r>
            <w:r w:rsidR="002C47E1">
              <w:rPr>
                <w:noProof/>
                <w:webHidden/>
              </w:rPr>
              <w:fldChar w:fldCharType="end"/>
            </w:r>
          </w:hyperlink>
        </w:p>
        <w:p w:rsidR="002C47E1" w:rsidRDefault="00426F62">
          <w:pPr>
            <w:pStyle w:val="TOC2"/>
            <w:tabs>
              <w:tab w:val="right" w:leader="dot" w:pos="9060"/>
            </w:tabs>
            <w:rPr>
              <w:rFonts w:cstheme="minorBidi"/>
              <w:noProof/>
              <w:lang w:val="en-AU" w:eastAsia="en-AU"/>
            </w:rPr>
          </w:pPr>
          <w:hyperlink w:anchor="_Toc68860044" w:history="1">
            <w:r w:rsidR="002C47E1" w:rsidRPr="00D17CA9">
              <w:rPr>
                <w:rStyle w:val="Hyperlink"/>
                <w:noProof/>
              </w:rPr>
              <w:t>Behavioural Insights principles</w:t>
            </w:r>
            <w:r w:rsidR="002C47E1">
              <w:rPr>
                <w:noProof/>
                <w:webHidden/>
              </w:rPr>
              <w:tab/>
            </w:r>
            <w:r w:rsidR="002C47E1">
              <w:rPr>
                <w:noProof/>
                <w:webHidden/>
              </w:rPr>
              <w:fldChar w:fldCharType="begin"/>
            </w:r>
            <w:r w:rsidR="002C47E1">
              <w:rPr>
                <w:noProof/>
                <w:webHidden/>
              </w:rPr>
              <w:instrText xml:space="preserve"> PAGEREF _Toc68860044 \h </w:instrText>
            </w:r>
            <w:r w:rsidR="002C47E1">
              <w:rPr>
                <w:noProof/>
                <w:webHidden/>
              </w:rPr>
            </w:r>
            <w:r w:rsidR="002C47E1">
              <w:rPr>
                <w:noProof/>
                <w:webHidden/>
              </w:rPr>
              <w:fldChar w:fldCharType="separate"/>
            </w:r>
            <w:r w:rsidR="002C47E1">
              <w:rPr>
                <w:noProof/>
                <w:webHidden/>
              </w:rPr>
              <w:t>5</w:t>
            </w:r>
            <w:r w:rsidR="002C47E1">
              <w:rPr>
                <w:noProof/>
                <w:webHidden/>
              </w:rPr>
              <w:fldChar w:fldCharType="end"/>
            </w:r>
          </w:hyperlink>
        </w:p>
        <w:p w:rsidR="002C47E1" w:rsidRDefault="00426F62">
          <w:pPr>
            <w:pStyle w:val="TOC2"/>
            <w:tabs>
              <w:tab w:val="right" w:leader="dot" w:pos="9060"/>
            </w:tabs>
            <w:rPr>
              <w:rFonts w:cstheme="minorBidi"/>
              <w:noProof/>
              <w:lang w:val="en-AU" w:eastAsia="en-AU"/>
            </w:rPr>
          </w:pPr>
          <w:hyperlink w:anchor="_Toc68860045" w:history="1">
            <w:r w:rsidR="002C47E1" w:rsidRPr="00D17CA9">
              <w:rPr>
                <w:rStyle w:val="Hyperlink"/>
                <w:noProof/>
              </w:rPr>
              <w:t>Calculation of standard dose and prescribing rate</w:t>
            </w:r>
            <w:r w:rsidR="002C47E1">
              <w:rPr>
                <w:noProof/>
                <w:webHidden/>
              </w:rPr>
              <w:tab/>
            </w:r>
            <w:r w:rsidR="002C47E1">
              <w:rPr>
                <w:noProof/>
                <w:webHidden/>
              </w:rPr>
              <w:fldChar w:fldCharType="begin"/>
            </w:r>
            <w:r w:rsidR="002C47E1">
              <w:rPr>
                <w:noProof/>
                <w:webHidden/>
              </w:rPr>
              <w:instrText xml:space="preserve"> PAGEREF _Toc68860045 \h </w:instrText>
            </w:r>
            <w:r w:rsidR="002C47E1">
              <w:rPr>
                <w:noProof/>
                <w:webHidden/>
              </w:rPr>
            </w:r>
            <w:r w:rsidR="002C47E1">
              <w:rPr>
                <w:noProof/>
                <w:webHidden/>
              </w:rPr>
              <w:fldChar w:fldCharType="separate"/>
            </w:r>
            <w:r w:rsidR="002C47E1">
              <w:rPr>
                <w:noProof/>
                <w:webHidden/>
              </w:rPr>
              <w:t>6</w:t>
            </w:r>
            <w:r w:rsidR="002C47E1">
              <w:rPr>
                <w:noProof/>
                <w:webHidden/>
              </w:rPr>
              <w:fldChar w:fldCharType="end"/>
            </w:r>
          </w:hyperlink>
        </w:p>
        <w:p w:rsidR="002C47E1" w:rsidRDefault="00426F62">
          <w:pPr>
            <w:pStyle w:val="TOC1"/>
            <w:tabs>
              <w:tab w:val="right" w:leader="dot" w:pos="9060"/>
            </w:tabs>
            <w:rPr>
              <w:rFonts w:cstheme="minorBidi"/>
              <w:noProof/>
              <w:lang w:val="en-AU" w:eastAsia="en-AU"/>
            </w:rPr>
          </w:pPr>
          <w:hyperlink w:anchor="_Toc68860046" w:history="1">
            <w:r w:rsidR="002C47E1" w:rsidRPr="00D17CA9">
              <w:rPr>
                <w:rStyle w:val="Hyperlink"/>
                <w:noProof/>
              </w:rPr>
              <w:t>Results</w:t>
            </w:r>
            <w:r w:rsidR="002C47E1">
              <w:rPr>
                <w:noProof/>
                <w:webHidden/>
              </w:rPr>
              <w:tab/>
            </w:r>
            <w:r w:rsidR="002C47E1">
              <w:rPr>
                <w:noProof/>
                <w:webHidden/>
              </w:rPr>
              <w:fldChar w:fldCharType="begin"/>
            </w:r>
            <w:r w:rsidR="002C47E1">
              <w:rPr>
                <w:noProof/>
                <w:webHidden/>
              </w:rPr>
              <w:instrText xml:space="preserve"> PAGEREF _Toc68860046 \h </w:instrText>
            </w:r>
            <w:r w:rsidR="002C47E1">
              <w:rPr>
                <w:noProof/>
                <w:webHidden/>
              </w:rPr>
            </w:r>
            <w:r w:rsidR="002C47E1">
              <w:rPr>
                <w:noProof/>
                <w:webHidden/>
              </w:rPr>
              <w:fldChar w:fldCharType="separate"/>
            </w:r>
            <w:r w:rsidR="002C47E1">
              <w:rPr>
                <w:noProof/>
                <w:webHidden/>
              </w:rPr>
              <w:t>6</w:t>
            </w:r>
            <w:r w:rsidR="002C47E1">
              <w:rPr>
                <w:noProof/>
                <w:webHidden/>
              </w:rPr>
              <w:fldChar w:fldCharType="end"/>
            </w:r>
          </w:hyperlink>
        </w:p>
        <w:p w:rsidR="002C47E1" w:rsidRDefault="00426F62">
          <w:pPr>
            <w:pStyle w:val="TOC3"/>
            <w:tabs>
              <w:tab w:val="right" w:leader="dot" w:pos="9060"/>
            </w:tabs>
            <w:rPr>
              <w:rFonts w:cstheme="minorBidi"/>
              <w:noProof/>
              <w:lang w:val="en-AU" w:eastAsia="en-AU"/>
            </w:rPr>
          </w:pPr>
          <w:hyperlink w:anchor="_Toc68860047" w:history="1">
            <w:r w:rsidR="002C47E1" w:rsidRPr="00D17CA9">
              <w:rPr>
                <w:rStyle w:val="Hyperlink"/>
                <w:noProof/>
              </w:rPr>
              <w:t>Socio-demographic characteristics</w:t>
            </w:r>
            <w:r w:rsidR="002C47E1">
              <w:rPr>
                <w:noProof/>
                <w:webHidden/>
              </w:rPr>
              <w:tab/>
            </w:r>
            <w:r w:rsidR="002C47E1">
              <w:rPr>
                <w:noProof/>
                <w:webHidden/>
              </w:rPr>
              <w:fldChar w:fldCharType="begin"/>
            </w:r>
            <w:r w:rsidR="002C47E1">
              <w:rPr>
                <w:noProof/>
                <w:webHidden/>
              </w:rPr>
              <w:instrText xml:space="preserve"> PAGEREF _Toc68860047 \h </w:instrText>
            </w:r>
            <w:r w:rsidR="002C47E1">
              <w:rPr>
                <w:noProof/>
                <w:webHidden/>
              </w:rPr>
            </w:r>
            <w:r w:rsidR="002C47E1">
              <w:rPr>
                <w:noProof/>
                <w:webHidden/>
              </w:rPr>
              <w:fldChar w:fldCharType="separate"/>
            </w:r>
            <w:r w:rsidR="002C47E1">
              <w:rPr>
                <w:noProof/>
                <w:webHidden/>
              </w:rPr>
              <w:t>8</w:t>
            </w:r>
            <w:r w:rsidR="002C47E1">
              <w:rPr>
                <w:noProof/>
                <w:webHidden/>
              </w:rPr>
              <w:fldChar w:fldCharType="end"/>
            </w:r>
          </w:hyperlink>
        </w:p>
        <w:p w:rsidR="002C47E1" w:rsidRDefault="00426F62">
          <w:pPr>
            <w:pStyle w:val="TOC3"/>
            <w:tabs>
              <w:tab w:val="right" w:leader="dot" w:pos="9060"/>
            </w:tabs>
            <w:rPr>
              <w:rFonts w:cstheme="minorBidi"/>
              <w:noProof/>
              <w:lang w:val="en-AU" w:eastAsia="en-AU"/>
            </w:rPr>
          </w:pPr>
          <w:hyperlink w:anchor="_Toc68860048" w:history="1">
            <w:r w:rsidR="002C47E1" w:rsidRPr="00D17CA9">
              <w:rPr>
                <w:rStyle w:val="Hyperlink"/>
                <w:noProof/>
              </w:rPr>
              <w:t>Opioid type</w:t>
            </w:r>
            <w:r w:rsidR="002C47E1">
              <w:rPr>
                <w:noProof/>
                <w:webHidden/>
              </w:rPr>
              <w:tab/>
            </w:r>
            <w:r w:rsidR="002C47E1">
              <w:rPr>
                <w:noProof/>
                <w:webHidden/>
              </w:rPr>
              <w:fldChar w:fldCharType="begin"/>
            </w:r>
            <w:r w:rsidR="002C47E1">
              <w:rPr>
                <w:noProof/>
                <w:webHidden/>
              </w:rPr>
              <w:instrText xml:space="preserve"> PAGEREF _Toc68860048 \h </w:instrText>
            </w:r>
            <w:r w:rsidR="002C47E1">
              <w:rPr>
                <w:noProof/>
                <w:webHidden/>
              </w:rPr>
            </w:r>
            <w:r w:rsidR="002C47E1">
              <w:rPr>
                <w:noProof/>
                <w:webHidden/>
              </w:rPr>
              <w:fldChar w:fldCharType="separate"/>
            </w:r>
            <w:r w:rsidR="002C47E1">
              <w:rPr>
                <w:noProof/>
                <w:webHidden/>
              </w:rPr>
              <w:t>9</w:t>
            </w:r>
            <w:r w:rsidR="002C47E1">
              <w:rPr>
                <w:noProof/>
                <w:webHidden/>
              </w:rPr>
              <w:fldChar w:fldCharType="end"/>
            </w:r>
          </w:hyperlink>
        </w:p>
        <w:p w:rsidR="002C47E1" w:rsidRDefault="00426F62">
          <w:pPr>
            <w:pStyle w:val="TOC1"/>
            <w:tabs>
              <w:tab w:val="right" w:leader="dot" w:pos="9060"/>
            </w:tabs>
            <w:rPr>
              <w:rFonts w:cstheme="minorBidi"/>
              <w:noProof/>
              <w:lang w:val="en-AU" w:eastAsia="en-AU"/>
            </w:rPr>
          </w:pPr>
          <w:hyperlink w:anchor="_Toc68860049" w:history="1">
            <w:r w:rsidR="002C47E1" w:rsidRPr="00D17CA9">
              <w:rPr>
                <w:rStyle w:val="Hyperlink"/>
                <w:noProof/>
              </w:rPr>
              <w:t>Concluding points</w:t>
            </w:r>
            <w:r w:rsidR="002C47E1">
              <w:rPr>
                <w:noProof/>
                <w:webHidden/>
              </w:rPr>
              <w:tab/>
            </w:r>
            <w:r w:rsidR="002C47E1">
              <w:rPr>
                <w:noProof/>
                <w:webHidden/>
              </w:rPr>
              <w:fldChar w:fldCharType="begin"/>
            </w:r>
            <w:r w:rsidR="002C47E1">
              <w:rPr>
                <w:noProof/>
                <w:webHidden/>
              </w:rPr>
              <w:instrText xml:space="preserve"> PAGEREF _Toc68860049 \h </w:instrText>
            </w:r>
            <w:r w:rsidR="002C47E1">
              <w:rPr>
                <w:noProof/>
                <w:webHidden/>
              </w:rPr>
            </w:r>
            <w:r w:rsidR="002C47E1">
              <w:rPr>
                <w:noProof/>
                <w:webHidden/>
              </w:rPr>
              <w:fldChar w:fldCharType="separate"/>
            </w:r>
            <w:r w:rsidR="002C47E1">
              <w:rPr>
                <w:noProof/>
                <w:webHidden/>
              </w:rPr>
              <w:t>10</w:t>
            </w:r>
            <w:r w:rsidR="002C47E1">
              <w:rPr>
                <w:noProof/>
                <w:webHidden/>
              </w:rPr>
              <w:fldChar w:fldCharType="end"/>
            </w:r>
          </w:hyperlink>
        </w:p>
        <w:p w:rsidR="002C47E1" w:rsidRDefault="00426F62">
          <w:pPr>
            <w:pStyle w:val="TOC1"/>
            <w:tabs>
              <w:tab w:val="right" w:leader="dot" w:pos="9060"/>
            </w:tabs>
            <w:rPr>
              <w:rFonts w:cstheme="minorBidi"/>
              <w:noProof/>
              <w:lang w:val="en-AU" w:eastAsia="en-AU"/>
            </w:rPr>
          </w:pPr>
          <w:hyperlink w:anchor="_Toc68860050" w:history="1">
            <w:r w:rsidR="002C47E1" w:rsidRPr="00D17CA9">
              <w:rPr>
                <w:rStyle w:val="Hyperlink"/>
                <w:noProof/>
              </w:rPr>
              <w:t>Appendix A – GP Letter</w:t>
            </w:r>
            <w:r w:rsidR="002C47E1">
              <w:rPr>
                <w:noProof/>
                <w:webHidden/>
              </w:rPr>
              <w:tab/>
            </w:r>
            <w:r w:rsidR="002C47E1">
              <w:rPr>
                <w:noProof/>
                <w:webHidden/>
              </w:rPr>
              <w:fldChar w:fldCharType="begin"/>
            </w:r>
            <w:r w:rsidR="002C47E1">
              <w:rPr>
                <w:noProof/>
                <w:webHidden/>
              </w:rPr>
              <w:instrText xml:space="preserve"> PAGEREF _Toc68860050 \h </w:instrText>
            </w:r>
            <w:r w:rsidR="002C47E1">
              <w:rPr>
                <w:noProof/>
                <w:webHidden/>
              </w:rPr>
            </w:r>
            <w:r w:rsidR="002C47E1">
              <w:rPr>
                <w:noProof/>
                <w:webHidden/>
              </w:rPr>
              <w:fldChar w:fldCharType="separate"/>
            </w:r>
            <w:r w:rsidR="002C47E1">
              <w:rPr>
                <w:noProof/>
                <w:webHidden/>
              </w:rPr>
              <w:t>11</w:t>
            </w:r>
            <w:r w:rsidR="002C47E1">
              <w:rPr>
                <w:noProof/>
                <w:webHidden/>
              </w:rPr>
              <w:fldChar w:fldCharType="end"/>
            </w:r>
          </w:hyperlink>
        </w:p>
        <w:p w:rsidR="002C47E1" w:rsidRDefault="00426F62">
          <w:pPr>
            <w:pStyle w:val="TOC1"/>
            <w:tabs>
              <w:tab w:val="right" w:leader="dot" w:pos="9060"/>
            </w:tabs>
            <w:rPr>
              <w:rFonts w:cstheme="minorBidi"/>
              <w:noProof/>
              <w:lang w:val="en-AU" w:eastAsia="en-AU"/>
            </w:rPr>
          </w:pPr>
          <w:hyperlink w:anchor="_Toc68860051" w:history="1">
            <w:r w:rsidR="002C47E1" w:rsidRPr="00D17CA9">
              <w:rPr>
                <w:rStyle w:val="Hyperlink"/>
                <w:noProof/>
              </w:rPr>
              <w:t>Appendix B – Details of statistical analyses</w:t>
            </w:r>
            <w:r w:rsidR="002C47E1">
              <w:rPr>
                <w:noProof/>
                <w:webHidden/>
              </w:rPr>
              <w:tab/>
            </w:r>
            <w:r w:rsidR="002C47E1">
              <w:rPr>
                <w:noProof/>
                <w:webHidden/>
              </w:rPr>
              <w:fldChar w:fldCharType="begin"/>
            </w:r>
            <w:r w:rsidR="002C47E1">
              <w:rPr>
                <w:noProof/>
                <w:webHidden/>
              </w:rPr>
              <w:instrText xml:space="preserve"> PAGEREF _Toc68860051 \h </w:instrText>
            </w:r>
            <w:r w:rsidR="002C47E1">
              <w:rPr>
                <w:noProof/>
                <w:webHidden/>
              </w:rPr>
            </w:r>
            <w:r w:rsidR="002C47E1">
              <w:rPr>
                <w:noProof/>
                <w:webHidden/>
              </w:rPr>
              <w:fldChar w:fldCharType="separate"/>
            </w:r>
            <w:r w:rsidR="002C47E1">
              <w:rPr>
                <w:noProof/>
                <w:webHidden/>
              </w:rPr>
              <w:t>13</w:t>
            </w:r>
            <w:r w:rsidR="002C47E1">
              <w:rPr>
                <w:noProof/>
                <w:webHidden/>
              </w:rPr>
              <w:fldChar w:fldCharType="end"/>
            </w:r>
          </w:hyperlink>
        </w:p>
        <w:p w:rsidR="003073EA" w:rsidRPr="005B1409" w:rsidRDefault="003073EA" w:rsidP="00784A72">
          <w:r>
            <w:rPr>
              <w:noProof/>
            </w:rPr>
            <w:fldChar w:fldCharType="end"/>
          </w:r>
        </w:p>
      </w:sdtContent>
    </w:sdt>
    <w:p w:rsidR="00B732AA" w:rsidRPr="005B1409" w:rsidRDefault="00B732AA" w:rsidP="00784A72"/>
    <w:p w:rsidR="00CF14A6" w:rsidRPr="005B1409" w:rsidRDefault="00CF14A6" w:rsidP="00784A72">
      <w:pPr>
        <w:sectPr w:rsidR="00CF14A6" w:rsidRPr="005B1409" w:rsidSect="008E0380">
          <w:headerReference w:type="even" r:id="rId20"/>
          <w:headerReference w:type="default" r:id="rId21"/>
          <w:footerReference w:type="even" r:id="rId22"/>
          <w:footerReference w:type="default" r:id="rId23"/>
          <w:headerReference w:type="first" r:id="rId24"/>
          <w:footerReference w:type="first" r:id="rId25"/>
          <w:footnotePr>
            <w:numFmt w:val="lowerLetter"/>
          </w:footnotePr>
          <w:endnotePr>
            <w:numFmt w:val="decimal"/>
          </w:endnotePr>
          <w:pgSz w:w="11906" w:h="16838"/>
          <w:pgMar w:top="1701" w:right="1418" w:bottom="1418" w:left="1418" w:header="709" w:footer="709" w:gutter="0"/>
          <w:pgNumType w:start="1"/>
          <w:cols w:space="708"/>
          <w:docGrid w:linePitch="360"/>
        </w:sectPr>
      </w:pPr>
    </w:p>
    <w:p w:rsidR="009B4DA3" w:rsidRPr="005B1409" w:rsidRDefault="009B4DA3" w:rsidP="00784A72">
      <w:pPr>
        <w:pStyle w:val="Heading1"/>
      </w:pPr>
      <w:bookmarkStart w:id="0" w:name="_Toc68860042"/>
      <w:r w:rsidRPr="005B1409">
        <w:lastRenderedPageBreak/>
        <w:t>Opioid prescribing in Australia</w:t>
      </w:r>
      <w:bookmarkEnd w:id="0"/>
    </w:p>
    <w:p w:rsidR="00144223" w:rsidRDefault="009B4DA3" w:rsidP="00784A72">
      <w:r w:rsidRPr="005B1409">
        <w:t>There is widespread concern about the increasing use of opioids and significant harms arising from opioid use in Australia and globally</w:t>
      </w:r>
      <w:r w:rsidR="00144223">
        <w:t>.</w:t>
      </w:r>
    </w:p>
    <w:p w:rsidR="00E67D2A" w:rsidRDefault="00144223" w:rsidP="00784A72">
      <w:r>
        <w:t>Opioid Prescribing Facts</w:t>
      </w:r>
    </w:p>
    <w:p w:rsidR="00144223" w:rsidRDefault="00144223" w:rsidP="00144223">
      <w:pPr>
        <w:pStyle w:val="ListBullet"/>
        <w:ind w:left="284" w:hanging="284"/>
        <w:rPr>
          <w:vanish/>
        </w:rPr>
      </w:pPr>
      <w:r>
        <w:rPr>
          <w:vanish/>
        </w:rPr>
        <w:t>Opioids are effective for managing acute pain, cancer pain, pain in a palliative care setting, and opioid dependency</w:t>
      </w:r>
      <w:r>
        <w:rPr>
          <w:rStyle w:val="EndnoteReference"/>
          <w:vanish/>
        </w:rPr>
        <w:endnoteReference w:id="2"/>
      </w:r>
    </w:p>
    <w:p w:rsidR="00144223" w:rsidRPr="00AB0D23" w:rsidRDefault="00144223" w:rsidP="00144223">
      <w:pPr>
        <w:pStyle w:val="ListBullet"/>
        <w:ind w:left="284" w:hanging="284"/>
        <w:rPr>
          <w:vanish/>
        </w:rPr>
      </w:pPr>
      <w:r w:rsidRPr="00AB0D23">
        <w:rPr>
          <w:vanish/>
        </w:rPr>
        <w:t>Opioids are being used outside these indications</w:t>
      </w:r>
      <w:r w:rsidRPr="00AB0D23">
        <w:rPr>
          <w:rStyle w:val="EndnoteReference"/>
          <w:color w:val="auto"/>
          <w:szCs w:val="21"/>
        </w:rPr>
        <w:endnoteReference w:id="3"/>
      </w:r>
    </w:p>
    <w:p w:rsidR="00144223" w:rsidRPr="00E75E17" w:rsidRDefault="00144223" w:rsidP="00144223">
      <w:pPr>
        <w:pStyle w:val="ListBullet"/>
        <w:ind w:left="284" w:hanging="284"/>
        <w:rPr>
          <w:vanish/>
        </w:rPr>
      </w:pPr>
      <w:r w:rsidRPr="00AB0D23">
        <w:rPr>
          <w:vanish/>
        </w:rPr>
        <w:t>Opioids are not recommended for routine or first-line use for chronic non-cancer pain</w:t>
      </w:r>
      <w:r w:rsidRPr="00AB0D23">
        <w:rPr>
          <w:rStyle w:val="EndnoteReference"/>
          <w:color w:val="auto"/>
          <w:szCs w:val="21"/>
        </w:rPr>
        <w:endnoteReference w:id="4"/>
      </w:r>
    </w:p>
    <w:p w:rsidR="00144223" w:rsidRDefault="00144223" w:rsidP="00144223">
      <w:pPr>
        <w:pStyle w:val="ListBullet"/>
        <w:ind w:left="284" w:hanging="284"/>
        <w:rPr>
          <w:vanish/>
        </w:rPr>
      </w:pPr>
      <w:r w:rsidRPr="00AB0D23">
        <w:rPr>
          <w:vanish/>
        </w:rPr>
        <w:t>All opioids can be addictive</w:t>
      </w:r>
      <w:r w:rsidRPr="00AB0D23">
        <w:rPr>
          <w:rStyle w:val="EndnoteReference"/>
          <w:color w:val="auto"/>
          <w:szCs w:val="21"/>
        </w:rPr>
        <w:endnoteReference w:id="5"/>
      </w:r>
    </w:p>
    <w:p w:rsidR="00144223" w:rsidRPr="00AB0D23" w:rsidRDefault="00144223" w:rsidP="00144223">
      <w:pPr>
        <w:pStyle w:val="ListBullet"/>
        <w:ind w:left="284" w:hanging="284"/>
        <w:rPr>
          <w:vanish/>
        </w:rPr>
      </w:pPr>
      <w:r w:rsidRPr="00AB0D23">
        <w:rPr>
          <w:vanish/>
        </w:rPr>
        <w:t>In 2016-17, there were 27,435 (or 75 per day) hospitalisations due to side effects of pharmaceutical opioid use</w:t>
      </w:r>
      <w:r w:rsidRPr="00AB0D23">
        <w:rPr>
          <w:rStyle w:val="EndnoteReference"/>
          <w:color w:val="auto"/>
          <w:szCs w:val="21"/>
        </w:rPr>
        <w:endnoteReference w:id="6"/>
      </w:r>
    </w:p>
    <w:p w:rsidR="00144223" w:rsidRPr="00AB0D23" w:rsidRDefault="00144223" w:rsidP="00144223">
      <w:pPr>
        <w:pStyle w:val="ListBullet"/>
        <w:ind w:left="284" w:hanging="284"/>
        <w:rPr>
          <w:vanish/>
        </w:rPr>
      </w:pPr>
      <w:r w:rsidRPr="00AB0D23">
        <w:rPr>
          <w:vanish/>
        </w:rPr>
        <w:t>In 2016-17, there were 4,232 emergency department presentations (or 11.6 per day) for pharmaceutical opioid poisoning</w:t>
      </w:r>
      <w:r w:rsidRPr="00AB0D23">
        <w:rPr>
          <w:rStyle w:val="EndnoteReference"/>
          <w:color w:val="auto"/>
          <w:szCs w:val="21"/>
        </w:rPr>
        <w:endnoteReference w:id="7"/>
      </w:r>
    </w:p>
    <w:p w:rsidR="00144223" w:rsidRPr="00AB0D23" w:rsidRDefault="00144223" w:rsidP="00144223">
      <w:pPr>
        <w:pStyle w:val="ListBullet"/>
        <w:ind w:left="284" w:hanging="284"/>
        <w:rPr>
          <w:vanish/>
        </w:rPr>
      </w:pPr>
      <w:r w:rsidRPr="00AB0D23">
        <w:rPr>
          <w:vanish/>
        </w:rPr>
        <w:t>Deaths due to pharmaceutical opioids increased over the 10 years to 2016</w:t>
      </w:r>
      <w:r w:rsidRPr="00AB0D23">
        <w:rPr>
          <w:rStyle w:val="EndnoteReference"/>
          <w:color w:val="auto"/>
          <w:szCs w:val="21"/>
        </w:rPr>
        <w:endnoteReference w:id="8"/>
      </w:r>
    </w:p>
    <w:p w:rsidR="00144223" w:rsidRPr="00AB0D23" w:rsidRDefault="00144223" w:rsidP="00144223">
      <w:pPr>
        <w:pStyle w:val="ListBullet"/>
        <w:ind w:left="284" w:hanging="284"/>
        <w:rPr>
          <w:vanish/>
        </w:rPr>
      </w:pPr>
      <w:r w:rsidRPr="00AB0D23">
        <w:rPr>
          <w:vanish/>
        </w:rPr>
        <w:t>In 2016 pharmaceutical opioids resulted in more deaths and hospita</w:t>
      </w:r>
      <w:r>
        <w:rPr>
          <w:vanish/>
        </w:rPr>
        <w:t>l</w:t>
      </w:r>
      <w:r w:rsidRPr="00AB0D23">
        <w:rPr>
          <w:vanish/>
        </w:rPr>
        <w:t>isations than illegal opioids including heroin</w:t>
      </w:r>
      <w:r w:rsidRPr="00AB0D23">
        <w:rPr>
          <w:rStyle w:val="EndnoteReference"/>
          <w:color w:val="auto"/>
          <w:szCs w:val="21"/>
        </w:rPr>
        <w:endnoteReference w:id="9"/>
      </w:r>
    </w:p>
    <w:p w:rsidR="00144223" w:rsidRDefault="00144223" w:rsidP="00784A72"/>
    <w:p w:rsidR="008A4576" w:rsidRPr="005B1409" w:rsidRDefault="008A4576" w:rsidP="00A44248">
      <w:pPr>
        <w:pStyle w:val="Heading1"/>
        <w:pageBreakBefore/>
      </w:pPr>
      <w:bookmarkStart w:id="1" w:name="_Toc68860043"/>
      <w:r w:rsidRPr="005B1409">
        <w:lastRenderedPageBreak/>
        <w:t>Randomised Controlled Trial</w:t>
      </w:r>
      <w:bookmarkEnd w:id="1"/>
    </w:p>
    <w:p w:rsidR="008A4576" w:rsidRPr="005B1409" w:rsidRDefault="008A4576" w:rsidP="00784A72">
      <w:r w:rsidRPr="005B1409">
        <w:t>The Australian Government has taken a targeted approach to reduce harm to patients from inappropriate opioid use by raising general practitioner (GP) awareness and supporting clin</w:t>
      </w:r>
      <w:r w:rsidR="00AB240C">
        <w:t>ically appropriate prescribing.</w:t>
      </w:r>
    </w:p>
    <w:p w:rsidR="008A4576" w:rsidRPr="005B1409" w:rsidRDefault="008A4576" w:rsidP="00784A72">
      <w:r w:rsidRPr="005B1409">
        <w:t>The Department of Health designed and evaluated a project through a randomised controlled trial (RCT) to determine whether GPs who had high rates of opioid prescribing would reduce their prescribing when sent a letter informed by behavioural insights principles ab</w:t>
      </w:r>
      <w:r w:rsidR="00AB240C">
        <w:t>out their prescribing patterns.</w:t>
      </w:r>
    </w:p>
    <w:p w:rsidR="008A4576" w:rsidRPr="005B1409" w:rsidRDefault="008A4576" w:rsidP="00784A72">
      <w:r w:rsidRPr="005B1409">
        <w:t xml:space="preserve">The full letter is at </w:t>
      </w:r>
      <w:hyperlink w:anchor="_Appendix_A_–" w:history="1">
        <w:r w:rsidRPr="00AB240C">
          <w:rPr>
            <w:rStyle w:val="Hyperlink"/>
          </w:rPr>
          <w:t>Appendix A</w:t>
        </w:r>
      </w:hyperlink>
      <w:r w:rsidR="002E61B7" w:rsidRPr="005B1409">
        <w:t>;</w:t>
      </w:r>
      <w:r w:rsidRPr="005B1409">
        <w:t xml:space="preserve"> in summary it provided GPs with:</w:t>
      </w:r>
    </w:p>
    <w:p w:rsidR="008A4576" w:rsidRPr="005B1409" w:rsidRDefault="008A4576" w:rsidP="00784A72">
      <w:pPr>
        <w:pStyle w:val="ListBullet"/>
      </w:pPr>
      <w:r w:rsidRPr="005B1409">
        <w:t>a graph showing their rate of opioid prescribing compared to that of their peers</w:t>
      </w:r>
      <w:r w:rsidR="00EE4A6C">
        <w:t>;</w:t>
      </w:r>
    </w:p>
    <w:p w:rsidR="008A4576" w:rsidRPr="005B1409" w:rsidRDefault="008A4576" w:rsidP="00784A72">
      <w:pPr>
        <w:pStyle w:val="ListBullet"/>
      </w:pPr>
      <w:r w:rsidRPr="005B1409">
        <w:t>encouragement to reflect on whether there were opportunities for them to reduce prescription of opioids, wh</w:t>
      </w:r>
      <w:r w:rsidR="00AB240C">
        <w:t>ere clinically appropriate</w:t>
      </w:r>
      <w:r w:rsidR="00EE4A6C">
        <w:t>;</w:t>
      </w:r>
      <w:r w:rsidR="00AB240C">
        <w:t xml:space="preserve"> and</w:t>
      </w:r>
    </w:p>
    <w:p w:rsidR="008A4576" w:rsidRPr="005B1409" w:rsidRDefault="008A4576" w:rsidP="00784A72">
      <w:pPr>
        <w:pStyle w:val="ListBullet"/>
      </w:pPr>
      <w:r w:rsidRPr="005B1409">
        <w:t>information on the ineffectiveness of opioids for managing persistent non-cancer pain, harms from inappropriate opioid use, options for supporting opioid dependent patients, and links to resources on appropriate prescribing.</w:t>
      </w:r>
    </w:p>
    <w:p w:rsidR="008A4576" w:rsidRPr="005B1409" w:rsidRDefault="008A4576" w:rsidP="00784A72">
      <w:r w:rsidRPr="005B1409">
        <w:t xml:space="preserve">In June 2018, letters were sent to </w:t>
      </w:r>
      <w:r w:rsidR="00EE4A6C">
        <w:t xml:space="preserve">a treatment group of </w:t>
      </w:r>
      <w:r w:rsidRPr="005B1409">
        <w:t>4,679 GPs who were in the top 20 percent of prescribers of opioids. Their prescribing rate over the following 12 months was then compared with a control group of 1,178 similarly high prescribers of opioids, who did not receive the letter. This project took place within broader changes to the regulation of opioid medications in Australia, and the inclusion of the control group ensures that only the effect of the letter is measured.</w:t>
      </w:r>
    </w:p>
    <w:p w:rsidR="008A4576" w:rsidRPr="005B1409" w:rsidRDefault="008A4576" w:rsidP="00784A72">
      <w:r w:rsidRPr="005B1409">
        <w:t>As opioids are often required to manage pain in palliative care settings, palliative care specific Pharmaceutical Benefits Scheme (PBS) items were excluded when calculating GP prescribing rates. However, some GPs prescribe opioids for palliative care patients using general PBS items, and these prescriptions were unable to be excluded. In recognition of this, the letter also included an acknowledgement that the GP’s prescribing may be appropriate for their patient group (e.g. if they treat palliative care patients). Similarly, data was not included for GP consultations occurring in Residential Aged Care Facilities.</w:t>
      </w:r>
    </w:p>
    <w:p w:rsidR="008A4576" w:rsidRPr="005B1409" w:rsidRDefault="008A4576" w:rsidP="00784A72">
      <w:r w:rsidRPr="005B1409">
        <w:t xml:space="preserve">Further details on the trial design and statistical analyses are at </w:t>
      </w:r>
      <w:hyperlink w:anchor="_Appendix_B_–" w:history="1">
        <w:r w:rsidRPr="00AB240C">
          <w:rPr>
            <w:rStyle w:val="Hyperlink"/>
          </w:rPr>
          <w:t>Appendix B</w:t>
        </w:r>
      </w:hyperlink>
      <w:r w:rsidRPr="005B1409">
        <w:t>.</w:t>
      </w:r>
    </w:p>
    <w:p w:rsidR="008A4576" w:rsidRPr="005B1409" w:rsidRDefault="008A4576" w:rsidP="00784A72">
      <w:r w:rsidRPr="005B1409">
        <w:br w:type="page"/>
      </w:r>
    </w:p>
    <w:p w:rsidR="008A4576" w:rsidRPr="005B1409" w:rsidRDefault="008A4576" w:rsidP="00784A72">
      <w:pPr>
        <w:sectPr w:rsidR="008A4576" w:rsidRPr="005B1409" w:rsidSect="008E0380">
          <w:footerReference w:type="default" r:id="rId26"/>
          <w:footnotePr>
            <w:numFmt w:val="lowerLetter"/>
          </w:footnotePr>
          <w:endnotePr>
            <w:numFmt w:val="decimal"/>
          </w:endnotePr>
          <w:type w:val="oddPage"/>
          <w:pgSz w:w="11906" w:h="16838"/>
          <w:pgMar w:top="1701" w:right="1418" w:bottom="1418" w:left="1418" w:header="709" w:footer="709" w:gutter="0"/>
          <w:pgNumType w:start="2"/>
          <w:cols w:space="708"/>
          <w:docGrid w:linePitch="360"/>
        </w:sectPr>
      </w:pPr>
    </w:p>
    <w:p w:rsidR="008A4576" w:rsidRPr="005B1409" w:rsidRDefault="002E61B7" w:rsidP="00DB0BA6">
      <w:pPr>
        <w:pStyle w:val="Heading2"/>
      </w:pPr>
      <w:bookmarkStart w:id="2" w:name="_Toc68860044"/>
      <w:r w:rsidRPr="005B1409">
        <w:lastRenderedPageBreak/>
        <w:t>Behavioural Insights p</w:t>
      </w:r>
      <w:r w:rsidR="008A4576" w:rsidRPr="005B1409">
        <w:t>rinciples</w:t>
      </w:r>
      <w:bookmarkEnd w:id="2"/>
    </w:p>
    <w:p w:rsidR="008A4576" w:rsidRPr="005B1409" w:rsidRDefault="008A4576" w:rsidP="00784A72">
      <w:r w:rsidRPr="005B1409">
        <w:t>In seeking to best support GPs to reduce their prescribing of opioids where clinically appropriate, the letter was designed around behavioural insights principles from the EAST framework, which recommends making desired behaviours easy, attractive, social and timely (EAST):</w:t>
      </w:r>
      <w:r w:rsidRPr="005B1409">
        <w:rPr>
          <w:rStyle w:val="StyleEndnoteReference"/>
        </w:rPr>
        <w:endnoteReference w:id="10"/>
      </w:r>
    </w:p>
    <w:p w:rsidR="008A4576" w:rsidRPr="005B1409" w:rsidRDefault="008A4576" w:rsidP="00AB240C">
      <w:pPr>
        <w:jc w:val="center"/>
      </w:pPr>
      <w:r w:rsidRPr="005B1409">
        <w:rPr>
          <w:noProof/>
          <w:lang w:eastAsia="en-AU"/>
        </w:rPr>
        <w:drawing>
          <wp:inline distT="0" distB="0" distL="0" distR="0" wp14:anchorId="0F428F67" wp14:editId="2B35A206">
            <wp:extent cx="3987165" cy="2710381"/>
            <wp:effectExtent l="0" t="0" r="0" b="0"/>
            <wp:docPr id="6" name="Picture 6" descr="This is a pictorial image of the EAST principles. EAST is short for Easy, Attractive, Social, Tim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7749" cy="2717576"/>
                    </a:xfrm>
                    <a:prstGeom prst="rect">
                      <a:avLst/>
                    </a:prstGeom>
                    <a:noFill/>
                  </pic:spPr>
                </pic:pic>
              </a:graphicData>
            </a:graphic>
          </wp:inline>
        </w:drawing>
      </w:r>
    </w:p>
    <w:p w:rsidR="008A4576" w:rsidRPr="005E67B5" w:rsidRDefault="003227F9" w:rsidP="005E67B5">
      <w:pPr>
        <w:jc w:val="center"/>
        <w:rPr>
          <w:sz w:val="18"/>
          <w:szCs w:val="18"/>
        </w:rPr>
      </w:pPr>
      <w:r w:rsidRPr="005E67B5">
        <w:rPr>
          <w:sz w:val="18"/>
          <w:szCs w:val="18"/>
        </w:rPr>
        <w:t>EAST image reproduced with permission from the Behavioural Insights Team</w:t>
      </w:r>
    </w:p>
    <w:p w:rsidR="008A4576" w:rsidRPr="005B1409" w:rsidRDefault="00562648" w:rsidP="00784A72">
      <w:pPr>
        <w:sectPr w:rsidR="008A4576" w:rsidRPr="005B1409" w:rsidSect="00205A93">
          <w:footnotePr>
            <w:numFmt w:val="lowerLetter"/>
          </w:footnotePr>
          <w:endnotePr>
            <w:numFmt w:val="decimal"/>
          </w:endnotePr>
          <w:pgSz w:w="11906" w:h="16838"/>
          <w:pgMar w:top="1701" w:right="1418" w:bottom="1418" w:left="1418" w:header="709" w:footer="709" w:gutter="0"/>
          <w:cols w:space="708"/>
          <w:docGrid w:linePitch="360"/>
        </w:sectPr>
      </w:pPr>
      <w:r w:rsidRPr="005B1409">
        <w:rPr>
          <w:noProof/>
          <w:lang w:eastAsia="en-AU"/>
        </w:rPr>
        <w:drawing>
          <wp:inline distT="0" distB="0" distL="0" distR="0" wp14:anchorId="73AD1F09" wp14:editId="1B0A6506">
            <wp:extent cx="5759450" cy="2526665"/>
            <wp:effectExtent l="0" t="0" r="0" b="6985"/>
            <wp:docPr id="14" name="Picture 14" descr="Examples of applying the EAST principles.  These are listed as: &#10;Easy - Language simple and specific about recommended actions; Personalised prescribing data for review; Links to resources to help GPs reduce their prescribing.&#10;Attractive - Images, colour and bold text to draw attention to important information; Personalised messaging to make it easier to imagine the costs or benefits of a particular action and benefits salient; Consequences of behaviour highlighted by making the costs and benefits saliant. &#10;Social - Peer comparison feedback provided on GP prescribing rates compared to that of peers.&#10;Timely - Recent prescribing data for review; GPs notified that prescribing would continue to be monitored; Prompts for immedi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526665"/>
                    </a:xfrm>
                    <a:prstGeom prst="rect">
                      <a:avLst/>
                    </a:prstGeom>
                  </pic:spPr>
                </pic:pic>
              </a:graphicData>
            </a:graphic>
          </wp:inline>
        </w:drawing>
      </w:r>
    </w:p>
    <w:p w:rsidR="008A4576" w:rsidRPr="005B1409" w:rsidRDefault="008A4576" w:rsidP="00592EB6">
      <w:pPr>
        <w:pageBreakBefore/>
      </w:pPr>
      <w:r w:rsidRPr="005B1409">
        <w:lastRenderedPageBreak/>
        <w:t>In particular, the project drew on the following</w:t>
      </w:r>
      <w:r w:rsidR="00592EB6">
        <w:t xml:space="preserve"> three behavioural </w:t>
      </w:r>
      <w:r w:rsidR="00EE4A6C">
        <w:t>insights principles</w:t>
      </w:r>
      <w:r w:rsidR="00592EB6">
        <w:t>:</w:t>
      </w:r>
    </w:p>
    <w:p w:rsidR="008A4576" w:rsidRPr="005B1409" w:rsidRDefault="008A4576" w:rsidP="00784A72">
      <w:r w:rsidRPr="0036704A">
        <w:rPr>
          <w:rStyle w:val="Strong"/>
        </w:rPr>
        <w:t>Messenger Effect</w:t>
      </w:r>
      <w:r w:rsidR="0036704A">
        <w:t xml:space="preserve"> –</w:t>
      </w:r>
      <w:r w:rsidR="0089709E" w:rsidRPr="005B1409">
        <w:t xml:space="preserve"> </w:t>
      </w:r>
      <w:r w:rsidRPr="005B1409">
        <w:t>Behavioural insights has shown that we are strongly influenced by who communicates information.</w:t>
      </w:r>
      <w:r w:rsidR="00623807" w:rsidRPr="00AB240C">
        <w:rPr>
          <w:rStyle w:val="StyleEndnoteReference"/>
        </w:rPr>
        <w:endnoteReference w:id="11"/>
      </w:r>
      <w:r w:rsidRPr="005B1409">
        <w:t xml:space="preserve"> It was hypothesised that as a medical peer, the Chief Medical Officer would be a highly influential messenger for GPs.</w:t>
      </w:r>
    </w:p>
    <w:p w:rsidR="008A4576" w:rsidRPr="005B1409" w:rsidRDefault="00EE4A6C" w:rsidP="00784A72">
      <w:r w:rsidRPr="00EE4A6C">
        <w:rPr>
          <w:rStyle w:val="Strong"/>
        </w:rPr>
        <w:t>Highlighting Consequences</w:t>
      </w:r>
      <w:r>
        <w:rPr>
          <w:rStyle w:val="Strong"/>
        </w:rPr>
        <w:t xml:space="preserve"> </w:t>
      </w:r>
      <w:r w:rsidR="0036704A">
        <w:t>–</w:t>
      </w:r>
      <w:r w:rsidR="0089709E" w:rsidRPr="005B1409">
        <w:t xml:space="preserve"> </w:t>
      </w:r>
      <w:r w:rsidR="008A4576" w:rsidRPr="005B1409">
        <w:t>The letter stated the potential negative consequences of continuing to prescribe opioids at a high rate – the potential harm to patients and referral to the Practitioner Review Program.</w:t>
      </w:r>
      <w:r w:rsidR="00623807" w:rsidRPr="00AB240C">
        <w:rPr>
          <w:rStyle w:val="StyleEndnoteReference"/>
        </w:rPr>
        <w:footnoteReference w:id="2"/>
      </w:r>
      <w:r w:rsidR="00BB351C" w:rsidRPr="00BB351C">
        <w:rPr>
          <w:rStyle w:val="EndnoteReference"/>
          <w:b/>
          <w:bCs/>
        </w:rPr>
        <w:t xml:space="preserve"> </w:t>
      </w:r>
      <w:r w:rsidR="00BB351C">
        <w:rPr>
          <w:rStyle w:val="EndnoteReference"/>
          <w:b/>
          <w:bCs/>
        </w:rPr>
        <w:endnoteReference w:id="12"/>
      </w:r>
    </w:p>
    <w:p w:rsidR="008A4576" w:rsidRPr="005B1409" w:rsidRDefault="008A4576" w:rsidP="00784A72">
      <w:r w:rsidRPr="0036704A">
        <w:rPr>
          <w:rStyle w:val="Strong"/>
        </w:rPr>
        <w:t>Peer Comparison</w:t>
      </w:r>
      <w:r w:rsidR="0089709E" w:rsidRPr="005B1409">
        <w:t xml:space="preserve"> </w:t>
      </w:r>
      <w:r w:rsidR="0036704A">
        <w:t>–</w:t>
      </w:r>
      <w:r w:rsidR="0089709E" w:rsidRPr="005B1409">
        <w:t xml:space="preserve"> </w:t>
      </w:r>
      <w:r w:rsidRPr="005B1409">
        <w:t>We are highly social and are influenced by the behaviour of others that we see as being similar to ourselves. This behavioural insights principle is the basis for the inclusion of the peer-comparison graphs in the letter.</w:t>
      </w:r>
      <w:r w:rsidR="00EE4A6C">
        <w:rPr>
          <w:rStyle w:val="EndnoteReference"/>
        </w:rPr>
        <w:endnoteReference w:id="13"/>
      </w:r>
      <w:r w:rsidRPr="005B1409">
        <w:t xml:space="preserve"> It was expected that GPs in regional, rural and remote areas would identify less strongly with GPs in metropolitan areas, so percentiles were calculated and presented separately for these two groups of GPs.</w:t>
      </w:r>
    </w:p>
    <w:p w:rsidR="008A4576" w:rsidRPr="005B1409" w:rsidRDefault="008A4576" w:rsidP="002C47E1">
      <w:pPr>
        <w:pStyle w:val="Heading2"/>
      </w:pPr>
      <w:bookmarkStart w:id="3" w:name="_Toc68860045"/>
      <w:r w:rsidRPr="005B1409">
        <w:t>Calculation of standard dose and prescribing rate</w:t>
      </w:r>
      <w:bookmarkEnd w:id="3"/>
    </w:p>
    <w:p w:rsidR="008A4576" w:rsidRPr="005B1409" w:rsidRDefault="008A4576" w:rsidP="00784A72">
      <w:r w:rsidRPr="005B1409">
        <w:t>The analysis compared the prescribing rate (the number of standard doses filled per consultation) for the treatment group and the control group over the 12 months following the letter, controlling for their regional location and their baseline prescribing rate.</w:t>
      </w:r>
    </w:p>
    <w:p w:rsidR="008A4576" w:rsidRPr="005B1409" w:rsidRDefault="000A7ADC" w:rsidP="00592EB6">
      <w:pPr>
        <w:pStyle w:val="Heading4"/>
      </w:pPr>
      <w:r w:rsidRPr="005B1409">
        <w:t>Calculation of standard dose</w:t>
      </w:r>
    </w:p>
    <w:p w:rsidR="008A4576" w:rsidRPr="005B1409" w:rsidRDefault="008A4576" w:rsidP="00784A72">
      <w:r w:rsidRPr="005B1409">
        <w:t xml:space="preserve">For opioid medications, there are different PBS item numbers for the different types </w:t>
      </w:r>
      <w:r w:rsidR="005E67B5">
        <w:t xml:space="preserve">        </w:t>
      </w:r>
      <w:r w:rsidRPr="005B1409">
        <w:t>(e.g. morphine, oxycodone), amounts (in milligrams) and delivery methods (e.g. oral injection). To allow meaningful analysis of prescribing rates, each item was converted to a common scale of measurement – the oral-morphine equivalent dose, or OMED. GP prescribing rates were calculated based on a standard dose of 30mg OMED, allowing prescribing rates to be compared acro</w:t>
      </w:r>
      <w:r w:rsidR="007318C5" w:rsidRPr="005B1409">
        <w:t>ss different types of opioids.</w:t>
      </w:r>
      <w:r w:rsidR="007318C5" w:rsidRPr="00AB240C">
        <w:rPr>
          <w:rStyle w:val="StyleEndnoteReference"/>
        </w:rPr>
        <w:footnoteReference w:id="3"/>
      </w:r>
    </w:p>
    <w:p w:rsidR="00BF40A3" w:rsidRDefault="008A4576" w:rsidP="00784A72">
      <w:r w:rsidRPr="005B1409">
        <w:t>The prescribing rate for each GP was calculated as: Standard Doses / Consultations</w:t>
      </w:r>
      <w:r w:rsidR="00172D2F" w:rsidRPr="005B1409">
        <w:t>.</w:t>
      </w:r>
    </w:p>
    <w:p w:rsidR="008A4576" w:rsidRPr="005B1409" w:rsidRDefault="00BF40A3" w:rsidP="00BF40A3">
      <w:pPr>
        <w:pStyle w:val="Paragraphtext"/>
      </w:pPr>
      <w:r>
        <w:br w:type="page"/>
      </w:r>
    </w:p>
    <w:p w:rsidR="008A4576" w:rsidRPr="00592EB6" w:rsidRDefault="008A4576" w:rsidP="002C47E1">
      <w:pPr>
        <w:pStyle w:val="Heading1"/>
      </w:pPr>
      <w:bookmarkStart w:id="4" w:name="_Toc68860046"/>
      <w:r w:rsidRPr="005B1409">
        <w:lastRenderedPageBreak/>
        <w:t>Results</w:t>
      </w:r>
      <w:bookmarkEnd w:id="4"/>
    </w:p>
    <w:p w:rsidR="00B90643" w:rsidRDefault="008A4576" w:rsidP="00784A72">
      <w:r w:rsidRPr="005B1409">
        <w:t>Overall, the trial resulted in:</w:t>
      </w:r>
    </w:p>
    <w:p w:rsidR="00B8274F" w:rsidRDefault="00B8274F" w:rsidP="00B8274F">
      <w:pPr>
        <w:pStyle w:val="ListParagraph"/>
        <w:numPr>
          <w:ilvl w:val="0"/>
          <w:numId w:val="42"/>
        </w:numPr>
      </w:pPr>
      <w:r>
        <w:t>90,453 fewer scripts filled</w:t>
      </w:r>
    </w:p>
    <w:p w:rsidR="00B8274F" w:rsidRDefault="00B8274F" w:rsidP="00B8274F">
      <w:pPr>
        <w:pStyle w:val="ListParagraph"/>
        <w:numPr>
          <w:ilvl w:val="0"/>
          <w:numId w:val="42"/>
        </w:numPr>
      </w:pPr>
      <w:r>
        <w:t>2,729,729 few</w:t>
      </w:r>
      <w:r w:rsidR="000847F1">
        <w:t>er</w:t>
      </w:r>
      <w:r>
        <w:t xml:space="preserve"> standard doses</w:t>
      </w:r>
    </w:p>
    <w:p w:rsidR="00B8274F" w:rsidRDefault="00B8274F" w:rsidP="00B8274F">
      <w:pPr>
        <w:pStyle w:val="ListParagraph"/>
        <w:numPr>
          <w:ilvl w:val="0"/>
          <w:numId w:val="42"/>
        </w:numPr>
      </w:pPr>
      <w:r>
        <w:t>4% reduction in prescribing rate.</w:t>
      </w:r>
    </w:p>
    <w:p w:rsidR="00A203C9" w:rsidRDefault="008A4576" w:rsidP="00784A72">
      <w:pPr>
        <w:sectPr w:rsidR="00A203C9" w:rsidSect="002C0D5C">
          <w:footnotePr>
            <w:numFmt w:val="lowerLetter"/>
          </w:footnotePr>
          <w:endnotePr>
            <w:numFmt w:val="decimal"/>
          </w:endnotePr>
          <w:type w:val="continuous"/>
          <w:pgSz w:w="11906" w:h="16838"/>
          <w:pgMar w:top="1701" w:right="1418" w:bottom="1418" w:left="1418" w:header="709" w:footer="709" w:gutter="0"/>
          <w:cols w:space="708"/>
          <w:docGrid w:linePitch="360"/>
        </w:sectPr>
      </w:pPr>
      <w:r w:rsidRPr="005B1409">
        <w:t>The graph below</w:t>
      </w:r>
      <w:r w:rsidR="00C203BE">
        <w:t>,</w:t>
      </w:r>
      <w:r w:rsidRPr="005B1409">
        <w:t xml:space="preserve"> of the mean prescribing rate over the 12 months before and the 12 months after the letter was sent</w:t>
      </w:r>
      <w:r w:rsidR="00A208B9">
        <w:t>,</w:t>
      </w:r>
      <w:r w:rsidRPr="005B1409">
        <w:t xml:space="preserve"> shows that GPs who received the letter decreased their prescribing rate compared to those who did not receive the letter:</w:t>
      </w:r>
    </w:p>
    <w:p w:rsidR="00A203C9" w:rsidRPr="00BB71EC" w:rsidRDefault="00A203C9" w:rsidP="000847F1">
      <w:pPr>
        <w:pStyle w:val="Paragraphtext"/>
        <w:shd w:val="clear" w:color="auto" w:fill="F2F2F2" w:themeFill="background1" w:themeFillShade="F2"/>
        <w:spacing w:after="120"/>
        <w:jc w:val="center"/>
        <w:rPr>
          <w:rFonts w:cs="Arial"/>
          <w:szCs w:val="21"/>
        </w:rPr>
      </w:pPr>
      <w:r w:rsidRPr="00BB71EC">
        <w:rPr>
          <w:rFonts w:cs="Arial"/>
          <w:color w:val="211D1E"/>
          <w:szCs w:val="21"/>
          <w:lang w:eastAsia="en-AU"/>
        </w:rPr>
        <w:t>In the year before the letters were sent the prescribing rates for the two groups were almost identical.</w:t>
      </w:r>
    </w:p>
    <w:p w:rsidR="00A203C9" w:rsidRDefault="00A203C9" w:rsidP="000847F1">
      <w:pPr>
        <w:pStyle w:val="Paragraphtext"/>
        <w:shd w:val="clear" w:color="auto" w:fill="CFEAFD"/>
        <w:spacing w:after="120"/>
        <w:jc w:val="center"/>
        <w:sectPr w:rsidR="00A203C9" w:rsidSect="001C04D9">
          <w:footnotePr>
            <w:numFmt w:val="lowerLetter"/>
          </w:footnotePr>
          <w:endnotePr>
            <w:numFmt w:val="decimal"/>
          </w:endnotePr>
          <w:type w:val="continuous"/>
          <w:pgSz w:w="11906" w:h="16838"/>
          <w:pgMar w:top="1701" w:right="1418" w:bottom="1418" w:left="1418" w:header="709" w:footer="709" w:gutter="0"/>
          <w:cols w:num="2" w:space="708"/>
          <w:docGrid w:linePitch="360"/>
        </w:sectPr>
      </w:pPr>
      <w:r w:rsidRPr="00BB71EC">
        <w:rPr>
          <w:rFonts w:cs="Arial"/>
          <w:color w:val="211D1E"/>
          <w:szCs w:val="21"/>
          <w:lang w:eastAsia="en-AU"/>
        </w:rPr>
        <w:t>After the letters were sent the two groups diverge. The treatment group is consistently lower over the following 12 month</w:t>
      </w:r>
      <w:r w:rsidR="00DC196D">
        <w:rPr>
          <w:rFonts w:cs="Arial"/>
          <w:color w:val="211D1E"/>
          <w:szCs w:val="21"/>
          <w:lang w:eastAsia="en-AU"/>
        </w:rPr>
        <w:t>s.</w:t>
      </w:r>
    </w:p>
    <w:p w:rsidR="008A4576" w:rsidRPr="005B1409" w:rsidRDefault="00D44D4E" w:rsidP="00784A72">
      <w:r>
        <w:rPr>
          <w:noProof/>
          <w:lang w:eastAsia="en-AU"/>
        </w:rPr>
        <w:drawing>
          <wp:inline distT="0" distB="0" distL="0" distR="0">
            <wp:extent cx="5759450" cy="4042864"/>
            <wp:effectExtent l="0" t="0" r="0" b="0"/>
            <wp:docPr id="9" name="Picture 9" descr="Comparison line graph. Showing the mean standard dose per consultation for each month for GPs who received the letter and GPs who did not receive a letter. 12 months leading up to the letter being sent shows the line of both groups being almost identical. Immediately after the letter was sent out in June 2018, there is a clear gap between both groups. The mean standard dose per consultation of GPs who received the letter is significantly lower than GPs who did not receive the letter. This gap is maintained for the duration of the 12 months after the letter was 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cr\AppData\Local\Microsoft\Windows\INetCache\Content.Word\Graph 1 - opioid report-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4042864"/>
                    </a:xfrm>
                    <a:prstGeom prst="rect">
                      <a:avLst/>
                    </a:prstGeom>
                    <a:noFill/>
                    <a:ln>
                      <a:noFill/>
                    </a:ln>
                  </pic:spPr>
                </pic:pic>
              </a:graphicData>
            </a:graphic>
          </wp:inline>
        </w:drawing>
      </w:r>
    </w:p>
    <w:p w:rsidR="008A4576" w:rsidRPr="00493388" w:rsidRDefault="008A4576" w:rsidP="00493388">
      <w:r w:rsidRPr="00493388">
        <w:t>At each month (after the third month) after the letter was sent, the differences between the two groups are statistically significant, when controlling for their baseline prescribing.</w:t>
      </w:r>
    </w:p>
    <w:p w:rsidR="008A4576" w:rsidRPr="005B1409" w:rsidRDefault="008A4576" w:rsidP="00784A72">
      <w:pPr>
        <w:sectPr w:rsidR="008A4576" w:rsidRPr="005B1409" w:rsidSect="002C0D5C">
          <w:footnotePr>
            <w:numFmt w:val="lowerLetter"/>
          </w:footnotePr>
          <w:endnotePr>
            <w:numFmt w:val="decimal"/>
          </w:endnotePr>
          <w:type w:val="continuous"/>
          <w:pgSz w:w="11906" w:h="16838"/>
          <w:pgMar w:top="1701" w:right="1418" w:bottom="1418" w:left="1418" w:header="709" w:footer="709" w:gutter="0"/>
          <w:cols w:space="708"/>
          <w:docGrid w:linePitch="360"/>
        </w:sectPr>
      </w:pPr>
    </w:p>
    <w:p w:rsidR="008A4576" w:rsidRPr="005B1409" w:rsidRDefault="008A4576" w:rsidP="00592EB6">
      <w:pPr>
        <w:pStyle w:val="Heading3"/>
      </w:pPr>
      <w:bookmarkStart w:id="5" w:name="_Toc68860047"/>
      <w:r w:rsidRPr="005B1409">
        <w:lastRenderedPageBreak/>
        <w:t>Soc</w:t>
      </w:r>
      <w:r w:rsidR="000847F1">
        <w:t>io</w:t>
      </w:r>
      <w:r w:rsidR="000A7ADC" w:rsidRPr="005B1409">
        <w:t>-demographic characteristics</w:t>
      </w:r>
      <w:bookmarkEnd w:id="5"/>
    </w:p>
    <w:p w:rsidR="008A4576" w:rsidRPr="005B1409" w:rsidRDefault="008A4576" w:rsidP="00784A72">
      <w:r w:rsidRPr="005B1409">
        <w:t>The graph below of prescribing rates, by the geographic location of the GPs’ primary practice for the treatment and control groups</w:t>
      </w:r>
      <w:r w:rsidR="00A208B9">
        <w:t>,</w:t>
      </w:r>
      <w:r w:rsidRPr="005B1409">
        <w:t xml:space="preserve"> shows the variation by practice location.</w:t>
      </w:r>
    </w:p>
    <w:p w:rsidR="008A4576" w:rsidRPr="005B1409" w:rsidRDefault="00D44D4E" w:rsidP="00784A72">
      <w:r>
        <w:rPr>
          <w:noProof/>
          <w:lang w:eastAsia="en-AU"/>
        </w:rPr>
        <w:drawing>
          <wp:inline distT="0" distB="0" distL="0" distR="0">
            <wp:extent cx="5808235" cy="3753134"/>
            <wp:effectExtent l="0" t="0" r="0" b="0"/>
            <wp:docPr id="10" name="Picture 10" descr="Line graph of prescribing rates, by the geographic location of the GPs’ primary practice for the treatment and control groups which shows the variation by practic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dcr\AppData\Local\Microsoft\Windows\INetCache\Content.Word\Graph 2 - opioid report-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3232" cy="3775748"/>
                    </a:xfrm>
                    <a:prstGeom prst="rect">
                      <a:avLst/>
                    </a:prstGeom>
                    <a:noFill/>
                    <a:ln>
                      <a:noFill/>
                    </a:ln>
                  </pic:spPr>
                </pic:pic>
              </a:graphicData>
            </a:graphic>
          </wp:inline>
        </w:drawing>
      </w:r>
    </w:p>
    <w:p w:rsidR="00F40824" w:rsidRDefault="00F40824" w:rsidP="00616CF3">
      <w:pPr>
        <w:pStyle w:val="Boxtype"/>
        <w:pBdr>
          <w:bottom w:val="single" w:sz="18" w:space="1" w:color="808080" w:themeColor="background1" w:themeShade="80"/>
        </w:pBdr>
      </w:pPr>
      <w:r>
        <w:t xml:space="preserve">GPs in </w:t>
      </w:r>
      <w:r w:rsidRPr="00F40824">
        <w:rPr>
          <w:rStyle w:val="Strong"/>
        </w:rPr>
        <w:t>regional, rural and remote areas</w:t>
      </w:r>
      <w:r>
        <w:t xml:space="preserve"> have a higher rate of prescribing. There was no significant difference between the treatment and control groups over the 12 months following the intervention.</w:t>
      </w:r>
    </w:p>
    <w:p w:rsidR="00F40824" w:rsidRDefault="00F40824" w:rsidP="00616CF3">
      <w:pPr>
        <w:pStyle w:val="Boxtype"/>
        <w:pBdr>
          <w:bottom w:val="single" w:sz="18" w:space="1" w:color="808080" w:themeColor="background1" w:themeShade="80"/>
        </w:pBdr>
      </w:pPr>
      <w:r>
        <w:t>Over the 12 months after the letter was sent, GPs in metropolitan areas who received the letter prescribed 4.7% fewer scripts, 4.4% fewer standard doses, and their prescribing rate was 5.7% lower than those who did not receive the letter. All of these differences were significant.</w:t>
      </w:r>
    </w:p>
    <w:p w:rsidR="004E192C" w:rsidRDefault="004E192C" w:rsidP="004E192C">
      <w:r w:rsidRPr="005B1409">
        <w:t>Results also varied by GP gender and age. Male GPs and GPs aged 55 years</w:t>
      </w:r>
      <w:r w:rsidR="00E9005B">
        <w:t xml:space="preserve"> and o</w:t>
      </w:r>
      <w:r w:rsidR="009D0046">
        <w:t>ver</w:t>
      </w:r>
      <w:r w:rsidRPr="005B1409">
        <w:t xml:space="preserve"> reduced their prescribing after receiving the letter. However, female GPs and those aged </w:t>
      </w:r>
      <w:r w:rsidR="00E9005B">
        <w:t xml:space="preserve">under </w:t>
      </w:r>
      <w:r w:rsidRPr="005B1409">
        <w:t>55 years did not significantly change their prescribing:</w:t>
      </w:r>
    </w:p>
    <w:tbl>
      <w:tblPr>
        <w:tblStyle w:val="DepartmentofHealthtable"/>
        <w:tblW w:w="9634" w:type="dxa"/>
        <w:tblLayout w:type="fixed"/>
        <w:tblLook w:val="04A0" w:firstRow="1" w:lastRow="0" w:firstColumn="1" w:lastColumn="0" w:noHBand="0" w:noVBand="1"/>
        <w:tblDescription w:val="Change in prescribing in the treatment group over 12 months compared to the no-letter control group for females, males, GPs aged under 55 years and GPs aged over 55 years."/>
      </w:tblPr>
      <w:tblGrid>
        <w:gridCol w:w="1980"/>
        <w:gridCol w:w="1812"/>
        <w:gridCol w:w="1802"/>
        <w:gridCol w:w="1801"/>
        <w:gridCol w:w="2239"/>
      </w:tblGrid>
      <w:tr w:rsidR="004505B4" w:rsidRPr="00D223EB" w:rsidTr="006B175B">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9634" w:type="dxa"/>
            <w:gridSpan w:val="5"/>
            <w:noWrap/>
          </w:tcPr>
          <w:p w:rsidR="004505B4" w:rsidRPr="004505B4" w:rsidRDefault="004505B4" w:rsidP="006B175B">
            <w:pPr>
              <w:pStyle w:val="Tablehead"/>
              <w:jc w:val="right"/>
            </w:pPr>
            <w:r w:rsidRPr="006B175B">
              <w:rPr>
                <w:rFonts w:cs="Times New Roman"/>
                <w:b/>
                <w:sz w:val="22"/>
              </w:rPr>
              <w:t>Change in treatment group compared to the no-letter control group</w:t>
            </w:r>
            <w:r w:rsidR="00C66849">
              <w:rPr>
                <w:rFonts w:cs="Times New Roman"/>
                <w:b/>
                <w:sz w:val="22"/>
              </w:rPr>
              <w:t xml:space="preserve"> over 12 months</w:t>
            </w:r>
            <w:r w:rsidRPr="006B175B">
              <w:rPr>
                <w:rFonts w:cs="Times New Roman"/>
                <w:b/>
                <w:sz w:val="22"/>
              </w:rPr>
              <w:t xml:space="preserve"> (%)</w:t>
            </w:r>
          </w:p>
        </w:tc>
      </w:tr>
      <w:tr w:rsidR="008A4576" w:rsidRPr="00D223EB" w:rsidTr="00616CF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980" w:type="dxa"/>
            <w:shd w:val="clear" w:color="auto" w:fill="3F4A75" w:themeFill="text2"/>
            <w:noWrap/>
          </w:tcPr>
          <w:p w:rsidR="008A4576" w:rsidRPr="006B175B" w:rsidRDefault="008A4576" w:rsidP="00784A72">
            <w:pPr>
              <w:rPr>
                <w:color w:val="FFFFFF" w:themeColor="background1"/>
              </w:rPr>
            </w:pPr>
          </w:p>
        </w:tc>
        <w:tc>
          <w:tcPr>
            <w:tcW w:w="1812" w:type="dxa"/>
            <w:shd w:val="clear" w:color="auto" w:fill="3F4A75" w:themeFill="text2"/>
          </w:tcPr>
          <w:p w:rsidR="008A4576" w:rsidRPr="006B175B" w:rsidRDefault="008A4576" w:rsidP="00784A72">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B175B">
              <w:rPr>
                <w:b/>
                <w:color w:val="FFFFFF" w:themeColor="background1"/>
              </w:rPr>
              <w:t>Scripts</w:t>
            </w:r>
          </w:p>
        </w:tc>
        <w:tc>
          <w:tcPr>
            <w:tcW w:w="1802" w:type="dxa"/>
            <w:shd w:val="clear" w:color="auto" w:fill="3F4A75" w:themeFill="text2"/>
          </w:tcPr>
          <w:p w:rsidR="008A4576" w:rsidRPr="006B175B" w:rsidRDefault="008A4576" w:rsidP="00784A72">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B175B">
              <w:rPr>
                <w:b/>
                <w:color w:val="FFFFFF" w:themeColor="background1"/>
              </w:rPr>
              <w:t>Standard doses</w:t>
            </w:r>
          </w:p>
        </w:tc>
        <w:tc>
          <w:tcPr>
            <w:tcW w:w="1801" w:type="dxa"/>
            <w:shd w:val="clear" w:color="auto" w:fill="3F4A75" w:themeFill="text2"/>
          </w:tcPr>
          <w:p w:rsidR="008A4576" w:rsidRPr="006B175B" w:rsidRDefault="008A4576" w:rsidP="00784A72">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B175B">
              <w:rPr>
                <w:b/>
                <w:color w:val="FFFFFF" w:themeColor="background1"/>
              </w:rPr>
              <w:t>Prescribing rate</w:t>
            </w:r>
          </w:p>
        </w:tc>
        <w:tc>
          <w:tcPr>
            <w:tcW w:w="2239" w:type="dxa"/>
            <w:shd w:val="clear" w:color="auto" w:fill="3F4A75" w:themeFill="text2"/>
          </w:tcPr>
          <w:p w:rsidR="008A4576" w:rsidRPr="006B175B" w:rsidRDefault="008A4576" w:rsidP="00784A72">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B175B">
              <w:rPr>
                <w:b/>
                <w:color w:val="FFFFFF" w:themeColor="background1"/>
              </w:rPr>
              <w:t>Number of observations</w:t>
            </w:r>
          </w:p>
        </w:tc>
      </w:tr>
      <w:tr w:rsidR="008A4576" w:rsidRPr="00D223EB" w:rsidTr="00616CF3">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980" w:type="dxa"/>
            <w:noWrap/>
          </w:tcPr>
          <w:p w:rsidR="008A4576" w:rsidRPr="006B175B" w:rsidRDefault="008A4576" w:rsidP="00784A72">
            <w:pPr>
              <w:rPr>
                <w:b w:val="0"/>
              </w:rPr>
            </w:pPr>
            <w:r w:rsidRPr="006B175B">
              <w:rPr>
                <w:b w:val="0"/>
              </w:rPr>
              <w:t>Females</w:t>
            </w:r>
          </w:p>
        </w:tc>
        <w:tc>
          <w:tcPr>
            <w:tcW w:w="1812" w:type="dxa"/>
          </w:tcPr>
          <w:p w:rsidR="008A4576" w:rsidRPr="005B1409" w:rsidRDefault="008A4576" w:rsidP="0053477E">
            <w:pPr>
              <w:pStyle w:val="Tabletext"/>
              <w:cnfStyle w:val="000000010000" w:firstRow="0" w:lastRow="0" w:firstColumn="0" w:lastColumn="0" w:oddVBand="0" w:evenVBand="0" w:oddHBand="0" w:evenHBand="1" w:firstRowFirstColumn="0" w:firstRowLastColumn="0" w:lastRowFirstColumn="0" w:lastRowLastColumn="0"/>
            </w:pPr>
            <w:r w:rsidRPr="005B1409">
              <w:t>n.s.</w:t>
            </w:r>
          </w:p>
        </w:tc>
        <w:tc>
          <w:tcPr>
            <w:tcW w:w="1802" w:type="dxa"/>
          </w:tcPr>
          <w:p w:rsidR="008A4576" w:rsidRPr="005B1409" w:rsidRDefault="008A4576" w:rsidP="0053477E">
            <w:pPr>
              <w:pStyle w:val="Tabletext"/>
              <w:cnfStyle w:val="000000010000" w:firstRow="0" w:lastRow="0" w:firstColumn="0" w:lastColumn="0" w:oddVBand="0" w:evenVBand="0" w:oddHBand="0" w:evenHBand="1" w:firstRowFirstColumn="0" w:firstRowLastColumn="0" w:lastRowFirstColumn="0" w:lastRowLastColumn="0"/>
            </w:pPr>
            <w:r w:rsidRPr="005B1409">
              <w:t>n.s.</w:t>
            </w:r>
          </w:p>
        </w:tc>
        <w:tc>
          <w:tcPr>
            <w:tcW w:w="1801" w:type="dxa"/>
          </w:tcPr>
          <w:p w:rsidR="008A4576" w:rsidRPr="005B1409" w:rsidRDefault="008A4576" w:rsidP="0053477E">
            <w:pPr>
              <w:pStyle w:val="Tabletext"/>
              <w:cnfStyle w:val="000000010000" w:firstRow="0" w:lastRow="0" w:firstColumn="0" w:lastColumn="0" w:oddVBand="0" w:evenVBand="0" w:oddHBand="0" w:evenHBand="1" w:firstRowFirstColumn="0" w:firstRowLastColumn="0" w:lastRowFirstColumn="0" w:lastRowLastColumn="0"/>
            </w:pPr>
            <w:r w:rsidRPr="005B1409">
              <w:t>n.s.</w:t>
            </w:r>
          </w:p>
        </w:tc>
        <w:tc>
          <w:tcPr>
            <w:tcW w:w="2239" w:type="dxa"/>
          </w:tcPr>
          <w:p w:rsidR="008A4576" w:rsidRPr="005B1409" w:rsidRDefault="008A4576" w:rsidP="0053477E">
            <w:pPr>
              <w:pStyle w:val="Tabletext"/>
              <w:cnfStyle w:val="000000010000" w:firstRow="0" w:lastRow="0" w:firstColumn="0" w:lastColumn="0" w:oddVBand="0" w:evenVBand="0" w:oddHBand="0" w:evenHBand="1" w:firstRowFirstColumn="0" w:firstRowLastColumn="0" w:lastRowFirstColumn="0" w:lastRowLastColumn="0"/>
            </w:pPr>
            <w:r w:rsidRPr="005B1409">
              <w:t>1,720</w:t>
            </w:r>
          </w:p>
        </w:tc>
      </w:tr>
      <w:tr w:rsidR="008A4576" w:rsidRPr="00D223EB" w:rsidTr="00616CF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980" w:type="dxa"/>
            <w:noWrap/>
          </w:tcPr>
          <w:p w:rsidR="008A4576" w:rsidRPr="006B175B" w:rsidRDefault="008A4576" w:rsidP="00784A72">
            <w:pPr>
              <w:rPr>
                <w:b w:val="0"/>
              </w:rPr>
            </w:pPr>
            <w:r w:rsidRPr="006B175B">
              <w:rPr>
                <w:b w:val="0"/>
              </w:rPr>
              <w:t>Males</w:t>
            </w:r>
          </w:p>
        </w:tc>
        <w:tc>
          <w:tcPr>
            <w:tcW w:w="1812" w:type="dxa"/>
          </w:tcPr>
          <w:p w:rsidR="008A4576" w:rsidRPr="005B1409" w:rsidRDefault="008A4576" w:rsidP="0053477E">
            <w:pPr>
              <w:pStyle w:val="Tabletext"/>
              <w:cnfStyle w:val="000000100000" w:firstRow="0" w:lastRow="0" w:firstColumn="0" w:lastColumn="0" w:oddVBand="0" w:evenVBand="0" w:oddHBand="1" w:evenHBand="0" w:firstRowFirstColumn="0" w:firstRowLastColumn="0" w:lastRowFirstColumn="0" w:lastRowLastColumn="0"/>
            </w:pPr>
            <w:r w:rsidRPr="005B1409">
              <w:t>-5.40**</w:t>
            </w:r>
          </w:p>
        </w:tc>
        <w:tc>
          <w:tcPr>
            <w:tcW w:w="1802" w:type="dxa"/>
          </w:tcPr>
          <w:p w:rsidR="008A4576" w:rsidRPr="005B1409" w:rsidRDefault="008A4576" w:rsidP="0053477E">
            <w:pPr>
              <w:pStyle w:val="Tabletext"/>
              <w:cnfStyle w:val="000000100000" w:firstRow="0" w:lastRow="0" w:firstColumn="0" w:lastColumn="0" w:oddVBand="0" w:evenVBand="0" w:oddHBand="1" w:evenHBand="0" w:firstRowFirstColumn="0" w:firstRowLastColumn="0" w:lastRowFirstColumn="0" w:lastRowLastColumn="0"/>
            </w:pPr>
            <w:r w:rsidRPr="005B1409">
              <w:t>-5.69**</w:t>
            </w:r>
          </w:p>
        </w:tc>
        <w:tc>
          <w:tcPr>
            <w:tcW w:w="1801" w:type="dxa"/>
          </w:tcPr>
          <w:p w:rsidR="008A4576" w:rsidRPr="005B1409" w:rsidRDefault="008A4576" w:rsidP="0053477E">
            <w:pPr>
              <w:pStyle w:val="Tabletext"/>
              <w:cnfStyle w:val="000000100000" w:firstRow="0" w:lastRow="0" w:firstColumn="0" w:lastColumn="0" w:oddVBand="0" w:evenVBand="0" w:oddHBand="1" w:evenHBand="0" w:firstRowFirstColumn="0" w:firstRowLastColumn="0" w:lastRowFirstColumn="0" w:lastRowLastColumn="0"/>
            </w:pPr>
            <w:r w:rsidRPr="005B1409">
              <w:t>-6.53**</w:t>
            </w:r>
          </w:p>
        </w:tc>
        <w:tc>
          <w:tcPr>
            <w:tcW w:w="2239" w:type="dxa"/>
          </w:tcPr>
          <w:p w:rsidR="008A4576" w:rsidRPr="005B1409" w:rsidRDefault="008A4576" w:rsidP="0053477E">
            <w:pPr>
              <w:pStyle w:val="Tabletext"/>
              <w:cnfStyle w:val="000000100000" w:firstRow="0" w:lastRow="0" w:firstColumn="0" w:lastColumn="0" w:oddVBand="0" w:evenVBand="0" w:oddHBand="1" w:evenHBand="0" w:firstRowFirstColumn="0" w:firstRowLastColumn="0" w:lastRowFirstColumn="0" w:lastRowLastColumn="0"/>
            </w:pPr>
            <w:r w:rsidRPr="005B1409">
              <w:t>3,742</w:t>
            </w:r>
          </w:p>
        </w:tc>
      </w:tr>
      <w:tr w:rsidR="008A4576" w:rsidRPr="00D223EB" w:rsidTr="00616CF3">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980" w:type="dxa"/>
            <w:noWrap/>
          </w:tcPr>
          <w:p w:rsidR="008A4576" w:rsidRPr="006B175B" w:rsidRDefault="008A4576" w:rsidP="00784A72">
            <w:pPr>
              <w:rPr>
                <w:b w:val="0"/>
              </w:rPr>
            </w:pPr>
            <w:r w:rsidRPr="006B175B">
              <w:rPr>
                <w:b w:val="0"/>
              </w:rPr>
              <w:t>Aged under 55 years</w:t>
            </w:r>
          </w:p>
        </w:tc>
        <w:tc>
          <w:tcPr>
            <w:tcW w:w="1812" w:type="dxa"/>
          </w:tcPr>
          <w:p w:rsidR="008A4576" w:rsidRPr="005B1409" w:rsidRDefault="008A4576" w:rsidP="0053477E">
            <w:pPr>
              <w:pStyle w:val="Tabletext"/>
              <w:cnfStyle w:val="000000010000" w:firstRow="0" w:lastRow="0" w:firstColumn="0" w:lastColumn="0" w:oddVBand="0" w:evenVBand="0" w:oddHBand="0" w:evenHBand="1" w:firstRowFirstColumn="0" w:firstRowLastColumn="0" w:lastRowFirstColumn="0" w:lastRowLastColumn="0"/>
            </w:pPr>
            <w:r w:rsidRPr="005B1409">
              <w:t>n.s.</w:t>
            </w:r>
          </w:p>
        </w:tc>
        <w:tc>
          <w:tcPr>
            <w:tcW w:w="1802" w:type="dxa"/>
          </w:tcPr>
          <w:p w:rsidR="008A4576" w:rsidRPr="005B1409" w:rsidRDefault="008A4576" w:rsidP="0053477E">
            <w:pPr>
              <w:pStyle w:val="Tabletext"/>
              <w:cnfStyle w:val="000000010000" w:firstRow="0" w:lastRow="0" w:firstColumn="0" w:lastColumn="0" w:oddVBand="0" w:evenVBand="0" w:oddHBand="0" w:evenHBand="1" w:firstRowFirstColumn="0" w:firstRowLastColumn="0" w:lastRowFirstColumn="0" w:lastRowLastColumn="0"/>
            </w:pPr>
            <w:r w:rsidRPr="005B1409">
              <w:t>n.s.</w:t>
            </w:r>
          </w:p>
        </w:tc>
        <w:tc>
          <w:tcPr>
            <w:tcW w:w="1801" w:type="dxa"/>
          </w:tcPr>
          <w:p w:rsidR="008A4576" w:rsidRPr="005B1409" w:rsidRDefault="008A4576" w:rsidP="0053477E">
            <w:pPr>
              <w:pStyle w:val="Tabletext"/>
              <w:cnfStyle w:val="000000010000" w:firstRow="0" w:lastRow="0" w:firstColumn="0" w:lastColumn="0" w:oddVBand="0" w:evenVBand="0" w:oddHBand="0" w:evenHBand="1" w:firstRowFirstColumn="0" w:firstRowLastColumn="0" w:lastRowFirstColumn="0" w:lastRowLastColumn="0"/>
            </w:pPr>
            <w:r w:rsidRPr="005B1409">
              <w:t>n.s.</w:t>
            </w:r>
          </w:p>
        </w:tc>
        <w:tc>
          <w:tcPr>
            <w:tcW w:w="2239" w:type="dxa"/>
          </w:tcPr>
          <w:p w:rsidR="008A4576" w:rsidRPr="005B1409" w:rsidRDefault="008A4576" w:rsidP="0053477E">
            <w:pPr>
              <w:pStyle w:val="Tabletext"/>
              <w:cnfStyle w:val="000000010000" w:firstRow="0" w:lastRow="0" w:firstColumn="0" w:lastColumn="0" w:oddVBand="0" w:evenVBand="0" w:oddHBand="0" w:evenHBand="1" w:firstRowFirstColumn="0" w:firstRowLastColumn="0" w:lastRowFirstColumn="0" w:lastRowLastColumn="0"/>
            </w:pPr>
            <w:r w:rsidRPr="005B1409">
              <w:t>2,755</w:t>
            </w:r>
          </w:p>
        </w:tc>
      </w:tr>
      <w:tr w:rsidR="008A4576" w:rsidRPr="00D223EB" w:rsidTr="00616CF3">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980" w:type="dxa"/>
            <w:noWrap/>
          </w:tcPr>
          <w:p w:rsidR="008A4576" w:rsidRPr="006B175B" w:rsidRDefault="008A4576" w:rsidP="00784A72">
            <w:pPr>
              <w:rPr>
                <w:b w:val="0"/>
              </w:rPr>
            </w:pPr>
            <w:r w:rsidRPr="006B175B">
              <w:rPr>
                <w:b w:val="0"/>
              </w:rPr>
              <w:t>Aged 55 and over</w:t>
            </w:r>
          </w:p>
        </w:tc>
        <w:tc>
          <w:tcPr>
            <w:tcW w:w="1812" w:type="dxa"/>
          </w:tcPr>
          <w:p w:rsidR="008A4576" w:rsidRPr="005B1409" w:rsidRDefault="008A4576" w:rsidP="0053477E">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5B1409">
              <w:t>-5.69**</w:t>
            </w:r>
          </w:p>
        </w:tc>
        <w:tc>
          <w:tcPr>
            <w:tcW w:w="1802" w:type="dxa"/>
          </w:tcPr>
          <w:p w:rsidR="008A4576" w:rsidRPr="005B1409" w:rsidRDefault="008A4576" w:rsidP="0053477E">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5B1409">
              <w:t>-5.16**</w:t>
            </w:r>
          </w:p>
        </w:tc>
        <w:tc>
          <w:tcPr>
            <w:tcW w:w="1801" w:type="dxa"/>
          </w:tcPr>
          <w:p w:rsidR="008A4576" w:rsidRPr="005B1409" w:rsidRDefault="008A4576" w:rsidP="0053477E">
            <w:pPr>
              <w:pStyle w:val="Tabletext"/>
              <w:cnfStyle w:val="000000100000" w:firstRow="0" w:lastRow="0" w:firstColumn="0" w:lastColumn="0" w:oddVBand="0" w:evenVBand="0" w:oddHBand="1" w:evenHBand="0" w:firstRowFirstColumn="0" w:firstRowLastColumn="0" w:lastRowFirstColumn="0" w:lastRowLastColumn="0"/>
            </w:pPr>
            <w:r w:rsidRPr="005B1409">
              <w:t>-5.39**</w:t>
            </w:r>
          </w:p>
        </w:tc>
        <w:tc>
          <w:tcPr>
            <w:tcW w:w="2239" w:type="dxa"/>
          </w:tcPr>
          <w:p w:rsidR="008A4576" w:rsidRPr="005B1409" w:rsidRDefault="008A4576" w:rsidP="0053477E">
            <w:pPr>
              <w:pStyle w:val="Tabletext"/>
              <w:cnfStyle w:val="000000100000" w:firstRow="0" w:lastRow="0" w:firstColumn="0" w:lastColumn="0" w:oddVBand="0" w:evenVBand="0" w:oddHBand="1" w:evenHBand="0" w:firstRowFirstColumn="0" w:firstRowLastColumn="0" w:lastRowFirstColumn="0" w:lastRowLastColumn="0"/>
            </w:pPr>
            <w:r w:rsidRPr="005B1409">
              <w:t>2,707</w:t>
            </w:r>
          </w:p>
        </w:tc>
      </w:tr>
    </w:tbl>
    <w:p w:rsidR="008A4576" w:rsidRPr="0053477E" w:rsidRDefault="008A4576" w:rsidP="0053477E">
      <w:pPr>
        <w:pStyle w:val="FootnoteText"/>
      </w:pPr>
      <w:r w:rsidRPr="005B1409">
        <w:t xml:space="preserve"> * p &lt; 0.05; ** p &lt; 0.01; n.s. not significant</w:t>
      </w:r>
    </w:p>
    <w:p w:rsidR="008A4576" w:rsidRPr="005B1409" w:rsidRDefault="008A4576" w:rsidP="00592EB6">
      <w:pPr>
        <w:pStyle w:val="Heading3"/>
      </w:pPr>
      <w:bookmarkStart w:id="6" w:name="_Toc68860048"/>
      <w:r w:rsidRPr="005B1409">
        <w:lastRenderedPageBreak/>
        <w:t>Opioid type</w:t>
      </w:r>
      <w:bookmarkEnd w:id="6"/>
    </w:p>
    <w:tbl>
      <w:tblPr>
        <w:tblStyle w:val="DepartmentofHealthtable"/>
        <w:tblW w:w="9640" w:type="dxa"/>
        <w:tblLayout w:type="fixed"/>
        <w:tblLook w:val="04A0" w:firstRow="1" w:lastRow="0" w:firstColumn="1" w:lastColumn="0" w:noHBand="0" w:noVBand="1"/>
        <w:tblCaption w:val="Opioids Types - Relative Strength to Morphine, Indication, Other Features and Prescribing Rate for letter versus no letter groups"/>
        <w:tblDescription w:val="Table listing the following details for each of the eight opioids types - Relative Strength to Morphine, Indication, Other Features and Prescribing Rate for letter versus no letter groups.&#10;"/>
      </w:tblPr>
      <w:tblGrid>
        <w:gridCol w:w="1985"/>
        <w:gridCol w:w="1337"/>
        <w:gridCol w:w="2453"/>
        <w:gridCol w:w="2158"/>
        <w:gridCol w:w="6"/>
        <w:gridCol w:w="1701"/>
      </w:tblGrid>
      <w:tr w:rsidR="00E009A1" w:rsidRPr="00D223EB" w:rsidTr="00F40824">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985" w:type="dxa"/>
            <w:noWrap/>
          </w:tcPr>
          <w:p w:rsidR="00E009A1" w:rsidRPr="005B1409" w:rsidRDefault="00E009A1" w:rsidP="00F40824">
            <w:r w:rsidRPr="005B1409">
              <w:t>Opioid type</w:t>
            </w:r>
          </w:p>
        </w:tc>
        <w:tc>
          <w:tcPr>
            <w:tcW w:w="1337" w:type="dxa"/>
          </w:tcPr>
          <w:p w:rsidR="00E009A1" w:rsidRPr="006B175B" w:rsidRDefault="00E009A1" w:rsidP="00F40824">
            <w:pPr>
              <w:cnfStyle w:val="100000000000" w:firstRow="1" w:lastRow="0" w:firstColumn="0" w:lastColumn="0" w:oddVBand="0" w:evenVBand="0" w:oddHBand="0" w:evenHBand="0" w:firstRowFirstColumn="0" w:firstRowLastColumn="0" w:lastRowFirstColumn="0" w:lastRowLastColumn="0"/>
              <w:rPr>
                <w:b/>
              </w:rPr>
            </w:pPr>
            <w:r w:rsidRPr="006B175B">
              <w:rPr>
                <w:b/>
              </w:rPr>
              <w:t>Strength relative to Morphine</w:t>
            </w:r>
            <w:r w:rsidRPr="006B175B">
              <w:rPr>
                <w:rStyle w:val="StyleEndnoteReference"/>
                <w:b/>
              </w:rPr>
              <w:endnoteReference w:id="14"/>
            </w:r>
          </w:p>
        </w:tc>
        <w:tc>
          <w:tcPr>
            <w:tcW w:w="2453" w:type="dxa"/>
          </w:tcPr>
          <w:p w:rsidR="00E009A1" w:rsidRPr="006B175B" w:rsidRDefault="00E009A1" w:rsidP="00F40824">
            <w:pPr>
              <w:cnfStyle w:val="100000000000" w:firstRow="1" w:lastRow="0" w:firstColumn="0" w:lastColumn="0" w:oddVBand="0" w:evenVBand="0" w:oddHBand="0" w:evenHBand="0" w:firstRowFirstColumn="0" w:firstRowLastColumn="0" w:lastRowFirstColumn="0" w:lastRowLastColumn="0"/>
              <w:rPr>
                <w:b/>
              </w:rPr>
            </w:pPr>
            <w:r w:rsidRPr="006B175B">
              <w:rPr>
                <w:b/>
              </w:rPr>
              <w:t>Indication</w:t>
            </w:r>
            <w:r w:rsidRPr="006B175B">
              <w:rPr>
                <w:rStyle w:val="StyleEndnoteReference"/>
                <w:b/>
              </w:rPr>
              <w:endnoteReference w:id="15"/>
            </w:r>
          </w:p>
        </w:tc>
        <w:tc>
          <w:tcPr>
            <w:tcW w:w="2164" w:type="dxa"/>
            <w:gridSpan w:val="2"/>
          </w:tcPr>
          <w:p w:rsidR="00E009A1" w:rsidRPr="006B175B" w:rsidRDefault="00E009A1" w:rsidP="00F40824">
            <w:pPr>
              <w:cnfStyle w:val="100000000000" w:firstRow="1" w:lastRow="0" w:firstColumn="0" w:lastColumn="0" w:oddVBand="0" w:evenVBand="0" w:oddHBand="0" w:evenHBand="0" w:firstRowFirstColumn="0" w:firstRowLastColumn="0" w:lastRowFirstColumn="0" w:lastRowLastColumn="0"/>
              <w:rPr>
                <w:b/>
              </w:rPr>
            </w:pPr>
            <w:r w:rsidRPr="006B175B">
              <w:rPr>
                <w:b/>
              </w:rPr>
              <w:t>Other features</w:t>
            </w:r>
            <w:r w:rsidR="00D8251D" w:rsidRPr="00E62612">
              <w:rPr>
                <w:rStyle w:val="StyleEndnoteReference"/>
              </w:rPr>
              <w:endnoteReference w:id="16"/>
            </w:r>
          </w:p>
        </w:tc>
        <w:tc>
          <w:tcPr>
            <w:tcW w:w="1701" w:type="dxa"/>
          </w:tcPr>
          <w:p w:rsidR="00E009A1" w:rsidRPr="006B175B" w:rsidRDefault="00E009A1" w:rsidP="00F40824">
            <w:pPr>
              <w:cnfStyle w:val="100000000000" w:firstRow="1" w:lastRow="0" w:firstColumn="0" w:lastColumn="0" w:oddVBand="0" w:evenVBand="0" w:oddHBand="0" w:evenHBand="0" w:firstRowFirstColumn="0" w:firstRowLastColumn="0" w:lastRowFirstColumn="0" w:lastRowLastColumn="0"/>
              <w:rPr>
                <w:b/>
              </w:rPr>
            </w:pPr>
            <w:r w:rsidRPr="006B175B">
              <w:rPr>
                <w:b/>
              </w:rPr>
              <w:t>Prescribing rate for letter vs no letter groups</w:t>
            </w:r>
          </w:p>
        </w:tc>
      </w:tr>
      <w:tr w:rsidR="00E009A1" w:rsidRPr="00D86BEE" w:rsidTr="0013047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5" w:type="dxa"/>
            <w:noWrap/>
          </w:tcPr>
          <w:p w:rsidR="00E009A1" w:rsidRPr="005B1409" w:rsidRDefault="00E009A1" w:rsidP="00F40824">
            <w:r w:rsidRPr="005B1409">
              <w:t>Tramadol</w:t>
            </w:r>
          </w:p>
        </w:tc>
        <w:tc>
          <w:tcPr>
            <w:tcW w:w="1337" w:type="dxa"/>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0.20–0.24</w:t>
            </w:r>
          </w:p>
        </w:tc>
        <w:tc>
          <w:tcPr>
            <w:tcW w:w="2453" w:type="dxa"/>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Short–term treatment of acute or chronic pain not respondin</w:t>
            </w:r>
            <w:r w:rsidR="000847F1">
              <w:t>g to aspirin and/or paracetamol</w:t>
            </w:r>
          </w:p>
        </w:tc>
        <w:tc>
          <w:tcPr>
            <w:tcW w:w="2158" w:type="dxa"/>
          </w:tcPr>
          <w:p w:rsidR="00E009A1" w:rsidRPr="005B1409" w:rsidRDefault="00E009A1" w:rsidP="00D8251D">
            <w:pPr>
              <w:pStyle w:val="Tabletext"/>
              <w:cnfStyle w:val="000000100000" w:firstRow="0" w:lastRow="0" w:firstColumn="0" w:lastColumn="0" w:oddVBand="0" w:evenVBand="0" w:oddHBand="1" w:evenHBand="0" w:firstRowFirstColumn="0" w:firstRowLastColumn="0" w:lastRowFirstColumn="0" w:lastRowLastColumn="0"/>
            </w:pPr>
            <w:r w:rsidRPr="005B1409">
              <w:t>Lower potential for misuse</w:t>
            </w:r>
          </w:p>
        </w:tc>
        <w:tc>
          <w:tcPr>
            <w:tcW w:w="1707" w:type="dxa"/>
            <w:gridSpan w:val="2"/>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n.s</w:t>
            </w:r>
            <w:r w:rsidR="00426F62">
              <w:t>.</w:t>
            </w:r>
          </w:p>
        </w:tc>
      </w:tr>
      <w:tr w:rsidR="00E009A1" w:rsidRPr="00D223EB" w:rsidTr="00130472">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985" w:type="dxa"/>
            <w:noWrap/>
          </w:tcPr>
          <w:p w:rsidR="00E009A1" w:rsidRPr="005B1409" w:rsidRDefault="00E009A1" w:rsidP="00F40824">
            <w:r w:rsidRPr="005B1409">
              <w:t>Tapentadol</w:t>
            </w:r>
          </w:p>
        </w:tc>
        <w:tc>
          <w:tcPr>
            <w:tcW w:w="1337" w:type="dxa"/>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0.4</w:t>
            </w:r>
          </w:p>
        </w:tc>
        <w:tc>
          <w:tcPr>
            <w:tcW w:w="2453" w:type="dxa"/>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Chronic severe pain</w:t>
            </w:r>
          </w:p>
        </w:tc>
        <w:tc>
          <w:tcPr>
            <w:tcW w:w="2158" w:type="dxa"/>
          </w:tcPr>
          <w:p w:rsidR="00E009A1" w:rsidRPr="005B1409" w:rsidRDefault="00E009A1" w:rsidP="00D8251D">
            <w:pPr>
              <w:pStyle w:val="Tabletext"/>
              <w:cnfStyle w:val="000000010000" w:firstRow="0" w:lastRow="0" w:firstColumn="0" w:lastColumn="0" w:oddVBand="0" w:evenVBand="0" w:oddHBand="0" w:evenHBand="1" w:firstRowFirstColumn="0" w:firstRowLastColumn="0" w:lastRowFirstColumn="0" w:lastRowLastColumn="0"/>
            </w:pPr>
            <w:r w:rsidRPr="005B1409">
              <w:t>Lower potential for misuse</w:t>
            </w:r>
          </w:p>
        </w:tc>
        <w:tc>
          <w:tcPr>
            <w:tcW w:w="1707" w:type="dxa"/>
            <w:gridSpan w:val="2"/>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-8.8%</w:t>
            </w:r>
          </w:p>
        </w:tc>
      </w:tr>
      <w:tr w:rsidR="00E009A1" w:rsidRPr="00D223EB" w:rsidTr="0013047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5" w:type="dxa"/>
            <w:noWrap/>
          </w:tcPr>
          <w:p w:rsidR="00E009A1" w:rsidRPr="005B1409" w:rsidRDefault="00E009A1" w:rsidP="00F40824">
            <w:r w:rsidRPr="005B1409">
              <w:t>Morphine</w:t>
            </w:r>
          </w:p>
        </w:tc>
        <w:tc>
          <w:tcPr>
            <w:tcW w:w="1337" w:type="dxa"/>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1.0–3.0</w:t>
            </w:r>
          </w:p>
        </w:tc>
        <w:tc>
          <w:tcPr>
            <w:tcW w:w="2453" w:type="dxa"/>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Severe disabling pain (cancer, palliative care) and chronic severe pain</w:t>
            </w:r>
          </w:p>
        </w:tc>
        <w:tc>
          <w:tcPr>
            <w:tcW w:w="2158" w:type="dxa"/>
          </w:tcPr>
          <w:p w:rsidR="00E009A1" w:rsidRPr="00E62612" w:rsidRDefault="00E009A1" w:rsidP="00D8251D">
            <w:pPr>
              <w:pStyle w:val="Tabletext"/>
              <w:cnfStyle w:val="000000100000" w:firstRow="0" w:lastRow="0" w:firstColumn="0" w:lastColumn="0" w:oddVBand="0" w:evenVBand="0" w:oddHBand="1" w:evenHBand="0" w:firstRowFirstColumn="0" w:firstRowLastColumn="0" w:lastRowFirstColumn="0" w:lastRowLastColumn="0"/>
              <w:rPr>
                <w:rStyle w:val="StyleEndnoteReference"/>
              </w:rPr>
            </w:pPr>
            <w:r w:rsidRPr="005B1409">
              <w:t>Widely used in acute, persistent and cancer pain</w:t>
            </w:r>
          </w:p>
        </w:tc>
        <w:tc>
          <w:tcPr>
            <w:tcW w:w="1707" w:type="dxa"/>
            <w:gridSpan w:val="2"/>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n.s</w:t>
            </w:r>
            <w:r w:rsidR="00426F62">
              <w:t>.</w:t>
            </w:r>
          </w:p>
        </w:tc>
      </w:tr>
      <w:tr w:rsidR="00E009A1" w:rsidRPr="00D223EB" w:rsidTr="00130472">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5" w:type="dxa"/>
            <w:noWrap/>
          </w:tcPr>
          <w:p w:rsidR="00E009A1" w:rsidRPr="005B1409" w:rsidRDefault="00E009A1" w:rsidP="00F40824">
            <w:r w:rsidRPr="005B1409">
              <w:t>Oxycodone</w:t>
            </w:r>
          </w:p>
        </w:tc>
        <w:tc>
          <w:tcPr>
            <w:tcW w:w="1337" w:type="dxa"/>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1.5–3.0</w:t>
            </w:r>
          </w:p>
        </w:tc>
        <w:tc>
          <w:tcPr>
            <w:tcW w:w="2453" w:type="dxa"/>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Severe disabling pain and chronic severe pain</w:t>
            </w:r>
          </w:p>
        </w:tc>
        <w:tc>
          <w:tcPr>
            <w:tcW w:w="2158" w:type="dxa"/>
          </w:tcPr>
          <w:p w:rsidR="00E009A1" w:rsidRPr="005B1409" w:rsidRDefault="00E009A1" w:rsidP="00D8251D">
            <w:pPr>
              <w:pStyle w:val="Tabletext"/>
              <w:cnfStyle w:val="000000010000" w:firstRow="0" w:lastRow="0" w:firstColumn="0" w:lastColumn="0" w:oddVBand="0" w:evenVBand="0" w:oddHBand="0" w:evenHBand="1" w:firstRowFirstColumn="0" w:firstRowLastColumn="0" w:lastRowFirstColumn="0" w:lastRowLastColumn="0"/>
            </w:pPr>
            <w:r w:rsidRPr="005B1409">
              <w:t>Increasing use in hospital and acute pain settings, and at discharge from day surgery</w:t>
            </w:r>
          </w:p>
        </w:tc>
        <w:tc>
          <w:tcPr>
            <w:tcW w:w="1707" w:type="dxa"/>
            <w:gridSpan w:val="2"/>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-5.6%</w:t>
            </w:r>
          </w:p>
        </w:tc>
      </w:tr>
      <w:tr w:rsidR="00E009A1" w:rsidRPr="00D223EB" w:rsidTr="0013047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5" w:type="dxa"/>
            <w:noWrap/>
          </w:tcPr>
          <w:p w:rsidR="00E009A1" w:rsidRPr="005B1409" w:rsidRDefault="00E009A1" w:rsidP="00F40824">
            <w:r w:rsidRPr="005B1409">
              <w:t>Methadone</w:t>
            </w:r>
          </w:p>
        </w:tc>
        <w:tc>
          <w:tcPr>
            <w:tcW w:w="1337" w:type="dxa"/>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4.7–13.5</w:t>
            </w:r>
          </w:p>
        </w:tc>
        <w:tc>
          <w:tcPr>
            <w:tcW w:w="2453" w:type="dxa"/>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Chronic severe pain and opioid replacement therapy (ORT)</w:t>
            </w:r>
          </w:p>
        </w:tc>
        <w:tc>
          <w:tcPr>
            <w:tcW w:w="2158" w:type="dxa"/>
          </w:tcPr>
          <w:p w:rsidR="00E009A1" w:rsidRPr="005B1409" w:rsidRDefault="00E009A1" w:rsidP="00D8251D">
            <w:pPr>
              <w:pStyle w:val="Tabletext"/>
              <w:cnfStyle w:val="000000100000" w:firstRow="0" w:lastRow="0" w:firstColumn="0" w:lastColumn="0" w:oddVBand="0" w:evenVBand="0" w:oddHBand="1" w:evenHBand="0" w:firstRowFirstColumn="0" w:firstRowLastColumn="0" w:lastRowFirstColumn="0" w:lastRowLastColumn="0"/>
            </w:pPr>
            <w:r w:rsidRPr="005B1409">
              <w:t>Commonly used for opioid addiction treatment and chronic pain</w:t>
            </w:r>
          </w:p>
        </w:tc>
        <w:tc>
          <w:tcPr>
            <w:tcW w:w="1707" w:type="dxa"/>
            <w:gridSpan w:val="2"/>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n.s</w:t>
            </w:r>
            <w:r w:rsidR="00426F62">
              <w:t>.</w:t>
            </w:r>
          </w:p>
        </w:tc>
      </w:tr>
      <w:tr w:rsidR="00E009A1" w:rsidRPr="00D223EB" w:rsidTr="00130472">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5" w:type="dxa"/>
            <w:noWrap/>
          </w:tcPr>
          <w:p w:rsidR="00E009A1" w:rsidRPr="005B1409" w:rsidRDefault="00E009A1" w:rsidP="00F40824">
            <w:r w:rsidRPr="005B1409">
              <w:t>Hydromorphone</w:t>
            </w:r>
          </w:p>
        </w:tc>
        <w:tc>
          <w:tcPr>
            <w:tcW w:w="1337" w:type="dxa"/>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5–15</w:t>
            </w:r>
          </w:p>
        </w:tc>
        <w:tc>
          <w:tcPr>
            <w:tcW w:w="2453" w:type="dxa"/>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Severe disabling pain</w:t>
            </w:r>
          </w:p>
        </w:tc>
        <w:tc>
          <w:tcPr>
            <w:tcW w:w="2158" w:type="dxa"/>
          </w:tcPr>
          <w:p w:rsidR="00E009A1" w:rsidRPr="005B1409" w:rsidRDefault="00E009A1" w:rsidP="00D8251D">
            <w:pPr>
              <w:pStyle w:val="Tabletext"/>
              <w:cnfStyle w:val="000000010000" w:firstRow="0" w:lastRow="0" w:firstColumn="0" w:lastColumn="0" w:oddVBand="0" w:evenVBand="0" w:oddHBand="0" w:evenHBand="1" w:firstRowFirstColumn="0" w:firstRowLastColumn="0" w:lastRowFirstColumn="0" w:lastRowLastColumn="0"/>
            </w:pPr>
            <w:r w:rsidRPr="005B1409">
              <w:t>Usually restricted to cancer pain or dialysis patients</w:t>
            </w:r>
          </w:p>
        </w:tc>
        <w:tc>
          <w:tcPr>
            <w:tcW w:w="1707" w:type="dxa"/>
            <w:gridSpan w:val="2"/>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n.s</w:t>
            </w:r>
            <w:r w:rsidR="00426F62">
              <w:t>.</w:t>
            </w:r>
          </w:p>
        </w:tc>
      </w:tr>
      <w:tr w:rsidR="00E009A1" w:rsidRPr="00D223EB" w:rsidTr="0013047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5" w:type="dxa"/>
            <w:noWrap/>
          </w:tcPr>
          <w:p w:rsidR="00E009A1" w:rsidRPr="005B1409" w:rsidRDefault="00E009A1" w:rsidP="00F40824">
            <w:r w:rsidRPr="005B1409">
              <w:t>Buprenorphine</w:t>
            </w:r>
          </w:p>
        </w:tc>
        <w:tc>
          <w:tcPr>
            <w:tcW w:w="1337" w:type="dxa"/>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38.8–85.0</w:t>
            </w:r>
          </w:p>
        </w:tc>
        <w:tc>
          <w:tcPr>
            <w:tcW w:w="2453" w:type="dxa"/>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Chronic severe pain and ORT</w:t>
            </w:r>
          </w:p>
        </w:tc>
        <w:tc>
          <w:tcPr>
            <w:tcW w:w="2158" w:type="dxa"/>
          </w:tcPr>
          <w:p w:rsidR="00E009A1" w:rsidRPr="005B1409" w:rsidRDefault="00E009A1" w:rsidP="00D8251D">
            <w:pPr>
              <w:pStyle w:val="Tabletext"/>
              <w:cnfStyle w:val="000000100000" w:firstRow="0" w:lastRow="0" w:firstColumn="0" w:lastColumn="0" w:oddVBand="0" w:evenVBand="0" w:oddHBand="1" w:evenHBand="0" w:firstRowFirstColumn="0" w:firstRowLastColumn="0" w:lastRowFirstColumn="0" w:lastRowLastColumn="0"/>
            </w:pPr>
            <w:r w:rsidRPr="005B1409">
              <w:t>Commonly used for opioid addiction treatment and analgesia</w:t>
            </w:r>
          </w:p>
        </w:tc>
        <w:tc>
          <w:tcPr>
            <w:tcW w:w="1707" w:type="dxa"/>
            <w:gridSpan w:val="2"/>
          </w:tcPr>
          <w:p w:rsidR="00E009A1" w:rsidRPr="005B1409" w:rsidRDefault="00E009A1" w:rsidP="00F40824">
            <w:pPr>
              <w:pStyle w:val="Tabletext"/>
              <w:cnfStyle w:val="000000100000" w:firstRow="0" w:lastRow="0" w:firstColumn="0" w:lastColumn="0" w:oddVBand="0" w:evenVBand="0" w:oddHBand="1" w:evenHBand="0" w:firstRowFirstColumn="0" w:firstRowLastColumn="0" w:lastRowFirstColumn="0" w:lastRowLastColumn="0"/>
            </w:pPr>
            <w:r w:rsidRPr="005B1409">
              <w:t>n.s</w:t>
            </w:r>
            <w:r w:rsidR="00426F62">
              <w:t>.</w:t>
            </w:r>
          </w:p>
        </w:tc>
      </w:tr>
      <w:tr w:rsidR="00E009A1" w:rsidRPr="00D223EB" w:rsidTr="00130472">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5" w:type="dxa"/>
            <w:noWrap/>
          </w:tcPr>
          <w:p w:rsidR="00E009A1" w:rsidRPr="005B1409" w:rsidRDefault="00E009A1" w:rsidP="00F40824">
            <w:r w:rsidRPr="005B1409">
              <w:t>Fentanyl</w:t>
            </w:r>
          </w:p>
        </w:tc>
        <w:tc>
          <w:tcPr>
            <w:tcW w:w="1337" w:type="dxa"/>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100</w:t>
            </w:r>
          </w:p>
        </w:tc>
        <w:tc>
          <w:tcPr>
            <w:tcW w:w="2453" w:type="dxa"/>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Severe disabling pain</w:t>
            </w:r>
          </w:p>
        </w:tc>
        <w:tc>
          <w:tcPr>
            <w:tcW w:w="2158" w:type="dxa"/>
          </w:tcPr>
          <w:p w:rsidR="00E009A1" w:rsidRPr="005B1409" w:rsidRDefault="00E009A1" w:rsidP="00BF40A3">
            <w:pPr>
              <w:pStyle w:val="Tabletext"/>
              <w:cnfStyle w:val="000000010000" w:firstRow="0" w:lastRow="0" w:firstColumn="0" w:lastColumn="0" w:oddVBand="0" w:evenVBand="0" w:oddHBand="0" w:evenHBand="1" w:firstRowFirstColumn="0" w:firstRowLastColumn="0" w:lastRowFirstColumn="0" w:lastRowLastColumn="0"/>
            </w:pPr>
            <w:r w:rsidRPr="005B1409">
              <w:t>Highly potent, used in cancer care, acute hospital settings</w:t>
            </w:r>
            <w:r w:rsidR="00BF40A3">
              <w:t>,</w:t>
            </w:r>
            <w:r w:rsidRPr="005B1409">
              <w:t xml:space="preserve"> palliative care and for chronic pain</w:t>
            </w:r>
          </w:p>
        </w:tc>
        <w:tc>
          <w:tcPr>
            <w:tcW w:w="1707" w:type="dxa"/>
            <w:gridSpan w:val="2"/>
          </w:tcPr>
          <w:p w:rsidR="00E009A1" w:rsidRPr="005B1409" w:rsidRDefault="00E009A1" w:rsidP="00F40824">
            <w:pPr>
              <w:pStyle w:val="Tabletext"/>
              <w:cnfStyle w:val="000000010000" w:firstRow="0" w:lastRow="0" w:firstColumn="0" w:lastColumn="0" w:oddVBand="0" w:evenVBand="0" w:oddHBand="0" w:evenHBand="1" w:firstRowFirstColumn="0" w:firstRowLastColumn="0" w:lastRowFirstColumn="0" w:lastRowLastColumn="0"/>
            </w:pPr>
            <w:r w:rsidRPr="005B1409">
              <w:t>n.s</w:t>
            </w:r>
            <w:r w:rsidR="00426F62">
              <w:t>.</w:t>
            </w:r>
            <w:bookmarkStart w:id="7" w:name="_GoBack"/>
            <w:bookmarkEnd w:id="7"/>
          </w:p>
        </w:tc>
      </w:tr>
    </w:tbl>
    <w:p w:rsidR="008A4576" w:rsidRPr="00784A72" w:rsidRDefault="008A4576" w:rsidP="00E009A1">
      <w:r w:rsidRPr="005B1409">
        <w:t>The letter had a different impact on the prescribing rate for each of the eight opioid types considered in the trial (which have different strengths and indications).</w:t>
      </w:r>
      <w:r w:rsidR="000E1C89" w:rsidRPr="00784A72">
        <w:rPr>
          <w:rStyle w:val="FootnoteReference"/>
        </w:rPr>
        <w:footnoteReference w:id="4"/>
      </w:r>
    </w:p>
    <w:p w:rsidR="000847F1" w:rsidRDefault="00373D5D" w:rsidP="00E009A1">
      <w:pPr>
        <w:pStyle w:val="FootnoteText"/>
      </w:pPr>
      <w:r w:rsidRPr="005B1409">
        <w:t>Tapentadol: p &lt; 0.01; Oxycodone: p &lt; 0.01</w:t>
      </w:r>
      <w:r w:rsidR="00D8251D">
        <w:t xml:space="preserve">; </w:t>
      </w:r>
      <w:r w:rsidR="00D8251D" w:rsidRPr="00D8251D">
        <w:t>n.s. not significant</w:t>
      </w:r>
    </w:p>
    <w:p w:rsidR="000847F1" w:rsidRDefault="000847F1">
      <w:pPr>
        <w:spacing w:before="0" w:after="0"/>
        <w:rPr>
          <w:sz w:val="20"/>
          <w:szCs w:val="20"/>
        </w:rPr>
      </w:pPr>
      <w:r>
        <w:br w:type="page"/>
      </w:r>
    </w:p>
    <w:p w:rsidR="00373D5D" w:rsidRPr="005B1409" w:rsidRDefault="00373D5D" w:rsidP="00E009A1">
      <w:pPr>
        <w:pStyle w:val="FootnoteText"/>
      </w:pPr>
    </w:p>
    <w:p w:rsidR="00205A93" w:rsidRPr="005B1409" w:rsidRDefault="00C43929" w:rsidP="005E67B5">
      <w:pPr>
        <w:pStyle w:val="Heading1"/>
      </w:pPr>
      <w:bookmarkStart w:id="8" w:name="_Toc68860049"/>
      <w:r w:rsidRPr="005B1409">
        <w:t xml:space="preserve">Concluding </w:t>
      </w:r>
      <w:r w:rsidR="000847F1">
        <w:t>p</w:t>
      </w:r>
      <w:r w:rsidRPr="005B1409">
        <w:t>oints</w:t>
      </w:r>
      <w:bookmarkEnd w:id="8"/>
    </w:p>
    <w:p w:rsidR="00C43929" w:rsidRPr="005B1409" w:rsidRDefault="00C43929" w:rsidP="00784A72">
      <w:r w:rsidRPr="005B1409">
        <w:t xml:space="preserve">Overall, the project resulted in a 4% reduction in prescribing for the treatment group compared to the control group. The project has demonstrated the effectiveness of a letter incorporating the three key elements of messenger, peer comparison and firm messaging in reducing prescribing of opioids by GPs. </w:t>
      </w:r>
    </w:p>
    <w:p w:rsidR="00C43929" w:rsidRPr="005B1409" w:rsidRDefault="00C43929" w:rsidP="00784A72">
      <w:r w:rsidRPr="005B1409">
        <w:t>The reduction in the prescribing of Oxycodone is notable as increases in prescribing of Oxycodone have accounted for the largest part of the rise in use of opioid medications in Australia over the past few years.</w:t>
      </w:r>
      <w:r w:rsidR="00DE3801" w:rsidRPr="00513E0A">
        <w:rPr>
          <w:rStyle w:val="StyleEndnoteReference"/>
        </w:rPr>
        <w:endnoteReference w:id="17"/>
      </w:r>
      <w:r w:rsidRPr="005B1409">
        <w:t xml:space="preserve"> Oxycodone is commonly prescribed in hospital settings and at discharge, and guidelines recommend that GPs take care when continuing to prescribe Oxycodone in the community post discharge from hospital.</w:t>
      </w:r>
      <w:r w:rsidR="00DE3801" w:rsidRPr="00513E0A">
        <w:rPr>
          <w:rStyle w:val="StyleEndnoteReference"/>
        </w:rPr>
        <w:endnoteReference w:id="18"/>
      </w:r>
      <w:r w:rsidRPr="005B1409">
        <w:t xml:space="preserve"> </w:t>
      </w:r>
    </w:p>
    <w:p w:rsidR="00C43929" w:rsidRPr="005B1409" w:rsidRDefault="00C43929" w:rsidP="00784A72">
      <w:r w:rsidRPr="005B1409">
        <w:t xml:space="preserve">The lack of impact of the letter in reducing opioid prescribing by GPs in rural, regional and remote locations highlights the need to understand the particular context of </w:t>
      </w:r>
      <w:r w:rsidR="0053477E">
        <w:t>GPs working in these locations.</w:t>
      </w:r>
    </w:p>
    <w:p w:rsidR="00E03402" w:rsidRDefault="00C43929" w:rsidP="00784A72">
      <w:r w:rsidRPr="005B1409">
        <w:t>Some GPs who received the letter stated that a large proportion of their patients were elderly or receiving palliative care, highlighting the challenges of identifying and excluding GPs who are treating a higher proportion of patients receiving palliative care</w:t>
      </w:r>
      <w:r w:rsidR="00373D5D" w:rsidRPr="005B1409">
        <w:t>.</w:t>
      </w:r>
    </w:p>
    <w:p w:rsidR="000847F1" w:rsidRDefault="000847F1" w:rsidP="00784A72"/>
    <w:p w:rsidR="000847F1" w:rsidRPr="005B1409" w:rsidRDefault="000847F1" w:rsidP="00784A72">
      <w:pPr>
        <w:sectPr w:rsidR="000847F1" w:rsidRPr="005B1409" w:rsidSect="004505B4">
          <w:footnotePr>
            <w:numFmt w:val="lowerLetter"/>
          </w:footnotePr>
          <w:endnotePr>
            <w:numFmt w:val="decimal"/>
          </w:endnotePr>
          <w:type w:val="continuous"/>
          <w:pgSz w:w="11910" w:h="16840"/>
          <w:pgMar w:top="960" w:right="1020" w:bottom="280" w:left="1140" w:header="720" w:footer="352" w:gutter="0"/>
          <w:cols w:space="720"/>
        </w:sectPr>
      </w:pPr>
    </w:p>
    <w:p w:rsidR="00E03402" w:rsidRPr="005B1409" w:rsidRDefault="005C3C71" w:rsidP="0053477E">
      <w:pPr>
        <w:pStyle w:val="Heading1"/>
      </w:pPr>
      <w:bookmarkStart w:id="9" w:name="_Appendix_A_–"/>
      <w:bookmarkStart w:id="10" w:name="_Toc68860050"/>
      <w:bookmarkEnd w:id="9"/>
      <w:r w:rsidRPr="005B1409">
        <w:lastRenderedPageBreak/>
        <w:t>Appendix A – GP Letter</w:t>
      </w:r>
      <w:bookmarkEnd w:id="10"/>
    </w:p>
    <w:p w:rsidR="00E03402" w:rsidRPr="005B1409" w:rsidRDefault="00E03402" w:rsidP="00F953FC">
      <w:pPr>
        <w:jc w:val="center"/>
      </w:pPr>
      <w:r w:rsidRPr="005B1409">
        <w:rPr>
          <w:noProof/>
          <w:lang w:eastAsia="en-AU"/>
        </w:rPr>
        <w:drawing>
          <wp:inline distT="0" distB="0" distL="0" distR="0" wp14:anchorId="5FC80DB4" wp14:editId="534691C0">
            <wp:extent cx="1670050" cy="1115060"/>
            <wp:effectExtent l="0" t="0" r="6350" b="8890"/>
            <wp:docPr id="51" name="image1.png" descr="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670811" cy="1115568"/>
                    </a:xfrm>
                    <a:prstGeom prst="rect">
                      <a:avLst/>
                    </a:prstGeom>
                  </pic:spPr>
                </pic:pic>
              </a:graphicData>
            </a:graphic>
          </wp:inline>
        </w:drawing>
      </w:r>
    </w:p>
    <w:p w:rsidR="00E03402" w:rsidRPr="00F953FC" w:rsidRDefault="00E03402" w:rsidP="00F953FC">
      <w:pPr>
        <w:jc w:val="center"/>
        <w:rPr>
          <w:rStyle w:val="Strong"/>
        </w:rPr>
      </w:pPr>
      <w:r w:rsidRPr="00F953FC">
        <w:rPr>
          <w:rStyle w:val="Strong"/>
        </w:rPr>
        <w:t>CHIEF MEDICAL OFFICER</w:t>
      </w:r>
    </w:p>
    <w:p w:rsidR="004505B4" w:rsidRDefault="00F953FC" w:rsidP="00752884">
      <w:pPr>
        <w:jc w:val="right"/>
      </w:pPr>
      <w:r>
        <w:t>Your reference: &lt;reference #</w:t>
      </w:r>
    </w:p>
    <w:p w:rsidR="00752884" w:rsidRDefault="00752884" w:rsidP="00784A72">
      <w:pPr>
        <w:sectPr w:rsidR="00752884" w:rsidSect="00A52C48">
          <w:headerReference w:type="default" r:id="rId32"/>
          <w:footerReference w:type="default" r:id="rId33"/>
          <w:footnotePr>
            <w:numFmt w:val="lowerLetter"/>
          </w:footnotePr>
          <w:endnotePr>
            <w:numFmt w:val="decimal"/>
          </w:endnotePr>
          <w:type w:val="oddPage"/>
          <w:pgSz w:w="11906" w:h="16838"/>
          <w:pgMar w:top="1701" w:right="1418" w:bottom="1418" w:left="1418" w:header="709" w:footer="709" w:gutter="0"/>
          <w:cols w:space="708"/>
          <w:docGrid w:linePitch="360"/>
        </w:sectPr>
      </w:pPr>
    </w:p>
    <w:p w:rsidR="00E03402" w:rsidRPr="005B1409" w:rsidRDefault="00E03402" w:rsidP="00752884">
      <w:pPr>
        <w:spacing w:before="0" w:after="0"/>
      </w:pPr>
      <w:r w:rsidRPr="005B1409">
        <w:t>Dr &lt;First_name&gt; &lt;Last_name&gt;</w:t>
      </w:r>
    </w:p>
    <w:p w:rsidR="00E03402" w:rsidRPr="005B1409" w:rsidRDefault="00E03402" w:rsidP="00752884">
      <w:pPr>
        <w:spacing w:before="0" w:after="0"/>
      </w:pPr>
      <w:r w:rsidRPr="005B1409">
        <w:t>&lt;Address_Line_1&gt;</w:t>
      </w:r>
    </w:p>
    <w:p w:rsidR="00E03402" w:rsidRPr="005B1409" w:rsidRDefault="00E03402" w:rsidP="00752884">
      <w:pPr>
        <w:spacing w:before="0" w:after="0"/>
      </w:pPr>
      <w:r w:rsidRPr="005B1409">
        <w:t>&lt;Address_Line_2&gt;</w:t>
      </w:r>
    </w:p>
    <w:p w:rsidR="00E03402" w:rsidRPr="005B1409" w:rsidRDefault="00E03402" w:rsidP="00752884">
      <w:pPr>
        <w:spacing w:before="0" w:after="0"/>
      </w:pPr>
      <w:r w:rsidRPr="005B1409">
        <w:t>&lt;Suburb&gt; &lt;State&gt; &lt;Postcode&gt;</w:t>
      </w:r>
    </w:p>
    <w:p w:rsidR="004505B4" w:rsidRDefault="004505B4" w:rsidP="00752884">
      <w:pPr>
        <w:jc w:val="center"/>
      </w:pPr>
      <w:r>
        <w:t>&lt; 00 Month 0000</w:t>
      </w:r>
    </w:p>
    <w:p w:rsidR="004505B4" w:rsidRDefault="004505B4" w:rsidP="00784A72"/>
    <w:p w:rsidR="00752884" w:rsidRDefault="00752884" w:rsidP="00784A72"/>
    <w:p w:rsidR="00752884" w:rsidRDefault="00752884" w:rsidP="00784A72">
      <w:pPr>
        <w:sectPr w:rsidR="00752884" w:rsidSect="004505B4">
          <w:footnotePr>
            <w:numFmt w:val="lowerLetter"/>
          </w:footnotePr>
          <w:endnotePr>
            <w:numFmt w:val="decimal"/>
          </w:endnotePr>
          <w:type w:val="continuous"/>
          <w:pgSz w:w="11906" w:h="16838"/>
          <w:pgMar w:top="1701" w:right="1418" w:bottom="1418" w:left="1418" w:header="709" w:footer="709" w:gutter="0"/>
          <w:cols w:num="2" w:space="708"/>
          <w:docGrid w:linePitch="360"/>
        </w:sectPr>
      </w:pPr>
    </w:p>
    <w:p w:rsidR="004505B4" w:rsidRDefault="004505B4" w:rsidP="00784A72"/>
    <w:p w:rsidR="00752884" w:rsidRDefault="00752884" w:rsidP="00784A72">
      <w:pPr>
        <w:sectPr w:rsidR="00752884" w:rsidSect="004505B4">
          <w:footnotePr>
            <w:numFmt w:val="lowerLetter"/>
          </w:footnotePr>
          <w:endnotePr>
            <w:numFmt w:val="decimal"/>
          </w:endnotePr>
          <w:type w:val="continuous"/>
          <w:pgSz w:w="11906" w:h="16838"/>
          <w:pgMar w:top="1701" w:right="1418" w:bottom="1418" w:left="1418" w:header="709" w:footer="709" w:gutter="0"/>
          <w:cols w:space="708"/>
          <w:docGrid w:linePitch="360"/>
        </w:sectPr>
      </w:pPr>
    </w:p>
    <w:p w:rsidR="008420FD" w:rsidRPr="005B1409" w:rsidRDefault="008420FD" w:rsidP="00784A72">
      <w:r w:rsidRPr="005B1409">
        <w:t>Dear Dr</w:t>
      </w:r>
    </w:p>
    <w:p w:rsidR="00E03402" w:rsidRPr="00F953FC" w:rsidRDefault="00E03402" w:rsidP="00752884">
      <w:pPr>
        <w:jc w:val="center"/>
        <w:rPr>
          <w:rStyle w:val="Strong"/>
        </w:rPr>
      </w:pPr>
      <w:r w:rsidRPr="00F953FC">
        <w:rPr>
          <w:rStyle w:val="Strong"/>
        </w:rPr>
        <w:t xml:space="preserve">You prescribe more opioid doses than &lt;x%&gt;of General Practitioners (GPs) working in </w:t>
      </w:r>
      <w:r w:rsidR="00752884">
        <w:rPr>
          <w:rStyle w:val="Strong"/>
        </w:rPr>
        <w:t xml:space="preserve">a </w:t>
      </w:r>
      <w:r w:rsidRPr="00F953FC">
        <w:rPr>
          <w:rStyle w:val="Strong"/>
        </w:rPr>
        <w:t>regional or rural location</w:t>
      </w:r>
    </w:p>
    <w:p w:rsidR="00E03402" w:rsidRPr="00784A72" w:rsidRDefault="00E03402" w:rsidP="00784A72">
      <w:r w:rsidRPr="005B1409">
        <w:t>The rate of standard opioid doses (</w:t>
      </w:r>
      <w:r w:rsidRPr="000A7ADC">
        <w:rPr>
          <w:rStyle w:val="QuoteChar"/>
        </w:rPr>
        <w:t>excluding codeine</w:t>
      </w:r>
      <w:r w:rsidRPr="00784A72">
        <w:t>) you prescribed that were dispensed under the Pharmaceutical Benefits Scheme (PBS)</w:t>
      </w:r>
      <w:r w:rsidR="002C1DE3" w:rsidRPr="00784A72">
        <w:t xml:space="preserve"> between 1 December 2016 and 30 </w:t>
      </w:r>
      <w:r w:rsidRPr="00784A72">
        <w:t>November 2017 are shown below.</w:t>
      </w:r>
    </w:p>
    <w:p w:rsidR="00E03402" w:rsidRPr="00F953FC" w:rsidRDefault="00E03402" w:rsidP="000847F1">
      <w:pPr>
        <w:jc w:val="center"/>
        <w:rPr>
          <w:rStyle w:val="Strong"/>
        </w:rPr>
      </w:pPr>
      <w:r w:rsidRPr="00F953FC">
        <w:rPr>
          <w:rStyle w:val="Strong"/>
        </w:rPr>
        <w:t>Number of standard opioid doses dispensed per consultation</w:t>
      </w:r>
    </w:p>
    <w:p w:rsidR="00DD7D46" w:rsidRPr="005B1409" w:rsidRDefault="000847F1" w:rsidP="00F953FC">
      <w:pPr>
        <w:jc w:val="center"/>
      </w:pPr>
      <w:r>
        <w:rPr>
          <w:noProof/>
          <w:lang w:eastAsia="en-AU"/>
        </w:rPr>
        <w:drawing>
          <wp:inline distT="0" distB="0" distL="0" distR="0" wp14:anchorId="36113E62" wp14:editId="768D784E">
            <wp:extent cx="2796438" cy="1659673"/>
            <wp:effectExtent l="0" t="0" r="4445" b="0"/>
            <wp:docPr id="4" name="Picture 4" descr="Bar graph showing the Number of standard opioid doses dispensed per consultation for &quot;Your Peers&quot; and &quot;You&quot;. The number of doses for 'your peers' is 1.32 and the number of doses for you is 29.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0729" cy="1703764"/>
                    </a:xfrm>
                    <a:prstGeom prst="rect">
                      <a:avLst/>
                    </a:prstGeom>
                  </pic:spPr>
                </pic:pic>
              </a:graphicData>
            </a:graphic>
          </wp:inline>
        </w:drawing>
      </w:r>
    </w:p>
    <w:p w:rsidR="00E03402" w:rsidRPr="005B1409" w:rsidRDefault="00E03402" w:rsidP="00784A72">
      <w:r w:rsidRPr="005B1409">
        <w:t>Further details are provided on the last page.</w:t>
      </w:r>
    </w:p>
    <w:p w:rsidR="002C1DE3" w:rsidRPr="005B1409" w:rsidRDefault="002C1DE3" w:rsidP="00F953FC">
      <w:pPr>
        <w:pStyle w:val="ListParagraph"/>
      </w:pPr>
      <w:r w:rsidRPr="005B1409">
        <w:t>Your prescribing may be appropriate for your patient group (e.g. if you treat palliative care patients). However, there may also be opportunities in your practice to reduce prescribing where clinically indicated.</w:t>
      </w:r>
    </w:p>
    <w:p w:rsidR="002C1DE3" w:rsidRPr="005B1409" w:rsidRDefault="002C1DE3" w:rsidP="00F953FC">
      <w:pPr>
        <w:pStyle w:val="ListParagraph"/>
      </w:pPr>
      <w:r w:rsidRPr="005B1409">
        <w:t>Over the next year, the Department of Health will be monitoring opioid prescribing by GPs.</w:t>
      </w:r>
    </w:p>
    <w:p w:rsidR="002C1DE3" w:rsidRPr="005B1409" w:rsidRDefault="002C1DE3" w:rsidP="00F953FC">
      <w:pPr>
        <w:pStyle w:val="ListParagraph"/>
      </w:pPr>
      <w:r w:rsidRPr="005B1409">
        <w:t>In limited cases where there are concerns of potential inappropriate practice, the Department of Health will consider referring practitioners to the Practitioner Review Program (PRP).</w:t>
      </w:r>
    </w:p>
    <w:p w:rsidR="000847F1" w:rsidRDefault="002C1DE3" w:rsidP="00F953FC">
      <w:pPr>
        <w:pStyle w:val="ListParagraph"/>
      </w:pPr>
      <w:r w:rsidRPr="005B1409">
        <w:t>PRP involves reviewing a practitioner’s servicing and prescribing behaviour in detail to assess whether inappropriate practice may have occurred. PRP offers an opportunity for doctors to provide any information that may address the concerns.</w:t>
      </w:r>
    </w:p>
    <w:p w:rsidR="002C1DE3" w:rsidRPr="005B1409" w:rsidRDefault="000847F1" w:rsidP="000847F1">
      <w:pPr>
        <w:spacing w:before="0" w:after="0"/>
      </w:pPr>
      <w:r>
        <w:br w:type="page"/>
      </w:r>
    </w:p>
    <w:p w:rsidR="002C1DE3" w:rsidRPr="00F953FC" w:rsidRDefault="002C1DE3" w:rsidP="00784A72">
      <w:pPr>
        <w:rPr>
          <w:rStyle w:val="Strong"/>
        </w:rPr>
      </w:pPr>
      <w:r w:rsidRPr="00F953FC">
        <w:rPr>
          <w:rStyle w:val="Strong"/>
        </w:rPr>
        <w:lastRenderedPageBreak/>
        <w:t>Overdoses involving prescription opioids are at record levels in Australia</w:t>
      </w:r>
    </w:p>
    <w:p w:rsidR="002C1DE3" w:rsidRPr="005B1409" w:rsidRDefault="002C1DE3" w:rsidP="00784A72">
      <w:r w:rsidRPr="005B1409">
        <w:t>Seventy per cent of all fatal opioid overdoses in Australia involve prescription opioids and pharmaceutical opioid deaths now exceed heroin deaths by a significant margin.</w:t>
      </w:r>
    </w:p>
    <w:p w:rsidR="002C1DE3" w:rsidRPr="005B1409" w:rsidRDefault="002C1DE3" w:rsidP="00784A72">
      <w:r w:rsidRPr="005B1409">
        <w:t>GPs are important partners in our efforts to minimise unnecessary harm or death from the inappropriate use of opioids by helping to limit prescribing to only those clinical situations where evidence shows opioids to be of proven value.</w:t>
      </w:r>
    </w:p>
    <w:p w:rsidR="002C1DE3" w:rsidRPr="00F953FC" w:rsidRDefault="002C1DE3" w:rsidP="00784A72">
      <w:pPr>
        <w:rPr>
          <w:rStyle w:val="Strong"/>
        </w:rPr>
      </w:pPr>
      <w:r w:rsidRPr="00F953FC">
        <w:rPr>
          <w:rStyle w:val="Strong"/>
        </w:rPr>
        <w:t>Our understanding of how best to treat chronic pain has changed in recent years</w:t>
      </w:r>
    </w:p>
    <w:p w:rsidR="002C1DE3" w:rsidRPr="005B1409" w:rsidRDefault="002C1DE3" w:rsidP="00784A72">
      <w:r w:rsidRPr="005B1409">
        <w:t>There is little evidence for the efficacy of long-term opioid use in persistent non-malignant pain. In trials (up to three months), many patients experienced adverse drug effects. However, opioid analgesics may be appropriate for a limited number of patients experiencing persistent non- malignant pain when other treatments have been inadequate.</w:t>
      </w:r>
    </w:p>
    <w:p w:rsidR="002C1DE3" w:rsidRPr="005B1409" w:rsidRDefault="002C1DE3" w:rsidP="00784A72">
      <w:r w:rsidRPr="005B1409">
        <w:t>It is important to remember that:</w:t>
      </w:r>
    </w:p>
    <w:p w:rsidR="002C1DE3" w:rsidRPr="005B1409" w:rsidRDefault="002C1DE3" w:rsidP="00F953FC">
      <w:pPr>
        <w:pStyle w:val="ListParagraph"/>
      </w:pPr>
      <w:r w:rsidRPr="005B1409">
        <w:t>Opioid dependence can develop quite rapidly, even over a brief course of treatment.</w:t>
      </w:r>
    </w:p>
    <w:p w:rsidR="002C1DE3" w:rsidRPr="005B1409" w:rsidRDefault="002C1DE3" w:rsidP="00F953FC">
      <w:pPr>
        <w:pStyle w:val="ListParagraph"/>
      </w:pPr>
      <w:r w:rsidRPr="005B1409">
        <w:t>The symptoms of opioid withdrawal can be mistaken for pain symptoms, leading to new prescriptions.</w:t>
      </w:r>
    </w:p>
    <w:p w:rsidR="002C1DE3" w:rsidRPr="005B1409" w:rsidRDefault="002C1DE3" w:rsidP="00F953FC">
      <w:pPr>
        <w:pStyle w:val="ListParagraph"/>
      </w:pPr>
      <w:r w:rsidRPr="005B1409">
        <w:t>Long-term use of opioids is associated with potentially serious adverse effects, including increased risk of fatal overdose, dependence or addiction.</w:t>
      </w:r>
    </w:p>
    <w:p w:rsidR="002C1DE3" w:rsidRPr="005B1409" w:rsidRDefault="002C1DE3" w:rsidP="00784A72">
      <w:r w:rsidRPr="005B1409">
        <w:t>If you believe that a patient may be opioid dependent, you should discuss options with them such as alternate pain management strategies, referral to specialist alcohol and drug services, opioid medication tapering or opioid substitution therapy.</w:t>
      </w:r>
    </w:p>
    <w:p w:rsidR="002C1DE3" w:rsidRPr="00F953FC" w:rsidRDefault="002C1DE3" w:rsidP="00784A72">
      <w:pPr>
        <w:rPr>
          <w:rStyle w:val="Strong"/>
        </w:rPr>
      </w:pPr>
      <w:r w:rsidRPr="00F953FC">
        <w:rPr>
          <w:rStyle w:val="Strong"/>
        </w:rPr>
        <w:t>MORE INFORMATION</w:t>
      </w:r>
    </w:p>
    <w:p w:rsidR="002C1DE3" w:rsidRPr="005B1409" w:rsidRDefault="002C1DE3" w:rsidP="00784A72">
      <w:r w:rsidRPr="005B1409">
        <w:t>The National Alcohol and Other Drugs Hotline (1800 250 015) can give you the contact details of specialist alcohol and drug services in your area.</w:t>
      </w:r>
    </w:p>
    <w:p w:rsidR="002C1DE3" w:rsidRPr="005B1409" w:rsidRDefault="002C1DE3" w:rsidP="00784A72">
      <w:r w:rsidRPr="005B1409">
        <w:t xml:space="preserve">The Department of Health has established an internet page with links to external web resources on appropriate prescribing of drugs of dependence at </w:t>
      </w:r>
      <w:hyperlink r:id="rId35">
        <w:r w:rsidRPr="002C1DE3">
          <w:rPr>
            <w:color w:val="0000FF"/>
            <w:u w:val="single" w:color="0000FF"/>
          </w:rPr>
          <w:t>www.health.gov.au/opioidprescribing</w:t>
        </w:r>
      </w:hyperlink>
      <w:r w:rsidRPr="005B1409">
        <w:t>. These resources include peer reviewed advice provided by the Royal Australian College of General Practice (RACGP) and continuing professional development materials from the National Prescribing Service (NPS).</w:t>
      </w:r>
    </w:p>
    <w:p w:rsidR="002C1DE3" w:rsidRPr="005B1409" w:rsidRDefault="002C1DE3" w:rsidP="00784A72">
      <w:r w:rsidRPr="005B1409">
        <w:t>To discuss the contents of this letter please contact the Department of Health on 1800 316 386.</w:t>
      </w:r>
    </w:p>
    <w:p w:rsidR="002C1DE3" w:rsidRPr="005B1409" w:rsidRDefault="002C1DE3" w:rsidP="00784A72">
      <w:r w:rsidRPr="005B1409">
        <w:t>Yours sincerely</w:t>
      </w:r>
      <w:r w:rsidRPr="005B1409">
        <w:rPr>
          <w:noProof/>
          <w:lang w:eastAsia="en-AU"/>
        </w:rPr>
        <w:drawing>
          <wp:anchor distT="0" distB="0" distL="0" distR="0" simplePos="0" relativeHeight="251671552" behindDoc="0" locked="0" layoutInCell="1" allowOverlap="1" wp14:anchorId="4C52618C" wp14:editId="2DDBBC4E">
            <wp:simplePos x="0" y="0"/>
            <wp:positionH relativeFrom="page">
              <wp:posOffset>847725</wp:posOffset>
            </wp:positionH>
            <wp:positionV relativeFrom="paragraph">
              <wp:posOffset>207040</wp:posOffset>
            </wp:positionV>
            <wp:extent cx="1123950" cy="428625"/>
            <wp:effectExtent l="0" t="0" r="0" b="9525"/>
            <wp:wrapTopAndBottom/>
            <wp:docPr id="61" name="image2.jpeg" descr="Signature of Professor Brendan Murphy, Chiefe Medical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6" cstate="print"/>
                    <a:stretch>
                      <a:fillRect/>
                    </a:stretch>
                  </pic:blipFill>
                  <pic:spPr>
                    <a:xfrm>
                      <a:off x="0" y="0"/>
                      <a:ext cx="1123950" cy="428625"/>
                    </a:xfrm>
                    <a:prstGeom prst="rect">
                      <a:avLst/>
                    </a:prstGeom>
                  </pic:spPr>
                </pic:pic>
              </a:graphicData>
            </a:graphic>
          </wp:anchor>
        </w:drawing>
      </w:r>
    </w:p>
    <w:p w:rsidR="00BD7AB1" w:rsidRPr="005B1409" w:rsidRDefault="004505B4" w:rsidP="00784A72">
      <w:r>
        <w:t>Professor Brendan Murphy</w:t>
      </w:r>
    </w:p>
    <w:p w:rsidR="002C1DE3" w:rsidRPr="005B1409" w:rsidRDefault="002C1DE3" w:rsidP="00784A72">
      <w:r w:rsidRPr="005B1409">
        <w:t>Chief Medical Officer</w:t>
      </w:r>
    </w:p>
    <w:p w:rsidR="00BD7AB1" w:rsidRPr="005B1409" w:rsidRDefault="00BD7AB1" w:rsidP="00F953FC">
      <w:pPr>
        <w:pStyle w:val="Heading1"/>
        <w:pageBreakBefore/>
      </w:pPr>
      <w:bookmarkStart w:id="11" w:name="_Appendix_B_–"/>
      <w:bookmarkStart w:id="12" w:name="_Toc68860051"/>
      <w:bookmarkEnd w:id="11"/>
      <w:r w:rsidRPr="005B1409">
        <w:lastRenderedPageBreak/>
        <w:t>Appendix B – Details of statistical analyses</w:t>
      </w:r>
      <w:bookmarkEnd w:id="12"/>
    </w:p>
    <w:p w:rsidR="00BD7AB1" w:rsidRPr="00F37690" w:rsidRDefault="000A7ADC" w:rsidP="00F37690">
      <w:pPr>
        <w:rPr>
          <w:sz w:val="28"/>
          <w:szCs w:val="28"/>
        </w:rPr>
      </w:pPr>
      <w:bookmarkStart w:id="13" w:name="_Toc67989151"/>
      <w:r w:rsidRPr="00F37690">
        <w:rPr>
          <w:sz w:val="28"/>
          <w:szCs w:val="28"/>
        </w:rPr>
        <w:t>Overview</w:t>
      </w:r>
      <w:bookmarkEnd w:id="13"/>
    </w:p>
    <w:p w:rsidR="00BD7AB1" w:rsidRPr="005B1409" w:rsidRDefault="00BD7AB1" w:rsidP="00784A72">
      <w:r w:rsidRPr="005B1409">
        <w:t xml:space="preserve">This project was conducted as a randomised controlled trial (RCT). GPs who were ‘high prescribers’ of selected opioid medications relative to other GPs practising in a similar geographical region in the period from 1 December 2016 to 20 November 2017 were randomly allocated to two groups – a treatment group who received individually addressed letters, and a control group who did not receive a letter. The letters were sent to GPs on </w:t>
      </w:r>
      <w:r w:rsidR="000847F1">
        <w:t xml:space="preserve">      </w:t>
      </w:r>
      <w:r w:rsidRPr="005B1409">
        <w:t xml:space="preserve">8 June 2018, and the prescription rates for these two groups were then compared over the following 12 months until 8 June 2019. </w:t>
      </w:r>
    </w:p>
    <w:p w:rsidR="00BD7AB1" w:rsidRPr="00F37690" w:rsidRDefault="000A7ADC" w:rsidP="00F37690">
      <w:pPr>
        <w:rPr>
          <w:sz w:val="28"/>
          <w:szCs w:val="28"/>
        </w:rPr>
      </w:pPr>
      <w:bookmarkStart w:id="14" w:name="_Toc67989152"/>
      <w:r w:rsidRPr="00F37690">
        <w:rPr>
          <w:sz w:val="28"/>
          <w:szCs w:val="28"/>
        </w:rPr>
        <w:t>Ethics approval</w:t>
      </w:r>
      <w:bookmarkEnd w:id="14"/>
    </w:p>
    <w:p w:rsidR="00BD7AB1" w:rsidRPr="005B1409" w:rsidRDefault="00BD7AB1" w:rsidP="00784A72">
      <w:r w:rsidRPr="005B1409">
        <w:t xml:space="preserve">The project was approved through the University of Queensland Human Research Ethics Committee, which assessed the project as complying with the provisions contained in the </w:t>
      </w:r>
      <w:r w:rsidRPr="000847F1">
        <w:rPr>
          <w:i/>
        </w:rPr>
        <w:t>National Statement on Ethical Conduct in Human Research</w:t>
      </w:r>
      <w:r w:rsidRPr="005B1409">
        <w:t xml:space="preserve">. </w:t>
      </w:r>
    </w:p>
    <w:p w:rsidR="00BD7AB1" w:rsidRPr="00F37690" w:rsidRDefault="000A7ADC" w:rsidP="00F37690">
      <w:pPr>
        <w:rPr>
          <w:sz w:val="28"/>
          <w:szCs w:val="28"/>
        </w:rPr>
      </w:pPr>
      <w:bookmarkStart w:id="15" w:name="_Toc67989153"/>
      <w:r w:rsidRPr="00F37690">
        <w:rPr>
          <w:sz w:val="28"/>
          <w:szCs w:val="28"/>
        </w:rPr>
        <w:t>Outcome</w:t>
      </w:r>
      <w:bookmarkEnd w:id="15"/>
    </w:p>
    <w:p w:rsidR="00BD7AB1" w:rsidRPr="005B1409" w:rsidRDefault="00BD7AB1" w:rsidP="00784A72">
      <w:r w:rsidRPr="005B1409">
        <w:t xml:space="preserve">The key outcome explored was the </w:t>
      </w:r>
      <w:r w:rsidRPr="000847F1">
        <w:rPr>
          <w:b/>
          <w:i/>
        </w:rPr>
        <w:t xml:space="preserve">rate </w:t>
      </w:r>
      <w:r w:rsidRPr="005B1409">
        <w:t xml:space="preserve">of opioids prescribed (number of standard doses per consultation). </w:t>
      </w:r>
    </w:p>
    <w:p w:rsidR="00BD7AB1" w:rsidRPr="005B1409" w:rsidRDefault="00BD7AB1" w:rsidP="00784A72">
      <w:r w:rsidRPr="005B1409">
        <w:t xml:space="preserve">The dataset recorded the number of opioid scripts prescribed by GPs that were taken to a pharmacy and filled. The analysed data does not include non-PBS prescriptions, or prescriptions that were written by the GP but not filled by the patient. </w:t>
      </w:r>
    </w:p>
    <w:p w:rsidR="00BD7AB1" w:rsidRPr="005B1409" w:rsidRDefault="00BD7AB1" w:rsidP="00784A72">
      <w:r w:rsidRPr="005B1409">
        <w:t>Under the PBS, there are different item numbers for prescriptions of each of the different types (e.g. morphine, oxycodone), amount (in milligrams) and delivery method (e.g. oral, injection) of opioid medications. To allow meaningful analysis of prescribing rates, each item was converted to a common scale of measurement – the oral-morphine equivalent dose, or OMED. GP prescribing rates were then calculated based on a standard dose of 30mg OMED</w:t>
      </w:r>
      <w:r w:rsidR="00DE3801" w:rsidRPr="005B1409">
        <w:footnoteReference w:id="5"/>
      </w:r>
      <w:r w:rsidRPr="005B1409">
        <w:t xml:space="preserve">. This allows us to compare a practitioner’s prescribing to others, even if they are prescribing different types of opioids. </w:t>
      </w:r>
    </w:p>
    <w:p w:rsidR="00BD7AB1" w:rsidRPr="005B1409" w:rsidRDefault="00BD7AB1" w:rsidP="00784A72">
      <w:r w:rsidRPr="005B1409">
        <w:t xml:space="preserve">Items for the following opioid types were included: </w:t>
      </w:r>
    </w:p>
    <w:p w:rsidR="00BD7AB1" w:rsidRPr="005B1409" w:rsidRDefault="00BD7AB1" w:rsidP="00F953FC">
      <w:pPr>
        <w:pStyle w:val="ListBullet"/>
      </w:pPr>
      <w:r w:rsidRPr="005B1409">
        <w:t xml:space="preserve">Buprenorphine </w:t>
      </w:r>
    </w:p>
    <w:p w:rsidR="00BD7AB1" w:rsidRPr="005B1409" w:rsidRDefault="00BD7AB1" w:rsidP="00F953FC">
      <w:pPr>
        <w:pStyle w:val="ListBullet"/>
      </w:pPr>
      <w:r w:rsidRPr="005B1409">
        <w:t xml:space="preserve">Fentanyl </w:t>
      </w:r>
    </w:p>
    <w:p w:rsidR="00BD7AB1" w:rsidRPr="005B1409" w:rsidRDefault="00BD7AB1" w:rsidP="00F953FC">
      <w:pPr>
        <w:pStyle w:val="ListBullet"/>
      </w:pPr>
      <w:r w:rsidRPr="005B1409">
        <w:t xml:space="preserve">Hydromorphone </w:t>
      </w:r>
    </w:p>
    <w:p w:rsidR="00BD7AB1" w:rsidRPr="005B1409" w:rsidRDefault="00BD7AB1" w:rsidP="00F953FC">
      <w:pPr>
        <w:pStyle w:val="ListBullet"/>
      </w:pPr>
      <w:r w:rsidRPr="005B1409">
        <w:t xml:space="preserve">Methadone </w:t>
      </w:r>
    </w:p>
    <w:p w:rsidR="00BD7AB1" w:rsidRPr="005B1409" w:rsidRDefault="00BD7AB1" w:rsidP="00F953FC">
      <w:pPr>
        <w:pStyle w:val="ListBullet"/>
      </w:pPr>
      <w:r w:rsidRPr="005B1409">
        <w:t xml:space="preserve">Morphine </w:t>
      </w:r>
    </w:p>
    <w:p w:rsidR="00BD7AB1" w:rsidRPr="005B1409" w:rsidRDefault="00BD7AB1" w:rsidP="00F953FC">
      <w:pPr>
        <w:pStyle w:val="ListBullet"/>
      </w:pPr>
      <w:r w:rsidRPr="005B1409">
        <w:t xml:space="preserve">Oxycodone </w:t>
      </w:r>
    </w:p>
    <w:p w:rsidR="00BD7AB1" w:rsidRPr="005B1409" w:rsidRDefault="00BD7AB1" w:rsidP="00F953FC">
      <w:pPr>
        <w:pStyle w:val="ListBullet"/>
      </w:pPr>
      <w:r w:rsidRPr="005B1409">
        <w:t xml:space="preserve">Tapentadol </w:t>
      </w:r>
    </w:p>
    <w:p w:rsidR="00BD7AB1" w:rsidRPr="005B1409" w:rsidRDefault="00F953FC" w:rsidP="00F953FC">
      <w:pPr>
        <w:pStyle w:val="ListBullet"/>
      </w:pPr>
      <w:r>
        <w:t>Tramadol</w:t>
      </w:r>
    </w:p>
    <w:p w:rsidR="00BD7AB1" w:rsidRPr="005B1409" w:rsidRDefault="00BD7AB1" w:rsidP="004D46BE">
      <w:pPr>
        <w:pStyle w:val="ListBullet"/>
        <w:pageBreakBefore/>
        <w:numPr>
          <w:ilvl w:val="0"/>
          <w:numId w:val="0"/>
        </w:numPr>
      </w:pPr>
      <w:r w:rsidRPr="005B1409">
        <w:lastRenderedPageBreak/>
        <w:t>Items f</w:t>
      </w:r>
      <w:r w:rsidR="00F953FC">
        <w:t>or the following were excluded:</w:t>
      </w:r>
    </w:p>
    <w:p w:rsidR="00BD7AB1" w:rsidRPr="00F37690" w:rsidRDefault="00BD7AB1" w:rsidP="00F953FC">
      <w:pPr>
        <w:pStyle w:val="ListBullet"/>
        <w:rPr>
          <w:sz w:val="22"/>
          <w:szCs w:val="22"/>
        </w:rPr>
      </w:pPr>
      <w:r w:rsidRPr="00F37690">
        <w:rPr>
          <w:sz w:val="22"/>
          <w:szCs w:val="22"/>
        </w:rPr>
        <w:t xml:space="preserve">codeine because of its recent re-scheduling; from 1 February 2018, low-dose codeine medications became no longer available over-the-counter at pharmacies and now require a prescription for supply; </w:t>
      </w:r>
    </w:p>
    <w:p w:rsidR="00D8251D" w:rsidRDefault="00BD7AB1" w:rsidP="00F953FC">
      <w:pPr>
        <w:pStyle w:val="ListBullet"/>
        <w:rPr>
          <w:sz w:val="22"/>
          <w:szCs w:val="22"/>
        </w:rPr>
      </w:pPr>
      <w:r w:rsidRPr="00F37690">
        <w:rPr>
          <w:sz w:val="22"/>
          <w:szCs w:val="22"/>
        </w:rPr>
        <w:t>palliative care-specific items, to avoid targeting GPs who were working with a high number of palliative patients</w:t>
      </w:r>
      <w:r w:rsidR="00D8251D">
        <w:rPr>
          <w:sz w:val="22"/>
          <w:szCs w:val="22"/>
        </w:rPr>
        <w:t>;</w:t>
      </w:r>
      <w:r w:rsidRPr="00F37690">
        <w:rPr>
          <w:sz w:val="22"/>
          <w:szCs w:val="22"/>
        </w:rPr>
        <w:t xml:space="preserve"> </w:t>
      </w:r>
    </w:p>
    <w:p w:rsidR="00D8251D" w:rsidRDefault="00BD7AB1" w:rsidP="00F953FC">
      <w:pPr>
        <w:pStyle w:val="ListBullet"/>
        <w:rPr>
          <w:sz w:val="22"/>
          <w:szCs w:val="22"/>
        </w:rPr>
      </w:pPr>
      <w:r w:rsidRPr="00F37690">
        <w:rPr>
          <w:sz w:val="22"/>
          <w:szCs w:val="22"/>
        </w:rPr>
        <w:t xml:space="preserve">opioids prescribed under the PBS for opioid </w:t>
      </w:r>
      <w:r w:rsidR="00D8251D">
        <w:rPr>
          <w:sz w:val="22"/>
          <w:szCs w:val="22"/>
        </w:rPr>
        <w:t>replacement</w:t>
      </w:r>
      <w:r w:rsidRPr="00F37690">
        <w:rPr>
          <w:sz w:val="22"/>
          <w:szCs w:val="22"/>
        </w:rPr>
        <w:t xml:space="preserve"> therapy (O</w:t>
      </w:r>
      <w:r w:rsidR="00D8251D">
        <w:rPr>
          <w:sz w:val="22"/>
          <w:szCs w:val="22"/>
        </w:rPr>
        <w:t>R</w:t>
      </w:r>
      <w:r w:rsidRPr="00F37690">
        <w:rPr>
          <w:sz w:val="22"/>
          <w:szCs w:val="22"/>
        </w:rPr>
        <w:t>T), to avoid targeting GPs who were working with a high num</w:t>
      </w:r>
      <w:r w:rsidR="00D8251D">
        <w:rPr>
          <w:sz w:val="22"/>
          <w:szCs w:val="22"/>
        </w:rPr>
        <w:t>ber of opioid-addicted patients; and</w:t>
      </w:r>
    </w:p>
    <w:p w:rsidR="00D8251D" w:rsidRPr="00F37690" w:rsidRDefault="00D8251D" w:rsidP="00D8251D">
      <w:pPr>
        <w:pStyle w:val="ListBullet"/>
        <w:rPr>
          <w:sz w:val="22"/>
          <w:szCs w:val="22"/>
        </w:rPr>
      </w:pPr>
      <w:r w:rsidRPr="00D8251D">
        <w:rPr>
          <w:sz w:val="22"/>
          <w:szCs w:val="22"/>
        </w:rPr>
        <w:t>data for GP consultations occurring in R</w:t>
      </w:r>
      <w:r>
        <w:rPr>
          <w:sz w:val="22"/>
          <w:szCs w:val="22"/>
        </w:rPr>
        <w:t>esidential Aged Care Facilities</w:t>
      </w:r>
      <w:r w:rsidR="001C3DF0">
        <w:rPr>
          <w:sz w:val="22"/>
          <w:szCs w:val="22"/>
        </w:rPr>
        <w:t>.</w:t>
      </w:r>
      <w:r w:rsidRPr="00F37690">
        <w:rPr>
          <w:sz w:val="22"/>
          <w:szCs w:val="22"/>
        </w:rPr>
        <w:t xml:space="preserve"> </w:t>
      </w:r>
    </w:p>
    <w:p w:rsidR="00BD7AB1" w:rsidRPr="00F37690" w:rsidRDefault="00BD7AB1" w:rsidP="001C3DF0">
      <w:pPr>
        <w:pStyle w:val="ListBullet"/>
        <w:numPr>
          <w:ilvl w:val="0"/>
          <w:numId w:val="0"/>
        </w:numPr>
        <w:ind w:left="360"/>
        <w:rPr>
          <w:sz w:val="22"/>
          <w:szCs w:val="22"/>
        </w:rPr>
      </w:pPr>
    </w:p>
    <w:p w:rsidR="00BD7AB1" w:rsidRPr="00F37690" w:rsidRDefault="000A7ADC" w:rsidP="00F37690">
      <w:pPr>
        <w:rPr>
          <w:sz w:val="28"/>
          <w:szCs w:val="28"/>
        </w:rPr>
      </w:pPr>
      <w:bookmarkStart w:id="16" w:name="_Toc67989154"/>
      <w:r w:rsidRPr="00F37690">
        <w:rPr>
          <w:sz w:val="28"/>
          <w:szCs w:val="28"/>
        </w:rPr>
        <w:t>Population and sampling</w:t>
      </w:r>
      <w:bookmarkEnd w:id="16"/>
    </w:p>
    <w:p w:rsidR="00BD7AB1" w:rsidRPr="005B1409" w:rsidRDefault="00BD7AB1" w:rsidP="00784A72">
      <w:r w:rsidRPr="005B1409">
        <w:t>The population of interest was GPs classified as ‘high prescribers’ of opioids relative to their peers. A ‘high prescriber’ was a GP in the top 20 per cent of opioid prescribers whose primary practice was in a similar geographic region, based on their prescription rate over the 12 month period before the trial. Regions were defined using the Modified Monash Model</w:t>
      </w:r>
      <w:r w:rsidR="00DE3801" w:rsidRPr="00F37690">
        <w:rPr>
          <w:rStyle w:val="StyleEndnoteReference"/>
        </w:rPr>
        <w:endnoteReference w:id="19"/>
      </w:r>
      <w:r w:rsidRPr="00F37690">
        <w:rPr>
          <w:rStyle w:val="StyleEndnoteReference"/>
        </w:rPr>
        <w:t xml:space="preserve"> </w:t>
      </w:r>
      <w:r w:rsidRPr="005B1409">
        <w:t xml:space="preserve">(MMM), with the seven levels of the MMM dichotomised to metropolitan and regional/rural/remote. </w:t>
      </w:r>
    </w:p>
    <w:p w:rsidR="00BD7AB1" w:rsidRPr="005B1409" w:rsidRDefault="00BD7AB1" w:rsidP="00784A72">
      <w:r w:rsidRPr="005B1409">
        <w:t>In order to minimise the likelihood of including GPs who were on leave or who had recently retired or left the discipline, selected GPs were removed prior to calculating percentiles. GPs who had fewer than 1,000 MBS consultations during the 12 month period, or who had more scripts than consultations</w:t>
      </w:r>
      <w:r w:rsidR="00D8251D">
        <w:t>,</w:t>
      </w:r>
      <w:r w:rsidRPr="005B1409">
        <w:t xml:space="preserve"> were excluded, because this is considered a </w:t>
      </w:r>
      <w:r w:rsidR="004505B4">
        <w:t>low level of activity for a GP.</w:t>
      </w:r>
    </w:p>
    <w:p w:rsidR="00BD7AB1" w:rsidRPr="00F37690" w:rsidRDefault="000A7ADC" w:rsidP="00F37690">
      <w:pPr>
        <w:rPr>
          <w:sz w:val="28"/>
          <w:szCs w:val="28"/>
        </w:rPr>
      </w:pPr>
      <w:bookmarkStart w:id="17" w:name="_Toc67989155"/>
      <w:r w:rsidRPr="00F37690">
        <w:rPr>
          <w:sz w:val="28"/>
          <w:szCs w:val="28"/>
        </w:rPr>
        <w:t>Matching and randomisation</w:t>
      </w:r>
      <w:bookmarkEnd w:id="17"/>
    </w:p>
    <w:p w:rsidR="00BD7AB1" w:rsidRPr="005B1409" w:rsidRDefault="00BD7AB1" w:rsidP="00784A72">
      <w:r w:rsidRPr="005B1409">
        <w:t xml:space="preserve">Randomisation occurred at the individual GP level and was conducted by block randomisation. GPs were grouped into blocks of five GPs, with one GP in each block randomly selected to the control group, and the remaining four in each block to the treatment group. This meant that each GP had a 20% chance of being selected into the control group, and an 80% chance of being selected into the treatment group. Blocks were generated to minimise differences in identified covariates – geographic location (based on the MMM), gender, age and professional class. </w:t>
      </w:r>
    </w:p>
    <w:p w:rsidR="00BD7AB1" w:rsidRPr="00F37690" w:rsidRDefault="000A7ADC" w:rsidP="00F37690">
      <w:pPr>
        <w:rPr>
          <w:sz w:val="28"/>
          <w:szCs w:val="28"/>
        </w:rPr>
      </w:pPr>
      <w:bookmarkStart w:id="18" w:name="_Toc67989156"/>
      <w:r w:rsidRPr="00F37690">
        <w:rPr>
          <w:sz w:val="28"/>
          <w:szCs w:val="28"/>
        </w:rPr>
        <w:t>Analysis</w:t>
      </w:r>
      <w:bookmarkEnd w:id="18"/>
    </w:p>
    <w:p w:rsidR="00BD7AB1" w:rsidRPr="005B1409" w:rsidRDefault="00BD7AB1" w:rsidP="00784A72">
      <w:r w:rsidRPr="005B1409">
        <w:t>The analysis compared the treatment and control group for each comparison. This was achieved by invoking a longitudinal analysis of covariance. The outcome variables were strongly skewed, so a log transformation was applied for each. A linear regression was used to estimate the effect</w:t>
      </w:r>
      <w:r w:rsidR="00F953FC">
        <w:t xml:space="preserve"> of the intervention, as shown:</w:t>
      </w:r>
    </w:p>
    <w:p w:rsidR="00BD7AB1" w:rsidRPr="00F37690" w:rsidRDefault="00BD7AB1" w:rsidP="004B091F">
      <w:pPr>
        <w:rPr>
          <w:rStyle w:val="Strong"/>
          <w:sz w:val="20"/>
          <w:szCs w:val="20"/>
        </w:rPr>
      </w:pPr>
      <w:r w:rsidRPr="00F37690">
        <w:rPr>
          <w:rStyle w:val="Strong"/>
          <w:sz w:val="20"/>
          <w:szCs w:val="20"/>
        </w:rPr>
        <w:t xml:space="preserve">loge (Yi,t + constant1) = β0 + β1Treatment + β2Location + β3loge (Yi,t–1 + constant2) + εi,t </w:t>
      </w:r>
    </w:p>
    <w:p w:rsidR="00BD7AB1" w:rsidRPr="005B1409" w:rsidRDefault="00BD7AB1" w:rsidP="00784A72">
      <w:r w:rsidRPr="005B1409">
        <w:t>This regression model adjusts for baseline differences by adding the baseline prescribing rate as the lagged-dependent variable. This is considered critical because it (i) guards against regression-to-the-mean issues, and more importantly (ii) adjusts for confounding effects between the outcome and the lagged version of itself (baseline). Location was also included as a covariate. Regression results were back-trans</w:t>
      </w:r>
      <w:r w:rsidR="00F953FC">
        <w:t>formed to the original units.</w:t>
      </w:r>
    </w:p>
    <w:p w:rsidR="004C502E" w:rsidRPr="005B1409" w:rsidRDefault="00BD7AB1" w:rsidP="00784A72">
      <w:r w:rsidRPr="005B1409">
        <w:t xml:space="preserve">The table below presents the statistical details of the analyses presented in this report. For each comparison, the means of the two groups are estimated and compared using the regression model described above. The </w:t>
      </w:r>
      <w:r w:rsidRPr="00F37690">
        <w:rPr>
          <w:i/>
        </w:rPr>
        <w:t>p</w:t>
      </w:r>
      <w:r w:rsidRPr="005B1409">
        <w:t xml:space="preserve">-value of the treatment coefficient indicates whether the treatment group is significantly different to the control group – here, a </w:t>
      </w:r>
      <w:r w:rsidRPr="00F37690">
        <w:rPr>
          <w:i/>
        </w:rPr>
        <w:t>p</w:t>
      </w:r>
      <w:r w:rsidRPr="005B1409">
        <w:t>-value of less than 0.05 is considered statistically significant.</w:t>
      </w:r>
    </w:p>
    <w:tbl>
      <w:tblPr>
        <w:tblStyle w:val="TableGridLight"/>
        <w:tblW w:w="9761" w:type="dxa"/>
        <w:tblLayout w:type="fixed"/>
        <w:tblLook w:val="00A0" w:firstRow="1" w:lastRow="0" w:firstColumn="1" w:lastColumn="0" w:noHBand="0" w:noVBand="0"/>
        <w:tblDescription w:val="Number of scripts, standard doses and prescribing rates for the control and treatment groups by overall total (12 months), Metropolitan total (12 months), Regional/Rural/Remote (12 months). Prescribing rate by month (cumulative) for months 1 to 12 for the control and treatment groups."/>
      </w:tblPr>
      <w:tblGrid>
        <w:gridCol w:w="1952"/>
        <w:gridCol w:w="1952"/>
        <w:gridCol w:w="60"/>
        <w:gridCol w:w="1892"/>
        <w:gridCol w:w="93"/>
        <w:gridCol w:w="1843"/>
        <w:gridCol w:w="16"/>
        <w:gridCol w:w="1953"/>
      </w:tblGrid>
      <w:tr w:rsidR="007B06F3" w:rsidTr="007272E2">
        <w:trPr>
          <w:cnfStyle w:val="100000000000" w:firstRow="1" w:lastRow="0" w:firstColumn="0" w:lastColumn="0" w:oddVBand="0" w:evenVBand="0" w:oddHBand="0" w:evenHBand="0" w:firstRowFirstColumn="0" w:firstRowLastColumn="0" w:lastRowFirstColumn="0" w:lastRowLastColumn="0"/>
          <w:trHeight w:val="479"/>
          <w:tblHeader/>
        </w:trPr>
        <w:tc>
          <w:tcPr>
            <w:tcW w:w="3964" w:type="dxa"/>
            <w:gridSpan w:val="3"/>
          </w:tcPr>
          <w:p w:rsidR="00CB6351" w:rsidRPr="005B1409" w:rsidRDefault="00CB6351" w:rsidP="00784A72">
            <w:r w:rsidRPr="005B1409">
              <w:lastRenderedPageBreak/>
              <w:t>Control</w:t>
            </w:r>
          </w:p>
          <w:p w:rsidR="007B06F3" w:rsidRPr="005B1409" w:rsidRDefault="007B06F3" w:rsidP="00784A72">
            <w:r w:rsidRPr="005B1409">
              <w:t xml:space="preserve">(mean) </w:t>
            </w:r>
          </w:p>
        </w:tc>
        <w:tc>
          <w:tcPr>
            <w:tcW w:w="1985" w:type="dxa"/>
            <w:gridSpan w:val="2"/>
          </w:tcPr>
          <w:p w:rsidR="007B06F3" w:rsidRPr="005B1409" w:rsidRDefault="007B06F3" w:rsidP="00784A72">
            <w:r w:rsidRPr="005B1409">
              <w:t xml:space="preserve">Treatment group (mean) </w:t>
            </w:r>
          </w:p>
        </w:tc>
        <w:tc>
          <w:tcPr>
            <w:tcW w:w="1843" w:type="dxa"/>
          </w:tcPr>
          <w:p w:rsidR="007B06F3" w:rsidRPr="005B1409" w:rsidRDefault="007B06F3" w:rsidP="00784A72">
            <w:r w:rsidRPr="005B1409">
              <w:t xml:space="preserve">Treatment – Control percentage difference </w:t>
            </w:r>
          </w:p>
        </w:tc>
        <w:tc>
          <w:tcPr>
            <w:tcW w:w="1969" w:type="dxa"/>
            <w:gridSpan w:val="2"/>
          </w:tcPr>
          <w:p w:rsidR="007B06F3" w:rsidRPr="005B1409" w:rsidRDefault="007B06F3" w:rsidP="00784A72">
            <w:r w:rsidRPr="00F37690">
              <w:rPr>
                <w:i/>
              </w:rPr>
              <w:t>p</w:t>
            </w:r>
            <w:r w:rsidRPr="005B1409">
              <w:t xml:space="preserve">-value </w:t>
            </w:r>
          </w:p>
        </w:tc>
      </w:tr>
      <w:tr w:rsidR="007B06F3" w:rsidTr="007272E2">
        <w:trPr>
          <w:trHeight w:val="107"/>
        </w:trPr>
        <w:tc>
          <w:tcPr>
            <w:tcW w:w="9761" w:type="dxa"/>
            <w:gridSpan w:val="8"/>
          </w:tcPr>
          <w:p w:rsidR="007B06F3" w:rsidRPr="00CF2BEB" w:rsidRDefault="007B06F3" w:rsidP="00CF2BEB">
            <w:pPr>
              <w:pStyle w:val="Tablehead"/>
            </w:pPr>
            <w:r w:rsidRPr="00CF2BEB">
              <w:rPr>
                <w:rFonts w:eastAsiaTheme="majorEastAsia"/>
              </w:rPr>
              <w:t xml:space="preserve">Overall (total 12 months) </w:t>
            </w:r>
          </w:p>
        </w:tc>
      </w:tr>
      <w:tr w:rsidR="007B06F3" w:rsidTr="007272E2">
        <w:trPr>
          <w:trHeight w:val="106"/>
        </w:trPr>
        <w:tc>
          <w:tcPr>
            <w:tcW w:w="1952" w:type="dxa"/>
          </w:tcPr>
          <w:p w:rsidR="007B06F3" w:rsidRPr="005B1409" w:rsidRDefault="007B06F3" w:rsidP="00F953FC">
            <w:pPr>
              <w:pStyle w:val="Tabletext"/>
            </w:pPr>
            <w:r w:rsidRPr="005B1409">
              <w:t xml:space="preserve">Scripts </w:t>
            </w:r>
          </w:p>
        </w:tc>
        <w:tc>
          <w:tcPr>
            <w:tcW w:w="1952" w:type="dxa"/>
          </w:tcPr>
          <w:p w:rsidR="007B06F3" w:rsidRPr="005B1409" w:rsidRDefault="007B06F3" w:rsidP="00F953FC">
            <w:pPr>
              <w:pStyle w:val="Tabletext"/>
            </w:pPr>
            <w:r w:rsidRPr="005B1409">
              <w:t xml:space="preserve">507.9 </w:t>
            </w:r>
          </w:p>
        </w:tc>
        <w:tc>
          <w:tcPr>
            <w:tcW w:w="1952" w:type="dxa"/>
            <w:gridSpan w:val="2"/>
          </w:tcPr>
          <w:p w:rsidR="007B06F3" w:rsidRPr="005B1409" w:rsidRDefault="007B06F3" w:rsidP="00F953FC">
            <w:pPr>
              <w:pStyle w:val="Tabletext"/>
            </w:pPr>
            <w:r w:rsidRPr="005B1409">
              <w:t xml:space="preserve">486.9 </w:t>
            </w:r>
          </w:p>
        </w:tc>
        <w:tc>
          <w:tcPr>
            <w:tcW w:w="1952" w:type="dxa"/>
            <w:gridSpan w:val="3"/>
          </w:tcPr>
          <w:p w:rsidR="007B06F3" w:rsidRPr="005B1409" w:rsidRDefault="007B06F3" w:rsidP="00F953FC">
            <w:pPr>
              <w:pStyle w:val="Tabletext"/>
            </w:pPr>
            <w:r w:rsidRPr="005B1409">
              <w:t xml:space="preserve">-4.12% </w:t>
            </w:r>
          </w:p>
        </w:tc>
        <w:tc>
          <w:tcPr>
            <w:tcW w:w="1953" w:type="dxa"/>
          </w:tcPr>
          <w:p w:rsidR="007B06F3" w:rsidRPr="005B1409" w:rsidRDefault="007B06F3" w:rsidP="00F953FC">
            <w:pPr>
              <w:pStyle w:val="Tabletext"/>
            </w:pPr>
            <w:r w:rsidRPr="005B1409">
              <w:t xml:space="preserve">0.0039 </w:t>
            </w:r>
          </w:p>
        </w:tc>
      </w:tr>
      <w:tr w:rsidR="007B06F3" w:rsidTr="007272E2">
        <w:trPr>
          <w:trHeight w:val="106"/>
        </w:trPr>
        <w:tc>
          <w:tcPr>
            <w:tcW w:w="1952" w:type="dxa"/>
          </w:tcPr>
          <w:p w:rsidR="007B06F3" w:rsidRPr="005B1409" w:rsidRDefault="007B06F3" w:rsidP="00F953FC">
            <w:pPr>
              <w:pStyle w:val="Tabletext"/>
            </w:pPr>
            <w:r w:rsidRPr="005B1409">
              <w:t xml:space="preserve">Standard doses </w:t>
            </w:r>
          </w:p>
        </w:tc>
        <w:tc>
          <w:tcPr>
            <w:tcW w:w="1952" w:type="dxa"/>
          </w:tcPr>
          <w:p w:rsidR="007B06F3" w:rsidRPr="005B1409" w:rsidRDefault="007B06F3" w:rsidP="00F953FC">
            <w:pPr>
              <w:pStyle w:val="Tabletext"/>
            </w:pPr>
            <w:r w:rsidRPr="005B1409">
              <w:t xml:space="preserve">14,287.9 </w:t>
            </w:r>
          </w:p>
        </w:tc>
        <w:tc>
          <w:tcPr>
            <w:tcW w:w="1952" w:type="dxa"/>
            <w:gridSpan w:val="2"/>
          </w:tcPr>
          <w:p w:rsidR="007B06F3" w:rsidRPr="005B1409" w:rsidRDefault="007B06F3" w:rsidP="00F953FC">
            <w:pPr>
              <w:pStyle w:val="Tabletext"/>
            </w:pPr>
            <w:r w:rsidRPr="005B1409">
              <w:t xml:space="preserve">13,693.4 </w:t>
            </w:r>
          </w:p>
        </w:tc>
        <w:tc>
          <w:tcPr>
            <w:tcW w:w="1952" w:type="dxa"/>
            <w:gridSpan w:val="3"/>
          </w:tcPr>
          <w:p w:rsidR="007B06F3" w:rsidRPr="005B1409" w:rsidRDefault="007B06F3" w:rsidP="00F953FC">
            <w:pPr>
              <w:pStyle w:val="Tabletext"/>
            </w:pPr>
            <w:r w:rsidRPr="005B1409">
              <w:t xml:space="preserve">-4.12% </w:t>
            </w:r>
          </w:p>
        </w:tc>
        <w:tc>
          <w:tcPr>
            <w:tcW w:w="1953" w:type="dxa"/>
          </w:tcPr>
          <w:p w:rsidR="007B06F3" w:rsidRPr="005B1409" w:rsidRDefault="007B06F3" w:rsidP="00F953FC">
            <w:pPr>
              <w:pStyle w:val="Tabletext"/>
            </w:pPr>
            <w:r w:rsidRPr="005B1409">
              <w:t xml:space="preserve">0.0066 </w:t>
            </w:r>
          </w:p>
        </w:tc>
      </w:tr>
      <w:tr w:rsidR="007B06F3" w:rsidTr="007272E2">
        <w:trPr>
          <w:trHeight w:val="106"/>
        </w:trPr>
        <w:tc>
          <w:tcPr>
            <w:tcW w:w="1952" w:type="dxa"/>
          </w:tcPr>
          <w:p w:rsidR="007B06F3" w:rsidRPr="005B1409" w:rsidRDefault="007B06F3" w:rsidP="00F953FC">
            <w:pPr>
              <w:pStyle w:val="Tabletext"/>
            </w:pPr>
            <w:r w:rsidRPr="005B1409">
              <w:t xml:space="preserve">Prescribing rate </w:t>
            </w:r>
          </w:p>
        </w:tc>
        <w:tc>
          <w:tcPr>
            <w:tcW w:w="1952" w:type="dxa"/>
          </w:tcPr>
          <w:p w:rsidR="007B06F3" w:rsidRPr="005B1409" w:rsidRDefault="007B06F3" w:rsidP="00F953FC">
            <w:pPr>
              <w:pStyle w:val="Tabletext"/>
            </w:pPr>
            <w:r w:rsidRPr="005B1409">
              <w:t xml:space="preserve">3.92 </w:t>
            </w:r>
          </w:p>
        </w:tc>
        <w:tc>
          <w:tcPr>
            <w:tcW w:w="1952" w:type="dxa"/>
            <w:gridSpan w:val="2"/>
          </w:tcPr>
          <w:p w:rsidR="007B06F3" w:rsidRPr="005B1409" w:rsidRDefault="007B06F3" w:rsidP="00F953FC">
            <w:pPr>
              <w:pStyle w:val="Tabletext"/>
            </w:pPr>
            <w:r w:rsidRPr="005B1409">
              <w:t xml:space="preserve">3.76 </w:t>
            </w:r>
          </w:p>
        </w:tc>
        <w:tc>
          <w:tcPr>
            <w:tcW w:w="1952" w:type="dxa"/>
            <w:gridSpan w:val="3"/>
          </w:tcPr>
          <w:p w:rsidR="007B06F3" w:rsidRPr="005B1409" w:rsidRDefault="007B06F3" w:rsidP="00F953FC">
            <w:pPr>
              <w:pStyle w:val="Tabletext"/>
            </w:pPr>
            <w:r w:rsidRPr="005B1409">
              <w:t xml:space="preserve">-4.07% </w:t>
            </w:r>
          </w:p>
        </w:tc>
        <w:tc>
          <w:tcPr>
            <w:tcW w:w="1953" w:type="dxa"/>
          </w:tcPr>
          <w:p w:rsidR="007B06F3" w:rsidRPr="005B1409" w:rsidRDefault="007B06F3" w:rsidP="00F953FC">
            <w:pPr>
              <w:pStyle w:val="Tabletext"/>
            </w:pPr>
            <w:r w:rsidRPr="005B1409">
              <w:t xml:space="preserve">0.0050 </w:t>
            </w:r>
          </w:p>
        </w:tc>
      </w:tr>
      <w:tr w:rsidR="007B06F3" w:rsidTr="007272E2">
        <w:trPr>
          <w:trHeight w:val="107"/>
        </w:trPr>
        <w:tc>
          <w:tcPr>
            <w:tcW w:w="9761" w:type="dxa"/>
            <w:gridSpan w:val="8"/>
          </w:tcPr>
          <w:p w:rsidR="007B06F3" w:rsidRPr="00CF2BEB" w:rsidRDefault="007B06F3" w:rsidP="00CF2BEB">
            <w:pPr>
              <w:pStyle w:val="Tablehead"/>
            </w:pPr>
            <w:r w:rsidRPr="00CF2BEB">
              <w:rPr>
                <w:rFonts w:eastAsiaTheme="majorEastAsia"/>
              </w:rPr>
              <w:t>Prescribing rate by month (cumulative)</w:t>
            </w:r>
          </w:p>
        </w:tc>
      </w:tr>
      <w:tr w:rsidR="007B06F3" w:rsidTr="007272E2">
        <w:trPr>
          <w:trHeight w:val="106"/>
        </w:trPr>
        <w:tc>
          <w:tcPr>
            <w:tcW w:w="1952" w:type="dxa"/>
          </w:tcPr>
          <w:p w:rsidR="007B06F3" w:rsidRPr="005B1409" w:rsidRDefault="007B06F3" w:rsidP="00F953FC">
            <w:pPr>
              <w:pStyle w:val="Tabletext"/>
            </w:pPr>
            <w:r w:rsidRPr="005B1409">
              <w:t xml:space="preserve">Month 1 </w:t>
            </w:r>
          </w:p>
        </w:tc>
        <w:tc>
          <w:tcPr>
            <w:tcW w:w="1952" w:type="dxa"/>
          </w:tcPr>
          <w:p w:rsidR="007B06F3" w:rsidRPr="005B1409" w:rsidRDefault="007B06F3" w:rsidP="00F953FC">
            <w:pPr>
              <w:pStyle w:val="Tabletext"/>
            </w:pPr>
            <w:r w:rsidRPr="005B1409">
              <w:t xml:space="preserve">3.63 </w:t>
            </w:r>
          </w:p>
        </w:tc>
        <w:tc>
          <w:tcPr>
            <w:tcW w:w="1952" w:type="dxa"/>
            <w:gridSpan w:val="2"/>
          </w:tcPr>
          <w:p w:rsidR="007B06F3" w:rsidRPr="005B1409" w:rsidRDefault="007B06F3" w:rsidP="00F953FC">
            <w:pPr>
              <w:pStyle w:val="Tabletext"/>
            </w:pPr>
            <w:r w:rsidRPr="005B1409">
              <w:t xml:space="preserve">3.52 </w:t>
            </w:r>
          </w:p>
        </w:tc>
        <w:tc>
          <w:tcPr>
            <w:tcW w:w="1952" w:type="dxa"/>
            <w:gridSpan w:val="3"/>
          </w:tcPr>
          <w:p w:rsidR="007B06F3" w:rsidRPr="005B1409" w:rsidRDefault="007B06F3" w:rsidP="00F953FC">
            <w:pPr>
              <w:pStyle w:val="Tabletext"/>
            </w:pPr>
            <w:r w:rsidRPr="005B1409">
              <w:t xml:space="preserve">-3.16% </w:t>
            </w:r>
          </w:p>
        </w:tc>
        <w:tc>
          <w:tcPr>
            <w:tcW w:w="1953" w:type="dxa"/>
          </w:tcPr>
          <w:p w:rsidR="007B06F3" w:rsidRPr="005B1409" w:rsidRDefault="007B06F3" w:rsidP="00F953FC">
            <w:pPr>
              <w:pStyle w:val="Tabletext"/>
            </w:pPr>
            <w:r w:rsidRPr="005B1409">
              <w:t xml:space="preserve">0.1482 </w:t>
            </w:r>
          </w:p>
        </w:tc>
      </w:tr>
      <w:tr w:rsidR="007B06F3" w:rsidTr="007272E2">
        <w:trPr>
          <w:trHeight w:val="106"/>
        </w:trPr>
        <w:tc>
          <w:tcPr>
            <w:tcW w:w="1952" w:type="dxa"/>
          </w:tcPr>
          <w:p w:rsidR="007B06F3" w:rsidRPr="005B1409" w:rsidRDefault="007B06F3" w:rsidP="00F953FC">
            <w:pPr>
              <w:pStyle w:val="Tabletext"/>
            </w:pPr>
            <w:r w:rsidRPr="005B1409">
              <w:t xml:space="preserve">Month 2 </w:t>
            </w:r>
          </w:p>
        </w:tc>
        <w:tc>
          <w:tcPr>
            <w:tcW w:w="1952" w:type="dxa"/>
          </w:tcPr>
          <w:p w:rsidR="007B06F3" w:rsidRPr="005B1409" w:rsidRDefault="007B06F3" w:rsidP="00F953FC">
            <w:pPr>
              <w:pStyle w:val="Tabletext"/>
            </w:pPr>
            <w:r w:rsidRPr="005B1409">
              <w:t xml:space="preserve">3.84 </w:t>
            </w:r>
          </w:p>
        </w:tc>
        <w:tc>
          <w:tcPr>
            <w:tcW w:w="1952" w:type="dxa"/>
            <w:gridSpan w:val="2"/>
          </w:tcPr>
          <w:p w:rsidR="007B06F3" w:rsidRPr="005B1409" w:rsidRDefault="007B06F3" w:rsidP="00F953FC">
            <w:pPr>
              <w:pStyle w:val="Tabletext"/>
            </w:pPr>
            <w:r w:rsidRPr="005B1409">
              <w:t xml:space="preserve">3.70 </w:t>
            </w:r>
          </w:p>
        </w:tc>
        <w:tc>
          <w:tcPr>
            <w:tcW w:w="1952" w:type="dxa"/>
            <w:gridSpan w:val="3"/>
          </w:tcPr>
          <w:p w:rsidR="007B06F3" w:rsidRPr="005B1409" w:rsidRDefault="007B06F3" w:rsidP="00F953FC">
            <w:pPr>
              <w:pStyle w:val="Tabletext"/>
            </w:pPr>
            <w:r w:rsidRPr="005B1409">
              <w:t xml:space="preserve">-3.70% </w:t>
            </w:r>
          </w:p>
        </w:tc>
        <w:tc>
          <w:tcPr>
            <w:tcW w:w="1953" w:type="dxa"/>
          </w:tcPr>
          <w:p w:rsidR="007B06F3" w:rsidRPr="005B1409" w:rsidRDefault="007B06F3" w:rsidP="00F953FC">
            <w:pPr>
              <w:pStyle w:val="Tabletext"/>
            </w:pPr>
            <w:r w:rsidRPr="005B1409">
              <w:t xml:space="preserve">0.0400 </w:t>
            </w:r>
          </w:p>
        </w:tc>
      </w:tr>
      <w:tr w:rsidR="007B06F3" w:rsidTr="007272E2">
        <w:trPr>
          <w:trHeight w:val="106"/>
        </w:trPr>
        <w:tc>
          <w:tcPr>
            <w:tcW w:w="1952" w:type="dxa"/>
          </w:tcPr>
          <w:p w:rsidR="007B06F3" w:rsidRPr="005B1409" w:rsidRDefault="007B06F3" w:rsidP="00F953FC">
            <w:pPr>
              <w:pStyle w:val="Tabletext"/>
            </w:pPr>
            <w:r w:rsidRPr="005B1409">
              <w:t xml:space="preserve">Month 3 </w:t>
            </w:r>
          </w:p>
        </w:tc>
        <w:tc>
          <w:tcPr>
            <w:tcW w:w="1952" w:type="dxa"/>
          </w:tcPr>
          <w:p w:rsidR="007B06F3" w:rsidRPr="005B1409" w:rsidRDefault="007B06F3" w:rsidP="00F953FC">
            <w:pPr>
              <w:pStyle w:val="Tabletext"/>
            </w:pPr>
            <w:r w:rsidRPr="005B1409">
              <w:t xml:space="preserve">3.89 </w:t>
            </w:r>
          </w:p>
        </w:tc>
        <w:tc>
          <w:tcPr>
            <w:tcW w:w="1952" w:type="dxa"/>
            <w:gridSpan w:val="2"/>
          </w:tcPr>
          <w:p w:rsidR="007B06F3" w:rsidRPr="005B1409" w:rsidRDefault="007B06F3" w:rsidP="00F953FC">
            <w:pPr>
              <w:pStyle w:val="Tabletext"/>
            </w:pPr>
            <w:r w:rsidRPr="005B1409">
              <w:t xml:space="preserve">3.77 </w:t>
            </w:r>
          </w:p>
        </w:tc>
        <w:tc>
          <w:tcPr>
            <w:tcW w:w="1952" w:type="dxa"/>
            <w:gridSpan w:val="3"/>
          </w:tcPr>
          <w:p w:rsidR="007B06F3" w:rsidRPr="005B1409" w:rsidRDefault="007B06F3" w:rsidP="00F953FC">
            <w:pPr>
              <w:pStyle w:val="Tabletext"/>
            </w:pPr>
            <w:r w:rsidRPr="005B1409">
              <w:t xml:space="preserve">-3.10% </w:t>
            </w:r>
          </w:p>
        </w:tc>
        <w:tc>
          <w:tcPr>
            <w:tcW w:w="1953" w:type="dxa"/>
          </w:tcPr>
          <w:p w:rsidR="007B06F3" w:rsidRPr="005B1409" w:rsidRDefault="007B06F3" w:rsidP="00F953FC">
            <w:pPr>
              <w:pStyle w:val="Tabletext"/>
            </w:pPr>
            <w:r w:rsidRPr="005B1409">
              <w:t xml:space="preserve">0.0604 </w:t>
            </w:r>
          </w:p>
        </w:tc>
      </w:tr>
      <w:tr w:rsidR="007B06F3" w:rsidTr="007272E2">
        <w:trPr>
          <w:trHeight w:val="106"/>
        </w:trPr>
        <w:tc>
          <w:tcPr>
            <w:tcW w:w="1952" w:type="dxa"/>
          </w:tcPr>
          <w:p w:rsidR="007B06F3" w:rsidRPr="005B1409" w:rsidRDefault="007B06F3" w:rsidP="00F953FC">
            <w:pPr>
              <w:pStyle w:val="Tabletext"/>
            </w:pPr>
            <w:r w:rsidRPr="005B1409">
              <w:t xml:space="preserve">Month 4 </w:t>
            </w:r>
          </w:p>
        </w:tc>
        <w:tc>
          <w:tcPr>
            <w:tcW w:w="1952" w:type="dxa"/>
          </w:tcPr>
          <w:p w:rsidR="007B06F3" w:rsidRPr="005B1409" w:rsidRDefault="007B06F3" w:rsidP="00F953FC">
            <w:pPr>
              <w:pStyle w:val="Tabletext"/>
            </w:pPr>
            <w:r w:rsidRPr="005B1409">
              <w:t xml:space="preserve">3.95 </w:t>
            </w:r>
          </w:p>
        </w:tc>
        <w:tc>
          <w:tcPr>
            <w:tcW w:w="1952" w:type="dxa"/>
            <w:gridSpan w:val="2"/>
          </w:tcPr>
          <w:p w:rsidR="007B06F3" w:rsidRPr="005B1409" w:rsidRDefault="007B06F3" w:rsidP="00F953FC">
            <w:pPr>
              <w:pStyle w:val="Tabletext"/>
            </w:pPr>
            <w:r w:rsidRPr="005B1409">
              <w:t xml:space="preserve">3.83 </w:t>
            </w:r>
          </w:p>
        </w:tc>
        <w:tc>
          <w:tcPr>
            <w:tcW w:w="1952" w:type="dxa"/>
            <w:gridSpan w:val="3"/>
          </w:tcPr>
          <w:p w:rsidR="007B06F3" w:rsidRPr="005B1409" w:rsidRDefault="007B06F3" w:rsidP="00F953FC">
            <w:pPr>
              <w:pStyle w:val="Tabletext"/>
            </w:pPr>
            <w:r w:rsidRPr="005B1409">
              <w:t xml:space="preserve">-3.18% </w:t>
            </w:r>
          </w:p>
        </w:tc>
        <w:tc>
          <w:tcPr>
            <w:tcW w:w="1953" w:type="dxa"/>
          </w:tcPr>
          <w:p w:rsidR="007B06F3" w:rsidRPr="005B1409" w:rsidRDefault="007B06F3" w:rsidP="00F953FC">
            <w:pPr>
              <w:pStyle w:val="Tabletext"/>
            </w:pPr>
            <w:r w:rsidRPr="005B1409">
              <w:t xml:space="preserve">0.0461 </w:t>
            </w:r>
          </w:p>
        </w:tc>
      </w:tr>
      <w:tr w:rsidR="007B06F3" w:rsidTr="007272E2">
        <w:trPr>
          <w:trHeight w:val="106"/>
        </w:trPr>
        <w:tc>
          <w:tcPr>
            <w:tcW w:w="1952" w:type="dxa"/>
          </w:tcPr>
          <w:p w:rsidR="007B06F3" w:rsidRPr="005B1409" w:rsidRDefault="007B06F3" w:rsidP="00F953FC">
            <w:pPr>
              <w:pStyle w:val="Tabletext"/>
            </w:pPr>
            <w:r w:rsidRPr="005B1409">
              <w:t xml:space="preserve">Month 5 </w:t>
            </w:r>
          </w:p>
        </w:tc>
        <w:tc>
          <w:tcPr>
            <w:tcW w:w="1952" w:type="dxa"/>
          </w:tcPr>
          <w:p w:rsidR="007B06F3" w:rsidRPr="005B1409" w:rsidRDefault="007B06F3" w:rsidP="00F953FC">
            <w:pPr>
              <w:pStyle w:val="Tabletext"/>
            </w:pPr>
            <w:r w:rsidRPr="005B1409">
              <w:t xml:space="preserve">3.96 </w:t>
            </w:r>
          </w:p>
        </w:tc>
        <w:tc>
          <w:tcPr>
            <w:tcW w:w="1952" w:type="dxa"/>
            <w:gridSpan w:val="2"/>
          </w:tcPr>
          <w:p w:rsidR="007B06F3" w:rsidRPr="005B1409" w:rsidRDefault="007B06F3" w:rsidP="00F953FC">
            <w:pPr>
              <w:pStyle w:val="Tabletext"/>
            </w:pPr>
            <w:r w:rsidRPr="005B1409">
              <w:t xml:space="preserve">3.81 </w:t>
            </w:r>
          </w:p>
        </w:tc>
        <w:tc>
          <w:tcPr>
            <w:tcW w:w="1952" w:type="dxa"/>
            <w:gridSpan w:val="3"/>
          </w:tcPr>
          <w:p w:rsidR="007B06F3" w:rsidRPr="005B1409" w:rsidRDefault="007B06F3" w:rsidP="00F953FC">
            <w:pPr>
              <w:pStyle w:val="Tabletext"/>
            </w:pPr>
            <w:r w:rsidRPr="005B1409">
              <w:t xml:space="preserve">-3.74% </w:t>
            </w:r>
          </w:p>
        </w:tc>
        <w:tc>
          <w:tcPr>
            <w:tcW w:w="1953" w:type="dxa"/>
          </w:tcPr>
          <w:p w:rsidR="007B06F3" w:rsidRPr="005B1409" w:rsidRDefault="007B06F3" w:rsidP="00F953FC">
            <w:pPr>
              <w:pStyle w:val="Tabletext"/>
            </w:pPr>
            <w:r w:rsidRPr="005B1409">
              <w:t xml:space="preserve">0.0175 </w:t>
            </w:r>
          </w:p>
        </w:tc>
      </w:tr>
      <w:tr w:rsidR="007B06F3" w:rsidTr="007272E2">
        <w:trPr>
          <w:trHeight w:val="106"/>
        </w:trPr>
        <w:tc>
          <w:tcPr>
            <w:tcW w:w="1952" w:type="dxa"/>
          </w:tcPr>
          <w:p w:rsidR="007B06F3" w:rsidRPr="005B1409" w:rsidRDefault="007B06F3" w:rsidP="00F953FC">
            <w:pPr>
              <w:pStyle w:val="Tabletext"/>
            </w:pPr>
            <w:r w:rsidRPr="005B1409">
              <w:t xml:space="preserve">Month 6 </w:t>
            </w:r>
          </w:p>
        </w:tc>
        <w:tc>
          <w:tcPr>
            <w:tcW w:w="1952" w:type="dxa"/>
          </w:tcPr>
          <w:p w:rsidR="007B06F3" w:rsidRPr="005B1409" w:rsidRDefault="007B06F3" w:rsidP="00F953FC">
            <w:pPr>
              <w:pStyle w:val="Tabletext"/>
            </w:pPr>
            <w:r w:rsidRPr="005B1409">
              <w:t xml:space="preserve">3.96 </w:t>
            </w:r>
          </w:p>
        </w:tc>
        <w:tc>
          <w:tcPr>
            <w:tcW w:w="1952" w:type="dxa"/>
            <w:gridSpan w:val="2"/>
          </w:tcPr>
          <w:p w:rsidR="007B06F3" w:rsidRPr="005B1409" w:rsidRDefault="007B06F3" w:rsidP="00F953FC">
            <w:pPr>
              <w:pStyle w:val="Tabletext"/>
            </w:pPr>
            <w:r w:rsidRPr="005B1409">
              <w:t xml:space="preserve">3.82 </w:t>
            </w:r>
          </w:p>
        </w:tc>
        <w:tc>
          <w:tcPr>
            <w:tcW w:w="1952" w:type="dxa"/>
            <w:gridSpan w:val="3"/>
          </w:tcPr>
          <w:p w:rsidR="007B06F3" w:rsidRPr="005B1409" w:rsidRDefault="007B06F3" w:rsidP="00F953FC">
            <w:pPr>
              <w:pStyle w:val="Tabletext"/>
            </w:pPr>
            <w:r w:rsidRPr="005B1409">
              <w:t xml:space="preserve">-3.48% </w:t>
            </w:r>
          </w:p>
        </w:tc>
        <w:tc>
          <w:tcPr>
            <w:tcW w:w="1953" w:type="dxa"/>
          </w:tcPr>
          <w:p w:rsidR="007B06F3" w:rsidRPr="005B1409" w:rsidRDefault="007B06F3" w:rsidP="00F953FC">
            <w:pPr>
              <w:pStyle w:val="Tabletext"/>
            </w:pPr>
            <w:r w:rsidRPr="005B1409">
              <w:t xml:space="preserve">0.0245 </w:t>
            </w:r>
          </w:p>
        </w:tc>
      </w:tr>
      <w:tr w:rsidR="007B06F3" w:rsidTr="007272E2">
        <w:trPr>
          <w:trHeight w:val="106"/>
        </w:trPr>
        <w:tc>
          <w:tcPr>
            <w:tcW w:w="1952" w:type="dxa"/>
          </w:tcPr>
          <w:p w:rsidR="007B06F3" w:rsidRPr="005B1409" w:rsidRDefault="007B06F3" w:rsidP="00F953FC">
            <w:pPr>
              <w:pStyle w:val="Tabletext"/>
            </w:pPr>
            <w:r w:rsidRPr="005B1409">
              <w:t xml:space="preserve">Month 7 </w:t>
            </w:r>
          </w:p>
        </w:tc>
        <w:tc>
          <w:tcPr>
            <w:tcW w:w="1952" w:type="dxa"/>
          </w:tcPr>
          <w:p w:rsidR="007B06F3" w:rsidRPr="005B1409" w:rsidRDefault="007B06F3" w:rsidP="00F953FC">
            <w:pPr>
              <w:pStyle w:val="Tabletext"/>
            </w:pPr>
            <w:r w:rsidRPr="005B1409">
              <w:t xml:space="preserve">4.04 </w:t>
            </w:r>
          </w:p>
        </w:tc>
        <w:tc>
          <w:tcPr>
            <w:tcW w:w="1952" w:type="dxa"/>
            <w:gridSpan w:val="2"/>
          </w:tcPr>
          <w:p w:rsidR="007B06F3" w:rsidRPr="005B1409" w:rsidRDefault="007B06F3" w:rsidP="00F953FC">
            <w:pPr>
              <w:pStyle w:val="Tabletext"/>
            </w:pPr>
            <w:r w:rsidRPr="005B1409">
              <w:t xml:space="preserve">3.91 </w:t>
            </w:r>
          </w:p>
        </w:tc>
        <w:tc>
          <w:tcPr>
            <w:tcW w:w="1952" w:type="dxa"/>
            <w:gridSpan w:val="3"/>
          </w:tcPr>
          <w:p w:rsidR="007B06F3" w:rsidRPr="005B1409" w:rsidRDefault="007B06F3" w:rsidP="00F953FC">
            <w:pPr>
              <w:pStyle w:val="Tabletext"/>
            </w:pPr>
            <w:r w:rsidRPr="005B1409">
              <w:t xml:space="preserve">-3.36% </w:t>
            </w:r>
          </w:p>
        </w:tc>
        <w:tc>
          <w:tcPr>
            <w:tcW w:w="1953" w:type="dxa"/>
          </w:tcPr>
          <w:p w:rsidR="007B06F3" w:rsidRPr="005B1409" w:rsidRDefault="007B06F3" w:rsidP="00F953FC">
            <w:pPr>
              <w:pStyle w:val="Tabletext"/>
            </w:pPr>
            <w:r w:rsidRPr="005B1409">
              <w:t xml:space="preserve">0.0279 </w:t>
            </w:r>
          </w:p>
        </w:tc>
      </w:tr>
      <w:tr w:rsidR="007B06F3" w:rsidTr="007272E2">
        <w:trPr>
          <w:trHeight w:val="106"/>
        </w:trPr>
        <w:tc>
          <w:tcPr>
            <w:tcW w:w="1952" w:type="dxa"/>
          </w:tcPr>
          <w:p w:rsidR="007B06F3" w:rsidRPr="005B1409" w:rsidRDefault="007B06F3" w:rsidP="00F953FC">
            <w:pPr>
              <w:pStyle w:val="Tabletext"/>
            </w:pPr>
            <w:r w:rsidRPr="005B1409">
              <w:t xml:space="preserve">Month 8 </w:t>
            </w:r>
          </w:p>
        </w:tc>
        <w:tc>
          <w:tcPr>
            <w:tcW w:w="1952" w:type="dxa"/>
          </w:tcPr>
          <w:p w:rsidR="007B06F3" w:rsidRPr="005B1409" w:rsidRDefault="007B06F3" w:rsidP="00F953FC">
            <w:pPr>
              <w:pStyle w:val="Tabletext"/>
            </w:pPr>
            <w:r w:rsidRPr="005B1409">
              <w:t xml:space="preserve">4.07 </w:t>
            </w:r>
          </w:p>
        </w:tc>
        <w:tc>
          <w:tcPr>
            <w:tcW w:w="1952" w:type="dxa"/>
            <w:gridSpan w:val="2"/>
          </w:tcPr>
          <w:p w:rsidR="007B06F3" w:rsidRPr="005B1409" w:rsidRDefault="007B06F3" w:rsidP="00F953FC">
            <w:pPr>
              <w:pStyle w:val="Tabletext"/>
            </w:pPr>
            <w:r w:rsidRPr="005B1409">
              <w:t xml:space="preserve">3.91 </w:t>
            </w:r>
          </w:p>
        </w:tc>
        <w:tc>
          <w:tcPr>
            <w:tcW w:w="1952" w:type="dxa"/>
            <w:gridSpan w:val="3"/>
          </w:tcPr>
          <w:p w:rsidR="007B06F3" w:rsidRPr="005B1409" w:rsidRDefault="007B06F3" w:rsidP="00F953FC">
            <w:pPr>
              <w:pStyle w:val="Tabletext"/>
            </w:pPr>
            <w:r w:rsidRPr="005B1409">
              <w:t xml:space="preserve">-4.04% </w:t>
            </w:r>
          </w:p>
        </w:tc>
        <w:tc>
          <w:tcPr>
            <w:tcW w:w="1953" w:type="dxa"/>
          </w:tcPr>
          <w:p w:rsidR="007B06F3" w:rsidRPr="005B1409" w:rsidRDefault="007B06F3" w:rsidP="00F953FC">
            <w:pPr>
              <w:pStyle w:val="Tabletext"/>
            </w:pPr>
            <w:r w:rsidRPr="005B1409">
              <w:t xml:space="preserve">0.0066 </w:t>
            </w:r>
          </w:p>
        </w:tc>
      </w:tr>
      <w:tr w:rsidR="007B06F3" w:rsidTr="007272E2">
        <w:trPr>
          <w:trHeight w:val="106"/>
        </w:trPr>
        <w:tc>
          <w:tcPr>
            <w:tcW w:w="1952" w:type="dxa"/>
          </w:tcPr>
          <w:p w:rsidR="007B06F3" w:rsidRPr="005B1409" w:rsidRDefault="007B06F3" w:rsidP="00F953FC">
            <w:pPr>
              <w:pStyle w:val="Tabletext"/>
            </w:pPr>
            <w:r w:rsidRPr="005B1409">
              <w:t xml:space="preserve">Month 9 </w:t>
            </w:r>
          </w:p>
        </w:tc>
        <w:tc>
          <w:tcPr>
            <w:tcW w:w="1952" w:type="dxa"/>
          </w:tcPr>
          <w:p w:rsidR="007B06F3" w:rsidRPr="005B1409" w:rsidRDefault="007B06F3" w:rsidP="00F953FC">
            <w:pPr>
              <w:pStyle w:val="Tabletext"/>
            </w:pPr>
            <w:r w:rsidRPr="005B1409">
              <w:t xml:space="preserve">4.02 </w:t>
            </w:r>
          </w:p>
        </w:tc>
        <w:tc>
          <w:tcPr>
            <w:tcW w:w="1952" w:type="dxa"/>
            <w:gridSpan w:val="2"/>
          </w:tcPr>
          <w:p w:rsidR="007B06F3" w:rsidRPr="005B1409" w:rsidRDefault="007B06F3" w:rsidP="00F953FC">
            <w:pPr>
              <w:pStyle w:val="Tabletext"/>
            </w:pPr>
            <w:r w:rsidRPr="005B1409">
              <w:t xml:space="preserve">3.84 </w:t>
            </w:r>
          </w:p>
        </w:tc>
        <w:tc>
          <w:tcPr>
            <w:tcW w:w="1952" w:type="dxa"/>
            <w:gridSpan w:val="3"/>
          </w:tcPr>
          <w:p w:rsidR="007B06F3" w:rsidRPr="005B1409" w:rsidRDefault="007B06F3" w:rsidP="00F953FC">
            <w:pPr>
              <w:pStyle w:val="Tabletext"/>
            </w:pPr>
            <w:r w:rsidRPr="005B1409">
              <w:t xml:space="preserve">-4.28% </w:t>
            </w:r>
          </w:p>
        </w:tc>
        <w:tc>
          <w:tcPr>
            <w:tcW w:w="1953" w:type="dxa"/>
          </w:tcPr>
          <w:p w:rsidR="007B06F3" w:rsidRPr="005B1409" w:rsidRDefault="007B06F3" w:rsidP="00F953FC">
            <w:pPr>
              <w:pStyle w:val="Tabletext"/>
            </w:pPr>
            <w:r w:rsidRPr="005B1409">
              <w:t xml:space="preserve">0.0045 </w:t>
            </w:r>
          </w:p>
        </w:tc>
      </w:tr>
      <w:tr w:rsidR="007B06F3" w:rsidTr="007272E2">
        <w:trPr>
          <w:trHeight w:val="106"/>
        </w:trPr>
        <w:tc>
          <w:tcPr>
            <w:tcW w:w="1952" w:type="dxa"/>
          </w:tcPr>
          <w:p w:rsidR="007B06F3" w:rsidRPr="005B1409" w:rsidRDefault="007B06F3" w:rsidP="00F953FC">
            <w:pPr>
              <w:pStyle w:val="Tabletext"/>
            </w:pPr>
            <w:r w:rsidRPr="005B1409">
              <w:t xml:space="preserve">Month 10 </w:t>
            </w:r>
          </w:p>
        </w:tc>
        <w:tc>
          <w:tcPr>
            <w:tcW w:w="1952" w:type="dxa"/>
          </w:tcPr>
          <w:p w:rsidR="007B06F3" w:rsidRPr="005B1409" w:rsidRDefault="007B06F3" w:rsidP="00F953FC">
            <w:pPr>
              <w:pStyle w:val="Tabletext"/>
            </w:pPr>
            <w:r w:rsidRPr="005B1409">
              <w:t xml:space="preserve">3.99 </w:t>
            </w:r>
          </w:p>
        </w:tc>
        <w:tc>
          <w:tcPr>
            <w:tcW w:w="1952" w:type="dxa"/>
            <w:gridSpan w:val="2"/>
          </w:tcPr>
          <w:p w:rsidR="007B06F3" w:rsidRPr="005B1409" w:rsidRDefault="007B06F3" w:rsidP="00F953FC">
            <w:pPr>
              <w:pStyle w:val="Tabletext"/>
            </w:pPr>
            <w:r w:rsidRPr="005B1409">
              <w:t xml:space="preserve">3.82 </w:t>
            </w:r>
          </w:p>
        </w:tc>
        <w:tc>
          <w:tcPr>
            <w:tcW w:w="1952" w:type="dxa"/>
            <w:gridSpan w:val="3"/>
          </w:tcPr>
          <w:p w:rsidR="007B06F3" w:rsidRPr="005B1409" w:rsidRDefault="007B06F3" w:rsidP="00F953FC">
            <w:pPr>
              <w:pStyle w:val="Tabletext"/>
            </w:pPr>
            <w:r w:rsidRPr="005B1409">
              <w:t xml:space="preserve">-4.25% </w:t>
            </w:r>
          </w:p>
        </w:tc>
        <w:tc>
          <w:tcPr>
            <w:tcW w:w="1953" w:type="dxa"/>
          </w:tcPr>
          <w:p w:rsidR="007B06F3" w:rsidRPr="005B1409" w:rsidRDefault="007B06F3" w:rsidP="00F953FC">
            <w:pPr>
              <w:pStyle w:val="Tabletext"/>
            </w:pPr>
            <w:r w:rsidRPr="005B1409">
              <w:t xml:space="preserve">0.0045 </w:t>
            </w:r>
          </w:p>
        </w:tc>
      </w:tr>
      <w:tr w:rsidR="007B06F3" w:rsidTr="007272E2">
        <w:trPr>
          <w:trHeight w:val="106"/>
        </w:trPr>
        <w:tc>
          <w:tcPr>
            <w:tcW w:w="1952" w:type="dxa"/>
          </w:tcPr>
          <w:p w:rsidR="007B06F3" w:rsidRPr="005B1409" w:rsidRDefault="007B06F3" w:rsidP="00F953FC">
            <w:pPr>
              <w:pStyle w:val="Tabletext"/>
            </w:pPr>
            <w:r w:rsidRPr="005B1409">
              <w:t xml:space="preserve">Month 11 </w:t>
            </w:r>
          </w:p>
        </w:tc>
        <w:tc>
          <w:tcPr>
            <w:tcW w:w="1952" w:type="dxa"/>
          </w:tcPr>
          <w:p w:rsidR="007B06F3" w:rsidRPr="005B1409" w:rsidRDefault="007B06F3" w:rsidP="00F953FC">
            <w:pPr>
              <w:pStyle w:val="Tabletext"/>
            </w:pPr>
            <w:r w:rsidRPr="005B1409">
              <w:t xml:space="preserve">3.96 </w:t>
            </w:r>
          </w:p>
        </w:tc>
        <w:tc>
          <w:tcPr>
            <w:tcW w:w="1952" w:type="dxa"/>
            <w:gridSpan w:val="2"/>
          </w:tcPr>
          <w:p w:rsidR="007B06F3" w:rsidRPr="005B1409" w:rsidRDefault="007B06F3" w:rsidP="00F953FC">
            <w:pPr>
              <w:pStyle w:val="Tabletext"/>
            </w:pPr>
            <w:r w:rsidRPr="005B1409">
              <w:t xml:space="preserve">3.81 </w:t>
            </w:r>
          </w:p>
        </w:tc>
        <w:tc>
          <w:tcPr>
            <w:tcW w:w="1952" w:type="dxa"/>
            <w:gridSpan w:val="3"/>
          </w:tcPr>
          <w:p w:rsidR="007B06F3" w:rsidRPr="005B1409" w:rsidRDefault="007B06F3" w:rsidP="00F953FC">
            <w:pPr>
              <w:pStyle w:val="Tabletext"/>
            </w:pPr>
            <w:r w:rsidRPr="005B1409">
              <w:t xml:space="preserve">-3.82% </w:t>
            </w:r>
          </w:p>
        </w:tc>
        <w:tc>
          <w:tcPr>
            <w:tcW w:w="1953" w:type="dxa"/>
          </w:tcPr>
          <w:p w:rsidR="007B06F3" w:rsidRPr="005B1409" w:rsidRDefault="007B06F3" w:rsidP="00F953FC">
            <w:pPr>
              <w:pStyle w:val="Tabletext"/>
            </w:pPr>
            <w:r w:rsidRPr="005B1409">
              <w:t xml:space="preserve">0.0092 </w:t>
            </w:r>
          </w:p>
        </w:tc>
      </w:tr>
      <w:tr w:rsidR="007B06F3" w:rsidTr="007272E2">
        <w:trPr>
          <w:trHeight w:val="106"/>
        </w:trPr>
        <w:tc>
          <w:tcPr>
            <w:tcW w:w="1952" w:type="dxa"/>
          </w:tcPr>
          <w:p w:rsidR="007B06F3" w:rsidRPr="005B1409" w:rsidRDefault="007B06F3" w:rsidP="00F953FC">
            <w:pPr>
              <w:pStyle w:val="Tabletext"/>
            </w:pPr>
            <w:r w:rsidRPr="005B1409">
              <w:t xml:space="preserve">Month 12 </w:t>
            </w:r>
          </w:p>
        </w:tc>
        <w:tc>
          <w:tcPr>
            <w:tcW w:w="1952" w:type="dxa"/>
          </w:tcPr>
          <w:p w:rsidR="007B06F3" w:rsidRPr="005B1409" w:rsidRDefault="007B06F3" w:rsidP="00F953FC">
            <w:pPr>
              <w:pStyle w:val="Tabletext"/>
            </w:pPr>
            <w:r w:rsidRPr="005B1409">
              <w:t xml:space="preserve">3.92 </w:t>
            </w:r>
          </w:p>
        </w:tc>
        <w:tc>
          <w:tcPr>
            <w:tcW w:w="1952" w:type="dxa"/>
            <w:gridSpan w:val="2"/>
          </w:tcPr>
          <w:p w:rsidR="007B06F3" w:rsidRPr="005B1409" w:rsidRDefault="007B06F3" w:rsidP="00F953FC">
            <w:pPr>
              <w:pStyle w:val="Tabletext"/>
            </w:pPr>
            <w:r w:rsidRPr="005B1409">
              <w:t xml:space="preserve">3.76 </w:t>
            </w:r>
          </w:p>
        </w:tc>
        <w:tc>
          <w:tcPr>
            <w:tcW w:w="1952" w:type="dxa"/>
            <w:gridSpan w:val="3"/>
          </w:tcPr>
          <w:p w:rsidR="007B06F3" w:rsidRPr="005B1409" w:rsidRDefault="007B06F3" w:rsidP="00F953FC">
            <w:pPr>
              <w:pStyle w:val="Tabletext"/>
            </w:pPr>
            <w:r w:rsidRPr="005B1409">
              <w:t xml:space="preserve">-4.07% </w:t>
            </w:r>
          </w:p>
        </w:tc>
        <w:tc>
          <w:tcPr>
            <w:tcW w:w="1953" w:type="dxa"/>
          </w:tcPr>
          <w:p w:rsidR="007B06F3" w:rsidRPr="005B1409" w:rsidRDefault="007B06F3" w:rsidP="00F953FC">
            <w:pPr>
              <w:pStyle w:val="Tabletext"/>
            </w:pPr>
            <w:r w:rsidRPr="005B1409">
              <w:t xml:space="preserve">0.0050 </w:t>
            </w:r>
          </w:p>
        </w:tc>
      </w:tr>
      <w:tr w:rsidR="007B06F3" w:rsidTr="007272E2">
        <w:trPr>
          <w:trHeight w:val="107"/>
        </w:trPr>
        <w:tc>
          <w:tcPr>
            <w:tcW w:w="9761" w:type="dxa"/>
            <w:gridSpan w:val="8"/>
          </w:tcPr>
          <w:p w:rsidR="007B06F3" w:rsidRPr="00CF2BEB" w:rsidRDefault="007B06F3" w:rsidP="00CF2BEB">
            <w:pPr>
              <w:pStyle w:val="Tablehead"/>
            </w:pPr>
            <w:r w:rsidRPr="00CF2BEB">
              <w:rPr>
                <w:rFonts w:eastAsiaTheme="majorEastAsia"/>
              </w:rPr>
              <w:t xml:space="preserve">Metropolitan (total 12 months) </w:t>
            </w:r>
          </w:p>
        </w:tc>
      </w:tr>
      <w:tr w:rsidR="007B06F3" w:rsidTr="007272E2">
        <w:trPr>
          <w:trHeight w:val="106"/>
        </w:trPr>
        <w:tc>
          <w:tcPr>
            <w:tcW w:w="1952" w:type="dxa"/>
          </w:tcPr>
          <w:p w:rsidR="007B06F3" w:rsidRPr="005B1409" w:rsidRDefault="007B06F3" w:rsidP="00F953FC">
            <w:pPr>
              <w:pStyle w:val="Tabletext"/>
            </w:pPr>
            <w:r w:rsidRPr="005B1409">
              <w:t xml:space="preserve">Scripts </w:t>
            </w:r>
          </w:p>
        </w:tc>
        <w:tc>
          <w:tcPr>
            <w:tcW w:w="1952" w:type="dxa"/>
          </w:tcPr>
          <w:p w:rsidR="007B06F3" w:rsidRPr="005B1409" w:rsidRDefault="007B06F3" w:rsidP="00F953FC">
            <w:pPr>
              <w:pStyle w:val="Tabletext"/>
            </w:pPr>
            <w:r w:rsidRPr="005B1409">
              <w:t xml:space="preserve">462.22 </w:t>
            </w:r>
          </w:p>
        </w:tc>
        <w:tc>
          <w:tcPr>
            <w:tcW w:w="1952" w:type="dxa"/>
            <w:gridSpan w:val="2"/>
          </w:tcPr>
          <w:p w:rsidR="007B06F3" w:rsidRPr="005B1409" w:rsidRDefault="007B06F3" w:rsidP="00F953FC">
            <w:pPr>
              <w:pStyle w:val="Tabletext"/>
            </w:pPr>
            <w:r w:rsidRPr="005B1409">
              <w:t xml:space="preserve">440.75 </w:t>
            </w:r>
          </w:p>
        </w:tc>
        <w:tc>
          <w:tcPr>
            <w:tcW w:w="1952" w:type="dxa"/>
            <w:gridSpan w:val="3"/>
          </w:tcPr>
          <w:p w:rsidR="007B06F3" w:rsidRPr="005B1409" w:rsidRDefault="007B06F3" w:rsidP="00F953FC">
            <w:pPr>
              <w:pStyle w:val="Tabletext"/>
            </w:pPr>
            <w:r w:rsidRPr="005B1409">
              <w:t xml:space="preserve">-4.65% </w:t>
            </w:r>
          </w:p>
        </w:tc>
        <w:tc>
          <w:tcPr>
            <w:tcW w:w="1953" w:type="dxa"/>
          </w:tcPr>
          <w:p w:rsidR="007B06F3" w:rsidRPr="005B1409" w:rsidRDefault="007B06F3" w:rsidP="00F953FC">
            <w:pPr>
              <w:pStyle w:val="Tabletext"/>
            </w:pPr>
            <w:r w:rsidRPr="005B1409">
              <w:t xml:space="preserve">0.0062 </w:t>
            </w:r>
          </w:p>
        </w:tc>
      </w:tr>
      <w:tr w:rsidR="007B06F3" w:rsidTr="007272E2">
        <w:trPr>
          <w:trHeight w:val="106"/>
        </w:trPr>
        <w:tc>
          <w:tcPr>
            <w:tcW w:w="1952" w:type="dxa"/>
          </w:tcPr>
          <w:p w:rsidR="007B06F3" w:rsidRPr="005B1409" w:rsidRDefault="007B06F3" w:rsidP="00F953FC">
            <w:pPr>
              <w:pStyle w:val="Tabletext"/>
            </w:pPr>
            <w:r w:rsidRPr="005B1409">
              <w:t xml:space="preserve">Standard doses </w:t>
            </w:r>
          </w:p>
        </w:tc>
        <w:tc>
          <w:tcPr>
            <w:tcW w:w="1952" w:type="dxa"/>
          </w:tcPr>
          <w:p w:rsidR="007B06F3" w:rsidRPr="005B1409" w:rsidRDefault="007B06F3" w:rsidP="00F953FC">
            <w:pPr>
              <w:pStyle w:val="Tabletext"/>
            </w:pPr>
            <w:r w:rsidRPr="005B1409">
              <w:t xml:space="preserve">14,003.75 </w:t>
            </w:r>
          </w:p>
        </w:tc>
        <w:tc>
          <w:tcPr>
            <w:tcW w:w="1952" w:type="dxa"/>
            <w:gridSpan w:val="2"/>
          </w:tcPr>
          <w:p w:rsidR="007B06F3" w:rsidRPr="005B1409" w:rsidRDefault="007B06F3" w:rsidP="00F953FC">
            <w:pPr>
              <w:pStyle w:val="Tabletext"/>
            </w:pPr>
            <w:r w:rsidRPr="005B1409">
              <w:t xml:space="preserve">13,386.73 </w:t>
            </w:r>
          </w:p>
        </w:tc>
        <w:tc>
          <w:tcPr>
            <w:tcW w:w="1952" w:type="dxa"/>
            <w:gridSpan w:val="3"/>
          </w:tcPr>
          <w:p w:rsidR="007B06F3" w:rsidRPr="005B1409" w:rsidRDefault="007B06F3" w:rsidP="00F953FC">
            <w:pPr>
              <w:pStyle w:val="Tabletext"/>
            </w:pPr>
            <w:r w:rsidRPr="005B1409">
              <w:t xml:space="preserve">-4.41% </w:t>
            </w:r>
          </w:p>
        </w:tc>
        <w:tc>
          <w:tcPr>
            <w:tcW w:w="1953" w:type="dxa"/>
          </w:tcPr>
          <w:p w:rsidR="007B06F3" w:rsidRPr="005B1409" w:rsidRDefault="007B06F3" w:rsidP="00F953FC">
            <w:pPr>
              <w:pStyle w:val="Tabletext"/>
            </w:pPr>
            <w:r w:rsidRPr="005B1409">
              <w:t xml:space="preserve">0.0104 </w:t>
            </w:r>
          </w:p>
        </w:tc>
      </w:tr>
      <w:tr w:rsidR="007B06F3" w:rsidTr="007272E2">
        <w:trPr>
          <w:trHeight w:val="106"/>
        </w:trPr>
        <w:tc>
          <w:tcPr>
            <w:tcW w:w="1952" w:type="dxa"/>
          </w:tcPr>
          <w:p w:rsidR="007B06F3" w:rsidRPr="005B1409" w:rsidRDefault="007B06F3" w:rsidP="00F953FC">
            <w:pPr>
              <w:pStyle w:val="Tabletext"/>
            </w:pPr>
            <w:r w:rsidRPr="005B1409">
              <w:t xml:space="preserve">Prescribing rate </w:t>
            </w:r>
          </w:p>
        </w:tc>
        <w:tc>
          <w:tcPr>
            <w:tcW w:w="1952" w:type="dxa"/>
          </w:tcPr>
          <w:p w:rsidR="007B06F3" w:rsidRPr="005B1409" w:rsidRDefault="007B06F3" w:rsidP="00F953FC">
            <w:pPr>
              <w:pStyle w:val="Tabletext"/>
            </w:pPr>
            <w:r w:rsidRPr="005B1409">
              <w:t xml:space="preserve">3.22 </w:t>
            </w:r>
          </w:p>
        </w:tc>
        <w:tc>
          <w:tcPr>
            <w:tcW w:w="1952" w:type="dxa"/>
            <w:gridSpan w:val="2"/>
          </w:tcPr>
          <w:p w:rsidR="007B06F3" w:rsidRPr="005B1409" w:rsidRDefault="007B06F3" w:rsidP="00F953FC">
            <w:pPr>
              <w:pStyle w:val="Tabletext"/>
            </w:pPr>
            <w:r w:rsidRPr="005B1409">
              <w:t xml:space="preserve">3.04 </w:t>
            </w:r>
          </w:p>
        </w:tc>
        <w:tc>
          <w:tcPr>
            <w:tcW w:w="1952" w:type="dxa"/>
            <w:gridSpan w:val="3"/>
          </w:tcPr>
          <w:p w:rsidR="007B06F3" w:rsidRPr="005B1409" w:rsidRDefault="007B06F3" w:rsidP="00F953FC">
            <w:pPr>
              <w:pStyle w:val="Tabletext"/>
            </w:pPr>
            <w:r w:rsidRPr="005B1409">
              <w:t xml:space="preserve">-5.67% </w:t>
            </w:r>
          </w:p>
        </w:tc>
        <w:tc>
          <w:tcPr>
            <w:tcW w:w="1953" w:type="dxa"/>
          </w:tcPr>
          <w:p w:rsidR="007B06F3" w:rsidRPr="005B1409" w:rsidRDefault="007B06F3" w:rsidP="00F953FC">
            <w:pPr>
              <w:pStyle w:val="Tabletext"/>
            </w:pPr>
            <w:r w:rsidRPr="005B1409">
              <w:t xml:space="preserve">0.0010 </w:t>
            </w:r>
          </w:p>
        </w:tc>
      </w:tr>
      <w:tr w:rsidR="007B06F3" w:rsidTr="007272E2">
        <w:trPr>
          <w:trHeight w:val="107"/>
        </w:trPr>
        <w:tc>
          <w:tcPr>
            <w:tcW w:w="9761" w:type="dxa"/>
            <w:gridSpan w:val="8"/>
          </w:tcPr>
          <w:p w:rsidR="007B06F3" w:rsidRPr="00CF2BEB" w:rsidRDefault="007B06F3" w:rsidP="00CF2BEB">
            <w:pPr>
              <w:pStyle w:val="Tablehead"/>
            </w:pPr>
            <w:r w:rsidRPr="00CF2BEB">
              <w:rPr>
                <w:rFonts w:eastAsiaTheme="majorEastAsia"/>
              </w:rPr>
              <w:t>Regional/Rural/Remote (total 12 months)</w:t>
            </w:r>
          </w:p>
        </w:tc>
      </w:tr>
      <w:tr w:rsidR="007B06F3" w:rsidTr="007272E2">
        <w:trPr>
          <w:trHeight w:val="106"/>
        </w:trPr>
        <w:tc>
          <w:tcPr>
            <w:tcW w:w="1952" w:type="dxa"/>
          </w:tcPr>
          <w:p w:rsidR="007B06F3" w:rsidRPr="005B1409" w:rsidRDefault="007B06F3" w:rsidP="00F953FC">
            <w:pPr>
              <w:pStyle w:val="Tabletext"/>
            </w:pPr>
            <w:r w:rsidRPr="005B1409">
              <w:t xml:space="preserve">Scripts </w:t>
            </w:r>
          </w:p>
        </w:tc>
        <w:tc>
          <w:tcPr>
            <w:tcW w:w="1952" w:type="dxa"/>
          </w:tcPr>
          <w:p w:rsidR="007B06F3" w:rsidRPr="005B1409" w:rsidRDefault="007B06F3" w:rsidP="00F953FC">
            <w:pPr>
              <w:pStyle w:val="Tabletext"/>
            </w:pPr>
            <w:r w:rsidRPr="005B1409">
              <w:t xml:space="preserve">604.02 </w:t>
            </w:r>
          </w:p>
        </w:tc>
        <w:tc>
          <w:tcPr>
            <w:tcW w:w="1952" w:type="dxa"/>
            <w:gridSpan w:val="2"/>
          </w:tcPr>
          <w:p w:rsidR="007B06F3" w:rsidRPr="005B1409" w:rsidRDefault="007B06F3" w:rsidP="00F953FC">
            <w:pPr>
              <w:pStyle w:val="Tabletext"/>
            </w:pPr>
            <w:r w:rsidRPr="005B1409">
              <w:t xml:space="preserve">582.64 </w:t>
            </w:r>
          </w:p>
        </w:tc>
        <w:tc>
          <w:tcPr>
            <w:tcW w:w="1952" w:type="dxa"/>
            <w:gridSpan w:val="3"/>
          </w:tcPr>
          <w:p w:rsidR="007B06F3" w:rsidRPr="005B1409" w:rsidRDefault="007B06F3" w:rsidP="00F953FC">
            <w:pPr>
              <w:pStyle w:val="Tabletext"/>
            </w:pPr>
            <w:r w:rsidRPr="005B1409">
              <w:t xml:space="preserve">-3.54% </w:t>
            </w:r>
          </w:p>
        </w:tc>
        <w:tc>
          <w:tcPr>
            <w:tcW w:w="1953" w:type="dxa"/>
          </w:tcPr>
          <w:p w:rsidR="007B06F3" w:rsidRPr="005B1409" w:rsidRDefault="007B06F3" w:rsidP="00F953FC">
            <w:pPr>
              <w:pStyle w:val="Tabletext"/>
            </w:pPr>
            <w:r w:rsidRPr="005B1409">
              <w:t xml:space="preserve">0.1853 </w:t>
            </w:r>
          </w:p>
        </w:tc>
      </w:tr>
      <w:tr w:rsidR="007B06F3" w:rsidTr="007272E2">
        <w:trPr>
          <w:trHeight w:val="106"/>
        </w:trPr>
        <w:tc>
          <w:tcPr>
            <w:tcW w:w="1952" w:type="dxa"/>
          </w:tcPr>
          <w:p w:rsidR="007B06F3" w:rsidRPr="005B1409" w:rsidRDefault="007B06F3" w:rsidP="00F953FC">
            <w:pPr>
              <w:pStyle w:val="Tabletext"/>
            </w:pPr>
            <w:r w:rsidRPr="005B1409">
              <w:t xml:space="preserve">Standard doses </w:t>
            </w:r>
          </w:p>
        </w:tc>
        <w:tc>
          <w:tcPr>
            <w:tcW w:w="1952" w:type="dxa"/>
          </w:tcPr>
          <w:p w:rsidR="007B06F3" w:rsidRPr="005B1409" w:rsidRDefault="007B06F3" w:rsidP="00F953FC">
            <w:pPr>
              <w:pStyle w:val="Tabletext"/>
            </w:pPr>
            <w:r w:rsidRPr="005B1409">
              <w:t xml:space="preserve">19,580.46 </w:t>
            </w:r>
          </w:p>
        </w:tc>
        <w:tc>
          <w:tcPr>
            <w:tcW w:w="1952" w:type="dxa"/>
            <w:gridSpan w:val="2"/>
          </w:tcPr>
          <w:p w:rsidR="007B06F3" w:rsidRPr="005B1409" w:rsidRDefault="007B06F3" w:rsidP="00F953FC">
            <w:pPr>
              <w:pStyle w:val="Tabletext"/>
            </w:pPr>
            <w:r w:rsidRPr="005B1409">
              <w:t xml:space="preserve">18,831.69 </w:t>
            </w:r>
          </w:p>
        </w:tc>
        <w:tc>
          <w:tcPr>
            <w:tcW w:w="1952" w:type="dxa"/>
            <w:gridSpan w:val="3"/>
          </w:tcPr>
          <w:p w:rsidR="007B06F3" w:rsidRPr="005B1409" w:rsidRDefault="007B06F3" w:rsidP="00F953FC">
            <w:pPr>
              <w:pStyle w:val="Tabletext"/>
            </w:pPr>
            <w:r w:rsidRPr="005B1409">
              <w:t xml:space="preserve">-3.82% </w:t>
            </w:r>
          </w:p>
        </w:tc>
        <w:tc>
          <w:tcPr>
            <w:tcW w:w="1953" w:type="dxa"/>
          </w:tcPr>
          <w:p w:rsidR="007B06F3" w:rsidRPr="005B1409" w:rsidRDefault="007B06F3" w:rsidP="00F953FC">
            <w:pPr>
              <w:pStyle w:val="Tabletext"/>
            </w:pPr>
            <w:r w:rsidRPr="005B1409">
              <w:t xml:space="preserve">0.1931 </w:t>
            </w:r>
          </w:p>
        </w:tc>
      </w:tr>
      <w:tr w:rsidR="007B06F3" w:rsidTr="007272E2">
        <w:trPr>
          <w:trHeight w:val="106"/>
        </w:trPr>
        <w:tc>
          <w:tcPr>
            <w:tcW w:w="1952" w:type="dxa"/>
          </w:tcPr>
          <w:p w:rsidR="007B06F3" w:rsidRPr="005B1409" w:rsidRDefault="007B06F3" w:rsidP="00F953FC">
            <w:pPr>
              <w:pStyle w:val="Tabletext"/>
            </w:pPr>
            <w:r w:rsidRPr="005B1409">
              <w:t xml:space="preserve">Prescribing rate </w:t>
            </w:r>
          </w:p>
        </w:tc>
        <w:tc>
          <w:tcPr>
            <w:tcW w:w="1952" w:type="dxa"/>
          </w:tcPr>
          <w:p w:rsidR="007B06F3" w:rsidRPr="005B1409" w:rsidRDefault="007B06F3" w:rsidP="00F953FC">
            <w:pPr>
              <w:pStyle w:val="Tabletext"/>
            </w:pPr>
            <w:r w:rsidRPr="005B1409">
              <w:t xml:space="preserve">4.87 </w:t>
            </w:r>
          </w:p>
        </w:tc>
        <w:tc>
          <w:tcPr>
            <w:tcW w:w="1952" w:type="dxa"/>
            <w:gridSpan w:val="2"/>
          </w:tcPr>
          <w:p w:rsidR="007B06F3" w:rsidRPr="005B1409" w:rsidRDefault="007B06F3" w:rsidP="00F953FC">
            <w:pPr>
              <w:pStyle w:val="Tabletext"/>
            </w:pPr>
            <w:r w:rsidRPr="005B1409">
              <w:t xml:space="preserve">4.79 </w:t>
            </w:r>
          </w:p>
        </w:tc>
        <w:tc>
          <w:tcPr>
            <w:tcW w:w="1952" w:type="dxa"/>
            <w:gridSpan w:val="3"/>
          </w:tcPr>
          <w:p w:rsidR="007B06F3" w:rsidRPr="005B1409" w:rsidRDefault="007B06F3" w:rsidP="00F953FC">
            <w:pPr>
              <w:pStyle w:val="Tabletext"/>
            </w:pPr>
            <w:r w:rsidRPr="005B1409">
              <w:t xml:space="preserve">-1.45% </w:t>
            </w:r>
          </w:p>
        </w:tc>
        <w:tc>
          <w:tcPr>
            <w:tcW w:w="1953" w:type="dxa"/>
          </w:tcPr>
          <w:p w:rsidR="007B06F3" w:rsidRPr="005B1409" w:rsidRDefault="007B06F3" w:rsidP="00F953FC">
            <w:pPr>
              <w:pStyle w:val="Tabletext"/>
            </w:pPr>
            <w:r w:rsidRPr="005B1409">
              <w:t>0.5899</w:t>
            </w:r>
          </w:p>
        </w:tc>
      </w:tr>
    </w:tbl>
    <w:p w:rsidR="00A44248" w:rsidRDefault="00752884" w:rsidP="00752884">
      <w:pPr>
        <w:spacing w:before="0" w:after="0"/>
      </w:pPr>
      <w:r>
        <w:br w:type="page"/>
      </w:r>
    </w:p>
    <w:tbl>
      <w:tblPr>
        <w:tblStyle w:val="TableGridLight"/>
        <w:tblW w:w="9761" w:type="dxa"/>
        <w:tblLayout w:type="fixed"/>
        <w:tblLook w:val="00A0" w:firstRow="1" w:lastRow="0" w:firstColumn="1" w:lastColumn="0" w:noHBand="0" w:noVBand="0"/>
        <w:tblDescription w:val="Number of scripts, standard doses and prescribing rates for the control and treatment groups by overall total (12 months), Metropolitan total (12 months), Regional/Rural/Remote (12 months). Prescribing rate by month (cumulative) for months 1 to 12 for the control and treatment groups."/>
      </w:tblPr>
      <w:tblGrid>
        <w:gridCol w:w="1952"/>
        <w:gridCol w:w="1871"/>
        <w:gridCol w:w="1984"/>
        <w:gridCol w:w="2126"/>
        <w:gridCol w:w="1828"/>
      </w:tblGrid>
      <w:tr w:rsidR="00CB6351" w:rsidRPr="00CB6351" w:rsidTr="00E62612">
        <w:trPr>
          <w:cnfStyle w:val="100000000000" w:firstRow="1" w:lastRow="0" w:firstColumn="0" w:lastColumn="0" w:oddVBand="0" w:evenVBand="0" w:oddHBand="0" w:evenHBand="0" w:firstRowFirstColumn="0" w:firstRowLastColumn="0" w:lastRowFirstColumn="0" w:lastRowLastColumn="0"/>
          <w:trHeight w:val="479"/>
          <w:tblHeader/>
        </w:trPr>
        <w:tc>
          <w:tcPr>
            <w:tcW w:w="3823" w:type="dxa"/>
            <w:gridSpan w:val="2"/>
          </w:tcPr>
          <w:p w:rsidR="00CB6351" w:rsidRPr="005B1409" w:rsidRDefault="00CB6351" w:rsidP="00784A72">
            <w:r w:rsidRPr="005B1409">
              <w:lastRenderedPageBreak/>
              <w:t>Control</w:t>
            </w:r>
          </w:p>
          <w:p w:rsidR="00CB6351" w:rsidRPr="005B1409" w:rsidRDefault="00CB6351" w:rsidP="00784A72">
            <w:r w:rsidRPr="005B1409">
              <w:t>(mean)</w:t>
            </w:r>
          </w:p>
        </w:tc>
        <w:tc>
          <w:tcPr>
            <w:tcW w:w="1984" w:type="dxa"/>
          </w:tcPr>
          <w:p w:rsidR="00CB6351" w:rsidRPr="005B1409" w:rsidRDefault="00CB6351" w:rsidP="00784A72">
            <w:r w:rsidRPr="005B1409">
              <w:t>Treatment group (mean)</w:t>
            </w:r>
          </w:p>
        </w:tc>
        <w:tc>
          <w:tcPr>
            <w:tcW w:w="2126" w:type="dxa"/>
          </w:tcPr>
          <w:p w:rsidR="00CB6351" w:rsidRPr="005B1409" w:rsidRDefault="00CB6351" w:rsidP="00784A72">
            <w:r w:rsidRPr="005B1409">
              <w:t xml:space="preserve">Treatment – Control percentage difference </w:t>
            </w:r>
          </w:p>
        </w:tc>
        <w:tc>
          <w:tcPr>
            <w:tcW w:w="1828" w:type="dxa"/>
          </w:tcPr>
          <w:p w:rsidR="00CB6351" w:rsidRPr="00AA2DC9" w:rsidRDefault="00CB6351" w:rsidP="007272E2">
            <w:pPr>
              <w:rPr>
                <w:rFonts w:ascii="HelveticaNeueLT Std" w:hAnsi="HelveticaNeueLT Std" w:cs="HelveticaNeueLT Std"/>
                <w:sz w:val="20"/>
                <w:szCs w:val="20"/>
                <w:lang w:eastAsia="en-AU"/>
              </w:rPr>
            </w:pPr>
            <w:r w:rsidRPr="00A44248">
              <w:t>p-</w:t>
            </w:r>
            <w:r w:rsidRPr="00AA2DC9">
              <w:t xml:space="preserve">value </w:t>
            </w:r>
          </w:p>
        </w:tc>
      </w:tr>
      <w:tr w:rsidR="00CB6351" w:rsidRPr="00CB6351" w:rsidTr="00CF2BEB">
        <w:trPr>
          <w:trHeight w:val="107"/>
        </w:trPr>
        <w:tc>
          <w:tcPr>
            <w:tcW w:w="9761" w:type="dxa"/>
            <w:gridSpan w:val="5"/>
          </w:tcPr>
          <w:p w:rsidR="00CB6351" w:rsidRPr="005B1409" w:rsidRDefault="00CB6351" w:rsidP="00CF2BEB">
            <w:pPr>
              <w:pStyle w:val="Tablehead"/>
            </w:pPr>
            <w:r w:rsidRPr="005B1409">
              <w:t xml:space="preserve">Female (total 12 months) </w:t>
            </w:r>
          </w:p>
        </w:tc>
      </w:tr>
      <w:tr w:rsidR="00CB6351" w:rsidRPr="00CB6351" w:rsidTr="00CF2BEB">
        <w:trPr>
          <w:trHeight w:val="106"/>
        </w:trPr>
        <w:tc>
          <w:tcPr>
            <w:tcW w:w="1952" w:type="dxa"/>
          </w:tcPr>
          <w:p w:rsidR="00CB6351" w:rsidRPr="005B1409" w:rsidRDefault="00CB6351" w:rsidP="00CF2BEB">
            <w:pPr>
              <w:pStyle w:val="Tabletext"/>
            </w:pPr>
            <w:r w:rsidRPr="005B1409">
              <w:t xml:space="preserve">Scripts </w:t>
            </w:r>
          </w:p>
        </w:tc>
        <w:tc>
          <w:tcPr>
            <w:tcW w:w="1871" w:type="dxa"/>
          </w:tcPr>
          <w:p w:rsidR="00CB6351" w:rsidRPr="005B1409" w:rsidRDefault="00CB6351" w:rsidP="00CF2BEB">
            <w:pPr>
              <w:pStyle w:val="Tabletext"/>
            </w:pPr>
            <w:r w:rsidRPr="005B1409">
              <w:t xml:space="preserve">311.65 </w:t>
            </w:r>
          </w:p>
        </w:tc>
        <w:tc>
          <w:tcPr>
            <w:tcW w:w="1984" w:type="dxa"/>
          </w:tcPr>
          <w:p w:rsidR="00CB6351" w:rsidRPr="005B1409" w:rsidRDefault="00CB6351" w:rsidP="00CF2BEB">
            <w:pPr>
              <w:pStyle w:val="Tabletext"/>
            </w:pPr>
            <w:r w:rsidRPr="005B1409">
              <w:t xml:space="preserve">310.89 </w:t>
            </w:r>
          </w:p>
        </w:tc>
        <w:tc>
          <w:tcPr>
            <w:tcW w:w="2126" w:type="dxa"/>
          </w:tcPr>
          <w:p w:rsidR="00CB6351" w:rsidRPr="005B1409" w:rsidRDefault="00CB6351" w:rsidP="00CF2BEB">
            <w:pPr>
              <w:pStyle w:val="Tabletext"/>
            </w:pPr>
            <w:r w:rsidRPr="005B1409">
              <w:t xml:space="preserve">-0.25% </w:t>
            </w:r>
          </w:p>
        </w:tc>
        <w:tc>
          <w:tcPr>
            <w:tcW w:w="1828" w:type="dxa"/>
          </w:tcPr>
          <w:p w:rsidR="00CB6351" w:rsidRPr="005B1409" w:rsidRDefault="00E62612" w:rsidP="00CF2BEB">
            <w:pPr>
              <w:pStyle w:val="Tabletext"/>
            </w:pPr>
            <w:r>
              <w:t>0.9361</w:t>
            </w:r>
          </w:p>
        </w:tc>
      </w:tr>
      <w:tr w:rsidR="00CB6351" w:rsidRPr="00CB6351" w:rsidTr="00CF2BEB">
        <w:trPr>
          <w:trHeight w:val="106"/>
        </w:trPr>
        <w:tc>
          <w:tcPr>
            <w:tcW w:w="1952" w:type="dxa"/>
          </w:tcPr>
          <w:p w:rsidR="00CB6351" w:rsidRPr="005B1409" w:rsidRDefault="00CB6351" w:rsidP="00CF2BEB">
            <w:pPr>
              <w:pStyle w:val="Tabletext"/>
            </w:pPr>
            <w:r w:rsidRPr="005B1409">
              <w:t xml:space="preserve">Standard doses </w:t>
            </w:r>
          </w:p>
        </w:tc>
        <w:tc>
          <w:tcPr>
            <w:tcW w:w="1871" w:type="dxa"/>
          </w:tcPr>
          <w:p w:rsidR="00CB6351" w:rsidRPr="005B1409" w:rsidRDefault="00CB6351" w:rsidP="00CF2BEB">
            <w:pPr>
              <w:pStyle w:val="Tabletext"/>
            </w:pPr>
            <w:r w:rsidRPr="005B1409">
              <w:t xml:space="preserve">9,716.08 </w:t>
            </w:r>
          </w:p>
        </w:tc>
        <w:tc>
          <w:tcPr>
            <w:tcW w:w="1984" w:type="dxa"/>
          </w:tcPr>
          <w:p w:rsidR="00CB6351" w:rsidRPr="005B1409" w:rsidRDefault="00CB6351" w:rsidP="00CF2BEB">
            <w:pPr>
              <w:pStyle w:val="Tabletext"/>
            </w:pPr>
            <w:r w:rsidRPr="005B1409">
              <w:t xml:space="preserve">9,781.37 </w:t>
            </w:r>
          </w:p>
        </w:tc>
        <w:tc>
          <w:tcPr>
            <w:tcW w:w="2126" w:type="dxa"/>
          </w:tcPr>
          <w:p w:rsidR="00CB6351" w:rsidRPr="005B1409" w:rsidRDefault="00CB6351" w:rsidP="00CF2BEB">
            <w:pPr>
              <w:pStyle w:val="Tabletext"/>
            </w:pPr>
            <w:r w:rsidRPr="005B1409">
              <w:t xml:space="preserve">0.67% </w:t>
            </w:r>
          </w:p>
        </w:tc>
        <w:tc>
          <w:tcPr>
            <w:tcW w:w="1828" w:type="dxa"/>
          </w:tcPr>
          <w:p w:rsidR="00CB6351" w:rsidRPr="005B1409" w:rsidRDefault="00E62612" w:rsidP="00CF2BEB">
            <w:pPr>
              <w:pStyle w:val="Tabletext"/>
            </w:pPr>
            <w:r>
              <w:t>0.8405</w:t>
            </w:r>
          </w:p>
        </w:tc>
      </w:tr>
      <w:tr w:rsidR="00CB6351" w:rsidRPr="00CB6351" w:rsidTr="00CF2BEB">
        <w:trPr>
          <w:trHeight w:val="106"/>
        </w:trPr>
        <w:tc>
          <w:tcPr>
            <w:tcW w:w="1952" w:type="dxa"/>
          </w:tcPr>
          <w:p w:rsidR="00CB6351" w:rsidRPr="005B1409" w:rsidRDefault="00CB6351" w:rsidP="00CF2BEB">
            <w:pPr>
              <w:pStyle w:val="Tabletext"/>
            </w:pPr>
            <w:r w:rsidRPr="005B1409">
              <w:t xml:space="preserve">Prescribing rate </w:t>
            </w:r>
          </w:p>
        </w:tc>
        <w:tc>
          <w:tcPr>
            <w:tcW w:w="1871" w:type="dxa"/>
          </w:tcPr>
          <w:p w:rsidR="00CB6351" w:rsidRPr="005B1409" w:rsidRDefault="00CB6351" w:rsidP="00CF2BEB">
            <w:pPr>
              <w:pStyle w:val="Tabletext"/>
            </w:pPr>
            <w:r w:rsidRPr="005B1409">
              <w:t xml:space="preserve">3.25 </w:t>
            </w:r>
          </w:p>
        </w:tc>
        <w:tc>
          <w:tcPr>
            <w:tcW w:w="1984" w:type="dxa"/>
          </w:tcPr>
          <w:p w:rsidR="00CB6351" w:rsidRPr="005B1409" w:rsidRDefault="00CB6351" w:rsidP="00CF2BEB">
            <w:pPr>
              <w:pStyle w:val="Tabletext"/>
            </w:pPr>
            <w:r w:rsidRPr="005B1409">
              <w:t xml:space="preserve">3.32 </w:t>
            </w:r>
          </w:p>
        </w:tc>
        <w:tc>
          <w:tcPr>
            <w:tcW w:w="2126" w:type="dxa"/>
          </w:tcPr>
          <w:p w:rsidR="00CB6351" w:rsidRPr="005B1409" w:rsidRDefault="00CB6351" w:rsidP="00CF2BEB">
            <w:pPr>
              <w:pStyle w:val="Tabletext"/>
            </w:pPr>
            <w:r w:rsidRPr="005B1409">
              <w:t xml:space="preserve">2.15% </w:t>
            </w:r>
          </w:p>
        </w:tc>
        <w:tc>
          <w:tcPr>
            <w:tcW w:w="1828" w:type="dxa"/>
          </w:tcPr>
          <w:p w:rsidR="00CB6351" w:rsidRPr="005B1409" w:rsidRDefault="00E62612" w:rsidP="00CF2BEB">
            <w:pPr>
              <w:pStyle w:val="Tabletext"/>
            </w:pPr>
            <w:r>
              <w:t>0.4698</w:t>
            </w:r>
          </w:p>
        </w:tc>
      </w:tr>
      <w:tr w:rsidR="00CB6351" w:rsidRPr="00CB6351" w:rsidTr="00CF2BEB">
        <w:trPr>
          <w:trHeight w:val="107"/>
        </w:trPr>
        <w:tc>
          <w:tcPr>
            <w:tcW w:w="9761" w:type="dxa"/>
            <w:gridSpan w:val="5"/>
          </w:tcPr>
          <w:p w:rsidR="00CB6351" w:rsidRPr="005B1409" w:rsidRDefault="00CB6351" w:rsidP="00784A72">
            <w:r w:rsidRPr="005B1409">
              <w:t xml:space="preserve">Male (total 12 months) </w:t>
            </w:r>
          </w:p>
        </w:tc>
      </w:tr>
      <w:tr w:rsidR="00CB6351" w:rsidRPr="00CB6351" w:rsidTr="00CF2BEB">
        <w:trPr>
          <w:trHeight w:val="106"/>
        </w:trPr>
        <w:tc>
          <w:tcPr>
            <w:tcW w:w="1952" w:type="dxa"/>
          </w:tcPr>
          <w:p w:rsidR="00CB6351" w:rsidRPr="005B1409" w:rsidRDefault="00CB6351" w:rsidP="00CF2BEB">
            <w:pPr>
              <w:pStyle w:val="Tabletext"/>
            </w:pPr>
            <w:r w:rsidRPr="005B1409">
              <w:t>Scripts</w:t>
            </w:r>
          </w:p>
        </w:tc>
        <w:tc>
          <w:tcPr>
            <w:tcW w:w="1871" w:type="dxa"/>
          </w:tcPr>
          <w:p w:rsidR="00CB6351" w:rsidRPr="005B1409" w:rsidRDefault="00E62612" w:rsidP="00CF2BEB">
            <w:pPr>
              <w:pStyle w:val="Tabletext"/>
            </w:pPr>
            <w:r>
              <w:t>611.68</w:t>
            </w:r>
          </w:p>
        </w:tc>
        <w:tc>
          <w:tcPr>
            <w:tcW w:w="1984" w:type="dxa"/>
          </w:tcPr>
          <w:p w:rsidR="00CB6351" w:rsidRPr="005B1409" w:rsidRDefault="00CB6351" w:rsidP="00CF2BEB">
            <w:pPr>
              <w:pStyle w:val="Tabletext"/>
            </w:pPr>
            <w:r w:rsidRPr="005B1409">
              <w:t xml:space="preserve">578.67 </w:t>
            </w:r>
          </w:p>
        </w:tc>
        <w:tc>
          <w:tcPr>
            <w:tcW w:w="2126" w:type="dxa"/>
          </w:tcPr>
          <w:p w:rsidR="00CB6351" w:rsidRPr="005B1409" w:rsidRDefault="00CB6351" w:rsidP="00CF2BEB">
            <w:pPr>
              <w:pStyle w:val="Tabletext"/>
            </w:pPr>
            <w:r w:rsidRPr="005B1409">
              <w:t xml:space="preserve">-5.40% </w:t>
            </w:r>
          </w:p>
        </w:tc>
        <w:tc>
          <w:tcPr>
            <w:tcW w:w="1828" w:type="dxa"/>
          </w:tcPr>
          <w:p w:rsidR="00CB6351" w:rsidRPr="005B1409" w:rsidRDefault="00E62612" w:rsidP="00CF2BEB">
            <w:pPr>
              <w:pStyle w:val="Tabletext"/>
            </w:pPr>
            <w:r>
              <w:t>0.0011</w:t>
            </w:r>
          </w:p>
        </w:tc>
      </w:tr>
      <w:tr w:rsidR="00CB6351" w:rsidRPr="00CB6351" w:rsidTr="00CF2BEB">
        <w:trPr>
          <w:trHeight w:val="106"/>
        </w:trPr>
        <w:tc>
          <w:tcPr>
            <w:tcW w:w="1952" w:type="dxa"/>
          </w:tcPr>
          <w:p w:rsidR="00CB6351" w:rsidRPr="005B1409" w:rsidRDefault="00CB6351" w:rsidP="00CF2BEB">
            <w:pPr>
              <w:pStyle w:val="Tabletext"/>
            </w:pPr>
            <w:r w:rsidRPr="005B1409">
              <w:t xml:space="preserve">Standard doses </w:t>
            </w:r>
          </w:p>
        </w:tc>
        <w:tc>
          <w:tcPr>
            <w:tcW w:w="1871" w:type="dxa"/>
          </w:tcPr>
          <w:p w:rsidR="00CB6351" w:rsidRPr="005B1409" w:rsidRDefault="00E62612" w:rsidP="00CF2BEB">
            <w:pPr>
              <w:pStyle w:val="Tabletext"/>
            </w:pPr>
            <w:r>
              <w:t>18,346.01</w:t>
            </w:r>
          </w:p>
        </w:tc>
        <w:tc>
          <w:tcPr>
            <w:tcW w:w="1984" w:type="dxa"/>
          </w:tcPr>
          <w:p w:rsidR="00CB6351" w:rsidRPr="005B1409" w:rsidRDefault="00CB6351" w:rsidP="00CF2BEB">
            <w:pPr>
              <w:pStyle w:val="Tabletext"/>
            </w:pPr>
            <w:r w:rsidRPr="005B1409">
              <w:t xml:space="preserve">17,302.20 </w:t>
            </w:r>
          </w:p>
        </w:tc>
        <w:tc>
          <w:tcPr>
            <w:tcW w:w="2126" w:type="dxa"/>
          </w:tcPr>
          <w:p w:rsidR="00CB6351" w:rsidRPr="005B1409" w:rsidRDefault="00CB6351" w:rsidP="00CF2BEB">
            <w:pPr>
              <w:pStyle w:val="Tabletext"/>
            </w:pPr>
            <w:r w:rsidRPr="005B1409">
              <w:t xml:space="preserve">-5.69% </w:t>
            </w:r>
          </w:p>
        </w:tc>
        <w:tc>
          <w:tcPr>
            <w:tcW w:w="1828" w:type="dxa"/>
          </w:tcPr>
          <w:p w:rsidR="00CB6351" w:rsidRPr="005B1409" w:rsidRDefault="00E62612" w:rsidP="00CF2BEB">
            <w:pPr>
              <w:pStyle w:val="Tabletext"/>
            </w:pPr>
            <w:r>
              <w:t>0.0011</w:t>
            </w:r>
          </w:p>
        </w:tc>
      </w:tr>
      <w:tr w:rsidR="00CB6351" w:rsidRPr="00CB6351" w:rsidTr="00CF2BEB">
        <w:trPr>
          <w:trHeight w:val="106"/>
        </w:trPr>
        <w:tc>
          <w:tcPr>
            <w:tcW w:w="1952" w:type="dxa"/>
          </w:tcPr>
          <w:p w:rsidR="00CB6351" w:rsidRPr="005B1409" w:rsidRDefault="00CB6351" w:rsidP="00CF2BEB">
            <w:pPr>
              <w:pStyle w:val="Tabletext"/>
            </w:pPr>
            <w:r w:rsidRPr="005B1409">
              <w:t xml:space="preserve">Prescribing rate </w:t>
            </w:r>
          </w:p>
        </w:tc>
        <w:tc>
          <w:tcPr>
            <w:tcW w:w="1871" w:type="dxa"/>
          </w:tcPr>
          <w:p w:rsidR="00CB6351" w:rsidRPr="005B1409" w:rsidRDefault="00CB6351" w:rsidP="00CF2BEB">
            <w:pPr>
              <w:pStyle w:val="Tabletext"/>
            </w:pPr>
            <w:r w:rsidRPr="005B1409">
              <w:t xml:space="preserve">4.22 </w:t>
            </w:r>
          </w:p>
        </w:tc>
        <w:tc>
          <w:tcPr>
            <w:tcW w:w="1984" w:type="dxa"/>
          </w:tcPr>
          <w:p w:rsidR="00CB6351" w:rsidRPr="005B1409" w:rsidRDefault="00CB6351" w:rsidP="00CF2BEB">
            <w:pPr>
              <w:pStyle w:val="Tabletext"/>
            </w:pPr>
            <w:r w:rsidRPr="005B1409">
              <w:t xml:space="preserve">3.94 </w:t>
            </w:r>
          </w:p>
        </w:tc>
        <w:tc>
          <w:tcPr>
            <w:tcW w:w="2126" w:type="dxa"/>
          </w:tcPr>
          <w:p w:rsidR="00CB6351" w:rsidRPr="005B1409" w:rsidRDefault="00CB6351" w:rsidP="00CF2BEB">
            <w:pPr>
              <w:pStyle w:val="Tabletext"/>
            </w:pPr>
            <w:r w:rsidRPr="005B1409">
              <w:t xml:space="preserve">-6.53% </w:t>
            </w:r>
          </w:p>
        </w:tc>
        <w:tc>
          <w:tcPr>
            <w:tcW w:w="1828" w:type="dxa"/>
          </w:tcPr>
          <w:p w:rsidR="00CB6351" w:rsidRPr="005B1409" w:rsidRDefault="00E62612" w:rsidP="00CF2BEB">
            <w:pPr>
              <w:pStyle w:val="Tabletext"/>
            </w:pPr>
            <w:r>
              <w:t>0.0001</w:t>
            </w:r>
          </w:p>
        </w:tc>
      </w:tr>
      <w:tr w:rsidR="00CB6351" w:rsidRPr="00CB6351" w:rsidTr="00CF2BEB">
        <w:trPr>
          <w:trHeight w:val="107"/>
        </w:trPr>
        <w:tc>
          <w:tcPr>
            <w:tcW w:w="9761" w:type="dxa"/>
            <w:gridSpan w:val="5"/>
          </w:tcPr>
          <w:p w:rsidR="00CB6351" w:rsidRPr="005B1409" w:rsidRDefault="00CB6351" w:rsidP="00CF2BEB">
            <w:pPr>
              <w:pStyle w:val="Tablehead"/>
            </w:pPr>
            <w:r w:rsidRPr="005B1409">
              <w:t xml:space="preserve">Aged under 55 years (total 12 months) </w:t>
            </w:r>
          </w:p>
        </w:tc>
      </w:tr>
      <w:tr w:rsidR="00CB6351" w:rsidRPr="00CB6351" w:rsidTr="00CF2BEB">
        <w:trPr>
          <w:trHeight w:val="106"/>
        </w:trPr>
        <w:tc>
          <w:tcPr>
            <w:tcW w:w="1952" w:type="dxa"/>
          </w:tcPr>
          <w:p w:rsidR="00CB6351" w:rsidRPr="005B1409" w:rsidRDefault="00CB6351" w:rsidP="00CF2BEB">
            <w:pPr>
              <w:pStyle w:val="Tabletext"/>
            </w:pPr>
            <w:r w:rsidRPr="005B1409">
              <w:t xml:space="preserve">Scripts </w:t>
            </w:r>
          </w:p>
        </w:tc>
        <w:tc>
          <w:tcPr>
            <w:tcW w:w="1871" w:type="dxa"/>
          </w:tcPr>
          <w:p w:rsidR="00CB6351" w:rsidRPr="005B1409" w:rsidRDefault="00CB6351" w:rsidP="00CF2BEB">
            <w:pPr>
              <w:pStyle w:val="Tabletext"/>
            </w:pPr>
            <w:r w:rsidRPr="005B1409">
              <w:t xml:space="preserve">462.08 </w:t>
            </w:r>
          </w:p>
        </w:tc>
        <w:tc>
          <w:tcPr>
            <w:tcW w:w="1984" w:type="dxa"/>
          </w:tcPr>
          <w:p w:rsidR="00CB6351" w:rsidRPr="005B1409" w:rsidRDefault="00CB6351" w:rsidP="00CF2BEB">
            <w:pPr>
              <w:pStyle w:val="Tabletext"/>
            </w:pPr>
            <w:r w:rsidRPr="005B1409">
              <w:t xml:space="preserve">450.92 </w:t>
            </w:r>
          </w:p>
        </w:tc>
        <w:tc>
          <w:tcPr>
            <w:tcW w:w="2126" w:type="dxa"/>
          </w:tcPr>
          <w:p w:rsidR="00CB6351" w:rsidRPr="005B1409" w:rsidRDefault="00CB6351" w:rsidP="00CF2BEB">
            <w:pPr>
              <w:pStyle w:val="Tabletext"/>
            </w:pPr>
            <w:r w:rsidRPr="005B1409">
              <w:t xml:space="preserve">-2.41% </w:t>
            </w:r>
          </w:p>
        </w:tc>
        <w:tc>
          <w:tcPr>
            <w:tcW w:w="1828" w:type="dxa"/>
          </w:tcPr>
          <w:p w:rsidR="00CB6351" w:rsidRPr="005B1409" w:rsidRDefault="00E62612" w:rsidP="00CF2BEB">
            <w:pPr>
              <w:pStyle w:val="Tabletext"/>
            </w:pPr>
            <w:r>
              <w:t>0.2682</w:t>
            </w:r>
          </w:p>
        </w:tc>
      </w:tr>
      <w:tr w:rsidR="00CB6351" w:rsidRPr="00CB6351" w:rsidTr="00CF2BEB">
        <w:trPr>
          <w:trHeight w:val="106"/>
        </w:trPr>
        <w:tc>
          <w:tcPr>
            <w:tcW w:w="1952" w:type="dxa"/>
          </w:tcPr>
          <w:p w:rsidR="00CB6351" w:rsidRPr="005B1409" w:rsidRDefault="00CB6351" w:rsidP="00CF2BEB">
            <w:pPr>
              <w:pStyle w:val="Tabletext"/>
            </w:pPr>
            <w:r w:rsidRPr="005B1409">
              <w:t xml:space="preserve">Standard doses </w:t>
            </w:r>
          </w:p>
        </w:tc>
        <w:tc>
          <w:tcPr>
            <w:tcW w:w="1871" w:type="dxa"/>
          </w:tcPr>
          <w:p w:rsidR="00CB6351" w:rsidRPr="005B1409" w:rsidRDefault="00CB6351" w:rsidP="00CF2BEB">
            <w:pPr>
              <w:pStyle w:val="Tabletext"/>
            </w:pPr>
            <w:r w:rsidRPr="005B1409">
              <w:t xml:space="preserve">14,615.31 </w:t>
            </w:r>
          </w:p>
        </w:tc>
        <w:tc>
          <w:tcPr>
            <w:tcW w:w="1984" w:type="dxa"/>
          </w:tcPr>
          <w:p w:rsidR="00CB6351" w:rsidRPr="005B1409" w:rsidRDefault="00CB6351" w:rsidP="00CF2BEB">
            <w:pPr>
              <w:pStyle w:val="Tabletext"/>
            </w:pPr>
            <w:r w:rsidRPr="005B1409">
              <w:t xml:space="preserve">14,153.41 </w:t>
            </w:r>
          </w:p>
        </w:tc>
        <w:tc>
          <w:tcPr>
            <w:tcW w:w="2126" w:type="dxa"/>
          </w:tcPr>
          <w:p w:rsidR="00CB6351" w:rsidRPr="005B1409" w:rsidRDefault="00CB6351" w:rsidP="00CF2BEB">
            <w:pPr>
              <w:pStyle w:val="Tabletext"/>
            </w:pPr>
            <w:r w:rsidRPr="005B1409">
              <w:t xml:space="preserve">-3.16% </w:t>
            </w:r>
          </w:p>
        </w:tc>
        <w:tc>
          <w:tcPr>
            <w:tcW w:w="1828" w:type="dxa"/>
          </w:tcPr>
          <w:p w:rsidR="00CB6351" w:rsidRPr="005B1409" w:rsidRDefault="00E62612" w:rsidP="00CF2BEB">
            <w:pPr>
              <w:pStyle w:val="Tabletext"/>
            </w:pPr>
            <w:r>
              <w:t>0.1662</w:t>
            </w:r>
          </w:p>
        </w:tc>
      </w:tr>
      <w:tr w:rsidR="00CB6351" w:rsidRPr="00CB6351" w:rsidTr="00CF2BEB">
        <w:trPr>
          <w:trHeight w:val="106"/>
        </w:trPr>
        <w:tc>
          <w:tcPr>
            <w:tcW w:w="1952" w:type="dxa"/>
          </w:tcPr>
          <w:p w:rsidR="00CB6351" w:rsidRPr="005B1409" w:rsidRDefault="00CB6351" w:rsidP="00CF2BEB">
            <w:pPr>
              <w:pStyle w:val="Tabletext"/>
            </w:pPr>
            <w:r w:rsidRPr="005B1409">
              <w:t xml:space="preserve">Prescribing rate </w:t>
            </w:r>
          </w:p>
        </w:tc>
        <w:tc>
          <w:tcPr>
            <w:tcW w:w="1871" w:type="dxa"/>
          </w:tcPr>
          <w:p w:rsidR="00CB6351" w:rsidRPr="005B1409" w:rsidRDefault="00CB6351" w:rsidP="00CF2BEB">
            <w:pPr>
              <w:pStyle w:val="Tabletext"/>
            </w:pPr>
            <w:r w:rsidRPr="005B1409">
              <w:t xml:space="preserve">3.64 </w:t>
            </w:r>
          </w:p>
        </w:tc>
        <w:tc>
          <w:tcPr>
            <w:tcW w:w="1984" w:type="dxa"/>
          </w:tcPr>
          <w:p w:rsidR="00CB6351" w:rsidRPr="005B1409" w:rsidRDefault="00CB6351" w:rsidP="00CF2BEB">
            <w:pPr>
              <w:pStyle w:val="Tabletext"/>
            </w:pPr>
            <w:r w:rsidRPr="005B1409">
              <w:t xml:space="preserve">3.53 </w:t>
            </w:r>
          </w:p>
        </w:tc>
        <w:tc>
          <w:tcPr>
            <w:tcW w:w="2126" w:type="dxa"/>
          </w:tcPr>
          <w:p w:rsidR="00CB6351" w:rsidRPr="005B1409" w:rsidRDefault="00E62612" w:rsidP="00CF2BEB">
            <w:pPr>
              <w:pStyle w:val="Tabletext"/>
            </w:pPr>
            <w:r>
              <w:t>-3.07%</w:t>
            </w:r>
          </w:p>
        </w:tc>
        <w:tc>
          <w:tcPr>
            <w:tcW w:w="1828" w:type="dxa"/>
          </w:tcPr>
          <w:p w:rsidR="00CB6351" w:rsidRPr="005B1409" w:rsidRDefault="00E62612" w:rsidP="00CF2BEB">
            <w:pPr>
              <w:pStyle w:val="Tabletext"/>
            </w:pPr>
            <w:r>
              <w:t>0.1707</w:t>
            </w:r>
          </w:p>
        </w:tc>
      </w:tr>
      <w:tr w:rsidR="00CB6351" w:rsidRPr="00CB6351" w:rsidTr="00CF2BEB">
        <w:trPr>
          <w:trHeight w:val="107"/>
        </w:trPr>
        <w:tc>
          <w:tcPr>
            <w:tcW w:w="9761" w:type="dxa"/>
            <w:gridSpan w:val="5"/>
          </w:tcPr>
          <w:p w:rsidR="00CB6351" w:rsidRPr="005B1409" w:rsidRDefault="00CB6351" w:rsidP="00CF2BEB">
            <w:pPr>
              <w:pStyle w:val="Tablehead"/>
            </w:pPr>
            <w:r w:rsidRPr="005B1409">
              <w:t xml:space="preserve">Aged 55 and over (total 12 months) </w:t>
            </w:r>
          </w:p>
        </w:tc>
      </w:tr>
      <w:tr w:rsidR="00CB6351" w:rsidRPr="00CB6351" w:rsidTr="00CF2BEB">
        <w:trPr>
          <w:trHeight w:val="106"/>
        </w:trPr>
        <w:tc>
          <w:tcPr>
            <w:tcW w:w="1952" w:type="dxa"/>
          </w:tcPr>
          <w:p w:rsidR="00CB6351" w:rsidRPr="005B1409" w:rsidRDefault="00CB6351" w:rsidP="00CF2BEB">
            <w:pPr>
              <w:pStyle w:val="Tabletext"/>
            </w:pPr>
            <w:r w:rsidRPr="005B1409">
              <w:t xml:space="preserve">Scripts </w:t>
            </w:r>
          </w:p>
        </w:tc>
        <w:tc>
          <w:tcPr>
            <w:tcW w:w="1871" w:type="dxa"/>
          </w:tcPr>
          <w:p w:rsidR="00CB6351" w:rsidRPr="005B1409" w:rsidRDefault="00E62612" w:rsidP="00CF2BEB">
            <w:pPr>
              <w:pStyle w:val="Tabletext"/>
            </w:pPr>
            <w:r>
              <w:t>528.97</w:t>
            </w:r>
          </w:p>
        </w:tc>
        <w:tc>
          <w:tcPr>
            <w:tcW w:w="1984" w:type="dxa"/>
          </w:tcPr>
          <w:p w:rsidR="00CB6351" w:rsidRPr="005B1409" w:rsidRDefault="00E62612" w:rsidP="00CF2BEB">
            <w:pPr>
              <w:pStyle w:val="Tabletext"/>
            </w:pPr>
            <w:r>
              <w:t>498.88</w:t>
            </w:r>
          </w:p>
        </w:tc>
        <w:tc>
          <w:tcPr>
            <w:tcW w:w="2126" w:type="dxa"/>
          </w:tcPr>
          <w:p w:rsidR="00CB6351" w:rsidRPr="005B1409" w:rsidRDefault="00E62612" w:rsidP="00CF2BEB">
            <w:pPr>
              <w:pStyle w:val="Tabletext"/>
            </w:pPr>
            <w:r>
              <w:t>-5.69%</w:t>
            </w:r>
          </w:p>
        </w:tc>
        <w:tc>
          <w:tcPr>
            <w:tcW w:w="1828" w:type="dxa"/>
          </w:tcPr>
          <w:p w:rsidR="00CB6351" w:rsidRPr="005B1409" w:rsidRDefault="00E62612" w:rsidP="00CF2BEB">
            <w:pPr>
              <w:pStyle w:val="Tabletext"/>
            </w:pPr>
            <w:r>
              <w:t>0.0046</w:t>
            </w:r>
          </w:p>
        </w:tc>
      </w:tr>
      <w:tr w:rsidR="00CB6351" w:rsidRPr="00CB6351" w:rsidTr="00CF2BEB">
        <w:trPr>
          <w:trHeight w:val="106"/>
        </w:trPr>
        <w:tc>
          <w:tcPr>
            <w:tcW w:w="1952" w:type="dxa"/>
          </w:tcPr>
          <w:p w:rsidR="00CB6351" w:rsidRPr="005B1409" w:rsidRDefault="00CB6351" w:rsidP="00CF2BEB">
            <w:pPr>
              <w:pStyle w:val="Tabletext"/>
            </w:pPr>
            <w:r w:rsidRPr="005B1409">
              <w:t xml:space="preserve">Standard doses </w:t>
            </w:r>
          </w:p>
        </w:tc>
        <w:tc>
          <w:tcPr>
            <w:tcW w:w="1871" w:type="dxa"/>
          </w:tcPr>
          <w:p w:rsidR="00CB6351" w:rsidRPr="005B1409" w:rsidRDefault="00E62612" w:rsidP="00CF2BEB">
            <w:pPr>
              <w:pStyle w:val="Tabletext"/>
            </w:pPr>
            <w:r>
              <w:t>15,690.51</w:t>
            </w:r>
          </w:p>
        </w:tc>
        <w:tc>
          <w:tcPr>
            <w:tcW w:w="1984" w:type="dxa"/>
          </w:tcPr>
          <w:p w:rsidR="00CB6351" w:rsidRPr="005B1409" w:rsidRDefault="00E62612" w:rsidP="00CF2BEB">
            <w:pPr>
              <w:pStyle w:val="Tabletext"/>
            </w:pPr>
            <w:r>
              <w:t>14,881.27</w:t>
            </w:r>
          </w:p>
        </w:tc>
        <w:tc>
          <w:tcPr>
            <w:tcW w:w="2126" w:type="dxa"/>
          </w:tcPr>
          <w:p w:rsidR="00CB6351" w:rsidRPr="005B1409" w:rsidRDefault="00CB6351" w:rsidP="00CF2BEB">
            <w:pPr>
              <w:pStyle w:val="Tabletext"/>
            </w:pPr>
            <w:r w:rsidRPr="005B1409">
              <w:t xml:space="preserve">-5.16% </w:t>
            </w:r>
          </w:p>
        </w:tc>
        <w:tc>
          <w:tcPr>
            <w:tcW w:w="1828" w:type="dxa"/>
          </w:tcPr>
          <w:p w:rsidR="00CB6351" w:rsidRPr="005B1409" w:rsidRDefault="00E62612" w:rsidP="00CF2BEB">
            <w:pPr>
              <w:pStyle w:val="Tabletext"/>
            </w:pPr>
            <w:r>
              <w:t>0.0154</w:t>
            </w:r>
          </w:p>
        </w:tc>
      </w:tr>
      <w:tr w:rsidR="00CB6351" w:rsidRPr="00CB6351" w:rsidTr="00CF2BEB">
        <w:trPr>
          <w:trHeight w:val="106"/>
        </w:trPr>
        <w:tc>
          <w:tcPr>
            <w:tcW w:w="1952" w:type="dxa"/>
          </w:tcPr>
          <w:p w:rsidR="00CB6351" w:rsidRPr="005B1409" w:rsidRDefault="00CB6351" w:rsidP="00CF2BEB">
            <w:pPr>
              <w:pStyle w:val="Tabletext"/>
            </w:pPr>
            <w:r w:rsidRPr="005B1409">
              <w:t xml:space="preserve">Prescribing rate </w:t>
            </w:r>
          </w:p>
        </w:tc>
        <w:tc>
          <w:tcPr>
            <w:tcW w:w="1871" w:type="dxa"/>
          </w:tcPr>
          <w:p w:rsidR="00CB6351" w:rsidRPr="005B1409" w:rsidRDefault="00CB6351" w:rsidP="00CF2BEB">
            <w:pPr>
              <w:pStyle w:val="Tabletext"/>
            </w:pPr>
            <w:r w:rsidRPr="005B1409">
              <w:t xml:space="preserve">4.14 </w:t>
            </w:r>
          </w:p>
        </w:tc>
        <w:tc>
          <w:tcPr>
            <w:tcW w:w="1984" w:type="dxa"/>
          </w:tcPr>
          <w:p w:rsidR="00CB6351" w:rsidRPr="005B1409" w:rsidRDefault="00CB6351" w:rsidP="00CF2BEB">
            <w:pPr>
              <w:pStyle w:val="Tabletext"/>
            </w:pPr>
            <w:r w:rsidRPr="005B1409">
              <w:t xml:space="preserve">3.92 </w:t>
            </w:r>
          </w:p>
        </w:tc>
        <w:tc>
          <w:tcPr>
            <w:tcW w:w="2126" w:type="dxa"/>
          </w:tcPr>
          <w:p w:rsidR="00CB6351" w:rsidRPr="005B1409" w:rsidRDefault="00CB6351" w:rsidP="00CF2BEB">
            <w:pPr>
              <w:pStyle w:val="Tabletext"/>
            </w:pPr>
            <w:r w:rsidRPr="005B1409">
              <w:t xml:space="preserve">-5.39% </w:t>
            </w:r>
          </w:p>
        </w:tc>
        <w:tc>
          <w:tcPr>
            <w:tcW w:w="1828" w:type="dxa"/>
          </w:tcPr>
          <w:p w:rsidR="00CB6351" w:rsidRPr="005B1409" w:rsidRDefault="00E62612" w:rsidP="00CF2BEB">
            <w:pPr>
              <w:pStyle w:val="Tabletext"/>
            </w:pPr>
            <w:r>
              <w:t>0.0056</w:t>
            </w:r>
          </w:p>
        </w:tc>
      </w:tr>
      <w:tr w:rsidR="00CB6351" w:rsidRPr="00CB6351" w:rsidTr="00CF2BEB">
        <w:trPr>
          <w:trHeight w:val="107"/>
        </w:trPr>
        <w:tc>
          <w:tcPr>
            <w:tcW w:w="9761" w:type="dxa"/>
            <w:gridSpan w:val="5"/>
          </w:tcPr>
          <w:p w:rsidR="00CB6351" w:rsidRPr="005B1409" w:rsidRDefault="00CB6351" w:rsidP="00CF2BEB">
            <w:pPr>
              <w:pStyle w:val="Tablehead"/>
            </w:pPr>
            <w:r w:rsidRPr="005B1409">
              <w:t xml:space="preserve">Prescribing rate by opioid type (total 12 months) </w:t>
            </w:r>
          </w:p>
        </w:tc>
      </w:tr>
      <w:tr w:rsidR="00CB6351" w:rsidRPr="00CB6351" w:rsidTr="00CF2BEB">
        <w:trPr>
          <w:trHeight w:val="106"/>
        </w:trPr>
        <w:tc>
          <w:tcPr>
            <w:tcW w:w="1952" w:type="dxa"/>
          </w:tcPr>
          <w:p w:rsidR="00CB6351" w:rsidRPr="00E62612" w:rsidRDefault="00CB6351" w:rsidP="00E62612">
            <w:pPr>
              <w:pStyle w:val="Tabletext"/>
            </w:pPr>
            <w:r w:rsidRPr="00E62612">
              <w:t xml:space="preserve">Buprenorphine </w:t>
            </w:r>
          </w:p>
        </w:tc>
        <w:tc>
          <w:tcPr>
            <w:tcW w:w="1871" w:type="dxa"/>
          </w:tcPr>
          <w:p w:rsidR="00CB6351" w:rsidRPr="00E62612" w:rsidRDefault="00CB6351" w:rsidP="00E62612">
            <w:pPr>
              <w:pStyle w:val="Tabletext"/>
            </w:pPr>
            <w:r w:rsidRPr="00E62612">
              <w:t xml:space="preserve">0.21 </w:t>
            </w:r>
          </w:p>
        </w:tc>
        <w:tc>
          <w:tcPr>
            <w:tcW w:w="1984" w:type="dxa"/>
          </w:tcPr>
          <w:p w:rsidR="00CB6351" w:rsidRPr="00E62612" w:rsidRDefault="00CB6351" w:rsidP="00E62612">
            <w:pPr>
              <w:pStyle w:val="Tabletext"/>
            </w:pPr>
            <w:r w:rsidRPr="00E62612">
              <w:t xml:space="preserve">0.21 </w:t>
            </w:r>
          </w:p>
        </w:tc>
        <w:tc>
          <w:tcPr>
            <w:tcW w:w="2126" w:type="dxa"/>
          </w:tcPr>
          <w:p w:rsidR="00CB6351" w:rsidRPr="00E62612" w:rsidRDefault="00CB6351" w:rsidP="00E62612">
            <w:pPr>
              <w:pStyle w:val="Tabletext"/>
            </w:pPr>
            <w:r w:rsidRPr="00E62612">
              <w:t xml:space="preserve">-1.29% </w:t>
            </w:r>
          </w:p>
        </w:tc>
        <w:tc>
          <w:tcPr>
            <w:tcW w:w="1828" w:type="dxa"/>
          </w:tcPr>
          <w:p w:rsidR="00CB6351" w:rsidRPr="00E62612" w:rsidRDefault="00CB6351" w:rsidP="00E62612">
            <w:pPr>
              <w:pStyle w:val="Tabletext"/>
            </w:pPr>
            <w:r w:rsidRPr="00E62612">
              <w:t xml:space="preserve">0.6270 </w:t>
            </w:r>
          </w:p>
        </w:tc>
      </w:tr>
      <w:tr w:rsidR="00CB6351" w:rsidRPr="00CB6351" w:rsidTr="00CF2BEB">
        <w:trPr>
          <w:trHeight w:val="106"/>
        </w:trPr>
        <w:tc>
          <w:tcPr>
            <w:tcW w:w="1952" w:type="dxa"/>
          </w:tcPr>
          <w:p w:rsidR="00CB6351" w:rsidRPr="00E62612" w:rsidRDefault="00CB6351" w:rsidP="00E62612">
            <w:pPr>
              <w:pStyle w:val="Tabletext"/>
            </w:pPr>
            <w:r w:rsidRPr="00E62612">
              <w:t xml:space="preserve">Fentanyl </w:t>
            </w:r>
          </w:p>
        </w:tc>
        <w:tc>
          <w:tcPr>
            <w:tcW w:w="1871" w:type="dxa"/>
          </w:tcPr>
          <w:p w:rsidR="00CB6351" w:rsidRPr="00E62612" w:rsidRDefault="00CB6351" w:rsidP="00E62612">
            <w:pPr>
              <w:pStyle w:val="Tabletext"/>
            </w:pPr>
            <w:r w:rsidRPr="00E62612">
              <w:t xml:space="preserve">0.30 </w:t>
            </w:r>
          </w:p>
        </w:tc>
        <w:tc>
          <w:tcPr>
            <w:tcW w:w="1984" w:type="dxa"/>
          </w:tcPr>
          <w:p w:rsidR="00CB6351" w:rsidRPr="00E62612" w:rsidRDefault="00CB6351" w:rsidP="00E62612">
            <w:pPr>
              <w:pStyle w:val="Tabletext"/>
            </w:pPr>
            <w:r w:rsidRPr="00E62612">
              <w:t xml:space="preserve">0.30 </w:t>
            </w:r>
          </w:p>
        </w:tc>
        <w:tc>
          <w:tcPr>
            <w:tcW w:w="2126" w:type="dxa"/>
          </w:tcPr>
          <w:p w:rsidR="00CB6351" w:rsidRPr="00E62612" w:rsidRDefault="00CB6351" w:rsidP="00E62612">
            <w:pPr>
              <w:pStyle w:val="Tabletext"/>
            </w:pPr>
            <w:r w:rsidRPr="00E62612">
              <w:t xml:space="preserve">0.56% </w:t>
            </w:r>
          </w:p>
        </w:tc>
        <w:tc>
          <w:tcPr>
            <w:tcW w:w="1828" w:type="dxa"/>
          </w:tcPr>
          <w:p w:rsidR="00CB6351" w:rsidRPr="00E62612" w:rsidRDefault="00E62612" w:rsidP="00E62612">
            <w:pPr>
              <w:pStyle w:val="Tabletext"/>
            </w:pPr>
            <w:r w:rsidRPr="00E62612">
              <w:t>0.8742</w:t>
            </w:r>
          </w:p>
        </w:tc>
      </w:tr>
      <w:tr w:rsidR="00CB6351" w:rsidRPr="00CB6351" w:rsidTr="00CF2BEB">
        <w:trPr>
          <w:trHeight w:val="106"/>
        </w:trPr>
        <w:tc>
          <w:tcPr>
            <w:tcW w:w="1952" w:type="dxa"/>
          </w:tcPr>
          <w:p w:rsidR="00CB6351" w:rsidRPr="00E62612" w:rsidRDefault="00CB6351" w:rsidP="00E62612">
            <w:pPr>
              <w:pStyle w:val="Tabletext"/>
            </w:pPr>
            <w:r w:rsidRPr="00E62612">
              <w:t xml:space="preserve">Hydromorphone </w:t>
            </w:r>
          </w:p>
        </w:tc>
        <w:tc>
          <w:tcPr>
            <w:tcW w:w="1871" w:type="dxa"/>
          </w:tcPr>
          <w:p w:rsidR="00CB6351" w:rsidRPr="00E62612" w:rsidRDefault="00CB6351" w:rsidP="00E62612">
            <w:pPr>
              <w:pStyle w:val="Tabletext"/>
            </w:pPr>
            <w:r w:rsidRPr="00E62612">
              <w:t xml:space="preserve">0.09 </w:t>
            </w:r>
          </w:p>
        </w:tc>
        <w:tc>
          <w:tcPr>
            <w:tcW w:w="1984" w:type="dxa"/>
          </w:tcPr>
          <w:p w:rsidR="00CB6351" w:rsidRPr="00E62612" w:rsidRDefault="00CB6351" w:rsidP="00E62612">
            <w:pPr>
              <w:pStyle w:val="Tabletext"/>
            </w:pPr>
            <w:r w:rsidRPr="00E62612">
              <w:t xml:space="preserve">0.09 </w:t>
            </w:r>
          </w:p>
        </w:tc>
        <w:tc>
          <w:tcPr>
            <w:tcW w:w="2126" w:type="dxa"/>
          </w:tcPr>
          <w:p w:rsidR="00CB6351" w:rsidRPr="00E62612" w:rsidRDefault="00CB6351" w:rsidP="00E62612">
            <w:pPr>
              <w:pStyle w:val="Tabletext"/>
            </w:pPr>
            <w:r w:rsidRPr="00E62612">
              <w:t xml:space="preserve">0.35% </w:t>
            </w:r>
          </w:p>
        </w:tc>
        <w:tc>
          <w:tcPr>
            <w:tcW w:w="1828" w:type="dxa"/>
          </w:tcPr>
          <w:p w:rsidR="00CB6351" w:rsidRPr="00E62612" w:rsidRDefault="00E62612" w:rsidP="00E62612">
            <w:pPr>
              <w:pStyle w:val="Tabletext"/>
            </w:pPr>
            <w:r w:rsidRPr="00E62612">
              <w:t>0.9547</w:t>
            </w:r>
          </w:p>
        </w:tc>
      </w:tr>
      <w:tr w:rsidR="00CB6351" w:rsidRPr="00CB6351" w:rsidTr="00CF2BEB">
        <w:trPr>
          <w:trHeight w:val="106"/>
        </w:trPr>
        <w:tc>
          <w:tcPr>
            <w:tcW w:w="1952" w:type="dxa"/>
          </w:tcPr>
          <w:p w:rsidR="00CB6351" w:rsidRPr="00E62612" w:rsidRDefault="00CB6351" w:rsidP="00E62612">
            <w:pPr>
              <w:pStyle w:val="Tabletext"/>
            </w:pPr>
            <w:r w:rsidRPr="00E62612">
              <w:t xml:space="preserve">Methadone </w:t>
            </w:r>
          </w:p>
        </w:tc>
        <w:tc>
          <w:tcPr>
            <w:tcW w:w="1871" w:type="dxa"/>
          </w:tcPr>
          <w:p w:rsidR="00CB6351" w:rsidRPr="00E62612" w:rsidRDefault="00CB6351" w:rsidP="00E62612">
            <w:pPr>
              <w:pStyle w:val="Tabletext"/>
            </w:pPr>
            <w:r w:rsidRPr="00E62612">
              <w:t xml:space="preserve">0.27 </w:t>
            </w:r>
          </w:p>
        </w:tc>
        <w:tc>
          <w:tcPr>
            <w:tcW w:w="1984" w:type="dxa"/>
          </w:tcPr>
          <w:p w:rsidR="00CB6351" w:rsidRPr="00E62612" w:rsidRDefault="00CB6351" w:rsidP="00E62612">
            <w:pPr>
              <w:pStyle w:val="Tabletext"/>
            </w:pPr>
            <w:r w:rsidRPr="00E62612">
              <w:t xml:space="preserve">0.27 </w:t>
            </w:r>
          </w:p>
        </w:tc>
        <w:tc>
          <w:tcPr>
            <w:tcW w:w="2126" w:type="dxa"/>
          </w:tcPr>
          <w:p w:rsidR="00CB6351" w:rsidRPr="00E62612" w:rsidRDefault="00CB6351" w:rsidP="00E62612">
            <w:pPr>
              <w:pStyle w:val="Tabletext"/>
            </w:pPr>
            <w:r w:rsidRPr="00E62612">
              <w:t xml:space="preserve">-0.69% </w:t>
            </w:r>
          </w:p>
        </w:tc>
        <w:tc>
          <w:tcPr>
            <w:tcW w:w="1828" w:type="dxa"/>
          </w:tcPr>
          <w:p w:rsidR="00CB6351" w:rsidRPr="00E62612" w:rsidRDefault="00E62612" w:rsidP="00E62612">
            <w:pPr>
              <w:pStyle w:val="Tabletext"/>
            </w:pPr>
            <w:r w:rsidRPr="00E62612">
              <w:t>0.8876</w:t>
            </w:r>
          </w:p>
        </w:tc>
      </w:tr>
      <w:tr w:rsidR="00CB6351" w:rsidRPr="00CB6351" w:rsidTr="00CF2BEB">
        <w:trPr>
          <w:trHeight w:val="106"/>
        </w:trPr>
        <w:tc>
          <w:tcPr>
            <w:tcW w:w="1952" w:type="dxa"/>
          </w:tcPr>
          <w:p w:rsidR="00CB6351" w:rsidRPr="00E62612" w:rsidRDefault="00CB6351" w:rsidP="00E62612">
            <w:pPr>
              <w:pStyle w:val="Tabletext"/>
            </w:pPr>
            <w:r w:rsidRPr="00E62612">
              <w:t xml:space="preserve">Morphine </w:t>
            </w:r>
          </w:p>
        </w:tc>
        <w:tc>
          <w:tcPr>
            <w:tcW w:w="1871" w:type="dxa"/>
          </w:tcPr>
          <w:p w:rsidR="00CB6351" w:rsidRPr="00E62612" w:rsidRDefault="00CB6351" w:rsidP="00E62612">
            <w:pPr>
              <w:pStyle w:val="Tabletext"/>
            </w:pPr>
            <w:r w:rsidRPr="00E62612">
              <w:t xml:space="preserve">0.21 </w:t>
            </w:r>
          </w:p>
        </w:tc>
        <w:tc>
          <w:tcPr>
            <w:tcW w:w="1984" w:type="dxa"/>
          </w:tcPr>
          <w:p w:rsidR="00CB6351" w:rsidRPr="00E62612" w:rsidRDefault="00CB6351" w:rsidP="00E62612">
            <w:pPr>
              <w:pStyle w:val="Tabletext"/>
            </w:pPr>
            <w:r w:rsidRPr="00E62612">
              <w:t xml:space="preserve">0.20 </w:t>
            </w:r>
          </w:p>
        </w:tc>
        <w:tc>
          <w:tcPr>
            <w:tcW w:w="2126" w:type="dxa"/>
          </w:tcPr>
          <w:p w:rsidR="00CB6351" w:rsidRPr="00E62612" w:rsidRDefault="00CB6351" w:rsidP="00E62612">
            <w:pPr>
              <w:pStyle w:val="Tabletext"/>
            </w:pPr>
            <w:r w:rsidRPr="00E62612">
              <w:t xml:space="preserve">-3.21% </w:t>
            </w:r>
          </w:p>
        </w:tc>
        <w:tc>
          <w:tcPr>
            <w:tcW w:w="1828" w:type="dxa"/>
          </w:tcPr>
          <w:p w:rsidR="00CB6351" w:rsidRPr="00E62612" w:rsidRDefault="00E62612" w:rsidP="00E62612">
            <w:pPr>
              <w:pStyle w:val="Tabletext"/>
            </w:pPr>
            <w:r w:rsidRPr="00E62612">
              <w:t>0.3338</w:t>
            </w:r>
          </w:p>
        </w:tc>
      </w:tr>
      <w:tr w:rsidR="00CB6351" w:rsidRPr="00CB6351" w:rsidTr="00CF2BEB">
        <w:trPr>
          <w:trHeight w:val="106"/>
        </w:trPr>
        <w:tc>
          <w:tcPr>
            <w:tcW w:w="1952" w:type="dxa"/>
          </w:tcPr>
          <w:p w:rsidR="00CB6351" w:rsidRPr="00E62612" w:rsidRDefault="00CB6351" w:rsidP="00E62612">
            <w:pPr>
              <w:pStyle w:val="Tabletext"/>
            </w:pPr>
            <w:r w:rsidRPr="00E62612">
              <w:t xml:space="preserve">Oxycodone </w:t>
            </w:r>
          </w:p>
        </w:tc>
        <w:tc>
          <w:tcPr>
            <w:tcW w:w="1871" w:type="dxa"/>
          </w:tcPr>
          <w:p w:rsidR="00CB6351" w:rsidRPr="00E62612" w:rsidRDefault="00CB6351" w:rsidP="00E62612">
            <w:pPr>
              <w:pStyle w:val="Tabletext"/>
            </w:pPr>
            <w:r w:rsidRPr="00E62612">
              <w:t xml:space="preserve">1.23 </w:t>
            </w:r>
          </w:p>
        </w:tc>
        <w:tc>
          <w:tcPr>
            <w:tcW w:w="1984" w:type="dxa"/>
          </w:tcPr>
          <w:p w:rsidR="00CB6351" w:rsidRPr="00E62612" w:rsidRDefault="00CB6351" w:rsidP="00E62612">
            <w:pPr>
              <w:pStyle w:val="Tabletext"/>
            </w:pPr>
            <w:r w:rsidRPr="00E62612">
              <w:t xml:space="preserve">1.16 </w:t>
            </w:r>
          </w:p>
        </w:tc>
        <w:tc>
          <w:tcPr>
            <w:tcW w:w="2126" w:type="dxa"/>
          </w:tcPr>
          <w:p w:rsidR="00CB6351" w:rsidRPr="00E62612" w:rsidRDefault="00CB6351" w:rsidP="00E62612">
            <w:pPr>
              <w:pStyle w:val="Tabletext"/>
            </w:pPr>
            <w:r w:rsidRPr="00E62612">
              <w:t xml:space="preserve">-5.62% </w:t>
            </w:r>
          </w:p>
        </w:tc>
        <w:tc>
          <w:tcPr>
            <w:tcW w:w="1828" w:type="dxa"/>
          </w:tcPr>
          <w:p w:rsidR="00CB6351" w:rsidRPr="00E62612" w:rsidRDefault="00E62612" w:rsidP="00E62612">
            <w:pPr>
              <w:pStyle w:val="Tabletext"/>
            </w:pPr>
            <w:r w:rsidRPr="00E62612">
              <w:t>0.0062</w:t>
            </w:r>
          </w:p>
        </w:tc>
      </w:tr>
      <w:tr w:rsidR="00CB6351" w:rsidRPr="00CB6351" w:rsidTr="00CF2BEB">
        <w:trPr>
          <w:trHeight w:val="106"/>
        </w:trPr>
        <w:tc>
          <w:tcPr>
            <w:tcW w:w="1952" w:type="dxa"/>
          </w:tcPr>
          <w:p w:rsidR="00CB6351" w:rsidRPr="00E62612" w:rsidRDefault="00CB6351" w:rsidP="00E62612">
            <w:pPr>
              <w:pStyle w:val="Tabletext"/>
            </w:pPr>
            <w:r w:rsidRPr="00E62612">
              <w:t xml:space="preserve">Tapentadol </w:t>
            </w:r>
          </w:p>
        </w:tc>
        <w:tc>
          <w:tcPr>
            <w:tcW w:w="1871" w:type="dxa"/>
          </w:tcPr>
          <w:p w:rsidR="00CB6351" w:rsidRPr="00E62612" w:rsidRDefault="00CB6351" w:rsidP="00E62612">
            <w:pPr>
              <w:pStyle w:val="Tabletext"/>
            </w:pPr>
            <w:r w:rsidRPr="00E62612">
              <w:t xml:space="preserve">0.44 </w:t>
            </w:r>
          </w:p>
        </w:tc>
        <w:tc>
          <w:tcPr>
            <w:tcW w:w="1984" w:type="dxa"/>
          </w:tcPr>
          <w:p w:rsidR="00CB6351" w:rsidRPr="00E62612" w:rsidRDefault="00CB6351" w:rsidP="00E62612">
            <w:pPr>
              <w:pStyle w:val="Tabletext"/>
            </w:pPr>
            <w:r w:rsidRPr="00E62612">
              <w:t xml:space="preserve">0.40 </w:t>
            </w:r>
          </w:p>
        </w:tc>
        <w:tc>
          <w:tcPr>
            <w:tcW w:w="2126" w:type="dxa"/>
          </w:tcPr>
          <w:p w:rsidR="00CB6351" w:rsidRPr="00E62612" w:rsidRDefault="00CB6351" w:rsidP="00E62612">
            <w:pPr>
              <w:pStyle w:val="Tabletext"/>
            </w:pPr>
            <w:r w:rsidRPr="00E62612">
              <w:t xml:space="preserve">-8.79% </w:t>
            </w:r>
          </w:p>
        </w:tc>
        <w:tc>
          <w:tcPr>
            <w:tcW w:w="1828" w:type="dxa"/>
          </w:tcPr>
          <w:p w:rsidR="00CB6351" w:rsidRPr="00E62612" w:rsidRDefault="00E62612" w:rsidP="00E62612">
            <w:pPr>
              <w:pStyle w:val="Tabletext"/>
            </w:pPr>
            <w:r w:rsidRPr="00E62612">
              <w:t>0.0017</w:t>
            </w:r>
          </w:p>
        </w:tc>
      </w:tr>
      <w:tr w:rsidR="00CB6351" w:rsidRPr="00CB6351" w:rsidTr="00CF2BEB">
        <w:trPr>
          <w:trHeight w:val="106"/>
        </w:trPr>
        <w:tc>
          <w:tcPr>
            <w:tcW w:w="1952" w:type="dxa"/>
          </w:tcPr>
          <w:p w:rsidR="00CB6351" w:rsidRPr="00E62612" w:rsidRDefault="00CB6351" w:rsidP="00E62612">
            <w:pPr>
              <w:pStyle w:val="Tabletext"/>
            </w:pPr>
            <w:r w:rsidRPr="00E62612">
              <w:t xml:space="preserve">Tramadol </w:t>
            </w:r>
          </w:p>
        </w:tc>
        <w:tc>
          <w:tcPr>
            <w:tcW w:w="1871" w:type="dxa"/>
          </w:tcPr>
          <w:p w:rsidR="00CB6351" w:rsidRPr="00E62612" w:rsidRDefault="00CB6351" w:rsidP="00E62612">
            <w:pPr>
              <w:pStyle w:val="Tabletext"/>
            </w:pPr>
            <w:r w:rsidRPr="00E62612">
              <w:t xml:space="preserve">0.54 </w:t>
            </w:r>
          </w:p>
        </w:tc>
        <w:tc>
          <w:tcPr>
            <w:tcW w:w="1984" w:type="dxa"/>
          </w:tcPr>
          <w:p w:rsidR="00CB6351" w:rsidRPr="00E62612" w:rsidRDefault="00CB6351" w:rsidP="00E62612">
            <w:pPr>
              <w:pStyle w:val="Tabletext"/>
            </w:pPr>
            <w:r w:rsidRPr="00E62612">
              <w:t xml:space="preserve">0.52 </w:t>
            </w:r>
          </w:p>
        </w:tc>
        <w:tc>
          <w:tcPr>
            <w:tcW w:w="2126" w:type="dxa"/>
          </w:tcPr>
          <w:p w:rsidR="00CB6351" w:rsidRPr="00E62612" w:rsidRDefault="00CB6351" w:rsidP="00E62612">
            <w:pPr>
              <w:pStyle w:val="Tabletext"/>
            </w:pPr>
            <w:r w:rsidRPr="00E62612">
              <w:t xml:space="preserve">-3.49% </w:t>
            </w:r>
          </w:p>
        </w:tc>
        <w:tc>
          <w:tcPr>
            <w:tcW w:w="1828" w:type="dxa"/>
          </w:tcPr>
          <w:p w:rsidR="00CB6351" w:rsidRPr="00E62612" w:rsidRDefault="00E62612" w:rsidP="00E62612">
            <w:pPr>
              <w:pStyle w:val="Tabletext"/>
            </w:pPr>
            <w:r w:rsidRPr="00E62612">
              <w:t>0.0599</w:t>
            </w:r>
          </w:p>
        </w:tc>
      </w:tr>
    </w:tbl>
    <w:p w:rsidR="002D55D4" w:rsidRPr="00E90D53" w:rsidRDefault="00CB6351" w:rsidP="002D55D4">
      <w:r w:rsidRPr="00CF2BEB">
        <w:t>These estimates and p-values are from a linear regression model adjusted for GPs’ baseline prescription rate and location type. Regressions were estimated individually for each outcome measure / month / subgroup comparison</w:t>
      </w:r>
      <w:r w:rsidR="008E0380">
        <w:t>.</w:t>
      </w:r>
    </w:p>
    <w:sectPr w:rsidR="002D55D4" w:rsidRPr="00E90D53" w:rsidSect="004505B4">
      <w:footnotePr>
        <w:numFmt w:val="lowerLetter"/>
      </w:footnotePr>
      <w:endnotePr>
        <w:numFmt w:val="decimal"/>
      </w:endnotePr>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7E1" w:rsidRDefault="002C47E1">
      <w:r>
        <w:separator/>
      </w:r>
    </w:p>
  </w:endnote>
  <w:endnote w:type="continuationSeparator" w:id="0">
    <w:p w:rsidR="002C47E1" w:rsidRDefault="002C47E1">
      <w:r>
        <w:continuationSeparator/>
      </w:r>
    </w:p>
  </w:endnote>
  <w:endnote w:type="continuationNotice" w:id="1">
    <w:p w:rsidR="002C47E1" w:rsidRPr="00AB240C" w:rsidRDefault="002C47E1" w:rsidP="00AB240C">
      <w:pPr>
        <w:pStyle w:val="Footer"/>
        <w:jc w:val="left"/>
      </w:pPr>
    </w:p>
  </w:endnote>
  <w:endnote w:id="2">
    <w:p w:rsidR="002C47E1" w:rsidRPr="00E75E17" w:rsidRDefault="002C47E1" w:rsidP="00144223">
      <w:pPr>
        <w:pStyle w:val="EndnoteText"/>
        <w:rPr>
          <w:vanish/>
        </w:rPr>
      </w:pPr>
      <w:r>
        <w:rPr>
          <w:rStyle w:val="EndnoteReference"/>
        </w:rPr>
        <w:endnoteRef/>
      </w:r>
      <w:r>
        <w:t xml:space="preserve"> </w:t>
      </w:r>
      <w:r w:rsidRPr="00E75E17">
        <w:rPr>
          <w:rFonts w:cstheme="minorHAnsi"/>
        </w:rPr>
        <w:t xml:space="preserve">Australian Commission on Safety and Quality in Healthcare. (2018). </w:t>
      </w:r>
      <w:r w:rsidRPr="00E75E17">
        <w:rPr>
          <w:rFonts w:cstheme="minorHAnsi"/>
          <w:i/>
        </w:rPr>
        <w:t>The Third</w:t>
      </w:r>
      <w:r>
        <w:rPr>
          <w:rFonts w:cstheme="minorHAnsi"/>
          <w:i/>
        </w:rPr>
        <w:t xml:space="preserve"> Australian Atlas of Healthcare </w:t>
      </w:r>
      <w:r w:rsidRPr="00E75E17">
        <w:rPr>
          <w:rFonts w:cstheme="minorHAnsi"/>
          <w:i/>
        </w:rPr>
        <w:t>variation 2018</w:t>
      </w:r>
      <w:r w:rsidRPr="00E75E17">
        <w:rPr>
          <w:rFonts w:cstheme="minorHAnsi"/>
        </w:rPr>
        <w:t>. Sydney: ACSQHC.</w:t>
      </w:r>
    </w:p>
  </w:endnote>
  <w:endnote w:id="3">
    <w:p w:rsidR="002C47E1" w:rsidRPr="00E81D3A" w:rsidRDefault="002C47E1" w:rsidP="00144223">
      <w:pPr>
        <w:pStyle w:val="EndnoteText"/>
      </w:pPr>
      <w:r>
        <w:rPr>
          <w:rStyle w:val="EndnoteReference"/>
        </w:rPr>
        <w:endnoteRef/>
      </w:r>
      <w:r>
        <w:t xml:space="preserve"> Australian Commission on Safety </w:t>
      </w:r>
      <w:r w:rsidRPr="00031525">
        <w:t xml:space="preserve">and Quality in Healthcare. (2018). </w:t>
      </w:r>
      <w:r w:rsidRPr="00031525">
        <w:rPr>
          <w:i/>
        </w:rPr>
        <w:t>The Third Australian Atlas of Healthcare variation 2018</w:t>
      </w:r>
      <w:r w:rsidRPr="00031525">
        <w:t>. Sydney: ACSQHC.</w:t>
      </w:r>
    </w:p>
  </w:endnote>
  <w:endnote w:id="4">
    <w:p w:rsidR="002C47E1" w:rsidRPr="003E16C7" w:rsidRDefault="002C47E1" w:rsidP="00144223">
      <w:pPr>
        <w:pStyle w:val="EndnoteText"/>
      </w:pPr>
      <w:r>
        <w:rPr>
          <w:rStyle w:val="EndnoteReference"/>
        </w:rPr>
        <w:endnoteRef/>
      </w:r>
      <w:r>
        <w:t xml:space="preserve"> The Royal Australian College of General Practitioners. (2017). </w:t>
      </w:r>
      <w:r>
        <w:rPr>
          <w:i/>
        </w:rPr>
        <w:t>Prescribing drugs of dependence in general practice, Part C2: The role of opioids in pain management</w:t>
      </w:r>
      <w:r>
        <w:t xml:space="preserve">. East Melbourne, Vic: RACGP. </w:t>
      </w:r>
      <w:hyperlink r:id="rId1" w:history="1">
        <w:r w:rsidRPr="001C3DF0">
          <w:rPr>
            <w:rStyle w:val="Hyperlink"/>
            <w:rFonts w:cstheme="minorHAnsi"/>
          </w:rPr>
          <w:t>https://www.racgp.org.au/download/Documents/Guidelines/Addictive-drugs/Addictive-drugs-guide-C1.pdf</w:t>
        </w:r>
      </w:hyperlink>
      <w:r w:rsidRPr="001C3DF0">
        <w:rPr>
          <w:rFonts w:cstheme="minorHAnsi"/>
        </w:rPr>
        <w:t xml:space="preserve"> [Retrieved June 2020]</w:t>
      </w:r>
    </w:p>
  </w:endnote>
  <w:endnote w:id="5">
    <w:p w:rsidR="002C47E1" w:rsidRDefault="002C47E1" w:rsidP="00144223">
      <w:pPr>
        <w:pStyle w:val="EndnoteText"/>
      </w:pPr>
      <w:r>
        <w:rPr>
          <w:rStyle w:val="EndnoteReference"/>
        </w:rPr>
        <w:endnoteRef/>
      </w:r>
      <w:r>
        <w:t xml:space="preserve"> Australian Institute of Health and Welfare. (2018). </w:t>
      </w:r>
      <w:r>
        <w:rPr>
          <w:i/>
        </w:rPr>
        <w:t>Opioid harm in Australia and comparisons between Australia and Canada.</w:t>
      </w:r>
      <w:r>
        <w:t xml:space="preserve"> Cat. No. HSE 210. Canberra: AIHW.</w:t>
      </w:r>
    </w:p>
  </w:endnote>
  <w:endnote w:id="6">
    <w:p w:rsidR="002C47E1" w:rsidRDefault="002C47E1" w:rsidP="00144223">
      <w:pPr>
        <w:pStyle w:val="EndnoteText"/>
      </w:pPr>
      <w:r>
        <w:rPr>
          <w:rStyle w:val="EndnoteReference"/>
        </w:rPr>
        <w:endnoteRef/>
      </w:r>
      <w:r>
        <w:t xml:space="preserve"> Australian Institute of Health and Welfare. (2018). </w:t>
      </w:r>
      <w:r>
        <w:rPr>
          <w:i/>
        </w:rPr>
        <w:t>Opioid harm in Australia and comparisons between Australia and Canada.</w:t>
      </w:r>
      <w:r>
        <w:t xml:space="preserve"> </w:t>
      </w:r>
    </w:p>
  </w:endnote>
  <w:endnote w:id="7">
    <w:p w:rsidR="002C47E1" w:rsidRDefault="002C47E1" w:rsidP="00144223">
      <w:pPr>
        <w:pStyle w:val="EndnoteText"/>
      </w:pPr>
      <w:r>
        <w:rPr>
          <w:rStyle w:val="EndnoteReference"/>
        </w:rPr>
        <w:endnoteRef/>
      </w:r>
      <w:r>
        <w:t xml:space="preserve"> Australian Institute of Health and Welfare. (2018). </w:t>
      </w:r>
      <w:r>
        <w:rPr>
          <w:i/>
        </w:rPr>
        <w:t>Opioid harm in Australia and comparisons between Australia and Canada.</w:t>
      </w:r>
    </w:p>
  </w:endnote>
  <w:endnote w:id="8">
    <w:p w:rsidR="002C47E1" w:rsidRDefault="002C47E1" w:rsidP="00144223">
      <w:pPr>
        <w:pStyle w:val="EndnoteText"/>
      </w:pPr>
      <w:r>
        <w:rPr>
          <w:rStyle w:val="EndnoteReference"/>
        </w:rPr>
        <w:endnoteRef/>
      </w:r>
      <w:r>
        <w:t xml:space="preserve"> Australian Institute of Health and Welfare. (2018). </w:t>
      </w:r>
      <w:r>
        <w:rPr>
          <w:i/>
        </w:rPr>
        <w:t>Opioid harm in Australia and comparisons between Australia and Canada.</w:t>
      </w:r>
    </w:p>
  </w:endnote>
  <w:endnote w:id="9">
    <w:p w:rsidR="002C47E1" w:rsidRDefault="002C47E1" w:rsidP="00144223">
      <w:pPr>
        <w:pStyle w:val="EndnoteText"/>
      </w:pPr>
      <w:r>
        <w:rPr>
          <w:rStyle w:val="EndnoteReference"/>
        </w:rPr>
        <w:endnoteRef/>
      </w:r>
      <w:r>
        <w:t xml:space="preserve"> Australian Institute of Health and Welfare. (2018). </w:t>
      </w:r>
      <w:r>
        <w:rPr>
          <w:i/>
        </w:rPr>
        <w:t>Opioid harm in Australia and comparisons between Australia and Canada.</w:t>
      </w:r>
      <w:r>
        <w:t xml:space="preserve"> </w:t>
      </w:r>
    </w:p>
  </w:endnote>
  <w:endnote w:id="10">
    <w:p w:rsidR="002C47E1" w:rsidRDefault="002C47E1" w:rsidP="002D55D4">
      <w:pPr>
        <w:pStyle w:val="EndnoteText"/>
      </w:pPr>
      <w:r w:rsidRPr="007A5F92">
        <w:rPr>
          <w:rStyle w:val="EndnoteReference"/>
        </w:rPr>
        <w:endnoteRef/>
      </w:r>
      <w:r w:rsidRPr="007A5F92">
        <w:t xml:space="preserve"> The Behavioural Insights Team. 2014. </w:t>
      </w:r>
      <w:r w:rsidRPr="007A5F92">
        <w:rPr>
          <w:i/>
        </w:rPr>
        <w:t>EAST: Four Simple Ways to Apply Behavioural Insights.</w:t>
      </w:r>
      <w:r>
        <w:t xml:space="preserve"> </w:t>
      </w:r>
      <w:r w:rsidRPr="00540B56">
        <w:rPr>
          <w:rStyle w:val="Hyperlink"/>
          <w:rFonts w:eastAsiaTheme="majorEastAsia"/>
          <w:color w:val="auto"/>
        </w:rPr>
        <w:t>https://www.bi.team/wp-content/uploads/2015/07/BIT-Publication-EAST_FA_WEB.pdf</w:t>
      </w:r>
      <w:r>
        <w:t xml:space="preserve"> [</w:t>
      </w:r>
      <w:r w:rsidRPr="007A5F92">
        <w:t xml:space="preserve">Retrieved </w:t>
      </w:r>
      <w:r>
        <w:t>June 2020]</w:t>
      </w:r>
    </w:p>
  </w:endnote>
  <w:endnote w:id="11">
    <w:p w:rsidR="002C47E1" w:rsidRDefault="002C47E1" w:rsidP="002D55D4">
      <w:pPr>
        <w:pStyle w:val="EndnoteText"/>
      </w:pPr>
      <w:r>
        <w:rPr>
          <w:rStyle w:val="EndnoteReference"/>
        </w:rPr>
        <w:endnoteRef/>
      </w:r>
      <w:r>
        <w:t xml:space="preserve"> UK Institute for Government. </w:t>
      </w:r>
      <w:r>
        <w:rPr>
          <w:i/>
        </w:rPr>
        <w:t>MINDSPACE: Influencing behaviour through public policy</w:t>
      </w:r>
      <w:r>
        <w:t xml:space="preserve">. </w:t>
      </w:r>
      <w:hyperlink r:id="rId2" w:history="1">
        <w:r w:rsidRPr="00AF7619">
          <w:rPr>
            <w:rStyle w:val="Hyperlink"/>
          </w:rPr>
          <w:t>https://www.instituteforgovernment.org.uk/sites/default/files/publications/MINDSPACE.pdf</w:t>
        </w:r>
      </w:hyperlink>
      <w:r>
        <w:t xml:space="preserve"> [Retrieved June 2020]</w:t>
      </w:r>
    </w:p>
  </w:endnote>
  <w:endnote w:id="12">
    <w:p w:rsidR="002C47E1" w:rsidRPr="00EE4A6C" w:rsidRDefault="002C47E1" w:rsidP="00BB351C">
      <w:pPr>
        <w:rPr>
          <w:rFonts w:ascii="Calibri" w:hAnsi="Calibri"/>
          <w:color w:val="1F497D"/>
          <w:szCs w:val="22"/>
        </w:rPr>
      </w:pPr>
      <w:r>
        <w:rPr>
          <w:rStyle w:val="EndnoteReference"/>
        </w:rPr>
        <w:endnoteRef/>
      </w:r>
      <w:r>
        <w:t xml:space="preserve"> </w:t>
      </w:r>
      <w:r w:rsidRPr="00EE4A6C">
        <w:rPr>
          <w:rFonts w:asciiTheme="minorHAnsi" w:hAnsiTheme="minorHAnsi" w:cstheme="minorHAnsi"/>
          <w:sz w:val="20"/>
          <w:szCs w:val="20"/>
        </w:rPr>
        <w:t xml:space="preserve">The Behavioural Insights Team. 2014. </w:t>
      </w:r>
      <w:r w:rsidRPr="00EE4A6C">
        <w:rPr>
          <w:rFonts w:asciiTheme="minorHAnsi" w:hAnsiTheme="minorHAnsi" w:cstheme="minorHAnsi"/>
          <w:i/>
          <w:iCs/>
          <w:sz w:val="20"/>
          <w:szCs w:val="20"/>
        </w:rPr>
        <w:t>EAST: Four Simple Ways to Apply Behavioural Insights</w:t>
      </w:r>
      <w:r w:rsidRPr="00EE4A6C">
        <w:rPr>
          <w:rFonts w:asciiTheme="minorHAnsi" w:hAnsiTheme="minorHAnsi" w:cstheme="minorHAnsi"/>
          <w:sz w:val="20"/>
          <w:szCs w:val="20"/>
        </w:rPr>
        <w:t xml:space="preserve">. </w:t>
      </w:r>
      <w:hyperlink r:id="rId3" w:history="1">
        <w:r w:rsidRPr="00EE4A6C">
          <w:rPr>
            <w:rStyle w:val="Hyperlink"/>
            <w:rFonts w:asciiTheme="minorHAnsi" w:hAnsiTheme="minorHAnsi" w:cstheme="minorHAnsi"/>
            <w:color w:val="auto"/>
            <w:sz w:val="20"/>
            <w:szCs w:val="20"/>
          </w:rPr>
          <w:t>https://www.bi.team/wp-content/uploads/2015/07/BIT-Publication-EAST_FA_WEB.pdf</w:t>
        </w:r>
      </w:hyperlink>
      <w:r w:rsidRPr="00EE4A6C">
        <w:rPr>
          <w:rFonts w:asciiTheme="minorHAnsi" w:hAnsiTheme="minorHAnsi" w:cstheme="minorHAnsi"/>
          <w:sz w:val="20"/>
          <w:szCs w:val="20"/>
        </w:rPr>
        <w:t xml:space="preserve"> [Retrieved June 2020]</w:t>
      </w:r>
    </w:p>
  </w:endnote>
  <w:endnote w:id="13">
    <w:p w:rsidR="002C47E1" w:rsidRDefault="002C47E1">
      <w:pPr>
        <w:pStyle w:val="EndnoteText"/>
      </w:pPr>
      <w:r>
        <w:rPr>
          <w:rStyle w:val="EndnoteReference"/>
        </w:rPr>
        <w:endnoteRef/>
      </w:r>
      <w:r>
        <w:t xml:space="preserve"> </w:t>
      </w:r>
      <w:r w:rsidRPr="00EE4A6C">
        <w:rPr>
          <w:color w:val="auto"/>
        </w:rPr>
        <w:t xml:space="preserve">Department of Health, Department of the Prime Minister and Cabinet. (2018). </w:t>
      </w:r>
      <w:r w:rsidRPr="00EE4A6C">
        <w:rPr>
          <w:i/>
          <w:iCs/>
          <w:color w:val="auto"/>
        </w:rPr>
        <w:t>Nudge vs Superbugs. A behavioural economics trial to reduce the overprescribing of antibiotics.</w:t>
      </w:r>
      <w:r w:rsidRPr="00EE4A6C">
        <w:rPr>
          <w:color w:val="auto"/>
        </w:rPr>
        <w:t xml:space="preserve"> Canberra: Department of Health. </w:t>
      </w:r>
      <w:hyperlink r:id="rId4" w:history="1">
        <w:r w:rsidRPr="00EE4A6C">
          <w:rPr>
            <w:rStyle w:val="Hyperlink"/>
            <w:color w:val="auto"/>
          </w:rPr>
          <w:t>https://www1.health.gov.au/internet/main/publishing.nsf/Content/Nudge-vs-Superbugs-behavioural-economics-trial-to-reduce-overprescribing-antibiotics-June-2018</w:t>
        </w:r>
      </w:hyperlink>
      <w:r w:rsidRPr="00EE4A6C">
        <w:rPr>
          <w:color w:val="auto"/>
        </w:rPr>
        <w:t xml:space="preserve"> [Retrieved June 2020]</w:t>
      </w:r>
    </w:p>
  </w:endnote>
  <w:endnote w:id="14">
    <w:p w:rsidR="002C47E1" w:rsidRDefault="002C47E1" w:rsidP="002D55D4">
      <w:pPr>
        <w:pStyle w:val="EndnoteText"/>
      </w:pPr>
      <w:r>
        <w:rPr>
          <w:rStyle w:val="EndnoteReference"/>
        </w:rPr>
        <w:endnoteRef/>
      </w:r>
      <w:r>
        <w:t xml:space="preserve"> </w:t>
      </w:r>
      <w:r w:rsidRPr="008662A9">
        <w:rPr>
          <w:szCs w:val="18"/>
        </w:rPr>
        <w:t xml:space="preserve">Australian Institute of Health and Welfare. 2018. </w:t>
      </w:r>
      <w:r w:rsidRPr="008662A9">
        <w:rPr>
          <w:i/>
          <w:szCs w:val="18"/>
        </w:rPr>
        <w:t>Opioid harm in Australia and comparisons between Australia and Canada.</w:t>
      </w:r>
      <w:r w:rsidRPr="008662A9">
        <w:rPr>
          <w:szCs w:val="18"/>
        </w:rPr>
        <w:t xml:space="preserve"> Cat. No. HSE 210.</w:t>
      </w:r>
      <w:r>
        <w:rPr>
          <w:szCs w:val="18"/>
        </w:rPr>
        <w:t xml:space="preserve"> Canberra: AIHW.</w:t>
      </w:r>
      <w:r w:rsidRPr="008662A9">
        <w:rPr>
          <w:szCs w:val="18"/>
        </w:rPr>
        <w:t xml:space="preserve"> </w:t>
      </w:r>
      <w:hyperlink r:id="rId5" w:history="1">
        <w:r w:rsidRPr="00AF7619">
          <w:rPr>
            <w:rStyle w:val="Hyperlink"/>
            <w:szCs w:val="18"/>
          </w:rPr>
          <w:t>https://www.aihw.gov.au/reports/illicit-use-of-drugs/opioid-harm-in-australia/data</w:t>
        </w:r>
      </w:hyperlink>
      <w:r>
        <w:rPr>
          <w:szCs w:val="18"/>
        </w:rPr>
        <w:t xml:space="preserve"> [</w:t>
      </w:r>
      <w:r w:rsidRPr="008662A9">
        <w:rPr>
          <w:szCs w:val="18"/>
        </w:rPr>
        <w:t>Retrieved June 2020</w:t>
      </w:r>
      <w:r>
        <w:rPr>
          <w:szCs w:val="18"/>
        </w:rPr>
        <w:t>]</w:t>
      </w:r>
    </w:p>
  </w:endnote>
  <w:endnote w:id="15">
    <w:p w:rsidR="002C47E1" w:rsidRDefault="002C47E1" w:rsidP="002D55D4">
      <w:pPr>
        <w:pStyle w:val="EndnoteText"/>
      </w:pPr>
      <w:r>
        <w:rPr>
          <w:rStyle w:val="EndnoteReference"/>
        </w:rPr>
        <w:endnoteRef/>
      </w:r>
      <w:r>
        <w:t xml:space="preserve"> The Royal Australian College of General Practitioners. (2017). </w:t>
      </w:r>
      <w:r>
        <w:rPr>
          <w:i/>
        </w:rPr>
        <w:t>Prescribing drugs of dependence in general practice, Part C2: The role of opioids in pain management</w:t>
      </w:r>
      <w:r>
        <w:t xml:space="preserve">. East Melbourne, Vic: RACGP. </w:t>
      </w:r>
      <w:hyperlink r:id="rId6" w:history="1">
        <w:r w:rsidRPr="001C3DF0">
          <w:rPr>
            <w:rStyle w:val="Hyperlink"/>
            <w:rFonts w:cstheme="minorHAnsi"/>
          </w:rPr>
          <w:t>https://www.racgp.org.au/download/Documents/Guidelines/Addictive-drugs/Addictive-drugs-guide-C1.pdf</w:t>
        </w:r>
      </w:hyperlink>
      <w:r w:rsidRPr="001C3DF0">
        <w:rPr>
          <w:rFonts w:cstheme="minorHAnsi"/>
        </w:rPr>
        <w:t xml:space="preserve"> [Retrieved June 2020]</w:t>
      </w:r>
    </w:p>
  </w:endnote>
  <w:endnote w:id="16">
    <w:p w:rsidR="002C47E1" w:rsidRPr="001C3DF0" w:rsidRDefault="002C47E1" w:rsidP="00D8251D">
      <w:pPr>
        <w:spacing w:line="320" w:lineRule="atLeast"/>
        <w:rPr>
          <w:rFonts w:asciiTheme="minorHAnsi" w:hAnsiTheme="minorHAnsi" w:cstheme="minorHAnsi"/>
          <w:sz w:val="20"/>
          <w:szCs w:val="20"/>
        </w:rPr>
      </w:pPr>
      <w:r>
        <w:rPr>
          <w:rStyle w:val="EndnoteReference"/>
        </w:rPr>
        <w:endnoteRef/>
      </w:r>
      <w:r>
        <w:t xml:space="preserve"> </w:t>
      </w:r>
      <w:r w:rsidRPr="001C3DF0">
        <w:rPr>
          <w:rFonts w:asciiTheme="minorHAnsi" w:hAnsiTheme="minorHAnsi" w:cstheme="minorHAnsi"/>
          <w:sz w:val="20"/>
          <w:szCs w:val="20"/>
        </w:rPr>
        <w:t xml:space="preserve">The Royal Australian College of General Practitioners. (2017). </w:t>
      </w:r>
      <w:r w:rsidRPr="001C3DF0">
        <w:rPr>
          <w:rFonts w:asciiTheme="minorHAnsi" w:hAnsiTheme="minorHAnsi" w:cstheme="minorHAnsi"/>
          <w:i/>
          <w:sz w:val="20"/>
          <w:szCs w:val="20"/>
        </w:rPr>
        <w:t>Prescribing drugs of dependence in general practice, Part C2: The role of opioids in pain management</w:t>
      </w:r>
      <w:r w:rsidRPr="001C3DF0">
        <w:rPr>
          <w:rFonts w:asciiTheme="minorHAnsi" w:hAnsiTheme="minorHAnsi" w:cstheme="minorHAnsi"/>
          <w:sz w:val="20"/>
          <w:szCs w:val="20"/>
        </w:rPr>
        <w:t xml:space="preserve">. East Melbourne, Vic: RACGP. </w:t>
      </w:r>
      <w:hyperlink r:id="rId7" w:history="1">
        <w:r w:rsidRPr="001C3DF0">
          <w:rPr>
            <w:rStyle w:val="Hyperlink"/>
            <w:rFonts w:asciiTheme="minorHAnsi" w:hAnsiTheme="minorHAnsi" w:cstheme="minorHAnsi"/>
            <w:sz w:val="20"/>
            <w:szCs w:val="20"/>
          </w:rPr>
          <w:t>https://www.racgp.org.au/download/Documents/Guidelines/Addictive-drugs/Addictive-drugs-guide-C1.pdf</w:t>
        </w:r>
      </w:hyperlink>
      <w:r w:rsidRPr="001C3DF0">
        <w:rPr>
          <w:rFonts w:asciiTheme="minorHAnsi" w:hAnsiTheme="minorHAnsi" w:cstheme="minorHAnsi"/>
          <w:sz w:val="20"/>
          <w:szCs w:val="20"/>
        </w:rPr>
        <w:t xml:space="preserve"> [Retrieved June 2020]</w:t>
      </w:r>
    </w:p>
  </w:endnote>
  <w:endnote w:id="17">
    <w:p w:rsidR="002C47E1" w:rsidRPr="00513E0A" w:rsidRDefault="002C47E1" w:rsidP="002D55D4">
      <w:pPr>
        <w:spacing w:line="320" w:lineRule="atLeast"/>
      </w:pPr>
      <w:r w:rsidRPr="00DE3801">
        <w:rPr>
          <w:rStyle w:val="EndnoteReference"/>
          <w:rFonts w:asciiTheme="minorHAnsi" w:hAnsiTheme="minorHAnsi"/>
          <w:color w:val="000000" w:themeColor="text1"/>
          <w:sz w:val="20"/>
          <w:szCs w:val="20"/>
        </w:rPr>
        <w:endnoteRef/>
      </w:r>
      <w:r w:rsidRPr="00DE3801">
        <w:rPr>
          <w:rStyle w:val="EndnoteReference"/>
          <w:rFonts w:asciiTheme="minorHAnsi" w:hAnsiTheme="minorHAnsi"/>
          <w:color w:val="000000" w:themeColor="text1"/>
          <w:sz w:val="20"/>
          <w:szCs w:val="20"/>
        </w:rPr>
        <w:t xml:space="preserve"> </w:t>
      </w:r>
      <w:r w:rsidRPr="00DE3801">
        <w:rPr>
          <w:rFonts w:asciiTheme="minorHAnsi" w:hAnsiTheme="minorHAnsi"/>
          <w:color w:val="000000" w:themeColor="text1"/>
          <w:sz w:val="20"/>
          <w:szCs w:val="18"/>
        </w:rPr>
        <w:t xml:space="preserve">Nicholas, R. (2019). Pharmaceutical opioids in Australia: A double-edged sword. National Centre for Education and Training on Addiction (NCETA), Flinders University, Adelaide. </w:t>
      </w:r>
    </w:p>
  </w:endnote>
  <w:endnote w:id="18">
    <w:p w:rsidR="002C47E1" w:rsidRPr="00513E0A" w:rsidRDefault="002C47E1" w:rsidP="002D55D4">
      <w:pPr>
        <w:pStyle w:val="EndnoteText"/>
      </w:pPr>
      <w:r>
        <w:rPr>
          <w:rStyle w:val="EndnoteReference"/>
        </w:rPr>
        <w:endnoteRef/>
      </w:r>
      <w:r w:rsidRPr="00DE3801">
        <w:rPr>
          <w:rStyle w:val="EndnoteReference"/>
        </w:rPr>
        <w:t xml:space="preserve"> </w:t>
      </w:r>
      <w:r>
        <w:t xml:space="preserve">The Royal Australian College of General Practitioners. (2017). </w:t>
      </w:r>
      <w:r>
        <w:rPr>
          <w:i/>
        </w:rPr>
        <w:t>Prescribing drugs of dependence in general practice, Part C2: The role of opioids in pain management</w:t>
      </w:r>
      <w:r>
        <w:t xml:space="preserve">. East Melbourne, Vic: RACGP. </w:t>
      </w:r>
      <w:hyperlink r:id="rId8" w:history="1">
        <w:r w:rsidRPr="001C3DF0">
          <w:rPr>
            <w:rStyle w:val="Hyperlink"/>
            <w:rFonts w:cstheme="minorHAnsi"/>
          </w:rPr>
          <w:t>https://www.racgp.org.au/download/Documents/Guidelines/Addictive-drugs/Addictive-drugs-guide-C1.pdf</w:t>
        </w:r>
      </w:hyperlink>
      <w:r w:rsidRPr="001C3DF0">
        <w:rPr>
          <w:rFonts w:cstheme="minorHAnsi"/>
        </w:rPr>
        <w:t xml:space="preserve"> [Retrieved June 2020]</w:t>
      </w:r>
    </w:p>
  </w:endnote>
  <w:endnote w:id="19">
    <w:p w:rsidR="002C47E1" w:rsidRPr="00513E0A" w:rsidRDefault="002C47E1" w:rsidP="002D55D4">
      <w:pPr>
        <w:pStyle w:val="EndnoteText"/>
      </w:pPr>
      <w:r>
        <w:rPr>
          <w:rStyle w:val="EndnoteReference"/>
        </w:rPr>
        <w:endnoteRef/>
      </w:r>
      <w:r w:rsidRPr="00DE3801">
        <w:rPr>
          <w:szCs w:val="18"/>
        </w:rPr>
        <w:t>https://www.health.gov.au/health-workforce/health-workforce-classifications/modified-monash-model [Retrieved February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rsidP="00841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636394"/>
      <w:docPartObj>
        <w:docPartGallery w:val="Page Numbers (Bottom of Page)"/>
        <w:docPartUnique/>
      </w:docPartObj>
    </w:sdtPr>
    <w:sdtEndPr>
      <w:rPr>
        <w:noProof/>
      </w:rPr>
    </w:sdtEndPr>
    <w:sdtContent>
      <w:p w:rsidR="002C47E1" w:rsidRDefault="00426F62" w:rsidP="000D56E4">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rsidP="000D5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rsidP="00841111">
    <w:pPr>
      <w:pStyle w:val="Footer"/>
    </w:pPr>
    <w:r w:rsidRPr="000D56E4">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rsidP="000D56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169317"/>
      <w:docPartObj>
        <w:docPartGallery w:val="Page Numbers (Bottom of Page)"/>
        <w:docPartUnique/>
      </w:docPartObj>
    </w:sdtPr>
    <w:sdtEndPr>
      <w:rPr>
        <w:noProof/>
      </w:rPr>
    </w:sdtEndPr>
    <w:sdtContent>
      <w:p w:rsidR="002C47E1" w:rsidRDefault="002C47E1" w:rsidP="000D56E4">
        <w:pPr>
          <w:pStyle w:val="Footer"/>
        </w:pPr>
        <w:r>
          <w:t>Insert document title</w:t>
        </w:r>
        <w:r>
          <w:tab/>
        </w:r>
        <w:r>
          <w:fldChar w:fldCharType="begin"/>
        </w:r>
        <w:r>
          <w:instrText xml:space="preserve"> PAGE   \* MERGEFORMAT </w:instrText>
        </w:r>
        <w:r>
          <w:fldChar w:fldCharType="separate"/>
        </w:r>
        <w:r>
          <w:rPr>
            <w:noProof/>
          </w:rPr>
          <w:t>3</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453819"/>
      <w:docPartObj>
        <w:docPartGallery w:val="Page Numbers (Bottom of Page)"/>
        <w:docPartUnique/>
      </w:docPartObj>
    </w:sdtPr>
    <w:sdtEndPr>
      <w:rPr>
        <w:noProof/>
      </w:rPr>
    </w:sdtEndPr>
    <w:sdtContent>
      <w:p w:rsidR="002C47E1" w:rsidRDefault="002C47E1">
        <w:pPr>
          <w:pStyle w:val="Footer"/>
        </w:pPr>
        <w:r>
          <w:fldChar w:fldCharType="begin"/>
        </w:r>
        <w:r>
          <w:instrText xml:space="preserve"> PAGE   \* MERGEFORMAT </w:instrText>
        </w:r>
        <w:r>
          <w:fldChar w:fldCharType="separate"/>
        </w:r>
        <w:r w:rsidR="00426F62">
          <w:rPr>
            <w:noProof/>
          </w:rPr>
          <w:t>10</w:t>
        </w:r>
        <w:r>
          <w:rPr>
            <w:noProof/>
          </w:rPr>
          <w:fldChar w:fldCharType="end"/>
        </w:r>
      </w:p>
    </w:sdtContent>
  </w:sdt>
  <w:p w:rsidR="002C47E1" w:rsidRDefault="002C47E1" w:rsidP="000D56E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6954077"/>
      <w:docPartObj>
        <w:docPartGallery w:val="Page Numbers (Bottom of Page)"/>
        <w:docPartUnique/>
      </w:docPartObj>
    </w:sdtPr>
    <w:sdtEndPr>
      <w:rPr>
        <w:noProof/>
      </w:rPr>
    </w:sdtEndPr>
    <w:sdtContent>
      <w:p w:rsidR="002C47E1" w:rsidRDefault="002C47E1">
        <w:pPr>
          <w:pStyle w:val="Footer"/>
        </w:pPr>
        <w:r>
          <w:fldChar w:fldCharType="begin"/>
        </w:r>
        <w:r>
          <w:instrText xml:space="preserve"> PAGE   \* MERGEFORMAT </w:instrText>
        </w:r>
        <w:r>
          <w:fldChar w:fldCharType="separate"/>
        </w:r>
        <w:r w:rsidR="00426F62">
          <w:rPr>
            <w:noProof/>
          </w:rPr>
          <w:t>18</w:t>
        </w:r>
        <w:r>
          <w:rPr>
            <w:noProof/>
          </w:rPr>
          <w:fldChar w:fldCharType="end"/>
        </w:r>
      </w:p>
    </w:sdtContent>
  </w:sdt>
  <w:p w:rsidR="002C47E1" w:rsidRDefault="002C47E1" w:rsidP="00A6013C">
    <w:pPr>
      <w:pStyle w:val="Footer"/>
      <w:tabs>
        <w:tab w:val="left" w:pos="1827"/>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7E1" w:rsidRDefault="002C47E1">
      <w:r>
        <w:separator/>
      </w:r>
    </w:p>
  </w:footnote>
  <w:footnote w:type="continuationSeparator" w:id="0">
    <w:p w:rsidR="002C47E1" w:rsidRDefault="002C47E1" w:rsidP="006B56BB">
      <w:r>
        <w:continuationSeparator/>
      </w:r>
    </w:p>
  </w:footnote>
  <w:footnote w:type="continuationNotice" w:id="1">
    <w:p w:rsidR="002C47E1" w:rsidRPr="00AB240C" w:rsidRDefault="002C47E1" w:rsidP="00AB240C"/>
  </w:footnote>
  <w:footnote w:id="2">
    <w:p w:rsidR="002C47E1" w:rsidRPr="00172D2F" w:rsidRDefault="002C47E1" w:rsidP="007318C5">
      <w:pPr>
        <w:pStyle w:val="FootnoteText"/>
      </w:pPr>
      <w:r>
        <w:rPr>
          <w:rStyle w:val="FootnoteReference"/>
        </w:rPr>
        <w:footnoteRef/>
      </w:r>
      <w:r>
        <w:t xml:space="preserve"> </w:t>
      </w:r>
      <w:r w:rsidRPr="00172D2F">
        <w:t>The Practitioner Review Program (PRP) monitors Medicare servicing data and PBS prescribing data to identify and examine variations which may be indicative of possible inappropriate practice.</w:t>
      </w:r>
    </w:p>
  </w:footnote>
  <w:footnote w:id="3">
    <w:p w:rsidR="002C47E1" w:rsidRDefault="002C47E1">
      <w:pPr>
        <w:pStyle w:val="FootnoteText"/>
      </w:pPr>
      <w:r w:rsidRPr="00172D2F">
        <w:rPr>
          <w:rStyle w:val="FootnoteReference"/>
        </w:rPr>
        <w:footnoteRef/>
      </w:r>
      <w:r w:rsidRPr="00172D2F">
        <w:t xml:space="preserve"> This methodology is from an Australian peer-reviewed academic paper: Gisev, N. et al. (2017). To what extent do data from pharmaceutical claims under-estimate analgesic utilisation in Australia? </w:t>
      </w:r>
      <w:r w:rsidRPr="00172D2F">
        <w:rPr>
          <w:i/>
        </w:rPr>
        <w:t>Pharmacoepidemiology and Drug Safety</w:t>
      </w:r>
      <w:r w:rsidRPr="00172D2F">
        <w:t>, Online article. [Retrieved February 2018].</w:t>
      </w:r>
    </w:p>
  </w:footnote>
  <w:footnote w:id="4">
    <w:p w:rsidR="002C47E1" w:rsidRPr="00E502CB" w:rsidRDefault="002C47E1" w:rsidP="000E1C89">
      <w:pPr>
        <w:pStyle w:val="FootnoteText"/>
        <w:rPr>
          <w:rFonts w:cs="HelveticaNeueLT Std Lt"/>
          <w:color w:val="000000"/>
        </w:rPr>
      </w:pPr>
      <w:r>
        <w:rPr>
          <w:rStyle w:val="FootnoteReference"/>
        </w:rPr>
        <w:footnoteRef/>
      </w:r>
      <w:r>
        <w:t xml:space="preserve"> </w:t>
      </w:r>
      <w:r>
        <w:rPr>
          <w:rFonts w:cs="HelveticaNeueLT Std Lt"/>
          <w:color w:val="000000"/>
        </w:rPr>
        <w:t xml:space="preserve">Opioid Replacement Therapy (ORT) specific PBS items were excluded from the trial. While Methadone and Buprenorphine are used for ORT, these opioids </w:t>
      </w:r>
      <w:r w:rsidRPr="00786B57">
        <w:rPr>
          <w:rFonts w:cs="HelveticaNeueLT Std Lt"/>
          <w:color w:val="000000"/>
        </w:rPr>
        <w:t>are also used for other types of pain.</w:t>
      </w:r>
    </w:p>
  </w:footnote>
  <w:footnote w:id="5">
    <w:p w:rsidR="002C47E1" w:rsidRDefault="002C47E1">
      <w:pPr>
        <w:pStyle w:val="FootnoteText"/>
      </w:pPr>
      <w:r>
        <w:rPr>
          <w:rStyle w:val="FootnoteReference"/>
        </w:rPr>
        <w:footnoteRef/>
      </w:r>
      <w:r>
        <w:t xml:space="preserve"> </w:t>
      </w:r>
      <w:r>
        <w:rPr>
          <w:rFonts w:cs="HelveticaNeueLT Std Lt"/>
          <w:color w:val="000000"/>
        </w:rPr>
        <w:t xml:space="preserve">This methodology is from an Australian peer-reviewed academic paper: Gisev, N. et al. (2017). To what extent do data from </w:t>
      </w:r>
      <w:r w:rsidRPr="00DE3801">
        <w:rPr>
          <w:rFonts w:cs="HelveticaNeueLT Std Lt"/>
          <w:szCs w:val="18"/>
        </w:rPr>
        <w:t xml:space="preserve">pharmaceutical claims under-estimate analgesic utilisation in Australia? </w:t>
      </w:r>
      <w:r w:rsidRPr="00DE3801">
        <w:rPr>
          <w:rFonts w:cs="HelveticaNeueLT Std Lt"/>
          <w:i/>
          <w:iCs/>
          <w:szCs w:val="18"/>
        </w:rPr>
        <w:t>Pharmacoepidemiology and Drug Safety</w:t>
      </w:r>
      <w:r w:rsidRPr="00DE3801">
        <w:rPr>
          <w:rFonts w:cs="HelveticaNeueLT Std Lt"/>
          <w:szCs w:val="18"/>
        </w:rPr>
        <w:t>, Online article. [Retrieved February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rsidP="008E0C77">
    <w:pPr>
      <w:pStyle w:val="Headertext"/>
      <w:spacing w:after="180"/>
      <w:jc w:val="left"/>
    </w:pPr>
    <w:r>
      <w:rPr>
        <w:noProof/>
        <w:lang w:eastAsia="en-AU"/>
      </w:rPr>
      <w:drawing>
        <wp:anchor distT="0" distB="0" distL="114300" distR="114300" simplePos="0" relativeHeight="251659264" behindDoc="1" locked="0" layoutInCell="1" allowOverlap="1" wp14:anchorId="2F0D77D4" wp14:editId="32BADF1A">
          <wp:simplePos x="0" y="0"/>
          <wp:positionH relativeFrom="page">
            <wp:align>center</wp:align>
          </wp:positionH>
          <wp:positionV relativeFrom="page">
            <wp:align>center</wp:align>
          </wp:positionV>
          <wp:extent cx="7560000" cy="10692000"/>
          <wp:effectExtent l="0" t="0" r="3175" b="0"/>
          <wp:wrapNone/>
          <wp:docPr id="5" name="Picture 5"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rsidP="00205A93">
    <w:pPr>
      <w:pStyle w:val="Header"/>
      <w:tabs>
        <w:tab w:val="clear" w:pos="4513"/>
        <w:tab w:val="clear" w:pos="9026"/>
        <w:tab w:val="center" w:pos="4535"/>
      </w:tabs>
    </w:pPr>
    <w:r>
      <w:rPr>
        <w:noProof/>
        <w:lang w:eastAsia="en-AU"/>
      </w:rPr>
      <w:drawing>
        <wp:anchor distT="0" distB="0" distL="114300" distR="114300" simplePos="0" relativeHeight="251661312" behindDoc="1" locked="0" layoutInCell="1" allowOverlap="1" wp14:anchorId="460DAF2D" wp14:editId="0C030269">
          <wp:simplePos x="0" y="0"/>
          <wp:positionH relativeFrom="page">
            <wp:align>center</wp:align>
          </wp:positionH>
          <wp:positionV relativeFrom="page">
            <wp:align>center</wp:align>
          </wp:positionV>
          <wp:extent cx="7558767" cy="10692000"/>
          <wp:effectExtent l="0" t="0" r="4445" b="0"/>
          <wp:wrapNone/>
          <wp:docPr id="8" name="Picture 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rsidP="008E0C77">
    <w:pPr>
      <w:pStyle w:val="Headertext"/>
      <w:spacing w:after="18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7E1" w:rsidRDefault="002C47E1" w:rsidP="008E0C77">
    <w:pPr>
      <w:pStyle w:val="Headertext"/>
      <w:spacing w:after="180"/>
      <w:jc w:val="left"/>
    </w:pPr>
    <w:r>
      <w:rPr>
        <w:noProof/>
        <w:lang w:eastAsia="en-AU"/>
      </w:rPr>
      <w:drawing>
        <wp:anchor distT="0" distB="0" distL="114300" distR="114300" simplePos="0" relativeHeight="251663360" behindDoc="1" locked="0" layoutInCell="1" allowOverlap="1" wp14:anchorId="08658313" wp14:editId="2F1F5F97">
          <wp:simplePos x="0" y="0"/>
          <wp:positionH relativeFrom="page">
            <wp:align>left</wp:align>
          </wp:positionH>
          <wp:positionV relativeFrom="page">
            <wp:posOffset>-9845</wp:posOffset>
          </wp:positionV>
          <wp:extent cx="7564376" cy="10699934"/>
          <wp:effectExtent l="0" t="0" r="0" b="6350"/>
          <wp:wrapNone/>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1" cstate="print">
                    <a:biLevel thresh="25000"/>
                    <a:extLst>
                      <a:ext uri="{28A0092B-C50C-407E-A947-70E740481C1C}">
                        <a14:useLocalDpi xmlns:a14="http://schemas.microsoft.com/office/drawing/2010/main" val="0"/>
                      </a:ext>
                    </a:extLst>
                  </a:blip>
                  <a:stretch>
                    <a:fillRect/>
                  </a:stretch>
                </pic:blipFill>
                <pic:spPr bwMode="auto">
                  <a:xfrm>
                    <a:off x="0" y="0"/>
                    <a:ext cx="7564376" cy="10699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F8149B"/>
    <w:multiLevelType w:val="hybridMultilevel"/>
    <w:tmpl w:val="89E77B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3DC0670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D222EB"/>
    <w:multiLevelType w:val="hybridMultilevel"/>
    <w:tmpl w:val="94DAF184"/>
    <w:lvl w:ilvl="0" w:tplc="E6F62B60">
      <w:numFmt w:val="bullet"/>
      <w:lvlText w:val=""/>
      <w:lvlJc w:val="left"/>
      <w:pPr>
        <w:ind w:left="840" w:hanging="360"/>
      </w:pPr>
      <w:rPr>
        <w:rFonts w:ascii="Symbol" w:eastAsia="Symbol" w:hAnsi="Symbol" w:cs="Symbol" w:hint="default"/>
        <w:w w:val="100"/>
        <w:sz w:val="24"/>
        <w:szCs w:val="24"/>
        <w:lang w:val="en-AU" w:eastAsia="en-US" w:bidi="ar-SA"/>
      </w:rPr>
    </w:lvl>
    <w:lvl w:ilvl="1" w:tplc="738E91AC">
      <w:numFmt w:val="bullet"/>
      <w:lvlText w:val="•"/>
      <w:lvlJc w:val="left"/>
      <w:pPr>
        <w:ind w:left="1730" w:hanging="360"/>
      </w:pPr>
      <w:rPr>
        <w:rFonts w:hint="default"/>
        <w:lang w:val="en-AU" w:eastAsia="en-US" w:bidi="ar-SA"/>
      </w:rPr>
    </w:lvl>
    <w:lvl w:ilvl="2" w:tplc="F1C0E192">
      <w:numFmt w:val="bullet"/>
      <w:lvlText w:val="•"/>
      <w:lvlJc w:val="left"/>
      <w:pPr>
        <w:ind w:left="2621" w:hanging="360"/>
      </w:pPr>
      <w:rPr>
        <w:rFonts w:hint="default"/>
        <w:lang w:val="en-AU" w:eastAsia="en-US" w:bidi="ar-SA"/>
      </w:rPr>
    </w:lvl>
    <w:lvl w:ilvl="3" w:tplc="61EE6240">
      <w:numFmt w:val="bullet"/>
      <w:lvlText w:val="•"/>
      <w:lvlJc w:val="left"/>
      <w:pPr>
        <w:ind w:left="3511" w:hanging="360"/>
      </w:pPr>
      <w:rPr>
        <w:rFonts w:hint="default"/>
        <w:lang w:val="en-AU" w:eastAsia="en-US" w:bidi="ar-SA"/>
      </w:rPr>
    </w:lvl>
    <w:lvl w:ilvl="4" w:tplc="B272667E">
      <w:numFmt w:val="bullet"/>
      <w:lvlText w:val="•"/>
      <w:lvlJc w:val="left"/>
      <w:pPr>
        <w:ind w:left="4402" w:hanging="360"/>
      </w:pPr>
      <w:rPr>
        <w:rFonts w:hint="default"/>
        <w:lang w:val="en-AU" w:eastAsia="en-US" w:bidi="ar-SA"/>
      </w:rPr>
    </w:lvl>
    <w:lvl w:ilvl="5" w:tplc="6D2C983C">
      <w:numFmt w:val="bullet"/>
      <w:lvlText w:val="•"/>
      <w:lvlJc w:val="left"/>
      <w:pPr>
        <w:ind w:left="5293" w:hanging="360"/>
      </w:pPr>
      <w:rPr>
        <w:rFonts w:hint="default"/>
        <w:lang w:val="en-AU" w:eastAsia="en-US" w:bidi="ar-SA"/>
      </w:rPr>
    </w:lvl>
    <w:lvl w:ilvl="6" w:tplc="B4B27F6E">
      <w:numFmt w:val="bullet"/>
      <w:lvlText w:val="•"/>
      <w:lvlJc w:val="left"/>
      <w:pPr>
        <w:ind w:left="6183" w:hanging="360"/>
      </w:pPr>
      <w:rPr>
        <w:rFonts w:hint="default"/>
        <w:lang w:val="en-AU" w:eastAsia="en-US" w:bidi="ar-SA"/>
      </w:rPr>
    </w:lvl>
    <w:lvl w:ilvl="7" w:tplc="2C6C9B26">
      <w:numFmt w:val="bullet"/>
      <w:lvlText w:val="•"/>
      <w:lvlJc w:val="left"/>
      <w:pPr>
        <w:ind w:left="7074" w:hanging="360"/>
      </w:pPr>
      <w:rPr>
        <w:rFonts w:hint="default"/>
        <w:lang w:val="en-AU" w:eastAsia="en-US" w:bidi="ar-SA"/>
      </w:rPr>
    </w:lvl>
    <w:lvl w:ilvl="8" w:tplc="65863164">
      <w:numFmt w:val="bullet"/>
      <w:lvlText w:val="•"/>
      <w:lvlJc w:val="left"/>
      <w:pPr>
        <w:ind w:left="7965" w:hanging="360"/>
      </w:pPr>
      <w:rPr>
        <w:rFonts w:hint="default"/>
        <w:lang w:val="en-AU" w:eastAsia="en-US" w:bidi="ar-SA"/>
      </w:r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E6178F"/>
    <w:multiLevelType w:val="hybridMultilevel"/>
    <w:tmpl w:val="0DDCF770"/>
    <w:lvl w:ilvl="0" w:tplc="B3345D62">
      <w:start w:val="1"/>
      <w:numFmt w:val="bullet"/>
      <w:pStyle w:val="ListParagraph"/>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2"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7E1B35"/>
    <w:multiLevelType w:val="hybridMultilevel"/>
    <w:tmpl w:val="0E30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363506"/>
    <w:multiLevelType w:val="hybridMultilevel"/>
    <w:tmpl w:val="61F2EF1E"/>
    <w:lvl w:ilvl="0" w:tplc="E96C518A">
      <w:start w:val="1"/>
      <w:numFmt w:val="bullet"/>
      <w:pStyle w:val="ListBullet"/>
      <w:lvlText w:val=""/>
      <w:lvlJc w:val="left"/>
      <w:pPr>
        <w:ind w:left="360" w:hanging="360"/>
      </w:pPr>
      <w:rPr>
        <w:rFonts w:ascii="Symbol" w:hAnsi="Symbol" w:hint="default"/>
        <w:color w:val="auto"/>
      </w:rPr>
    </w:lvl>
    <w:lvl w:ilvl="1" w:tplc="1634454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943714"/>
    <w:multiLevelType w:val="hybridMultilevel"/>
    <w:tmpl w:val="4F10A884"/>
    <w:lvl w:ilvl="0" w:tplc="4B9024F4">
      <w:numFmt w:val="bullet"/>
      <w:lvlText w:val=""/>
      <w:lvlJc w:val="left"/>
      <w:pPr>
        <w:ind w:left="505" w:hanging="360"/>
      </w:pPr>
      <w:rPr>
        <w:rFonts w:ascii="Symbol" w:eastAsia="Symbol" w:hAnsi="Symbol" w:cs="Symbol" w:hint="default"/>
        <w:w w:val="99"/>
        <w:sz w:val="20"/>
        <w:szCs w:val="20"/>
        <w:lang w:val="en-AU" w:eastAsia="en-US" w:bidi="ar-SA"/>
      </w:rPr>
    </w:lvl>
    <w:lvl w:ilvl="1" w:tplc="E928589A">
      <w:numFmt w:val="bullet"/>
      <w:lvlText w:val="•"/>
      <w:lvlJc w:val="left"/>
      <w:pPr>
        <w:ind w:left="1348" w:hanging="360"/>
      </w:pPr>
      <w:rPr>
        <w:rFonts w:hint="default"/>
        <w:lang w:val="en-AU" w:eastAsia="en-US" w:bidi="ar-SA"/>
      </w:rPr>
    </w:lvl>
    <w:lvl w:ilvl="2" w:tplc="6248FB12">
      <w:numFmt w:val="bullet"/>
      <w:lvlText w:val="•"/>
      <w:lvlJc w:val="left"/>
      <w:pPr>
        <w:ind w:left="2197" w:hanging="360"/>
      </w:pPr>
      <w:rPr>
        <w:rFonts w:hint="default"/>
        <w:lang w:val="en-AU" w:eastAsia="en-US" w:bidi="ar-SA"/>
      </w:rPr>
    </w:lvl>
    <w:lvl w:ilvl="3" w:tplc="9C38B752">
      <w:numFmt w:val="bullet"/>
      <w:lvlText w:val="•"/>
      <w:lvlJc w:val="left"/>
      <w:pPr>
        <w:ind w:left="3046" w:hanging="360"/>
      </w:pPr>
      <w:rPr>
        <w:rFonts w:hint="default"/>
        <w:lang w:val="en-AU" w:eastAsia="en-US" w:bidi="ar-SA"/>
      </w:rPr>
    </w:lvl>
    <w:lvl w:ilvl="4" w:tplc="68DAF2DA">
      <w:numFmt w:val="bullet"/>
      <w:lvlText w:val="•"/>
      <w:lvlJc w:val="left"/>
      <w:pPr>
        <w:ind w:left="3895" w:hanging="360"/>
      </w:pPr>
      <w:rPr>
        <w:rFonts w:hint="default"/>
        <w:lang w:val="en-AU" w:eastAsia="en-US" w:bidi="ar-SA"/>
      </w:rPr>
    </w:lvl>
    <w:lvl w:ilvl="5" w:tplc="27487BA0">
      <w:numFmt w:val="bullet"/>
      <w:lvlText w:val="•"/>
      <w:lvlJc w:val="left"/>
      <w:pPr>
        <w:ind w:left="4744" w:hanging="360"/>
      </w:pPr>
      <w:rPr>
        <w:rFonts w:hint="default"/>
        <w:lang w:val="en-AU" w:eastAsia="en-US" w:bidi="ar-SA"/>
      </w:rPr>
    </w:lvl>
    <w:lvl w:ilvl="6" w:tplc="43CE9516">
      <w:numFmt w:val="bullet"/>
      <w:lvlText w:val="•"/>
      <w:lvlJc w:val="left"/>
      <w:pPr>
        <w:ind w:left="5592" w:hanging="360"/>
      </w:pPr>
      <w:rPr>
        <w:rFonts w:hint="default"/>
        <w:lang w:val="en-AU" w:eastAsia="en-US" w:bidi="ar-SA"/>
      </w:rPr>
    </w:lvl>
    <w:lvl w:ilvl="7" w:tplc="0A8ABD58">
      <w:numFmt w:val="bullet"/>
      <w:lvlText w:val="•"/>
      <w:lvlJc w:val="left"/>
      <w:pPr>
        <w:ind w:left="6441" w:hanging="360"/>
      </w:pPr>
      <w:rPr>
        <w:rFonts w:hint="default"/>
        <w:lang w:val="en-AU" w:eastAsia="en-US" w:bidi="ar-SA"/>
      </w:rPr>
    </w:lvl>
    <w:lvl w:ilvl="8" w:tplc="762E4EEA">
      <w:numFmt w:val="bullet"/>
      <w:lvlText w:val="•"/>
      <w:lvlJc w:val="left"/>
      <w:pPr>
        <w:ind w:left="7290" w:hanging="360"/>
      </w:pPr>
      <w:rPr>
        <w:rFonts w:hint="default"/>
        <w:lang w:val="en-AU" w:eastAsia="en-US" w:bidi="ar-SA"/>
      </w:rPr>
    </w:lvl>
  </w:abstractNum>
  <w:abstractNum w:abstractNumId="16" w15:restartNumberingAfterBreak="0">
    <w:nsid w:val="19D18117"/>
    <w:multiLevelType w:val="hybridMultilevel"/>
    <w:tmpl w:val="DA7CCF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BB227E6"/>
    <w:multiLevelType w:val="hybridMultilevel"/>
    <w:tmpl w:val="BC3CB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030F7F"/>
    <w:multiLevelType w:val="hybridMultilevel"/>
    <w:tmpl w:val="7BF62FF6"/>
    <w:lvl w:ilvl="0" w:tplc="D99AAA46">
      <w:numFmt w:val="bullet"/>
      <w:lvlText w:val="-"/>
      <w:lvlJc w:val="left"/>
      <w:pPr>
        <w:ind w:left="720" w:hanging="360"/>
      </w:pPr>
      <w:rPr>
        <w:rFonts w:ascii="Helvetica" w:eastAsia="Times New Roman" w:hAnsi="Helvetica" w:cs="Helvetic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CE25BE"/>
    <w:multiLevelType w:val="hybridMultilevel"/>
    <w:tmpl w:val="311412F6"/>
    <w:lvl w:ilvl="0" w:tplc="D99AAA46">
      <w:numFmt w:val="bullet"/>
      <w:lvlText w:val="-"/>
      <w:lvlJc w:val="left"/>
      <w:pPr>
        <w:ind w:left="720" w:hanging="360"/>
      </w:pPr>
      <w:rPr>
        <w:rFonts w:ascii="Helvetica" w:eastAsia="Times New Roman" w:hAnsi="Helvetica" w:cs="Helvetica" w:hint="default"/>
      </w:rPr>
    </w:lvl>
    <w:lvl w:ilvl="1" w:tplc="D99AAA46">
      <w:numFmt w:val="bullet"/>
      <w:lvlText w:val="-"/>
      <w:lvlJc w:val="left"/>
      <w:pPr>
        <w:ind w:left="1440" w:hanging="360"/>
      </w:pPr>
      <w:rPr>
        <w:rFonts w:ascii="Helvetica" w:eastAsia="Times New Roman" w:hAnsi="Helvetica" w:cs="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CD50FD"/>
    <w:multiLevelType w:val="hybridMultilevel"/>
    <w:tmpl w:val="2EC6E5F4"/>
    <w:lvl w:ilvl="0" w:tplc="E1921B64">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8198703"/>
    <w:multiLevelType w:val="hybridMultilevel"/>
    <w:tmpl w:val="6BF9E6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A0F21F8"/>
    <w:multiLevelType w:val="hybridMultilevel"/>
    <w:tmpl w:val="C204A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599962"/>
    <w:multiLevelType w:val="hybridMultilevel"/>
    <w:tmpl w:val="B2CB41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1E0409D"/>
    <w:multiLevelType w:val="hybridMultilevel"/>
    <w:tmpl w:val="B9020172"/>
    <w:lvl w:ilvl="0" w:tplc="C402089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0534B0"/>
    <w:multiLevelType w:val="hybridMultilevel"/>
    <w:tmpl w:val="0AD2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F20FEC"/>
    <w:multiLevelType w:val="hybridMultilevel"/>
    <w:tmpl w:val="1BF4A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C7F1846"/>
    <w:multiLevelType w:val="hybridMultilevel"/>
    <w:tmpl w:val="DE166E7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F24CD8"/>
    <w:multiLevelType w:val="hybridMultilevel"/>
    <w:tmpl w:val="7AD0F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236001"/>
    <w:multiLevelType w:val="hybridMultilevel"/>
    <w:tmpl w:val="C2245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7EF664B6"/>
    <w:multiLevelType w:val="hybridMultilevel"/>
    <w:tmpl w:val="C5FCE08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26"/>
  </w:num>
  <w:num w:numId="3">
    <w:abstractNumId w:val="31"/>
  </w:num>
  <w:num w:numId="4">
    <w:abstractNumId w:val="10"/>
  </w:num>
  <w:num w:numId="5">
    <w:abstractNumId w:val="10"/>
    <w:lvlOverride w:ilvl="0">
      <w:startOverride w:val="1"/>
    </w:lvlOverride>
  </w:num>
  <w:num w:numId="6">
    <w:abstractNumId w:val="12"/>
  </w:num>
  <w:num w:numId="7">
    <w:abstractNumId w:val="25"/>
  </w:num>
  <w:num w:numId="8">
    <w:abstractNumId w:val="29"/>
  </w:num>
  <w:num w:numId="9">
    <w:abstractNumId w:val="6"/>
  </w:num>
  <w:num w:numId="10">
    <w:abstractNumId w:val="5"/>
  </w:num>
  <w:num w:numId="11">
    <w:abstractNumId w:val="4"/>
  </w:num>
  <w:num w:numId="12">
    <w:abstractNumId w:val="3"/>
  </w:num>
  <w:num w:numId="13">
    <w:abstractNumId w:val="7"/>
  </w:num>
  <w:num w:numId="14">
    <w:abstractNumId w:val="2"/>
  </w:num>
  <w:num w:numId="15">
    <w:abstractNumId w:val="1"/>
  </w:num>
  <w:num w:numId="16">
    <w:abstractNumId w:val="34"/>
  </w:num>
  <w:num w:numId="17">
    <w:abstractNumId w:val="14"/>
  </w:num>
  <w:num w:numId="18">
    <w:abstractNumId w:val="19"/>
  </w:num>
  <w:num w:numId="19">
    <w:abstractNumId w:val="21"/>
  </w:num>
  <w:num w:numId="20">
    <w:abstractNumId w:val="0"/>
  </w:num>
  <w:num w:numId="21">
    <w:abstractNumId w:val="22"/>
  </w:num>
  <w:num w:numId="22">
    <w:abstractNumId w:val="35"/>
  </w:num>
  <w:num w:numId="23">
    <w:abstractNumId w:val="30"/>
  </w:num>
  <w:num w:numId="24">
    <w:abstractNumId w:val="18"/>
  </w:num>
  <w:num w:numId="25">
    <w:abstractNumId w:val="20"/>
  </w:num>
  <w:num w:numId="26">
    <w:abstractNumId w:val="14"/>
  </w:num>
  <w:num w:numId="27">
    <w:abstractNumId w:val="14"/>
  </w:num>
  <w:num w:numId="28">
    <w:abstractNumId w:val="13"/>
  </w:num>
  <w:num w:numId="29">
    <w:abstractNumId w:val="32"/>
  </w:num>
  <w:num w:numId="30">
    <w:abstractNumId w:val="9"/>
  </w:num>
  <w:num w:numId="31">
    <w:abstractNumId w:val="15"/>
  </w:num>
  <w:num w:numId="32">
    <w:abstractNumId w:val="16"/>
  </w:num>
  <w:num w:numId="33">
    <w:abstractNumId w:val="24"/>
  </w:num>
  <w:num w:numId="34">
    <w:abstractNumId w:val="14"/>
  </w:num>
  <w:num w:numId="35">
    <w:abstractNumId w:val="14"/>
  </w:num>
  <w:num w:numId="36">
    <w:abstractNumId w:val="33"/>
  </w:num>
  <w:num w:numId="37">
    <w:abstractNumId w:val="17"/>
  </w:num>
  <w:num w:numId="38">
    <w:abstractNumId w:val="27"/>
  </w:num>
  <w:num w:numId="39">
    <w:abstractNumId w:val="14"/>
  </w:num>
  <w:num w:numId="40">
    <w:abstractNumId w:val="14"/>
  </w:num>
  <w:num w:numId="41">
    <w:abstractNumId w:val="11"/>
  </w:num>
  <w:num w:numId="42">
    <w:abstractNumId w:val="23"/>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6145"/>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971"/>
    <w:rsid w:val="00003743"/>
    <w:rsid w:val="000047B4"/>
    <w:rsid w:val="00005712"/>
    <w:rsid w:val="00007FD8"/>
    <w:rsid w:val="000117F8"/>
    <w:rsid w:val="00026139"/>
    <w:rsid w:val="00027071"/>
    <w:rsid w:val="00027601"/>
    <w:rsid w:val="00033321"/>
    <w:rsid w:val="000338E5"/>
    <w:rsid w:val="00033ECC"/>
    <w:rsid w:val="0003422F"/>
    <w:rsid w:val="00043AEC"/>
    <w:rsid w:val="00046FF0"/>
    <w:rsid w:val="00050176"/>
    <w:rsid w:val="00062B65"/>
    <w:rsid w:val="00067456"/>
    <w:rsid w:val="00071506"/>
    <w:rsid w:val="0007154F"/>
    <w:rsid w:val="00081AB1"/>
    <w:rsid w:val="000847F1"/>
    <w:rsid w:val="00090316"/>
    <w:rsid w:val="00093981"/>
    <w:rsid w:val="00093CD9"/>
    <w:rsid w:val="000A7ADC"/>
    <w:rsid w:val="000B067A"/>
    <w:rsid w:val="000B1540"/>
    <w:rsid w:val="000B33FD"/>
    <w:rsid w:val="000B4ABA"/>
    <w:rsid w:val="000C4361"/>
    <w:rsid w:val="000C4B16"/>
    <w:rsid w:val="000C50C3"/>
    <w:rsid w:val="000C7C57"/>
    <w:rsid w:val="000D21F6"/>
    <w:rsid w:val="000D42C3"/>
    <w:rsid w:val="000D4500"/>
    <w:rsid w:val="000D56E4"/>
    <w:rsid w:val="000D7AEA"/>
    <w:rsid w:val="000E01A9"/>
    <w:rsid w:val="000E1C89"/>
    <w:rsid w:val="000E2C66"/>
    <w:rsid w:val="000E6E7D"/>
    <w:rsid w:val="000F0B3E"/>
    <w:rsid w:val="000F123C"/>
    <w:rsid w:val="000F2FED"/>
    <w:rsid w:val="000F58DD"/>
    <w:rsid w:val="000F62BB"/>
    <w:rsid w:val="00100F6D"/>
    <w:rsid w:val="0010616D"/>
    <w:rsid w:val="00110478"/>
    <w:rsid w:val="0011711B"/>
    <w:rsid w:val="00117F8A"/>
    <w:rsid w:val="00121B9B"/>
    <w:rsid w:val="00122ADC"/>
    <w:rsid w:val="00130472"/>
    <w:rsid w:val="00130F59"/>
    <w:rsid w:val="00133EC0"/>
    <w:rsid w:val="001345D0"/>
    <w:rsid w:val="00135371"/>
    <w:rsid w:val="00141CE5"/>
    <w:rsid w:val="00144223"/>
    <w:rsid w:val="00144908"/>
    <w:rsid w:val="001571C7"/>
    <w:rsid w:val="00161094"/>
    <w:rsid w:val="00172A55"/>
    <w:rsid w:val="00172D2F"/>
    <w:rsid w:val="001758CD"/>
    <w:rsid w:val="0017665C"/>
    <w:rsid w:val="00177AD2"/>
    <w:rsid w:val="001815A8"/>
    <w:rsid w:val="001840FA"/>
    <w:rsid w:val="00190079"/>
    <w:rsid w:val="0019622E"/>
    <w:rsid w:val="001966A7"/>
    <w:rsid w:val="001A4627"/>
    <w:rsid w:val="001A4979"/>
    <w:rsid w:val="001B15D3"/>
    <w:rsid w:val="001B3443"/>
    <w:rsid w:val="001C0326"/>
    <w:rsid w:val="001C04D9"/>
    <w:rsid w:val="001C192F"/>
    <w:rsid w:val="001C3C42"/>
    <w:rsid w:val="001C3DF0"/>
    <w:rsid w:val="001D7869"/>
    <w:rsid w:val="001F2F78"/>
    <w:rsid w:val="002026CD"/>
    <w:rsid w:val="002033FC"/>
    <w:rsid w:val="002044BB"/>
    <w:rsid w:val="00205A93"/>
    <w:rsid w:val="00210B09"/>
    <w:rsid w:val="00210C9E"/>
    <w:rsid w:val="00211840"/>
    <w:rsid w:val="00220E5F"/>
    <w:rsid w:val="002212B5"/>
    <w:rsid w:val="00226668"/>
    <w:rsid w:val="00233809"/>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2AFB"/>
    <w:rsid w:val="0028519E"/>
    <w:rsid w:val="002856A5"/>
    <w:rsid w:val="002872ED"/>
    <w:rsid w:val="002905C2"/>
    <w:rsid w:val="00295AF2"/>
    <w:rsid w:val="00295C91"/>
    <w:rsid w:val="00297151"/>
    <w:rsid w:val="002A1B6C"/>
    <w:rsid w:val="002B0AA9"/>
    <w:rsid w:val="002B20E6"/>
    <w:rsid w:val="002B42A3"/>
    <w:rsid w:val="002C0CDD"/>
    <w:rsid w:val="002C0D5C"/>
    <w:rsid w:val="002C1DE3"/>
    <w:rsid w:val="002C47E1"/>
    <w:rsid w:val="002D55D4"/>
    <w:rsid w:val="002E1A1D"/>
    <w:rsid w:val="002E4081"/>
    <w:rsid w:val="002E5B78"/>
    <w:rsid w:val="002E61B7"/>
    <w:rsid w:val="002F3AE3"/>
    <w:rsid w:val="0030464B"/>
    <w:rsid w:val="003073EA"/>
    <w:rsid w:val="0030786C"/>
    <w:rsid w:val="003227F9"/>
    <w:rsid w:val="003233DE"/>
    <w:rsid w:val="0032466B"/>
    <w:rsid w:val="00324A34"/>
    <w:rsid w:val="00327B44"/>
    <w:rsid w:val="003330EB"/>
    <w:rsid w:val="00336605"/>
    <w:rsid w:val="003415FD"/>
    <w:rsid w:val="003429F0"/>
    <w:rsid w:val="0035097A"/>
    <w:rsid w:val="003540A4"/>
    <w:rsid w:val="00360E4E"/>
    <w:rsid w:val="0036704A"/>
    <w:rsid w:val="00370AAA"/>
    <w:rsid w:val="00373D5D"/>
    <w:rsid w:val="00375F77"/>
    <w:rsid w:val="00377A78"/>
    <w:rsid w:val="00381BBE"/>
    <w:rsid w:val="00382903"/>
    <w:rsid w:val="003846FF"/>
    <w:rsid w:val="00384C69"/>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4192"/>
    <w:rsid w:val="003E5265"/>
    <w:rsid w:val="003F0955"/>
    <w:rsid w:val="003F36A2"/>
    <w:rsid w:val="003F6FE1"/>
    <w:rsid w:val="00400F00"/>
    <w:rsid w:val="00404F8B"/>
    <w:rsid w:val="00405256"/>
    <w:rsid w:val="00410031"/>
    <w:rsid w:val="004115A2"/>
    <w:rsid w:val="00415C81"/>
    <w:rsid w:val="00416731"/>
    <w:rsid w:val="00426F62"/>
    <w:rsid w:val="00432378"/>
    <w:rsid w:val="00440D65"/>
    <w:rsid w:val="004435E6"/>
    <w:rsid w:val="00447E31"/>
    <w:rsid w:val="004505B4"/>
    <w:rsid w:val="00453923"/>
    <w:rsid w:val="00454B9B"/>
    <w:rsid w:val="00457858"/>
    <w:rsid w:val="00460B0B"/>
    <w:rsid w:val="00461023"/>
    <w:rsid w:val="00462FAC"/>
    <w:rsid w:val="00464631"/>
    <w:rsid w:val="00464B79"/>
    <w:rsid w:val="004668A6"/>
    <w:rsid w:val="00467BBF"/>
    <w:rsid w:val="00472B44"/>
    <w:rsid w:val="00474407"/>
    <w:rsid w:val="004867E2"/>
    <w:rsid w:val="004929A9"/>
    <w:rsid w:val="00493388"/>
    <w:rsid w:val="004A6CED"/>
    <w:rsid w:val="004B091F"/>
    <w:rsid w:val="004C2FEC"/>
    <w:rsid w:val="004C502E"/>
    <w:rsid w:val="004C5FC7"/>
    <w:rsid w:val="004C6BCF"/>
    <w:rsid w:val="004D46BE"/>
    <w:rsid w:val="004D4DD6"/>
    <w:rsid w:val="004D58BF"/>
    <w:rsid w:val="004E0253"/>
    <w:rsid w:val="004E192C"/>
    <w:rsid w:val="004E4335"/>
    <w:rsid w:val="004E5ACF"/>
    <w:rsid w:val="004F13EE"/>
    <w:rsid w:val="004F2022"/>
    <w:rsid w:val="004F7C05"/>
    <w:rsid w:val="00501C94"/>
    <w:rsid w:val="00506432"/>
    <w:rsid w:val="0051242B"/>
    <w:rsid w:val="00513E0A"/>
    <w:rsid w:val="00514887"/>
    <w:rsid w:val="0052051D"/>
    <w:rsid w:val="0053477E"/>
    <w:rsid w:val="00545EE6"/>
    <w:rsid w:val="00554602"/>
    <w:rsid w:val="005550E7"/>
    <w:rsid w:val="005564FB"/>
    <w:rsid w:val="005572C7"/>
    <w:rsid w:val="00557D5A"/>
    <w:rsid w:val="00562648"/>
    <w:rsid w:val="0056486D"/>
    <w:rsid w:val="005650ED"/>
    <w:rsid w:val="00575754"/>
    <w:rsid w:val="00591E20"/>
    <w:rsid w:val="00592EB6"/>
    <w:rsid w:val="00595408"/>
    <w:rsid w:val="00595E84"/>
    <w:rsid w:val="005A0C59"/>
    <w:rsid w:val="005A48EB"/>
    <w:rsid w:val="005A6CFB"/>
    <w:rsid w:val="005B1409"/>
    <w:rsid w:val="005C3C71"/>
    <w:rsid w:val="005C5AEB"/>
    <w:rsid w:val="005E0A3F"/>
    <w:rsid w:val="005E67B5"/>
    <w:rsid w:val="005E6883"/>
    <w:rsid w:val="005E772F"/>
    <w:rsid w:val="005F112F"/>
    <w:rsid w:val="005F4ECA"/>
    <w:rsid w:val="0060177D"/>
    <w:rsid w:val="006041BE"/>
    <w:rsid w:val="006043C7"/>
    <w:rsid w:val="00616CF3"/>
    <w:rsid w:val="00622E76"/>
    <w:rsid w:val="00623807"/>
    <w:rsid w:val="00624B52"/>
    <w:rsid w:val="00631DF4"/>
    <w:rsid w:val="00634175"/>
    <w:rsid w:val="006408AC"/>
    <w:rsid w:val="006511B6"/>
    <w:rsid w:val="00652742"/>
    <w:rsid w:val="00657FF8"/>
    <w:rsid w:val="00670D99"/>
    <w:rsid w:val="00670E2B"/>
    <w:rsid w:val="006734BB"/>
    <w:rsid w:val="00681A34"/>
    <w:rsid w:val="006821EB"/>
    <w:rsid w:val="00683E90"/>
    <w:rsid w:val="006A5B43"/>
    <w:rsid w:val="006B175B"/>
    <w:rsid w:val="006B2286"/>
    <w:rsid w:val="006B56BB"/>
    <w:rsid w:val="006C77A8"/>
    <w:rsid w:val="006D4098"/>
    <w:rsid w:val="006D7681"/>
    <w:rsid w:val="006D7B2E"/>
    <w:rsid w:val="006E02EA"/>
    <w:rsid w:val="006E0968"/>
    <w:rsid w:val="006E2AF6"/>
    <w:rsid w:val="006E7DBB"/>
    <w:rsid w:val="00701275"/>
    <w:rsid w:val="00707F56"/>
    <w:rsid w:val="00713558"/>
    <w:rsid w:val="00720D08"/>
    <w:rsid w:val="00723AB6"/>
    <w:rsid w:val="007263B9"/>
    <w:rsid w:val="00726FA0"/>
    <w:rsid w:val="007272E2"/>
    <w:rsid w:val="007318C5"/>
    <w:rsid w:val="007334F8"/>
    <w:rsid w:val="007339CD"/>
    <w:rsid w:val="007359D8"/>
    <w:rsid w:val="007362D4"/>
    <w:rsid w:val="0074181A"/>
    <w:rsid w:val="00751A23"/>
    <w:rsid w:val="00752884"/>
    <w:rsid w:val="0076672A"/>
    <w:rsid w:val="00775E45"/>
    <w:rsid w:val="00776E74"/>
    <w:rsid w:val="00784A72"/>
    <w:rsid w:val="00785169"/>
    <w:rsid w:val="00786B57"/>
    <w:rsid w:val="007954AB"/>
    <w:rsid w:val="00797C82"/>
    <w:rsid w:val="007A14C5"/>
    <w:rsid w:val="007A3E38"/>
    <w:rsid w:val="007A4A10"/>
    <w:rsid w:val="007B06F3"/>
    <w:rsid w:val="007B1760"/>
    <w:rsid w:val="007B4678"/>
    <w:rsid w:val="007C6D9C"/>
    <w:rsid w:val="007C7DDB"/>
    <w:rsid w:val="007D2CC7"/>
    <w:rsid w:val="007D673D"/>
    <w:rsid w:val="007D73AA"/>
    <w:rsid w:val="007F2220"/>
    <w:rsid w:val="007F4B3E"/>
    <w:rsid w:val="007F588A"/>
    <w:rsid w:val="008127AF"/>
    <w:rsid w:val="00812B46"/>
    <w:rsid w:val="00815700"/>
    <w:rsid w:val="00817B70"/>
    <w:rsid w:val="008264EB"/>
    <w:rsid w:val="00826B8F"/>
    <w:rsid w:val="00831E8A"/>
    <w:rsid w:val="00835C76"/>
    <w:rsid w:val="00836AEC"/>
    <w:rsid w:val="00841111"/>
    <w:rsid w:val="008420FD"/>
    <w:rsid w:val="00843049"/>
    <w:rsid w:val="0085209B"/>
    <w:rsid w:val="00856B66"/>
    <w:rsid w:val="00857C95"/>
    <w:rsid w:val="00861A5F"/>
    <w:rsid w:val="008644AD"/>
    <w:rsid w:val="00865735"/>
    <w:rsid w:val="00865DDB"/>
    <w:rsid w:val="00867538"/>
    <w:rsid w:val="00873D90"/>
    <w:rsid w:val="00873FC8"/>
    <w:rsid w:val="00884C63"/>
    <w:rsid w:val="00885908"/>
    <w:rsid w:val="008864B7"/>
    <w:rsid w:val="0089677E"/>
    <w:rsid w:val="00896E8C"/>
    <w:rsid w:val="0089709E"/>
    <w:rsid w:val="008A4576"/>
    <w:rsid w:val="008A6971"/>
    <w:rsid w:val="008A7438"/>
    <w:rsid w:val="008B1334"/>
    <w:rsid w:val="008C0278"/>
    <w:rsid w:val="008C24E9"/>
    <w:rsid w:val="008C7D6F"/>
    <w:rsid w:val="008D0533"/>
    <w:rsid w:val="008D42CB"/>
    <w:rsid w:val="008D48C9"/>
    <w:rsid w:val="008D5B79"/>
    <w:rsid w:val="008D6381"/>
    <w:rsid w:val="008E0380"/>
    <w:rsid w:val="008E0C77"/>
    <w:rsid w:val="008E625F"/>
    <w:rsid w:val="008F264D"/>
    <w:rsid w:val="009074E1"/>
    <w:rsid w:val="009112F7"/>
    <w:rsid w:val="009122AF"/>
    <w:rsid w:val="009127BC"/>
    <w:rsid w:val="00912D54"/>
    <w:rsid w:val="0091389F"/>
    <w:rsid w:val="009208F7"/>
    <w:rsid w:val="00922517"/>
    <w:rsid w:val="00922722"/>
    <w:rsid w:val="009261E6"/>
    <w:rsid w:val="009268E1"/>
    <w:rsid w:val="00945E7F"/>
    <w:rsid w:val="009557C1"/>
    <w:rsid w:val="00960D6E"/>
    <w:rsid w:val="00972BC1"/>
    <w:rsid w:val="00974B59"/>
    <w:rsid w:val="0098084C"/>
    <w:rsid w:val="0098340B"/>
    <w:rsid w:val="00986830"/>
    <w:rsid w:val="009924C3"/>
    <w:rsid w:val="00993102"/>
    <w:rsid w:val="00995B29"/>
    <w:rsid w:val="009A1021"/>
    <w:rsid w:val="009B4DA3"/>
    <w:rsid w:val="009C4A39"/>
    <w:rsid w:val="009C4CBE"/>
    <w:rsid w:val="009C6F10"/>
    <w:rsid w:val="009D0046"/>
    <w:rsid w:val="009D0DD8"/>
    <w:rsid w:val="009D148F"/>
    <w:rsid w:val="009D3D70"/>
    <w:rsid w:val="009D4E07"/>
    <w:rsid w:val="009E6F7E"/>
    <w:rsid w:val="009E7A57"/>
    <w:rsid w:val="009F4F6A"/>
    <w:rsid w:val="009F5221"/>
    <w:rsid w:val="00A04084"/>
    <w:rsid w:val="00A16E36"/>
    <w:rsid w:val="00A203C9"/>
    <w:rsid w:val="00A208B9"/>
    <w:rsid w:val="00A24961"/>
    <w:rsid w:val="00A24B10"/>
    <w:rsid w:val="00A2731C"/>
    <w:rsid w:val="00A30E9B"/>
    <w:rsid w:val="00A44248"/>
    <w:rsid w:val="00A4512D"/>
    <w:rsid w:val="00A50244"/>
    <w:rsid w:val="00A52C48"/>
    <w:rsid w:val="00A56F17"/>
    <w:rsid w:val="00A574AA"/>
    <w:rsid w:val="00A6013C"/>
    <w:rsid w:val="00A627D7"/>
    <w:rsid w:val="00A656C7"/>
    <w:rsid w:val="00A705AF"/>
    <w:rsid w:val="00A72454"/>
    <w:rsid w:val="00A77696"/>
    <w:rsid w:val="00A80557"/>
    <w:rsid w:val="00A808FF"/>
    <w:rsid w:val="00A81D33"/>
    <w:rsid w:val="00A930AE"/>
    <w:rsid w:val="00AA1A95"/>
    <w:rsid w:val="00AA260F"/>
    <w:rsid w:val="00AA2DC9"/>
    <w:rsid w:val="00AB1EE7"/>
    <w:rsid w:val="00AB240C"/>
    <w:rsid w:val="00AB4B37"/>
    <w:rsid w:val="00AB5762"/>
    <w:rsid w:val="00AC0C70"/>
    <w:rsid w:val="00AC2679"/>
    <w:rsid w:val="00AC4BE4"/>
    <w:rsid w:val="00AC6BF9"/>
    <w:rsid w:val="00AD05E6"/>
    <w:rsid w:val="00AD0D3F"/>
    <w:rsid w:val="00AE1D7D"/>
    <w:rsid w:val="00AE2A8B"/>
    <w:rsid w:val="00AE3F64"/>
    <w:rsid w:val="00AF7386"/>
    <w:rsid w:val="00AF7934"/>
    <w:rsid w:val="00B00B81"/>
    <w:rsid w:val="00B04580"/>
    <w:rsid w:val="00B04B09"/>
    <w:rsid w:val="00B16A51"/>
    <w:rsid w:val="00B25440"/>
    <w:rsid w:val="00B30336"/>
    <w:rsid w:val="00B32222"/>
    <w:rsid w:val="00B3618D"/>
    <w:rsid w:val="00B36233"/>
    <w:rsid w:val="00B42851"/>
    <w:rsid w:val="00B45AC7"/>
    <w:rsid w:val="00B5372F"/>
    <w:rsid w:val="00B61129"/>
    <w:rsid w:val="00B67E7F"/>
    <w:rsid w:val="00B732AA"/>
    <w:rsid w:val="00B75A04"/>
    <w:rsid w:val="00B8274F"/>
    <w:rsid w:val="00B839B2"/>
    <w:rsid w:val="00B90643"/>
    <w:rsid w:val="00B94252"/>
    <w:rsid w:val="00B94828"/>
    <w:rsid w:val="00B9715A"/>
    <w:rsid w:val="00BA14BE"/>
    <w:rsid w:val="00BA2732"/>
    <w:rsid w:val="00BA293D"/>
    <w:rsid w:val="00BA49BC"/>
    <w:rsid w:val="00BA56B7"/>
    <w:rsid w:val="00BA7A1E"/>
    <w:rsid w:val="00BA7CA9"/>
    <w:rsid w:val="00BB1C3E"/>
    <w:rsid w:val="00BB2F6C"/>
    <w:rsid w:val="00BB351C"/>
    <w:rsid w:val="00BB3875"/>
    <w:rsid w:val="00BB5860"/>
    <w:rsid w:val="00BB6AAD"/>
    <w:rsid w:val="00BB71EC"/>
    <w:rsid w:val="00BC3A46"/>
    <w:rsid w:val="00BC4A19"/>
    <w:rsid w:val="00BC4E6D"/>
    <w:rsid w:val="00BD0617"/>
    <w:rsid w:val="00BD209C"/>
    <w:rsid w:val="00BD2E9B"/>
    <w:rsid w:val="00BD7AB1"/>
    <w:rsid w:val="00BE3C8F"/>
    <w:rsid w:val="00BF214C"/>
    <w:rsid w:val="00BF40A3"/>
    <w:rsid w:val="00C00930"/>
    <w:rsid w:val="00C060AD"/>
    <w:rsid w:val="00C0670D"/>
    <w:rsid w:val="00C113BF"/>
    <w:rsid w:val="00C203BE"/>
    <w:rsid w:val="00C2176E"/>
    <w:rsid w:val="00C23430"/>
    <w:rsid w:val="00C27D67"/>
    <w:rsid w:val="00C43929"/>
    <w:rsid w:val="00C4631F"/>
    <w:rsid w:val="00C50E16"/>
    <w:rsid w:val="00C55258"/>
    <w:rsid w:val="00C66849"/>
    <w:rsid w:val="00C80161"/>
    <w:rsid w:val="00C82EEB"/>
    <w:rsid w:val="00C8529A"/>
    <w:rsid w:val="00C91901"/>
    <w:rsid w:val="00C971DC"/>
    <w:rsid w:val="00CA16B7"/>
    <w:rsid w:val="00CA4BE3"/>
    <w:rsid w:val="00CA62AE"/>
    <w:rsid w:val="00CA79CF"/>
    <w:rsid w:val="00CB5B1A"/>
    <w:rsid w:val="00CB6351"/>
    <w:rsid w:val="00CB72C2"/>
    <w:rsid w:val="00CC220B"/>
    <w:rsid w:val="00CC5C43"/>
    <w:rsid w:val="00CD02AE"/>
    <w:rsid w:val="00CD2A4F"/>
    <w:rsid w:val="00CD76E3"/>
    <w:rsid w:val="00CE03CA"/>
    <w:rsid w:val="00CE07A4"/>
    <w:rsid w:val="00CE22F1"/>
    <w:rsid w:val="00CE50F2"/>
    <w:rsid w:val="00CE6502"/>
    <w:rsid w:val="00CF14A6"/>
    <w:rsid w:val="00CF2BEB"/>
    <w:rsid w:val="00CF7D3C"/>
    <w:rsid w:val="00D147EB"/>
    <w:rsid w:val="00D34667"/>
    <w:rsid w:val="00D401E1"/>
    <w:rsid w:val="00D408B4"/>
    <w:rsid w:val="00D44D4E"/>
    <w:rsid w:val="00D45D94"/>
    <w:rsid w:val="00D524C8"/>
    <w:rsid w:val="00D53030"/>
    <w:rsid w:val="00D60E25"/>
    <w:rsid w:val="00D70688"/>
    <w:rsid w:val="00D70E24"/>
    <w:rsid w:val="00D716B3"/>
    <w:rsid w:val="00D72B61"/>
    <w:rsid w:val="00D8251D"/>
    <w:rsid w:val="00DA1E94"/>
    <w:rsid w:val="00DA3D1D"/>
    <w:rsid w:val="00DB0138"/>
    <w:rsid w:val="00DB0BA6"/>
    <w:rsid w:val="00DB6286"/>
    <w:rsid w:val="00DB645F"/>
    <w:rsid w:val="00DB76E9"/>
    <w:rsid w:val="00DC0A67"/>
    <w:rsid w:val="00DC196D"/>
    <w:rsid w:val="00DC1D5E"/>
    <w:rsid w:val="00DC2313"/>
    <w:rsid w:val="00DC5220"/>
    <w:rsid w:val="00DC5EC0"/>
    <w:rsid w:val="00DC7910"/>
    <w:rsid w:val="00DD2061"/>
    <w:rsid w:val="00DD47D8"/>
    <w:rsid w:val="00DD7D46"/>
    <w:rsid w:val="00DD7DAB"/>
    <w:rsid w:val="00DE3355"/>
    <w:rsid w:val="00DE3801"/>
    <w:rsid w:val="00DF2FCA"/>
    <w:rsid w:val="00DF486F"/>
    <w:rsid w:val="00DF5B5B"/>
    <w:rsid w:val="00DF7619"/>
    <w:rsid w:val="00E009A1"/>
    <w:rsid w:val="00E014B2"/>
    <w:rsid w:val="00E03402"/>
    <w:rsid w:val="00E042D8"/>
    <w:rsid w:val="00E07EE7"/>
    <w:rsid w:val="00E1103B"/>
    <w:rsid w:val="00E17B44"/>
    <w:rsid w:val="00E27FEA"/>
    <w:rsid w:val="00E347DD"/>
    <w:rsid w:val="00E4086F"/>
    <w:rsid w:val="00E43B3C"/>
    <w:rsid w:val="00E50188"/>
    <w:rsid w:val="00E502CB"/>
    <w:rsid w:val="00E515CB"/>
    <w:rsid w:val="00E51901"/>
    <w:rsid w:val="00E52260"/>
    <w:rsid w:val="00E62612"/>
    <w:rsid w:val="00E639B6"/>
    <w:rsid w:val="00E6434B"/>
    <w:rsid w:val="00E6463D"/>
    <w:rsid w:val="00E67D2A"/>
    <w:rsid w:val="00E72E9B"/>
    <w:rsid w:val="00E75E17"/>
    <w:rsid w:val="00E846B6"/>
    <w:rsid w:val="00E849DA"/>
    <w:rsid w:val="00E9005B"/>
    <w:rsid w:val="00E906F2"/>
    <w:rsid w:val="00E90D53"/>
    <w:rsid w:val="00E911F2"/>
    <w:rsid w:val="00E91A40"/>
    <w:rsid w:val="00E9462E"/>
    <w:rsid w:val="00EA3EB4"/>
    <w:rsid w:val="00EA470E"/>
    <w:rsid w:val="00EA47A7"/>
    <w:rsid w:val="00EA57EB"/>
    <w:rsid w:val="00EB3226"/>
    <w:rsid w:val="00EC213A"/>
    <w:rsid w:val="00EC6603"/>
    <w:rsid w:val="00EC73DB"/>
    <w:rsid w:val="00EC7744"/>
    <w:rsid w:val="00ED0DAD"/>
    <w:rsid w:val="00ED0F46"/>
    <w:rsid w:val="00ED2373"/>
    <w:rsid w:val="00EE3E8A"/>
    <w:rsid w:val="00EE4A6C"/>
    <w:rsid w:val="00EF40D1"/>
    <w:rsid w:val="00EF6ECA"/>
    <w:rsid w:val="00EF70FA"/>
    <w:rsid w:val="00F002EB"/>
    <w:rsid w:val="00F024E1"/>
    <w:rsid w:val="00F06C10"/>
    <w:rsid w:val="00F1096F"/>
    <w:rsid w:val="00F12589"/>
    <w:rsid w:val="00F12595"/>
    <w:rsid w:val="00F134D9"/>
    <w:rsid w:val="00F1403D"/>
    <w:rsid w:val="00F1463F"/>
    <w:rsid w:val="00F21302"/>
    <w:rsid w:val="00F321DE"/>
    <w:rsid w:val="00F33777"/>
    <w:rsid w:val="00F37690"/>
    <w:rsid w:val="00F40648"/>
    <w:rsid w:val="00F40824"/>
    <w:rsid w:val="00F47DA2"/>
    <w:rsid w:val="00F50934"/>
    <w:rsid w:val="00F519FC"/>
    <w:rsid w:val="00F55A14"/>
    <w:rsid w:val="00F6239D"/>
    <w:rsid w:val="00F715D2"/>
    <w:rsid w:val="00F7274F"/>
    <w:rsid w:val="00F76FA8"/>
    <w:rsid w:val="00F93F08"/>
    <w:rsid w:val="00F94CED"/>
    <w:rsid w:val="00F953FC"/>
    <w:rsid w:val="00FA2CEE"/>
    <w:rsid w:val="00FA318C"/>
    <w:rsid w:val="00FB6F92"/>
    <w:rsid w:val="00FC026E"/>
    <w:rsid w:val="00FC2312"/>
    <w:rsid w:val="00FC5124"/>
    <w:rsid w:val="00FC6AE9"/>
    <w:rsid w:val="00FD4731"/>
    <w:rsid w:val="00FF0AB0"/>
    <w:rsid w:val="00FF28AC"/>
    <w:rsid w:val="00FF682B"/>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559835C"/>
  <w15:docId w15:val="{23D95BAF-195F-4694-9DA5-2D9D5329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7ADC"/>
    <w:pPr>
      <w:spacing w:before="120" w:after="120"/>
    </w:pPr>
    <w:rPr>
      <w:rFonts w:ascii="Arial" w:hAnsi="Arial"/>
      <w:sz w:val="22"/>
      <w:szCs w:val="24"/>
      <w:lang w:eastAsia="en-US"/>
    </w:rPr>
  </w:style>
  <w:style w:type="paragraph" w:styleId="Heading1">
    <w:name w:val="heading 1"/>
    <w:basedOn w:val="Normal"/>
    <w:next w:val="Paragraphtext"/>
    <w:link w:val="Heading1Char"/>
    <w:qFormat/>
    <w:rsid w:val="009127BC"/>
    <w:pPr>
      <w:keepNext/>
      <w:spacing w:before="240" w:after="60"/>
      <w:outlineLvl w:val="0"/>
    </w:pPr>
    <w:rPr>
      <w:rFonts w:cs="Arial"/>
      <w:bCs/>
      <w:color w:val="3F4A75"/>
      <w:kern w:val="28"/>
      <w:sz w:val="36"/>
      <w:szCs w:val="36"/>
    </w:rPr>
  </w:style>
  <w:style w:type="paragraph" w:styleId="Heading2">
    <w:name w:val="heading 2"/>
    <w:next w:val="Paragraphtext"/>
    <w:qFormat/>
    <w:rsid w:val="000A7ADC"/>
    <w:pPr>
      <w:keepNext/>
      <w:spacing w:before="240" w:after="60"/>
      <w:outlineLvl w:val="1"/>
    </w:pPr>
    <w:rPr>
      <w:rFonts w:ascii="Arial" w:hAnsi="Arial" w:cs="Arial"/>
      <w:bCs/>
      <w:iCs/>
      <w:color w:val="358189"/>
      <w:sz w:val="28"/>
      <w:szCs w:val="28"/>
      <w:lang w:eastAsia="en-US"/>
    </w:rPr>
  </w:style>
  <w:style w:type="paragraph" w:styleId="Heading3">
    <w:name w:val="heading 3"/>
    <w:next w:val="Normal"/>
    <w:qFormat/>
    <w:rsid w:val="009127BC"/>
    <w:pPr>
      <w:keepNext/>
      <w:spacing w:before="180" w:after="60"/>
      <w:outlineLvl w:val="2"/>
    </w:pPr>
    <w:rPr>
      <w:rFonts w:ascii="Arial" w:hAnsi="Arial" w:cs="Arial"/>
      <w:bCs/>
      <w:color w:val="358189"/>
      <w:sz w:val="28"/>
      <w:szCs w:val="26"/>
      <w:lang w:eastAsia="en-US"/>
    </w:rPr>
  </w:style>
  <w:style w:type="paragraph" w:styleId="Heading4">
    <w:name w:val="heading 4"/>
    <w:basedOn w:val="Heading3"/>
    <w:next w:val="Normal"/>
    <w:qFormat/>
    <w:rsid w:val="00DD7D46"/>
    <w:pPr>
      <w:spacing w:before="240"/>
      <w:outlineLvl w:val="3"/>
    </w:pPr>
    <w:rPr>
      <w:b/>
      <w:bCs w:val="0"/>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customStyle="1" w:styleId="Heading1Char">
    <w:name w:val="Heading 1 Char"/>
    <w:basedOn w:val="DefaultParagraphFont"/>
    <w:link w:val="Heading1"/>
    <w:rsid w:val="009C4CBE"/>
    <w:rPr>
      <w:rFonts w:ascii="Arial" w:hAnsi="Arial" w:cs="Arial"/>
      <w:bCs/>
      <w:color w:val="3F4A75"/>
      <w:kern w:val="28"/>
      <w:sz w:val="36"/>
      <w:szCs w:val="36"/>
      <w:lang w:eastAsia="en-US"/>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basedOn w:val="Title"/>
    <w:next w:val="Normal"/>
    <w:link w:val="SubtitleChar"/>
    <w:qFormat/>
    <w:rsid w:val="00784A72"/>
    <w:pPr>
      <w:numPr>
        <w:ilvl w:val="1"/>
      </w:numPr>
      <w:spacing w:before="120" w:after="120"/>
    </w:pPr>
    <w:rPr>
      <w:iCs/>
      <w:spacing w:val="15"/>
      <w:szCs w:val="24"/>
    </w:rPr>
  </w:style>
  <w:style w:type="character" w:customStyle="1" w:styleId="SubtitleChar">
    <w:name w:val="Subtitle Char"/>
    <w:basedOn w:val="DefaultParagraphFont"/>
    <w:link w:val="Subtitle"/>
    <w:rsid w:val="00784A72"/>
    <w:rPr>
      <w:rFonts w:ascii="Arial" w:eastAsiaTheme="majorEastAsia" w:hAnsi="Arial" w:cstheme="majorBidi"/>
      <w:b/>
      <w:iCs/>
      <w:color w:val="FFFFFF" w:themeColor="background1"/>
      <w:spacing w:val="15"/>
      <w:kern w:val="28"/>
      <w:sz w:val="48"/>
      <w:szCs w:val="24"/>
      <w:lang w:eastAsia="en-US"/>
    </w:rPr>
  </w:style>
  <w:style w:type="paragraph" w:styleId="Title">
    <w:name w:val="Title"/>
    <w:next w:val="Paragraphtext"/>
    <w:link w:val="TitleChar"/>
    <w:qFormat/>
    <w:rsid w:val="00784A72"/>
    <w:pPr>
      <w:spacing w:before="10000"/>
      <w:ind w:right="3686"/>
    </w:pPr>
    <w:rPr>
      <w:rFonts w:ascii="Arial" w:eastAsiaTheme="majorEastAsia" w:hAnsi="Arial" w:cstheme="majorBidi"/>
      <w:b/>
      <w:color w:val="FFFFFF" w:themeColor="background1"/>
      <w:kern w:val="28"/>
      <w:sz w:val="48"/>
      <w:szCs w:val="52"/>
      <w:lang w:eastAsia="en-US"/>
    </w:rPr>
  </w:style>
  <w:style w:type="character" w:customStyle="1" w:styleId="TitleChar">
    <w:name w:val="Title Char"/>
    <w:basedOn w:val="DefaultParagraphFont"/>
    <w:link w:val="Title"/>
    <w:rsid w:val="00784A72"/>
    <w:rPr>
      <w:rFonts w:ascii="Arial" w:eastAsiaTheme="majorEastAsia" w:hAnsi="Arial" w:cstheme="majorBidi"/>
      <w:b/>
      <w:color w:val="FFFFFF" w:themeColor="background1"/>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0A7ADC"/>
    <w:pPr>
      <w:ind w:left="720"/>
    </w:pPr>
    <w:rPr>
      <w:rFonts w:ascii="Arial" w:hAnsi="Arial"/>
      <w:i/>
      <w:iCs/>
      <w:color w:val="000000" w:themeColor="text1"/>
      <w:sz w:val="21"/>
      <w:szCs w:val="24"/>
      <w:lang w:eastAsia="en-US"/>
    </w:rPr>
  </w:style>
  <w:style w:type="character" w:customStyle="1" w:styleId="QuoteChar">
    <w:name w:val="Quote Char"/>
    <w:basedOn w:val="DefaultParagraphFont"/>
    <w:link w:val="Quote"/>
    <w:uiPriority w:val="29"/>
    <w:rsid w:val="000A7ADC"/>
    <w:rPr>
      <w:rFonts w:ascii="Arial" w:hAnsi="Arial"/>
      <w:i/>
      <w:iCs/>
      <w:color w:val="000000" w:themeColor="text1"/>
      <w:sz w:val="21"/>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table" w:styleId="TableGridLight">
    <w:name w:val="Grid Table Light"/>
    <w:basedOn w:val="TableNormal"/>
    <w:uiPriority w:val="40"/>
    <w:rsid w:val="007272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right"/>
      </w:pPr>
      <w:rPr>
        <w:rFonts w:ascii="Arial" w:hAnsi="Arial"/>
        <w:b/>
        <w:sz w:val="20"/>
      </w:rPr>
    </w:tblStylePr>
  </w:style>
  <w:style w:type="character" w:customStyle="1" w:styleId="StyleEndnoteReference">
    <w:name w:val="Style Endnote Reference"/>
    <w:basedOn w:val="EndnoteReference"/>
    <w:rsid w:val="005B1409"/>
    <w:rPr>
      <w:rFonts w:ascii="Arial" w:hAnsi="Arial"/>
      <w:sz w:val="20"/>
      <w:vertAlign w:val="superscript"/>
    </w:rPr>
  </w:style>
  <w:style w:type="paragraph" w:styleId="ListBullet">
    <w:name w:val="List Bullet"/>
    <w:basedOn w:val="Normal"/>
    <w:qFormat/>
    <w:rsid w:val="00A56F17"/>
    <w:pPr>
      <w:numPr>
        <w:numId w:val="17"/>
      </w:numPr>
      <w:spacing w:before="60" w:after="60"/>
    </w:pPr>
    <w:rPr>
      <w:color w:val="000000" w:themeColor="text1"/>
      <w:sz w:val="21"/>
    </w:rPr>
  </w:style>
  <w:style w:type="paragraph" w:styleId="ListParagraph">
    <w:name w:val="List Paragraph"/>
    <w:basedOn w:val="Normal"/>
    <w:uiPriority w:val="34"/>
    <w:qFormat/>
    <w:rsid w:val="00F953FC"/>
    <w:pPr>
      <w:numPr>
        <w:numId w:val="41"/>
      </w:numPr>
      <w:spacing w:before="0" w:after="0"/>
      <w:ind w:left="867" w:hanging="357"/>
    </w:pPr>
  </w:style>
  <w:style w:type="paragraph" w:customStyle="1" w:styleId="Tabletext">
    <w:name w:val="Table text"/>
    <w:basedOn w:val="Normal"/>
    <w:link w:val="TabletextChar"/>
    <w:qFormat/>
    <w:rsid w:val="00CF2BEB"/>
    <w:pPr>
      <w:spacing w:after="0"/>
    </w:pPr>
    <w:rPr>
      <w:rFonts w:eastAsiaTheme="majorEastAsia"/>
      <w:sz w:val="20"/>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List4">
    <w:name w:val="List 4"/>
    <w:basedOn w:val="Normal"/>
    <w:rsid w:val="00592EB6"/>
    <w:pPr>
      <w:shd w:val="clear" w:color="auto" w:fill="D9D9D9" w:themeFill="background1" w:themeFillShade="D9"/>
    </w:p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Normal"/>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styleId="List5">
    <w:name w:val="List 5"/>
    <w:basedOn w:val="Normal"/>
    <w:rsid w:val="00592EB6"/>
    <w:pPr>
      <w:shd w:val="clear" w:color="auto" w:fill="BFE7FF" w:themeFill="accent3" w:themeFillTint="33"/>
    </w:p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Normal"/>
    <w:qFormat/>
    <w:rsid w:val="007272E2"/>
    <w:pPr>
      <w:numPr>
        <w:numId w:val="3"/>
      </w:numPr>
      <w:spacing w:before="60" w:after="60"/>
      <w:ind w:left="284" w:hanging="284"/>
    </w:pPr>
    <w:rPr>
      <w:color w:val="000000" w:themeColor="text1"/>
      <w:sz w:val="21"/>
      <w:szCs w:val="20"/>
    </w:rPr>
  </w:style>
  <w:style w:type="paragraph" w:customStyle="1" w:styleId="Tablelistnumber">
    <w:name w:val="Table list number"/>
    <w:basedOn w:val="Normal"/>
    <w:qFormat/>
    <w:rsid w:val="007272E2"/>
    <w:pPr>
      <w:numPr>
        <w:numId w:val="4"/>
      </w:numPr>
      <w:spacing w:before="60" w:after="60"/>
    </w:pPr>
    <w:rPr>
      <w:bCs/>
      <w:color w:val="000000" w:themeColor="text1"/>
      <w:sz w:val="21"/>
      <w14:numSpacing w14:val="proportional"/>
    </w:rPr>
  </w:style>
  <w:style w:type="paragraph" w:customStyle="1" w:styleId="TableHeader">
    <w:name w:val="Table Header"/>
    <w:basedOn w:val="Normal"/>
    <w:next w:val="Normal"/>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53477E"/>
    <w:pPr>
      <w:spacing w:before="0"/>
    </w:pPr>
    <w:rPr>
      <w:sz w:val="20"/>
      <w:szCs w:val="20"/>
    </w:rPr>
  </w:style>
  <w:style w:type="character" w:customStyle="1" w:styleId="FootnoteTextChar">
    <w:name w:val="Footnote Text Char"/>
    <w:basedOn w:val="DefaultParagraphFont"/>
    <w:link w:val="FootnoteText"/>
    <w:uiPriority w:val="99"/>
    <w:rsid w:val="0053477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table" w:styleId="PlainTable2">
    <w:name w:val="Plain Table 2"/>
    <w:basedOn w:val="TableNormal"/>
    <w:uiPriority w:val="42"/>
    <w:rsid w:val="00E502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textChar">
    <w:name w:val="Table text Char"/>
    <w:basedOn w:val="DefaultParagraphFont"/>
    <w:link w:val="Tabletext"/>
    <w:rsid w:val="00CF2BEB"/>
    <w:rPr>
      <w:rFonts w:ascii="Arial" w:eastAsiaTheme="majorEastAsia" w:hAnsi="Arial"/>
      <w:szCs w:val="24"/>
      <w:lang w:eastAsia="en-US"/>
    </w:rPr>
  </w:style>
  <w:style w:type="paragraph" w:styleId="ListNumber">
    <w:name w:val="List Number"/>
    <w:basedOn w:val="Normal"/>
    <w:rsid w:val="00F953FC"/>
    <w:pPr>
      <w:numPr>
        <w:numId w:val="13"/>
      </w:numPr>
      <w:contextualSpacing/>
    </w:pPr>
  </w:style>
  <w:style w:type="table" w:customStyle="1" w:styleId="DepartmentofHealthtable">
    <w:name w:val="Department of Health table"/>
    <w:basedOn w:val="TableNormal"/>
    <w:uiPriority w:val="99"/>
    <w:rsid w:val="00F40824"/>
    <w:rPr>
      <w:rFonts w:ascii="Arial" w:hAnsi="Arial"/>
      <w:color w:val="000000" w:themeColor="text1"/>
      <w:sz w:val="21"/>
    </w:r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rPr>
        <w:rFonts w:ascii="Arial" w:hAnsi="Arial"/>
        <w:b/>
        <w:sz w:val="21"/>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Boxtype">
    <w:name w:val="Box type"/>
    <w:next w:val="Normal"/>
    <w:qFormat/>
    <w:rsid w:val="00F40824"/>
    <w:pPr>
      <w:pBdr>
        <w:top w:val="single" w:sz="18" w:space="20" w:color="808080" w:themeColor="background1" w:themeShade="80"/>
        <w:left w:val="single" w:sz="18" w:space="10" w:color="808080" w:themeColor="background1" w:themeShade="80"/>
        <w:bottom w:val="single" w:sz="18" w:space="10" w:color="808080" w:themeColor="background1" w:themeShade="80"/>
        <w:right w:val="single" w:sz="18" w:space="10" w:color="808080" w:themeColor="background1" w:themeShade="80"/>
      </w:pBdr>
      <w:spacing w:after="240" w:line="260" w:lineRule="auto"/>
      <w:ind w:left="227" w:right="227"/>
    </w:pPr>
    <w:rPr>
      <w:rFonts w:ascii="Arial" w:hAnsi="Arial" w:cs="Arial"/>
      <w:color w:val="000000" w:themeColor="text1"/>
      <w:sz w:val="21"/>
      <w:szCs w:val="24"/>
      <w:lang w:val="en" w:eastAsia="en-US"/>
    </w:rPr>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styleId="FollowedHyperlink">
    <w:name w:val="FollowedHyperlink"/>
    <w:basedOn w:val="DefaultParagraphFont"/>
    <w:semiHidden/>
    <w:unhideWhenUsed/>
    <w:rsid w:val="00B732AA"/>
    <w:rPr>
      <w:color w:val="800080" w:themeColor="followedHyperlink"/>
      <w:u w:val="single"/>
    </w:rPr>
  </w:style>
  <w:style w:type="paragraph" w:styleId="EndnoteText">
    <w:name w:val="endnote text"/>
    <w:basedOn w:val="Normal"/>
    <w:link w:val="EndnoteTextChar"/>
    <w:uiPriority w:val="99"/>
    <w:semiHidden/>
    <w:rsid w:val="009B4DA3"/>
    <w:pPr>
      <w:spacing w:line="320" w:lineRule="atLeast"/>
    </w:pPr>
    <w:rPr>
      <w:rFonts w:asciiTheme="minorHAnsi" w:hAnsiTheme="minorHAnsi"/>
      <w:color w:val="000000" w:themeColor="text1"/>
      <w:sz w:val="20"/>
      <w:szCs w:val="20"/>
      <w:lang w:eastAsia="en-AU"/>
    </w:rPr>
  </w:style>
  <w:style w:type="character" w:customStyle="1" w:styleId="EndnoteTextChar">
    <w:name w:val="Endnote Text Char"/>
    <w:basedOn w:val="DefaultParagraphFont"/>
    <w:link w:val="EndnoteText"/>
    <w:uiPriority w:val="99"/>
    <w:semiHidden/>
    <w:rsid w:val="009B4DA3"/>
    <w:rPr>
      <w:rFonts w:asciiTheme="minorHAnsi" w:hAnsiTheme="minorHAnsi"/>
      <w:color w:val="000000" w:themeColor="text1"/>
    </w:rPr>
  </w:style>
  <w:style w:type="character" w:styleId="EndnoteReference">
    <w:name w:val="endnote reference"/>
    <w:basedOn w:val="DefaultParagraphFont"/>
    <w:uiPriority w:val="99"/>
    <w:semiHidden/>
    <w:rsid w:val="009B4DA3"/>
    <w:rPr>
      <w:vertAlign w:val="superscript"/>
    </w:rPr>
  </w:style>
  <w:style w:type="character" w:styleId="FootnoteReference">
    <w:name w:val="footnote reference"/>
    <w:basedOn w:val="DefaultParagraphFont"/>
    <w:uiPriority w:val="99"/>
    <w:rsid w:val="00CE07A4"/>
    <w:rPr>
      <w:vertAlign w:val="superscript"/>
    </w:rPr>
  </w:style>
  <w:style w:type="character" w:styleId="CommentReference">
    <w:name w:val="annotation reference"/>
    <w:basedOn w:val="DefaultParagraphFont"/>
    <w:uiPriority w:val="99"/>
    <w:semiHidden/>
    <w:unhideWhenUsed/>
    <w:rsid w:val="00CE07A4"/>
    <w:rPr>
      <w:sz w:val="16"/>
      <w:szCs w:val="16"/>
    </w:rPr>
  </w:style>
  <w:style w:type="table" w:customStyle="1" w:styleId="ListTable3-Accent12">
    <w:name w:val="List Table 3 - Accent 12"/>
    <w:basedOn w:val="TableNormal"/>
    <w:uiPriority w:val="48"/>
    <w:rsid w:val="00E009A1"/>
    <w:rPr>
      <w:rFonts w:asciiTheme="minorHAnsi" w:eastAsiaTheme="minorHAnsi" w:hAnsiTheme="minorHAnsi" w:cstheme="minorBidi"/>
      <w:sz w:val="22"/>
      <w:szCs w:val="22"/>
      <w:lang w:eastAsia="en-US"/>
    </w:rPr>
    <w:tblPr>
      <w:tblStyleRowBandSize w:val="1"/>
      <w:tblStyleColBandSize w:val="1"/>
      <w:tblBorders>
        <w:top w:val="single" w:sz="4" w:space="0" w:color="004052"/>
        <w:left w:val="single" w:sz="4" w:space="0" w:color="004052"/>
        <w:bottom w:val="single" w:sz="4" w:space="0" w:color="004052"/>
        <w:right w:val="single" w:sz="4" w:space="0" w:color="004052"/>
      </w:tblBorders>
    </w:tblPr>
    <w:tblStylePr w:type="firstRow">
      <w:rPr>
        <w:b/>
        <w:bCs/>
        <w:color w:val="FFFFFF" w:themeColor="background1"/>
      </w:rPr>
      <w:tblPr/>
      <w:tcPr>
        <w:shd w:val="clear" w:color="auto" w:fill="3F4A75" w:themeFill="text2"/>
      </w:tcPr>
    </w:tblStylePr>
    <w:tblStylePr w:type="lastRow">
      <w:rPr>
        <w:b/>
        <w:bCs/>
      </w:rPr>
      <w:tblPr/>
      <w:tcPr>
        <w:tcBorders>
          <w:top w:val="double" w:sz="4" w:space="0" w:color="3F4A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styleId="TOCHeading">
    <w:name w:val="TOC Heading"/>
    <w:basedOn w:val="Heading1"/>
    <w:next w:val="Normal"/>
    <w:uiPriority w:val="39"/>
    <w:unhideWhenUsed/>
    <w:qFormat/>
    <w:rsid w:val="00A52C48"/>
    <w:pPr>
      <w:keepLines/>
      <w:spacing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styleId="TOC2">
    <w:name w:val="toc 2"/>
    <w:basedOn w:val="Normal"/>
    <w:next w:val="Normal"/>
    <w:autoRedefine/>
    <w:uiPriority w:val="39"/>
    <w:unhideWhenUsed/>
    <w:rsid w:val="00A52C48"/>
    <w:pPr>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rsid w:val="00A52C48"/>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A52C48"/>
    <w:pPr>
      <w:spacing w:after="100" w:line="259" w:lineRule="auto"/>
      <w:ind w:left="440"/>
    </w:pPr>
    <w:rPr>
      <w:rFonts w:asciiTheme="minorHAnsi" w:eastAsiaTheme="minorEastAsia" w:hAnsiTheme="minorHAnsi"/>
      <w:szCs w:val="22"/>
      <w:lang w:val="en-US"/>
    </w:rPr>
  </w:style>
  <w:style w:type="paragraph" w:styleId="CommentSubject">
    <w:name w:val="annotation subject"/>
    <w:basedOn w:val="Normal"/>
    <w:next w:val="Normal"/>
    <w:link w:val="CommentSubjectChar"/>
    <w:semiHidden/>
    <w:unhideWhenUsed/>
    <w:rsid w:val="005B1409"/>
    <w:pPr>
      <w:spacing w:before="0" w:after="0"/>
    </w:pPr>
    <w:rPr>
      <w:b/>
      <w:bCs/>
      <w:sz w:val="20"/>
      <w:szCs w:val="20"/>
    </w:rPr>
  </w:style>
  <w:style w:type="character" w:customStyle="1" w:styleId="CommentSubjectChar">
    <w:name w:val="Comment Subject Char"/>
    <w:basedOn w:val="DefaultParagraphFont"/>
    <w:link w:val="CommentSubject"/>
    <w:semiHidden/>
    <w:rsid w:val="005B1409"/>
    <w:rPr>
      <w:rFonts w:ascii="Arial" w:hAnsi="Arial"/>
      <w:b/>
      <w:bCs/>
      <w:color w:val="000000" w:themeColor="text1"/>
      <w:lang w:eastAsia="en-US"/>
    </w:rPr>
  </w:style>
  <w:style w:type="paragraph" w:customStyle="1" w:styleId="Whitetext">
    <w:name w:val="White text"/>
    <w:basedOn w:val="Subtitle"/>
    <w:rsid w:val="00784A72"/>
    <w:pPr>
      <w:ind w:right="0"/>
    </w:pPr>
    <w:rPr>
      <w:b w:val="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8574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health.gov.au/opioidprescribing"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racgp.org.au/download/Documents/Guidelines/Addictive-drugs/Addictive-drugs-guide-C1.pdf" TargetMode="External"/><Relationship Id="rId3" Type="http://schemas.openxmlformats.org/officeDocument/2006/relationships/hyperlink" Target="https://www.bi.team/wp-content/uploads/2015/07/BIT-Publication-EAST_FA_WEB.pdf" TargetMode="External"/><Relationship Id="rId7" Type="http://schemas.openxmlformats.org/officeDocument/2006/relationships/hyperlink" Target="https://www.racgp.org.au/download/Documents/Guidelines/Addictive-drugs/Addictive-drugs-guide-C1.pdf" TargetMode="External"/><Relationship Id="rId2" Type="http://schemas.openxmlformats.org/officeDocument/2006/relationships/hyperlink" Target="https://www.instituteforgovernment.org.uk/sites/default/files/publications/MINDSPACE.pdf" TargetMode="External"/><Relationship Id="rId1" Type="http://schemas.openxmlformats.org/officeDocument/2006/relationships/hyperlink" Target="https://www.racgp.org.au/download/Documents/Guidelines/Addictive-drugs/Addictive-drugs-guide-C1.pdf" TargetMode="External"/><Relationship Id="rId6" Type="http://schemas.openxmlformats.org/officeDocument/2006/relationships/hyperlink" Target="https://www.racgp.org.au/download/Documents/Guidelines/Addictive-drugs/Addictive-drugs-guide-C1.pdf" TargetMode="External"/><Relationship Id="rId5" Type="http://schemas.openxmlformats.org/officeDocument/2006/relationships/hyperlink" Target="https://www.aihw.gov.au/reports/illicit-use-of-drugs/opioid-harm-in-australia/data" TargetMode="External"/><Relationship Id="rId4" Type="http://schemas.openxmlformats.org/officeDocument/2006/relationships/hyperlink" Target="https://www1.health.gov.au/internet/main/publishing.nsf/Content/Nudge-vs-Superbugs-behavioural-economics-trial-to-reduce-overprescribing-antibiotics-June-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AE5D55D2855249BDE6284DECF3A812" ma:contentTypeVersion="1" ma:contentTypeDescription="Create a new document." ma:contentTypeScope="" ma:versionID="9f8c2a13d8772c794cad9e180fc8884a">
  <xsd:schema xmlns:xsd="http://www.w3.org/2001/XMLSchema" xmlns:xs="http://www.w3.org/2001/XMLSchema" xmlns:p="http://schemas.microsoft.com/office/2006/metadata/properties" xmlns:ns1="http://schemas.microsoft.com/sharepoint/v3" targetNamespace="http://schemas.microsoft.com/office/2006/metadata/properties" ma:root="true" ma:fieldsID="7a905017a9aa3b0c875ea481d4b6b51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241B40C-D5D9-457F-90FF-A580287AF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F3BDE6-CF7D-44D6-855E-449F9A5EF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19</Pages>
  <Words>3509</Words>
  <Characters>21532</Characters>
  <Application>Microsoft Office Word</Application>
  <DocSecurity>0</DocSecurity>
  <Lines>179</Lines>
  <Paragraphs>49</Paragraphs>
  <ScaleCrop>false</ScaleCrop>
  <HeadingPairs>
    <vt:vector size="2" baseType="variant">
      <vt:variant>
        <vt:lpstr>Title</vt:lpstr>
      </vt:variant>
      <vt:variant>
        <vt:i4>1</vt:i4>
      </vt:variant>
    </vt:vector>
  </HeadingPairs>
  <TitlesOfParts>
    <vt:vector size="1" baseType="lpstr">
      <vt:lpstr>Opioid Prescribing Practices Report</vt:lpstr>
    </vt:vector>
  </TitlesOfParts>
  <Company/>
  <LinksUpToDate>false</LinksUpToDate>
  <CharactersWithSpaces>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Opioid Prescribing Practices Report</dc:title>
  <dc:subject>Medicines</dc:subject>
  <dc:creator>Australian Government Department of Health</dc:creator>
  <cp:keywords>Opioids, Prescribing, GPs, Behavioural Insights, Randomised Controlled Trial</cp:keywords>
  <cp:lastModifiedBy>HENDERSON, Cristy</cp:lastModifiedBy>
  <cp:revision>26</cp:revision>
  <dcterms:created xsi:type="dcterms:W3CDTF">2021-03-29T03:14:00Z</dcterms:created>
  <dcterms:modified xsi:type="dcterms:W3CDTF">2021-04-13T01:12:00Z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0x010100A6AE5D55D2855249BDE6284DECF3A812</vt:lpwstr>
  </property>
</Properties>
</file>