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9" w:rsidRPr="00995B81" w:rsidRDefault="000D52D9" w:rsidP="00995B81">
      <w:pPr>
        <w:pStyle w:val="Title"/>
      </w:pPr>
      <w:r w:rsidRPr="00995B81">
        <w:t>COMMUNIQUE</w:t>
      </w:r>
    </w:p>
    <w:p w:rsidR="00344D79" w:rsidRPr="00995B81" w:rsidRDefault="00E06EC3" w:rsidP="00995B81">
      <w:pPr>
        <w:pStyle w:val="Subtitle"/>
      </w:pPr>
      <w:r w:rsidRPr="00995B81">
        <w:t>NATIONAL PREVENTIVE HEALTH STRATEGY:</w:t>
      </w:r>
      <w:r w:rsidR="003279E3" w:rsidRPr="00995B81">
        <w:t xml:space="preserve"> EXPERT STEERING COMMITTEE</w:t>
      </w:r>
      <w:r w:rsidRPr="00995B81">
        <w:t xml:space="preserve"> </w:t>
      </w:r>
      <w:r w:rsidR="00D525AC">
        <w:t xml:space="preserve">MEETING </w:t>
      </w:r>
      <w:r w:rsidR="00093073">
        <w:t>28 NOV</w:t>
      </w:r>
      <w:r w:rsidRPr="00995B81">
        <w:t xml:space="preserve"> 2019</w:t>
      </w:r>
    </w:p>
    <w:p w:rsidR="00344D79" w:rsidRDefault="00344D79" w:rsidP="00995B81">
      <w:r w:rsidRPr="00344D79">
        <w:t>The Minister for Health</w:t>
      </w:r>
      <w:r w:rsidR="000D52D9">
        <w:t>, the Hon Greg Hunt MP,</w:t>
      </w:r>
      <w:r w:rsidRPr="00344D79">
        <w:t xml:space="preserve"> has committed to the development of a National Preventive Health Strategy</w:t>
      </w:r>
      <w:r w:rsidR="0082363B">
        <w:t xml:space="preserve"> (the Strategy)</w:t>
      </w:r>
      <w:r w:rsidRPr="00344D79">
        <w:t>.</w:t>
      </w:r>
      <w:r w:rsidR="00443312">
        <w:t xml:space="preserve"> </w:t>
      </w:r>
      <w:r w:rsidR="00443312" w:rsidRPr="004A096A">
        <w:t xml:space="preserve">Individuals with relevant expertise have been appointed to an Expert </w:t>
      </w:r>
      <w:r w:rsidR="00EC533B" w:rsidRPr="004A096A">
        <w:t xml:space="preserve">Steering </w:t>
      </w:r>
      <w:r w:rsidR="00443312" w:rsidRPr="004A096A">
        <w:t>Committee</w:t>
      </w:r>
      <w:r w:rsidR="00BE6BE0">
        <w:t xml:space="preserve"> (the Committee)</w:t>
      </w:r>
      <w:r w:rsidR="00443312" w:rsidRPr="004A096A">
        <w:t xml:space="preserve"> which will provide advice </w:t>
      </w:r>
      <w:r w:rsidR="000D52D9">
        <w:t>on</w:t>
      </w:r>
      <w:r w:rsidR="00443312" w:rsidRPr="004A096A">
        <w:t xml:space="preserve"> the development of the Strategy.</w:t>
      </w:r>
    </w:p>
    <w:p w:rsidR="00EC533B" w:rsidRDefault="00EC533B" w:rsidP="00995B81">
      <w:r>
        <w:t xml:space="preserve">The Committee is chaired by </w:t>
      </w:r>
      <w:r w:rsidR="00C11DAA">
        <w:t xml:space="preserve">Dr </w:t>
      </w:r>
      <w:r>
        <w:t xml:space="preserve">Lisa Studdert, </w:t>
      </w:r>
      <w:r w:rsidR="00C11DAA">
        <w:t xml:space="preserve">Deputy Secretary, </w:t>
      </w:r>
      <w:r>
        <w:t>Department of Health, and includes experts across the public health, research, health promotion</w:t>
      </w:r>
      <w:r w:rsidR="0082363B">
        <w:t>, medical, allied health</w:t>
      </w:r>
      <w:r w:rsidR="00995B81">
        <w:t xml:space="preserve"> and nursing fields.</w:t>
      </w:r>
    </w:p>
    <w:p w:rsidR="00344D79" w:rsidRDefault="00344D79" w:rsidP="00995B81">
      <w:r>
        <w:t xml:space="preserve">The </w:t>
      </w:r>
      <w:r w:rsidR="00093073">
        <w:t>second</w:t>
      </w:r>
      <w:r w:rsidR="00397A9E">
        <w:t xml:space="preserve"> meeting of the Committee was held on the 2</w:t>
      </w:r>
      <w:r w:rsidR="00093073">
        <w:t>8 November</w:t>
      </w:r>
      <w:r w:rsidR="00EC533B">
        <w:t xml:space="preserve"> 2019 in </w:t>
      </w:r>
      <w:r w:rsidR="00093073">
        <w:t xml:space="preserve">Sydney. A key focus of the meeting was to consider the input received during the </w:t>
      </w:r>
      <w:r w:rsidR="007101F2">
        <w:t xml:space="preserve">six </w:t>
      </w:r>
      <w:r w:rsidR="00093073">
        <w:t>consu</w:t>
      </w:r>
      <w:bookmarkStart w:id="0" w:name="_GoBack"/>
      <w:bookmarkEnd w:id="0"/>
      <w:r w:rsidR="00093073">
        <w:t>ltation sessions that had been undertaken with key stakeholders during October and November.</w:t>
      </w:r>
    </w:p>
    <w:p w:rsidR="00093073" w:rsidRPr="00344D79" w:rsidRDefault="00093073" w:rsidP="00995B81"/>
    <w:p w:rsidR="00344D79" w:rsidRPr="00995B81" w:rsidRDefault="006418F5" w:rsidP="00995B81">
      <w:pPr>
        <w:pStyle w:val="Heading1"/>
      </w:pPr>
      <w:r w:rsidRPr="00995B81">
        <w:t xml:space="preserve">ROUNDTABLE </w:t>
      </w:r>
      <w:r w:rsidR="00344D79" w:rsidRPr="00995B81">
        <w:t>CONSIDERATIONS</w:t>
      </w:r>
    </w:p>
    <w:p w:rsidR="004E2C4E" w:rsidRDefault="00A27A1F" w:rsidP="00995B81">
      <w:r>
        <w:t>The Committee considered and further discussed the key points that were raised at each of the consultation workshops held to date.</w:t>
      </w:r>
    </w:p>
    <w:p w:rsidR="00596294" w:rsidRDefault="00596294" w:rsidP="00995B81">
      <w:r w:rsidRPr="00344D79">
        <w:t>Th</w:t>
      </w:r>
      <w:r w:rsidR="004846DB">
        <w:t xml:space="preserve">roughout the consultation sessions there was strong support for the Strategy to be </w:t>
      </w:r>
      <w:r w:rsidR="007A050A">
        <w:t xml:space="preserve">a </w:t>
      </w:r>
      <w:r w:rsidR="004846DB">
        <w:t>‘c</w:t>
      </w:r>
      <w:r w:rsidRPr="00344D79">
        <w:t>apstone’ strategy</w:t>
      </w:r>
      <w:r w:rsidR="004846DB">
        <w:t>, enabl</w:t>
      </w:r>
      <w:r w:rsidR="00A27A1F">
        <w:t>ing</w:t>
      </w:r>
      <w:r w:rsidR="004846DB">
        <w:t xml:space="preserve"> and buil</w:t>
      </w:r>
      <w:r w:rsidR="00A27A1F">
        <w:t>ding</w:t>
      </w:r>
      <w:r w:rsidR="004846DB">
        <w:t xml:space="preserve"> on </w:t>
      </w:r>
      <w:r w:rsidRPr="00344D79">
        <w:t>related plans and strategies that have either recently been</w:t>
      </w:r>
      <w:r>
        <w:t xml:space="preserve"> or are </w:t>
      </w:r>
      <w:r w:rsidR="008C40BF">
        <w:t xml:space="preserve">currently </w:t>
      </w:r>
      <w:r>
        <w:t xml:space="preserve">being </w:t>
      </w:r>
      <w:r w:rsidRPr="00344D79">
        <w:t>developed</w:t>
      </w:r>
      <w:r w:rsidR="004846DB">
        <w:t xml:space="preserve">.  </w:t>
      </w:r>
    </w:p>
    <w:p w:rsidR="004846DB" w:rsidRDefault="006F2C24" w:rsidP="00995B81">
      <w:r>
        <w:t xml:space="preserve">The Committee considered several examples of successful prevention efforts in Australia, with a particular focus on tobacco control, random breath testing and the response to HIV.  </w:t>
      </w:r>
    </w:p>
    <w:p w:rsidR="00344D79" w:rsidRPr="00344D79" w:rsidRDefault="006F2C24" w:rsidP="00995B81">
      <w:r>
        <w:t>Some of t</w:t>
      </w:r>
      <w:r w:rsidR="004846DB">
        <w:t xml:space="preserve">he </w:t>
      </w:r>
      <w:r>
        <w:t xml:space="preserve">themes emerging from the discussion at the </w:t>
      </w:r>
      <w:r w:rsidR="004846DB">
        <w:t xml:space="preserve">Committee </w:t>
      </w:r>
      <w:r>
        <w:t>meeting were</w:t>
      </w:r>
      <w:r w:rsidR="003C5DB5">
        <w:t xml:space="preserve">: </w:t>
      </w:r>
    </w:p>
    <w:p w:rsidR="00A27A1F" w:rsidRDefault="00A27A1F" w:rsidP="00995B81">
      <w:pPr>
        <w:pStyle w:val="ListParagraph"/>
        <w:numPr>
          <w:ilvl w:val="0"/>
          <w:numId w:val="20"/>
        </w:numPr>
      </w:pPr>
      <w:r>
        <w:t>The positive and strong interest that has been shown by stakeholders in relation to a long term strategy for prevention</w:t>
      </w:r>
      <w:r w:rsidR="00410EB5">
        <w:t>.</w:t>
      </w:r>
    </w:p>
    <w:p w:rsidR="00A27A1F" w:rsidRDefault="00A27A1F" w:rsidP="00995B81">
      <w:pPr>
        <w:pStyle w:val="ListParagraph"/>
        <w:numPr>
          <w:ilvl w:val="0"/>
          <w:numId w:val="20"/>
        </w:numPr>
      </w:pPr>
      <w:r>
        <w:t>The importance of governance and monitoring to support the delivery of the Strategy.</w:t>
      </w:r>
    </w:p>
    <w:p w:rsidR="00B4125F" w:rsidRDefault="008C40BF" w:rsidP="001132DC">
      <w:pPr>
        <w:pStyle w:val="ListParagraph"/>
        <w:numPr>
          <w:ilvl w:val="0"/>
          <w:numId w:val="20"/>
        </w:numPr>
      </w:pPr>
      <w:r>
        <w:t>The</w:t>
      </w:r>
      <w:r w:rsidR="00731BD0">
        <w:t xml:space="preserve"> need to</w:t>
      </w:r>
      <w:r w:rsidR="006F2C24">
        <w:t xml:space="preserve"> focus on </w:t>
      </w:r>
      <w:r w:rsidR="007101F2">
        <w:t>equity</w:t>
      </w:r>
      <w:r w:rsidR="006F2C24">
        <w:t xml:space="preserve"> and populations that </w:t>
      </w:r>
      <w:r w:rsidR="005D137E">
        <w:t>experience</w:t>
      </w:r>
      <w:r w:rsidR="00B4125F">
        <w:t xml:space="preserve"> poor</w:t>
      </w:r>
      <w:r w:rsidR="00A27A1F">
        <w:t>er</w:t>
      </w:r>
      <w:r w:rsidR="00B4125F">
        <w:t xml:space="preserve"> health outcomes</w:t>
      </w:r>
      <w:r w:rsidR="00410EB5">
        <w:t>.</w:t>
      </w:r>
    </w:p>
    <w:p w:rsidR="003C5DB5" w:rsidRDefault="00410EB5" w:rsidP="00995B81">
      <w:pPr>
        <w:pStyle w:val="ListParagraph"/>
        <w:numPr>
          <w:ilvl w:val="0"/>
          <w:numId w:val="20"/>
        </w:numPr>
      </w:pPr>
      <w:r>
        <w:t>The importance of</w:t>
      </w:r>
      <w:r w:rsidR="00A27A1F">
        <w:t xml:space="preserve"> understand</w:t>
      </w:r>
      <w:r>
        <w:t>ing</w:t>
      </w:r>
      <w:r w:rsidR="00A27A1F">
        <w:t xml:space="preserve"> and f</w:t>
      </w:r>
      <w:r w:rsidR="00B4125F">
        <w:t>ocuss</w:t>
      </w:r>
      <w:r>
        <w:t xml:space="preserve">ing </w:t>
      </w:r>
      <w:r w:rsidR="00B4125F">
        <w:t>on ‘best-buys’ in prevention</w:t>
      </w:r>
      <w:r w:rsidR="00A27A1F">
        <w:t>,</w:t>
      </w:r>
      <w:r>
        <w:t xml:space="preserve"> </w:t>
      </w:r>
      <w:r w:rsidR="00B4125F">
        <w:t>scaling-up</w:t>
      </w:r>
      <w:r w:rsidR="00A27A1F">
        <w:t xml:space="preserve"> opportunities</w:t>
      </w:r>
      <w:r w:rsidR="00B4125F">
        <w:t xml:space="preserve"> and implementing effective approaches</w:t>
      </w:r>
      <w:r w:rsidR="00A27A1F">
        <w:t>.</w:t>
      </w:r>
      <w:r w:rsidR="00B4125F">
        <w:t xml:space="preserve"> </w:t>
      </w:r>
    </w:p>
    <w:p w:rsidR="00731BD0" w:rsidRDefault="008C40BF" w:rsidP="00731BD0">
      <w:pPr>
        <w:pStyle w:val="ListParagraph"/>
        <w:numPr>
          <w:ilvl w:val="0"/>
          <w:numId w:val="20"/>
        </w:numPr>
      </w:pPr>
      <w:r>
        <w:t>Developing both short and long-term actions for progress is required.</w:t>
      </w:r>
    </w:p>
    <w:p w:rsidR="00410EB5" w:rsidRDefault="00410EB5" w:rsidP="00731BD0">
      <w:pPr>
        <w:pStyle w:val="ListParagraph"/>
        <w:numPr>
          <w:ilvl w:val="0"/>
          <w:numId w:val="20"/>
        </w:numPr>
      </w:pPr>
      <w:r>
        <w:t xml:space="preserve">The importance of sustained effort </w:t>
      </w:r>
    </w:p>
    <w:p w:rsidR="00731BD0" w:rsidRDefault="00410EB5" w:rsidP="00731BD0">
      <w:pPr>
        <w:pStyle w:val="ListParagraph"/>
        <w:numPr>
          <w:ilvl w:val="0"/>
          <w:numId w:val="20"/>
        </w:numPr>
      </w:pPr>
      <w:r>
        <w:t>E</w:t>
      </w:r>
      <w:r w:rsidR="008C40BF">
        <w:t>xplor</w:t>
      </w:r>
      <w:r w:rsidR="00175211">
        <w:t>ing</w:t>
      </w:r>
      <w:r w:rsidR="00731BD0">
        <w:t xml:space="preserve"> targets </w:t>
      </w:r>
      <w:r w:rsidR="008C40BF">
        <w:t xml:space="preserve">across whole-of-life. </w:t>
      </w:r>
    </w:p>
    <w:p w:rsidR="003C5DB5" w:rsidRPr="00995B81" w:rsidRDefault="003C5DB5" w:rsidP="00995B81">
      <w:pPr>
        <w:pStyle w:val="Heading1"/>
      </w:pPr>
      <w:r w:rsidRPr="00995B81">
        <w:t>NEXT STEPS</w:t>
      </w:r>
    </w:p>
    <w:p w:rsidR="005C6775" w:rsidRPr="00995B81" w:rsidRDefault="005C6775" w:rsidP="00995B81">
      <w:r w:rsidRPr="00995B81">
        <w:t>The following next steps were agreed:</w:t>
      </w:r>
    </w:p>
    <w:p w:rsidR="005C6775" w:rsidRPr="00995B81" w:rsidRDefault="00093073" w:rsidP="00995B81">
      <w:pPr>
        <w:pStyle w:val="ListParagraph"/>
        <w:numPr>
          <w:ilvl w:val="0"/>
          <w:numId w:val="21"/>
        </w:numPr>
      </w:pPr>
      <w:r>
        <w:t>Further</w:t>
      </w:r>
      <w:r w:rsidR="00E90DAF" w:rsidRPr="00995B81">
        <w:t xml:space="preserve"> consultations will be held during </w:t>
      </w:r>
      <w:r>
        <w:t>December and in early 2020</w:t>
      </w:r>
      <w:r w:rsidR="004846DB">
        <w:t xml:space="preserve">. </w:t>
      </w:r>
    </w:p>
    <w:p w:rsidR="00E90DAF" w:rsidRPr="00995B81" w:rsidRDefault="00E90DAF" w:rsidP="00995B81">
      <w:pPr>
        <w:pStyle w:val="ListParagraph"/>
        <w:numPr>
          <w:ilvl w:val="0"/>
          <w:numId w:val="21"/>
        </w:numPr>
      </w:pPr>
      <w:r w:rsidRPr="00995B81">
        <w:t xml:space="preserve">The Committee will meet again </w:t>
      </w:r>
      <w:r w:rsidR="00410EB5">
        <w:t>early 2020</w:t>
      </w:r>
      <w:r w:rsidR="00093073">
        <w:t xml:space="preserve"> </w:t>
      </w:r>
      <w:r w:rsidRPr="00995B81">
        <w:t>to consider the outcomes of the</w:t>
      </w:r>
      <w:r w:rsidR="00093073">
        <w:t xml:space="preserve">se </w:t>
      </w:r>
      <w:r w:rsidRPr="00995B81">
        <w:t>consultations</w:t>
      </w:r>
      <w:r w:rsidR="005D137E">
        <w:t xml:space="preserve"> and further progress the development of the strategy</w:t>
      </w:r>
      <w:r w:rsidR="00B248D5">
        <w:t>.</w:t>
      </w:r>
    </w:p>
    <w:p w:rsidR="005C6775" w:rsidRPr="00995B81" w:rsidRDefault="00093073" w:rsidP="00995B81">
      <w:pPr>
        <w:pStyle w:val="ListParagraph"/>
        <w:numPr>
          <w:ilvl w:val="0"/>
          <w:numId w:val="21"/>
        </w:numPr>
      </w:pPr>
      <w:r>
        <w:t>P</w:t>
      </w:r>
      <w:r w:rsidR="00E90DAF" w:rsidRPr="00995B81">
        <w:t xml:space="preserve">ublic consultation </w:t>
      </w:r>
      <w:r>
        <w:t>will commence in early</w:t>
      </w:r>
      <w:r w:rsidR="0037341D" w:rsidRPr="00995B81">
        <w:t xml:space="preserve"> 2020</w:t>
      </w:r>
      <w:r w:rsidR="00B248D5">
        <w:t>.</w:t>
      </w:r>
    </w:p>
    <w:sectPr w:rsidR="005C6775" w:rsidRPr="00995B81" w:rsidSect="0030170C">
      <w:footerReference w:type="even" r:id="rId11"/>
      <w:pgSz w:w="11906" w:h="16838" w:code="9"/>
      <w:pgMar w:top="1276" w:right="1418" w:bottom="1418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D" w:rsidRDefault="004843BD" w:rsidP="0003790E">
      <w:r>
        <w:separator/>
      </w:r>
    </w:p>
  </w:endnote>
  <w:endnote w:type="continuationSeparator" w:id="0">
    <w:p w:rsidR="004843BD" w:rsidRDefault="004843BD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5F325C">
      <w:rPr>
        <w:noProof/>
      </w:rPr>
      <w:t>National Preventive Health Strategy - November 2019 Communique (2)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D" w:rsidRDefault="004843BD" w:rsidP="0003790E">
      <w:r>
        <w:separator/>
      </w:r>
    </w:p>
  </w:footnote>
  <w:footnote w:type="continuationSeparator" w:id="0">
    <w:p w:rsidR="004843BD" w:rsidRDefault="004843BD" w:rsidP="000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9"/>
    <w:rsid w:val="000057A7"/>
    <w:rsid w:val="0003790E"/>
    <w:rsid w:val="0005483F"/>
    <w:rsid w:val="00057F67"/>
    <w:rsid w:val="00093073"/>
    <w:rsid w:val="000A65B4"/>
    <w:rsid w:val="000D0031"/>
    <w:rsid w:val="000D4430"/>
    <w:rsid w:val="000D52D9"/>
    <w:rsid w:val="00146FA5"/>
    <w:rsid w:val="00175211"/>
    <w:rsid w:val="00180854"/>
    <w:rsid w:val="001A058A"/>
    <w:rsid w:val="001C4AAB"/>
    <w:rsid w:val="001C61E5"/>
    <w:rsid w:val="00221658"/>
    <w:rsid w:val="002361AE"/>
    <w:rsid w:val="0030170C"/>
    <w:rsid w:val="00306F0D"/>
    <w:rsid w:val="00316248"/>
    <w:rsid w:val="00322C1D"/>
    <w:rsid w:val="003279E3"/>
    <w:rsid w:val="00344D79"/>
    <w:rsid w:val="0037341D"/>
    <w:rsid w:val="00380A39"/>
    <w:rsid w:val="0039054D"/>
    <w:rsid w:val="00397A9E"/>
    <w:rsid w:val="003C13BE"/>
    <w:rsid w:val="003C5DB5"/>
    <w:rsid w:val="003D49F5"/>
    <w:rsid w:val="00410EB5"/>
    <w:rsid w:val="00443312"/>
    <w:rsid w:val="00456AF8"/>
    <w:rsid w:val="004843BD"/>
    <w:rsid w:val="004846DB"/>
    <w:rsid w:val="00486D91"/>
    <w:rsid w:val="004A096A"/>
    <w:rsid w:val="004B0D5E"/>
    <w:rsid w:val="004E2C4E"/>
    <w:rsid w:val="0056796F"/>
    <w:rsid w:val="005879B6"/>
    <w:rsid w:val="00596294"/>
    <w:rsid w:val="005C6775"/>
    <w:rsid w:val="005D137E"/>
    <w:rsid w:val="005E5B80"/>
    <w:rsid w:val="005F325C"/>
    <w:rsid w:val="006418F5"/>
    <w:rsid w:val="006609C3"/>
    <w:rsid w:val="00681786"/>
    <w:rsid w:val="006E4B4E"/>
    <w:rsid w:val="006F2C24"/>
    <w:rsid w:val="006F608A"/>
    <w:rsid w:val="007101F2"/>
    <w:rsid w:val="00731BD0"/>
    <w:rsid w:val="00743D3B"/>
    <w:rsid w:val="00747F9A"/>
    <w:rsid w:val="007A050A"/>
    <w:rsid w:val="0082363B"/>
    <w:rsid w:val="00836E1D"/>
    <w:rsid w:val="0084275E"/>
    <w:rsid w:val="008464B7"/>
    <w:rsid w:val="008B1D5B"/>
    <w:rsid w:val="008B2F8D"/>
    <w:rsid w:val="008B530F"/>
    <w:rsid w:val="008C1293"/>
    <w:rsid w:val="008C40BF"/>
    <w:rsid w:val="008F49AA"/>
    <w:rsid w:val="009653DC"/>
    <w:rsid w:val="00995B81"/>
    <w:rsid w:val="009A30F1"/>
    <w:rsid w:val="009B1D48"/>
    <w:rsid w:val="00A116CC"/>
    <w:rsid w:val="00A27A1F"/>
    <w:rsid w:val="00A90A1E"/>
    <w:rsid w:val="00AB1107"/>
    <w:rsid w:val="00AC4876"/>
    <w:rsid w:val="00B248D5"/>
    <w:rsid w:val="00B4125F"/>
    <w:rsid w:val="00B63B85"/>
    <w:rsid w:val="00B63CD8"/>
    <w:rsid w:val="00B7431F"/>
    <w:rsid w:val="00B91D35"/>
    <w:rsid w:val="00BB1CB4"/>
    <w:rsid w:val="00BB344C"/>
    <w:rsid w:val="00BB6385"/>
    <w:rsid w:val="00BB7550"/>
    <w:rsid w:val="00BE6BE0"/>
    <w:rsid w:val="00C11DAA"/>
    <w:rsid w:val="00C318F8"/>
    <w:rsid w:val="00C47B80"/>
    <w:rsid w:val="00C91EC3"/>
    <w:rsid w:val="00D03779"/>
    <w:rsid w:val="00D1414B"/>
    <w:rsid w:val="00D36F29"/>
    <w:rsid w:val="00D50302"/>
    <w:rsid w:val="00D525AC"/>
    <w:rsid w:val="00D83527"/>
    <w:rsid w:val="00D955F2"/>
    <w:rsid w:val="00E06EC3"/>
    <w:rsid w:val="00E15A23"/>
    <w:rsid w:val="00E36EFB"/>
    <w:rsid w:val="00E45BE2"/>
    <w:rsid w:val="00E5600F"/>
    <w:rsid w:val="00E61589"/>
    <w:rsid w:val="00E61786"/>
    <w:rsid w:val="00E90DAF"/>
    <w:rsid w:val="00E97BDC"/>
    <w:rsid w:val="00EC533B"/>
    <w:rsid w:val="00EE7CF8"/>
    <w:rsid w:val="00EF2EBE"/>
    <w:rsid w:val="00F840EC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47862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basedOn w:val="ListBullet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1A541-D6BF-4CCF-85B3-ACDDE55A8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35486-68CB-4EB5-9475-9EE177A3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ADDERLEY, Marijke</cp:lastModifiedBy>
  <cp:revision>5</cp:revision>
  <cp:lastPrinted>2019-12-05T23:15:00Z</cp:lastPrinted>
  <dcterms:created xsi:type="dcterms:W3CDTF">2019-12-10T00:17:00Z</dcterms:created>
  <dcterms:modified xsi:type="dcterms:W3CDTF">2019-12-11T23:50:00Z</dcterms:modified>
  <cp:category>National Preventive Health Strategy</cp:category>
</cp:coreProperties>
</file>