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22" w:rsidRPr="009B1CEC" w:rsidRDefault="00735722" w:rsidP="00735722">
      <w:pPr>
        <w:pStyle w:val="Title"/>
        <w:rPr>
          <w:rFonts w:ascii="Segoe UI" w:hAnsi="Segoe UI" w:cs="Segoe UI"/>
        </w:rPr>
      </w:pPr>
      <w:bookmarkStart w:id="0" w:name="_GoBack"/>
      <w:bookmarkEnd w:id="0"/>
      <w:r w:rsidRPr="009B1CEC">
        <w:rPr>
          <w:rFonts w:ascii="Segoe UI" w:hAnsi="Segoe UI" w:cs="Segoe UI"/>
        </w:rPr>
        <w:t>COMMUNIQUE</w:t>
      </w:r>
    </w:p>
    <w:p w:rsidR="00735722" w:rsidRPr="009B1CEC" w:rsidRDefault="00735722" w:rsidP="00735722">
      <w:pPr>
        <w:pStyle w:val="Subtitle"/>
        <w:rPr>
          <w:rFonts w:ascii="Segoe UI" w:hAnsi="Segoe UI" w:cs="Segoe UI"/>
        </w:rPr>
      </w:pPr>
      <w:r w:rsidRPr="009B1CEC">
        <w:rPr>
          <w:rFonts w:ascii="Segoe UI" w:hAnsi="Segoe UI" w:cs="Segoe UI"/>
        </w:rPr>
        <w:t>NATIONAL PREVENTIVE HEALTH STRATEGY</w:t>
      </w:r>
    </w:p>
    <w:p w:rsidR="00735722" w:rsidRPr="009B1CEC" w:rsidRDefault="00735722" w:rsidP="00735722">
      <w:pPr>
        <w:pStyle w:val="Subtitle"/>
        <w:rPr>
          <w:rFonts w:ascii="Segoe UI" w:hAnsi="Segoe UI" w:cs="Segoe UI"/>
        </w:rPr>
      </w:pPr>
      <w:r w:rsidRPr="009B1CEC">
        <w:rPr>
          <w:rFonts w:ascii="Segoe UI" w:hAnsi="Segoe UI" w:cs="Segoe UI"/>
        </w:rPr>
        <w:t xml:space="preserve">RURAL AND REMOTE </w:t>
      </w:r>
      <w:r w:rsidR="00B8500E" w:rsidRPr="009B1CEC">
        <w:rPr>
          <w:rFonts w:ascii="Segoe UI" w:hAnsi="Segoe UI" w:cs="Segoe UI"/>
        </w:rPr>
        <w:t>ROUNDTABLE</w:t>
      </w:r>
      <w:r w:rsidRPr="009B1CEC">
        <w:rPr>
          <w:rFonts w:ascii="Segoe UI" w:hAnsi="Segoe UI" w:cs="Segoe UI"/>
        </w:rPr>
        <w:t>: 19 DECEMBER 2019</w:t>
      </w:r>
    </w:p>
    <w:p w:rsidR="00735722" w:rsidRPr="009B1CEC" w:rsidRDefault="00735722" w:rsidP="00735722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Minister for Health, the Hon Greg Hunt MP, has committed to the development of a National Preventive Health Strategy (the Strategy). It is intended that the Strategy provide a long-term vision for improving the health of all Australians and that it stimulates a systemic shift to achieve a better balance between treatment and prevention. It will be a national strategy that includes primary and secondary prevention, and it will not have a disease-specific approach.  The Strategy will be underpinned by the strongest research available.</w:t>
      </w:r>
    </w:p>
    <w:p w:rsidR="00B8500E" w:rsidRPr="009B1CEC" w:rsidRDefault="00735722" w:rsidP="00735722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An Expert Steering Committee has been appointed to provide advice on the development of the Strategy, with the first meeting held on 26 September 2019 and a second meeting was held on 28 November 2019. </w:t>
      </w:r>
    </w:p>
    <w:p w:rsidR="00735722" w:rsidRPr="009B1CEC" w:rsidRDefault="00735722" w:rsidP="00735722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Broad consultation is integral to the development of the Strategy and the views of public health groups, key stakeholders and consumers will be represented in the Strategy.</w:t>
      </w:r>
      <w:r w:rsidR="00B8500E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 series of consultations are being held </w:t>
      </w:r>
      <w:r w:rsidR="00B8500E" w:rsidRPr="009B1CEC">
        <w:rPr>
          <w:rFonts w:ascii="Segoe UI" w:eastAsiaTheme="minorEastAsia" w:hAnsi="Segoe UI" w:cs="Segoe UI"/>
          <w:sz w:val="20"/>
          <w:szCs w:val="22"/>
          <w:lang w:eastAsia="en-GB"/>
        </w:rPr>
        <w:t>between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November</w:t>
      </w:r>
      <w:r w:rsidR="00B8500E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December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. </w:t>
      </w:r>
    </w:p>
    <w:p w:rsidR="006B0E0B" w:rsidRDefault="00C90E14" w:rsidP="00B8500E">
      <w:pPr>
        <w:pStyle w:val="Heading1"/>
        <w:rPr>
          <w:rFonts w:ascii="Segoe UI" w:hAnsi="Segoe UI" w:cs="Segoe UI"/>
          <w:sz w:val="20"/>
          <w:szCs w:val="22"/>
        </w:rPr>
      </w:pPr>
      <w:r w:rsidRPr="009B1CEC">
        <w:rPr>
          <w:rFonts w:ascii="Segoe UI" w:hAnsi="Segoe UI" w:cs="Segoe UI"/>
          <w:b w:val="0"/>
          <w:color w:val="auto"/>
          <w:sz w:val="20"/>
          <w:szCs w:val="22"/>
        </w:rPr>
        <w:t>The Department of Health convened a Rural and Remote Heal</w:t>
      </w:r>
      <w:r w:rsidR="00A93015" w:rsidRPr="009B1CEC">
        <w:rPr>
          <w:rFonts w:ascii="Segoe UI" w:hAnsi="Segoe UI" w:cs="Segoe UI"/>
          <w:b w:val="0"/>
          <w:color w:val="auto"/>
          <w:sz w:val="20"/>
          <w:szCs w:val="22"/>
        </w:rPr>
        <w:t>th Roundtable in Adelaide</w:t>
      </w:r>
      <w:r w:rsidR="006B0E0B">
        <w:rPr>
          <w:rFonts w:ascii="Segoe UI" w:hAnsi="Segoe UI" w:cs="Segoe UI"/>
          <w:b w:val="0"/>
          <w:color w:val="auto"/>
          <w:sz w:val="20"/>
          <w:szCs w:val="22"/>
        </w:rPr>
        <w:t xml:space="preserve"> </w:t>
      </w:r>
      <w:r w:rsidRPr="009B1CEC">
        <w:rPr>
          <w:rFonts w:ascii="Segoe UI" w:hAnsi="Segoe UI" w:cs="Segoe UI"/>
          <w:b w:val="0"/>
          <w:color w:val="auto"/>
          <w:sz w:val="20"/>
          <w:szCs w:val="22"/>
        </w:rPr>
        <w:t xml:space="preserve">as part of the development of the </w:t>
      </w:r>
      <w:r w:rsidRPr="009B1CEC">
        <w:rPr>
          <w:rFonts w:ascii="Segoe UI" w:hAnsi="Segoe UI" w:cs="Segoe UI"/>
          <w:color w:val="auto"/>
          <w:sz w:val="20"/>
          <w:szCs w:val="22"/>
        </w:rPr>
        <w:t>National Preventive Health Strategy and the Primary Health Care 10 Year Plan</w:t>
      </w:r>
      <w:r w:rsidRPr="009B1CEC">
        <w:rPr>
          <w:rFonts w:ascii="Segoe UI" w:hAnsi="Segoe UI" w:cs="Segoe UI"/>
          <w:b w:val="0"/>
          <w:color w:val="auto"/>
          <w:sz w:val="20"/>
          <w:szCs w:val="22"/>
        </w:rPr>
        <w:t>.  The roundtable was hosted by the National Rural Health Commissioner, Professor Paul Worley, and opened by the Minister for Regional Services, Decentralisation and Local Government, the Hon Mark Coulton MP.</w:t>
      </w:r>
      <w:r w:rsidRPr="009B1CEC">
        <w:rPr>
          <w:rFonts w:ascii="Segoe UI" w:hAnsi="Segoe UI" w:cs="Segoe UI"/>
          <w:sz w:val="20"/>
          <w:szCs w:val="22"/>
        </w:rPr>
        <w:t xml:space="preserve">  </w:t>
      </w:r>
    </w:p>
    <w:p w:rsidR="00B8500E" w:rsidRPr="009B1CEC" w:rsidRDefault="00B8500E" w:rsidP="00B8500E">
      <w:pPr>
        <w:pStyle w:val="Heading1"/>
        <w:rPr>
          <w:rFonts w:ascii="Segoe UI" w:hAnsi="Segoe UI" w:cs="Segoe UI"/>
        </w:rPr>
      </w:pPr>
      <w:r w:rsidRPr="009B1CEC">
        <w:rPr>
          <w:rFonts w:ascii="Segoe UI" w:hAnsi="Segoe UI" w:cs="Segoe UI"/>
        </w:rPr>
        <w:t>ROUNDTABLE CONSIDERATIONS</w:t>
      </w:r>
    </w:p>
    <w:p w:rsidR="00C90E14" w:rsidRPr="009B1CEC" w:rsidRDefault="00C90E14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Roundtable heard presentations from rural health consumers, the Consumer Health Forum, the National Rural Health Commissioner and the Department.</w:t>
      </w:r>
    </w:p>
    <w:p w:rsidR="00C90E14" w:rsidRPr="009B1CEC" w:rsidRDefault="00C90E14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Roundtable discussed the importance of:</w:t>
      </w:r>
    </w:p>
    <w:p w:rsidR="00C90E14" w:rsidRPr="009B1CEC" w:rsidRDefault="00B178F6" w:rsidP="009B1CEC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patient</w:t>
      </w:r>
      <w:r w:rsidR="00C90E14" w:rsidRPr="009B1CEC">
        <w:rPr>
          <w:rFonts w:ascii="Segoe UI" w:eastAsiaTheme="minorEastAsia" w:hAnsi="Segoe UI" w:cs="Segoe UI"/>
          <w:sz w:val="20"/>
          <w:szCs w:val="22"/>
          <w:lang w:eastAsia="en-GB"/>
        </w:rPr>
        <w:t>-centred care</w:t>
      </w:r>
    </w:p>
    <w:p w:rsidR="00BC1B1F" w:rsidRPr="009B1CEC" w:rsidRDefault="00C90E14" w:rsidP="009B1CEC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workforce </w:t>
      </w:r>
      <w:proofErr w:type="spellStart"/>
      <w:r w:rsidR="00D00241" w:rsidRPr="009B1CEC">
        <w:rPr>
          <w:rFonts w:ascii="Segoe UI" w:eastAsiaTheme="minorEastAsia" w:hAnsi="Segoe UI" w:cs="Segoe UI"/>
          <w:sz w:val="20"/>
          <w:szCs w:val="22"/>
          <w:lang w:eastAsia="en-GB"/>
        </w:rPr>
        <w:t>maldistribution</w:t>
      </w:r>
      <w:proofErr w:type="spellEnd"/>
      <w:r w:rsidR="00D00241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shortages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to the issue of access to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person</w:t>
      </w:r>
      <w:r w:rsidR="00D00241" w:rsidRPr="009B1CEC">
        <w:rPr>
          <w:rFonts w:ascii="Segoe UI" w:eastAsiaTheme="minorEastAsia" w:hAnsi="Segoe UI" w:cs="Segoe UI"/>
          <w:sz w:val="20"/>
          <w:szCs w:val="22"/>
          <w:lang w:eastAsia="en-GB"/>
        </w:rPr>
        <w:t>-centred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</w:t>
      </w:r>
      <w:r w:rsidR="00D00241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primary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health care </w:t>
      </w:r>
      <w:r w:rsidR="00D00241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and preventive health approaches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in rural areas</w:t>
      </w:r>
    </w:p>
    <w:p w:rsidR="004612FA" w:rsidRPr="009B1CEC" w:rsidRDefault="004612FA" w:rsidP="009B1CEC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proofErr w:type="gramStart"/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building</w:t>
      </w:r>
      <w:proofErr w:type="gramEnd"/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on the strengths</w:t>
      </w:r>
      <w:r w:rsidR="001878D3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interconnectedness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of rural communities.</w:t>
      </w:r>
    </w:p>
    <w:p w:rsidR="00152140" w:rsidRPr="009B1CEC" w:rsidRDefault="00D00241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The Roundtable discussed the </w:t>
      </w:r>
      <w:r w:rsidR="006021E4" w:rsidRPr="009B1CEC">
        <w:rPr>
          <w:rFonts w:ascii="Segoe UI" w:eastAsiaTheme="minorEastAsia" w:hAnsi="Segoe UI" w:cs="Segoe UI"/>
          <w:sz w:val="20"/>
          <w:szCs w:val="22"/>
          <w:lang w:eastAsia="en-GB"/>
        </w:rPr>
        <w:t>desirability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of team-based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>, integrated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approaches to </w:t>
      </w:r>
      <w:r w:rsidR="006021E4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primary health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care, 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delivering continuity of care wherever possible,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supported by 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 range of approaches including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telehealth, </w:t>
      </w:r>
      <w:r w:rsidR="006021E4" w:rsidRPr="009B1CEC">
        <w:rPr>
          <w:rFonts w:ascii="Segoe UI" w:eastAsiaTheme="minorEastAsia" w:hAnsi="Segoe UI" w:cs="Segoe UI"/>
          <w:sz w:val="20"/>
          <w:szCs w:val="22"/>
          <w:lang w:eastAsia="en-GB"/>
        </w:rPr>
        <w:t>mobile practitioners, service hubs and networked arrangements.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Mental health and wellbeing and connection to social support services 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– including through social prescribing and social determinants approaches – 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>need to be part of this.</w:t>
      </w:r>
      <w:r w:rsidR="00D33F90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The current challenge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of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adverse weather events, including drought and 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>bushfires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,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reinforce</w:t>
      </w:r>
      <w:r w:rsidR="00D33F90" w:rsidRPr="009B1CEC">
        <w:rPr>
          <w:rFonts w:ascii="Segoe UI" w:eastAsiaTheme="minorEastAsia" w:hAnsi="Segoe UI" w:cs="Segoe UI"/>
          <w:sz w:val="20"/>
          <w:szCs w:val="22"/>
          <w:lang w:eastAsia="en-GB"/>
        </w:rPr>
        <w:t>s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the urgency of </w:t>
      </w:r>
      <w:r w:rsidR="001135D3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supporting </w:t>
      </w:r>
      <w:r w:rsidR="00CC6997" w:rsidRPr="009B1CEC">
        <w:rPr>
          <w:rFonts w:ascii="Segoe UI" w:eastAsiaTheme="minorEastAsia" w:hAnsi="Segoe UI" w:cs="Segoe UI"/>
          <w:sz w:val="20"/>
          <w:szCs w:val="22"/>
          <w:lang w:eastAsia="en-GB"/>
        </w:rPr>
        <w:t>community</w:t>
      </w:r>
      <w:r w:rsidR="001135D3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resilience and community-building</w:t>
      </w:r>
      <w:r w:rsidR="005323DB" w:rsidRPr="009B1CEC">
        <w:rPr>
          <w:rFonts w:ascii="Segoe UI" w:eastAsiaTheme="minorEastAsia" w:hAnsi="Segoe UI" w:cs="Segoe UI"/>
          <w:sz w:val="20"/>
          <w:szCs w:val="22"/>
          <w:lang w:eastAsia="en-GB"/>
        </w:rPr>
        <w:t>.</w:t>
      </w:r>
    </w:p>
    <w:p w:rsidR="00C90E14" w:rsidRPr="009B1CEC" w:rsidRDefault="00152140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Rural community-led approaches to developing, attracting and supporting the health care and other relevant workforces are critical. This includes GPs, nurs</w:t>
      </w:r>
      <w:r w:rsidR="006F38D5" w:rsidRPr="009B1CEC">
        <w:rPr>
          <w:rFonts w:ascii="Segoe UI" w:eastAsiaTheme="minorEastAsia" w:hAnsi="Segoe UI" w:cs="Segoe UI"/>
          <w:sz w:val="20"/>
          <w:szCs w:val="22"/>
          <w:lang w:eastAsia="en-GB"/>
        </w:rPr>
        <w:t>es, allied health professionals</w:t>
      </w:r>
      <w:r w:rsidR="00377389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, </w:t>
      </w:r>
      <w:r w:rsidR="002B4BAE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dentists </w:t>
      </w:r>
      <w:r w:rsidR="00377389" w:rsidRPr="009B1CEC">
        <w:rPr>
          <w:rFonts w:ascii="Segoe UI" w:eastAsiaTheme="minorEastAsia" w:hAnsi="Segoe UI" w:cs="Segoe UI"/>
          <w:sz w:val="20"/>
          <w:szCs w:val="22"/>
          <w:lang w:eastAsia="en-GB"/>
        </w:rPr>
        <w:t>and pharmacists</w:t>
      </w:r>
      <w:r w:rsidR="006F38D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. The availability of current data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on workforce distribution </w:t>
      </w:r>
      <w:r w:rsidR="006F38D5" w:rsidRPr="009B1CEC">
        <w:rPr>
          <w:rFonts w:ascii="Segoe UI" w:eastAsiaTheme="minorEastAsia" w:hAnsi="Segoe UI" w:cs="Segoe UI"/>
          <w:sz w:val="20"/>
          <w:szCs w:val="22"/>
          <w:lang w:eastAsia="en-GB"/>
        </w:rPr>
        <w:t>will be critical to making this work.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In addition to the Rural Generalist Pathway and the single employer model, the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Australian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Government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, working with state and territory governments and Primary Health Networks,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is looking to support innovative approaches to supporting the workforce in rural towns </w:t>
      </w:r>
      <w:r w:rsidR="00BC1B1F" w:rsidRPr="009B1CEC">
        <w:rPr>
          <w:rFonts w:ascii="Segoe UI" w:eastAsiaTheme="minorEastAsia" w:hAnsi="Segoe UI" w:cs="Segoe UI"/>
          <w:sz w:val="20"/>
          <w:szCs w:val="22"/>
          <w:lang w:eastAsia="en-GB"/>
        </w:rPr>
        <w:t>to improve access to healthcare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.</w:t>
      </w:r>
    </w:p>
    <w:p w:rsidR="00152140" w:rsidRPr="009B1CEC" w:rsidRDefault="00152140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Roundtable discussed:</w:t>
      </w:r>
    </w:p>
    <w:p w:rsidR="0051044B" w:rsidRPr="009B1CEC" w:rsidRDefault="0051044B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moving the health system towards a wellness model and away from a sickness model</w:t>
      </w:r>
    </w:p>
    <w:p w:rsidR="006021E4" w:rsidRPr="009B1CEC" w:rsidRDefault="006021E4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importance of primary as well as secondary prevention, and the opportunity of pregnancy, birthing and the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first 1,000 days for preventive approaches</w:t>
      </w:r>
    </w:p>
    <w:p w:rsidR="006021E4" w:rsidRPr="009B1CEC" w:rsidRDefault="006021E4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the importance of effective engagement with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people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to support mental health and wellbeing and to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support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</w:t>
      </w:r>
      <w:r w:rsidR="00B178F6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patient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engagement with treatment</w:t>
      </w:r>
    </w:p>
    <w:p w:rsidR="00B95B82" w:rsidRPr="009B1CEC" w:rsidRDefault="00B95B82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importance of cultural safety</w:t>
      </w:r>
    </w:p>
    <w:p w:rsidR="006021E4" w:rsidRPr="009B1CEC" w:rsidRDefault="006021E4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lastRenderedPageBreak/>
        <w:t>the potential of genomics and AI/decision support to assist in diagnosis and developing treatment approaches, and epigenetics to address trauma</w:t>
      </w:r>
    </w:p>
    <w:p w:rsidR="006021E4" w:rsidRPr="009B1CEC" w:rsidRDefault="00152140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potential of r</w:t>
      </w:r>
      <w:r w:rsidR="006021E4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isk stratification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tools to prioritise access to care</w:t>
      </w:r>
    </w:p>
    <w:p w:rsidR="00152140" w:rsidRPr="009B1CEC" w:rsidRDefault="00152140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health literacy and nudges and supports for people to look after their own health</w:t>
      </w:r>
    </w:p>
    <w:p w:rsidR="001B30B1" w:rsidRPr="009B1CEC" w:rsidRDefault="00152140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health system literacy and assistance for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patients and carers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to navigate the system</w:t>
      </w:r>
    </w:p>
    <w:p w:rsidR="00152140" w:rsidRPr="009B1CEC" w:rsidRDefault="001B30B1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the desirability of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developing 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scalable models of care</w:t>
      </w:r>
    </w:p>
    <w:p w:rsidR="00377389" w:rsidRPr="009B1CEC" w:rsidRDefault="00377389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pressures of an ageing population</w:t>
      </w:r>
    </w:p>
    <w:p w:rsidR="00A93015" w:rsidRPr="009B1CEC" w:rsidRDefault="00A93015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time, cost and other challenges of transport for rural patients</w:t>
      </w:r>
    </w:p>
    <w:p w:rsidR="00BC1B1F" w:rsidRPr="009B1CEC" w:rsidRDefault="00BC1B1F" w:rsidP="009B1CE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proofErr w:type="gramStart"/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acknowledging</w:t>
      </w:r>
      <w:proofErr w:type="gramEnd"/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outside factors (social determinants, environment</w:t>
      </w:r>
      <w:r w:rsidR="00377389" w:rsidRPr="009B1CEC">
        <w:rPr>
          <w:rFonts w:ascii="Segoe UI" w:eastAsiaTheme="minorEastAsia" w:hAnsi="Segoe UI" w:cs="Segoe UI"/>
          <w:sz w:val="20"/>
          <w:szCs w:val="22"/>
          <w:lang w:eastAsia="en-GB"/>
        </w:rPr>
        <w:t>, social media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) can be contributors to </w:t>
      </w:r>
      <w:r w:rsidR="00A93015" w:rsidRPr="009B1CEC">
        <w:rPr>
          <w:rFonts w:ascii="Segoe UI" w:eastAsiaTheme="minorEastAsia" w:hAnsi="Segoe UI" w:cs="Segoe UI"/>
          <w:sz w:val="20"/>
          <w:szCs w:val="22"/>
          <w:lang w:eastAsia="en-GB"/>
        </w:rPr>
        <w:t>people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’s health</w:t>
      </w:r>
      <w:r w:rsidR="00CE19F6" w:rsidRPr="009B1CEC">
        <w:rPr>
          <w:rFonts w:ascii="Segoe UI" w:eastAsiaTheme="minorEastAsia" w:hAnsi="Segoe UI" w:cs="Segoe UI"/>
          <w:sz w:val="20"/>
          <w:szCs w:val="22"/>
          <w:lang w:eastAsia="en-GB"/>
        </w:rPr>
        <w:t>.</w:t>
      </w:r>
    </w:p>
    <w:p w:rsidR="006021E4" w:rsidRPr="009B1CEC" w:rsidRDefault="006021E4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The Roundtable emphasised the need to move to funding models which support these 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>approaches, noting current imbalances in financial incentives across different parts of the health workforce</w:t>
      </w:r>
      <w:r w:rsidR="00B95B82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health system,</w:t>
      </w:r>
      <w:r w:rsidR="00F07522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</w:t>
      </w:r>
      <w:r w:rsidR="00B95B82" w:rsidRPr="009B1CEC">
        <w:rPr>
          <w:rFonts w:ascii="Segoe UI" w:eastAsiaTheme="minorEastAsia" w:hAnsi="Segoe UI" w:cs="Segoe UI"/>
          <w:sz w:val="20"/>
          <w:szCs w:val="22"/>
          <w:lang w:eastAsia="en-GB"/>
        </w:rPr>
        <w:t>including</w:t>
      </w:r>
      <w:r w:rsidR="00F07522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</w:t>
      </w:r>
      <w:r w:rsidR="00B95B82" w:rsidRPr="009B1CEC">
        <w:rPr>
          <w:rFonts w:ascii="Segoe UI" w:eastAsiaTheme="minorEastAsia" w:hAnsi="Segoe UI" w:cs="Segoe UI"/>
          <w:sz w:val="20"/>
          <w:szCs w:val="22"/>
          <w:lang w:eastAsia="en-GB"/>
        </w:rPr>
        <w:t>lower levels of investment in</w:t>
      </w:r>
      <w:r w:rsidR="00F07522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integration</w:t>
      </w:r>
      <w:r w:rsidR="00B95B82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prevention</w:t>
      </w:r>
      <w:r w:rsidR="009501AC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, and the absence of </w:t>
      </w:r>
      <w:r w:rsidR="00E64DEC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patient-focused </w:t>
      </w:r>
      <w:r w:rsidR="009501AC" w:rsidRPr="009B1CEC">
        <w:rPr>
          <w:rFonts w:ascii="Segoe UI" w:eastAsiaTheme="minorEastAsia" w:hAnsi="Segoe UI" w:cs="Segoe UI"/>
          <w:sz w:val="20"/>
          <w:szCs w:val="22"/>
          <w:lang w:eastAsia="en-GB"/>
        </w:rPr>
        <w:t>funding support in areas where there are no doctors</w:t>
      </w:r>
      <w:r w:rsidR="00E64DEC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and infrastructure</w:t>
      </w:r>
      <w:r w:rsidR="00152140" w:rsidRPr="009B1CEC">
        <w:rPr>
          <w:rFonts w:ascii="Segoe UI" w:eastAsiaTheme="minorEastAsia" w:hAnsi="Segoe UI" w:cs="Segoe UI"/>
          <w:sz w:val="20"/>
          <w:szCs w:val="22"/>
          <w:lang w:eastAsia="en-GB"/>
        </w:rPr>
        <w:t>.</w:t>
      </w:r>
    </w:p>
    <w:p w:rsidR="006B0E0B" w:rsidRPr="009B1CEC" w:rsidRDefault="006B0E0B" w:rsidP="006B0E0B">
      <w:pPr>
        <w:pStyle w:val="Heading1"/>
        <w:rPr>
          <w:rFonts w:ascii="Segoe UI" w:hAnsi="Segoe UI" w:cs="Segoe UI"/>
        </w:rPr>
      </w:pPr>
      <w:r w:rsidRPr="009B1CEC">
        <w:rPr>
          <w:rFonts w:ascii="Segoe UI" w:hAnsi="Segoe UI" w:cs="Segoe UI"/>
        </w:rPr>
        <w:t>NEXT STEPS – National Preventive Health Strategy</w:t>
      </w:r>
    </w:p>
    <w:p w:rsidR="006B0E0B" w:rsidRPr="009B1CEC" w:rsidRDefault="006B0E0B" w:rsidP="009B1CEC">
      <w:p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following next steps were agreed:</w:t>
      </w:r>
    </w:p>
    <w:p w:rsidR="006B0E0B" w:rsidRPr="009B1CEC" w:rsidRDefault="009D24F0" w:rsidP="009B1CE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>
        <w:rPr>
          <w:rFonts w:ascii="Segoe UI" w:eastAsiaTheme="minorEastAsia" w:hAnsi="Segoe UI" w:cs="Segoe UI"/>
          <w:sz w:val="20"/>
          <w:szCs w:val="22"/>
          <w:lang w:eastAsia="en-GB"/>
        </w:rPr>
        <w:t>Further consultation workshops</w:t>
      </w:r>
      <w:r w:rsidR="006B0E0B"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will be held during December and in early 2020. </w:t>
      </w:r>
    </w:p>
    <w:p w:rsidR="006B0E0B" w:rsidRPr="009B1CEC" w:rsidRDefault="006B0E0B" w:rsidP="009B1CE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The Expert Steering Committee will meet again early 2020 to consider the outcomes of these consultations and further progress the development of the strategy.</w:t>
      </w:r>
    </w:p>
    <w:p w:rsidR="006B0E0B" w:rsidRPr="009B1CEC" w:rsidRDefault="006B0E0B" w:rsidP="009B1CEC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Segoe UI" w:eastAsiaTheme="minorEastAsia" w:hAnsi="Segoe UI" w:cs="Segoe UI"/>
          <w:sz w:val="20"/>
          <w:szCs w:val="22"/>
          <w:lang w:eastAsia="en-GB"/>
        </w:rPr>
      </w:pP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>Public consultation</w:t>
      </w:r>
      <w:r w:rsidR="009D24F0">
        <w:rPr>
          <w:rFonts w:ascii="Segoe UI" w:eastAsiaTheme="minorEastAsia" w:hAnsi="Segoe UI" w:cs="Segoe UI"/>
          <w:sz w:val="20"/>
          <w:szCs w:val="22"/>
          <w:lang w:eastAsia="en-GB"/>
        </w:rPr>
        <w:t xml:space="preserve"> on the draft Strategy</w:t>
      </w:r>
      <w:r w:rsidRPr="009B1CEC">
        <w:rPr>
          <w:rFonts w:ascii="Segoe UI" w:eastAsiaTheme="minorEastAsia" w:hAnsi="Segoe UI" w:cs="Segoe UI"/>
          <w:sz w:val="20"/>
          <w:szCs w:val="22"/>
          <w:lang w:eastAsia="en-GB"/>
        </w:rPr>
        <w:t xml:space="preserve"> will commence in early 2020.</w:t>
      </w:r>
    </w:p>
    <w:p w:rsidR="00A76A39" w:rsidRDefault="00A76A39"/>
    <w:sectPr w:rsidR="00A76A39" w:rsidSect="00FB0B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6979"/>
    <w:multiLevelType w:val="hybridMultilevel"/>
    <w:tmpl w:val="03E2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14"/>
    <w:rsid w:val="00064068"/>
    <w:rsid w:val="001135D3"/>
    <w:rsid w:val="00131DA3"/>
    <w:rsid w:val="00152140"/>
    <w:rsid w:val="001606A9"/>
    <w:rsid w:val="001878D3"/>
    <w:rsid w:val="001B30B1"/>
    <w:rsid w:val="00280050"/>
    <w:rsid w:val="002B4BAE"/>
    <w:rsid w:val="00377389"/>
    <w:rsid w:val="004612FA"/>
    <w:rsid w:val="0051044B"/>
    <w:rsid w:val="005323DB"/>
    <w:rsid w:val="005C3350"/>
    <w:rsid w:val="006021E4"/>
    <w:rsid w:val="006B0E0B"/>
    <w:rsid w:val="006F38D5"/>
    <w:rsid w:val="00735722"/>
    <w:rsid w:val="00863CD7"/>
    <w:rsid w:val="009501AC"/>
    <w:rsid w:val="00951CCA"/>
    <w:rsid w:val="009B1CEC"/>
    <w:rsid w:val="009D24F0"/>
    <w:rsid w:val="00A76A39"/>
    <w:rsid w:val="00A93015"/>
    <w:rsid w:val="00B178F6"/>
    <w:rsid w:val="00B8500E"/>
    <w:rsid w:val="00B95B82"/>
    <w:rsid w:val="00BC1B1F"/>
    <w:rsid w:val="00C501DD"/>
    <w:rsid w:val="00C90E14"/>
    <w:rsid w:val="00CC6997"/>
    <w:rsid w:val="00CE19F6"/>
    <w:rsid w:val="00D00241"/>
    <w:rsid w:val="00D33F90"/>
    <w:rsid w:val="00E64DEC"/>
    <w:rsid w:val="00F07522"/>
    <w:rsid w:val="00F14D6C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AF104-28F7-4DC9-89FE-7C1ACD8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00E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color w:val="44546A" w:themeColor="text2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35722"/>
    <w:pP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sz w:val="44"/>
      <w:szCs w:val="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5722"/>
    <w:rPr>
      <w:rFonts w:asciiTheme="minorHAnsi" w:eastAsiaTheme="minorEastAsia" w:hAnsiTheme="minorHAnsi" w:cstheme="minorHAnsi"/>
      <w:b/>
      <w:color w:val="44546A" w:themeColor="text2"/>
      <w:sz w:val="44"/>
      <w:szCs w:val="44"/>
      <w:lang w:eastAsia="en-GB"/>
    </w:rPr>
  </w:style>
  <w:style w:type="character" w:customStyle="1" w:styleId="Heading1Char">
    <w:name w:val="Heading 1 Char"/>
    <w:basedOn w:val="DefaultParagraphFont"/>
    <w:link w:val="Heading1"/>
    <w:rsid w:val="00B8500E"/>
    <w:rPr>
      <w:rFonts w:asciiTheme="minorHAnsi" w:eastAsiaTheme="minorEastAsia" w:hAnsiTheme="minorHAnsi" w:cstheme="minorHAnsi"/>
      <w:b/>
      <w:color w:val="44546A" w:themeColor="text2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HUARD, John</cp:lastModifiedBy>
  <cp:revision>3</cp:revision>
  <dcterms:created xsi:type="dcterms:W3CDTF">2019-12-23T04:18:00Z</dcterms:created>
  <dcterms:modified xsi:type="dcterms:W3CDTF">2019-12-23T04:29:00Z</dcterms:modified>
</cp:coreProperties>
</file>