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9EA7D" w14:textId="3A599F1B" w:rsidR="00225814" w:rsidRDefault="00225814" w:rsidP="00225814">
      <w:pPr>
        <w:pStyle w:val="NoSpacing"/>
        <w:rPr>
          <w:rFonts w:asciiTheme="majorHAnsi" w:eastAsiaTheme="majorEastAsia" w:hAnsiTheme="majorHAnsi" w:cstheme="majorBidi"/>
          <w:caps/>
          <w:color w:val="FFFFFF" w:themeColor="background1"/>
          <w:sz w:val="64"/>
          <w:szCs w:val="64"/>
        </w:rPr>
      </w:pPr>
      <w:bookmarkStart w:id="0" w:name="_Hlk513140738"/>
      <w:bookmarkStart w:id="1" w:name="_GoBack"/>
      <w:bookmarkEnd w:id="1"/>
    </w:p>
    <w:p w14:paraId="28458BC9" w14:textId="1B693B05" w:rsidR="00225814" w:rsidRPr="007042FD" w:rsidRDefault="008D55B0" w:rsidP="00225814">
      <w:pPr>
        <w:pStyle w:val="NoSpacing"/>
        <w:spacing w:before="120"/>
        <w:rPr>
          <w:rFonts w:ascii="Segoe UI" w:eastAsiaTheme="minorHAnsi" w:hAnsi="Segoe UI"/>
          <w:color w:val="339933"/>
          <w:sz w:val="36"/>
          <w:szCs w:val="36"/>
        </w:rPr>
      </w:pPr>
      <w:r>
        <w:rPr>
          <w:noProof/>
          <w:color w:val="339933"/>
          <w:sz w:val="36"/>
          <w:szCs w:val="36"/>
          <w:lang w:val="en-AU" w:eastAsia="en-AU"/>
        </w:rPr>
        <w:drawing>
          <wp:anchor distT="0" distB="0" distL="114300" distR="114300" simplePos="0" relativeHeight="251674624" behindDoc="0" locked="0" layoutInCell="1" allowOverlap="1" wp14:anchorId="1CF06E89" wp14:editId="38F396B3">
            <wp:simplePos x="0" y="0"/>
            <wp:positionH relativeFrom="page">
              <wp:align>center</wp:align>
            </wp:positionH>
            <wp:positionV relativeFrom="page">
              <wp:align>center</wp:align>
            </wp:positionV>
            <wp:extent cx="7560000" cy="10699200"/>
            <wp:effectExtent l="0" t="0" r="3175" b="6985"/>
            <wp:wrapNone/>
            <wp:docPr id="2" name="Picture 2" descr="NATIONAL ACTION PLAN FOR THE HEALTH OF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cover.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7042FD">
        <w:rPr>
          <w:color w:val="339933"/>
          <w:sz w:val="36"/>
          <w:szCs w:val="36"/>
        </w:rPr>
        <w:t>March</w:t>
      </w:r>
      <w:r w:rsidR="008A28A1" w:rsidRPr="007042FD">
        <w:rPr>
          <w:color w:val="339933"/>
          <w:sz w:val="36"/>
          <w:szCs w:val="36"/>
        </w:rPr>
        <w:t xml:space="preserve"> 2019</w:t>
      </w:r>
    </w:p>
    <w:p w14:paraId="0F1077B6" w14:textId="77777777" w:rsidR="00225814" w:rsidRDefault="00225814"/>
    <w:sdt>
      <w:sdtPr>
        <w:id w:val="-424887266"/>
        <w:docPartObj>
          <w:docPartGallery w:val="Cover Pages"/>
          <w:docPartUnique/>
        </w:docPartObj>
      </w:sdtPr>
      <w:sdtEndPr/>
      <w:sdtContent>
        <w:p w14:paraId="05CD44DB" w14:textId="77777777" w:rsidR="00443F89" w:rsidRDefault="00443F89"/>
        <w:p w14:paraId="2ED740D4" w14:textId="77777777" w:rsidR="00443F89" w:rsidRDefault="00443F89" w:rsidP="00225814">
          <w:pPr>
            <w:spacing w:after="160" w:line="259" w:lineRule="auto"/>
          </w:pPr>
          <w:r>
            <w:br w:type="page"/>
          </w:r>
        </w:p>
      </w:sdtContent>
    </w:sdt>
    <w:p w14:paraId="12DED27F" w14:textId="77777777" w:rsidR="00865A27" w:rsidRPr="00D756B3" w:rsidRDefault="00865A27" w:rsidP="00443F89">
      <w:pPr>
        <w:spacing w:after="160" w:line="259" w:lineRule="auto"/>
        <w:sectPr w:rsidR="00865A27" w:rsidRPr="00D756B3" w:rsidSect="00527442">
          <w:headerReference w:type="even" r:id="rId13"/>
          <w:headerReference w:type="default" r:id="rId14"/>
          <w:footerReference w:type="even" r:id="rId15"/>
          <w:footerReference w:type="default" r:id="rId16"/>
          <w:headerReference w:type="first" r:id="rId17"/>
          <w:footerReference w:type="first" r:id="rId18"/>
          <w:pgSz w:w="11907" w:h="16839" w:code="9"/>
          <w:pgMar w:top="9639" w:right="850" w:bottom="1701" w:left="1559" w:header="737" w:footer="567" w:gutter="0"/>
          <w:pgNumType w:start="0"/>
          <w:cols w:space="720"/>
          <w:titlePg/>
          <w:docGrid w:linePitch="360"/>
        </w:sectPr>
      </w:pPr>
    </w:p>
    <w:p w14:paraId="093DFE93" w14:textId="77777777" w:rsidR="005C0A6C" w:rsidRPr="000356F0" w:rsidRDefault="005C0A6C" w:rsidP="005C0A6C">
      <w:pPr>
        <w:pStyle w:val="Default"/>
        <w:spacing w:before="1680" w:after="120"/>
        <w:rPr>
          <w:rFonts w:ascii="Arial" w:hAnsi="Arial" w:cs="Arial"/>
          <w:sz w:val="18"/>
          <w:szCs w:val="15"/>
        </w:rPr>
      </w:pPr>
      <w:bookmarkStart w:id="2" w:name="_Hlk513140837"/>
      <w:r w:rsidRPr="000356F0">
        <w:rPr>
          <w:rFonts w:ascii="Arial" w:hAnsi="Arial" w:cs="Arial"/>
          <w:sz w:val="18"/>
          <w:szCs w:val="15"/>
        </w:rPr>
        <w:lastRenderedPageBreak/>
        <w:t>© Commonwealth of Australia as represented by the Department of Health 201</w:t>
      </w:r>
      <w:r w:rsidR="00785849">
        <w:rPr>
          <w:rFonts w:ascii="Arial" w:hAnsi="Arial" w:cs="Arial"/>
          <w:sz w:val="18"/>
          <w:szCs w:val="15"/>
        </w:rPr>
        <w:t>9</w:t>
      </w:r>
      <w:r w:rsidRPr="000356F0">
        <w:rPr>
          <w:rFonts w:ascii="Arial" w:hAnsi="Arial" w:cs="Arial"/>
          <w:sz w:val="18"/>
          <w:szCs w:val="15"/>
        </w:rPr>
        <w:t xml:space="preserve"> </w:t>
      </w:r>
    </w:p>
    <w:p w14:paraId="2A5BF5DE" w14:textId="77777777" w:rsidR="005C0A6C" w:rsidRPr="000356F0" w:rsidRDefault="005C0A6C" w:rsidP="005C0A6C">
      <w:pPr>
        <w:pStyle w:val="Default"/>
        <w:spacing w:before="240" w:after="240"/>
        <w:rPr>
          <w:rFonts w:ascii="Arial" w:hAnsi="Arial" w:cs="Arial"/>
          <w:b/>
          <w:bCs/>
          <w:sz w:val="18"/>
          <w:szCs w:val="15"/>
        </w:rPr>
      </w:pPr>
      <w:r w:rsidRPr="000356F0">
        <w:rPr>
          <w:rFonts w:ascii="Arial" w:hAnsi="Arial" w:cs="Arial"/>
          <w:b/>
          <w:bCs/>
          <w:sz w:val="18"/>
          <w:szCs w:val="15"/>
        </w:rPr>
        <w:t xml:space="preserve">Creative Commons Licence </w:t>
      </w:r>
    </w:p>
    <w:p w14:paraId="24F3FC6C" w14:textId="77777777" w:rsidR="005C0A6C" w:rsidRPr="008677C3" w:rsidRDefault="005C0A6C" w:rsidP="005C0A6C">
      <w:pPr>
        <w:rPr>
          <w:rFonts w:cs="Arial"/>
          <w:sz w:val="28"/>
          <w:szCs w:val="22"/>
        </w:rPr>
      </w:pPr>
      <w:r w:rsidRPr="000356F0">
        <w:rPr>
          <w:rFonts w:cs="Arial"/>
          <w:noProof/>
          <w:sz w:val="28"/>
          <w:szCs w:val="22"/>
          <w:lang w:val="en-AU" w:eastAsia="en-AU"/>
        </w:rPr>
        <w:drawing>
          <wp:inline distT="0" distB="0" distL="0" distR="0" wp14:anchorId="70AF60D4" wp14:editId="13229FFA">
            <wp:extent cx="1026160" cy="356870"/>
            <wp:effectExtent l="0" t="0" r="2540" b="5080"/>
            <wp:docPr id="1" name="Picture 1"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3F278C9B" w14:textId="77777777" w:rsidR="005C0A6C" w:rsidRPr="008677C3" w:rsidRDefault="005C0A6C" w:rsidP="005C0A6C">
      <w:pPr>
        <w:pStyle w:val="Default"/>
        <w:spacing w:before="240" w:after="120"/>
        <w:rPr>
          <w:rFonts w:ascii="Arial" w:hAnsi="Arial" w:cs="Arial"/>
          <w:sz w:val="18"/>
          <w:szCs w:val="15"/>
        </w:rPr>
      </w:pPr>
      <w:r w:rsidRPr="008677C3">
        <w:rPr>
          <w:rFonts w:ascii="Arial" w:hAnsi="Arial" w:cs="Arial"/>
          <w:sz w:val="18"/>
          <w:szCs w:val="15"/>
        </w:rPr>
        <w:t xml:space="preserve">This publication is licensed under the Creative Commons Attribution 4.0 International Public License available from https://creativecommons.org/licenses/by/4.0/legalcode (“Licence”). You must read and understand the Licence before using any material from this publication. </w:t>
      </w:r>
    </w:p>
    <w:p w14:paraId="6B49FA30" w14:textId="77777777" w:rsidR="005C0A6C" w:rsidRPr="008677C3" w:rsidRDefault="005C0A6C" w:rsidP="005C0A6C">
      <w:pPr>
        <w:pStyle w:val="Default"/>
        <w:spacing w:before="240" w:after="240"/>
        <w:rPr>
          <w:rFonts w:ascii="Arial" w:hAnsi="Arial" w:cs="Arial"/>
          <w:sz w:val="18"/>
          <w:szCs w:val="15"/>
        </w:rPr>
      </w:pPr>
      <w:r w:rsidRPr="008677C3">
        <w:rPr>
          <w:rFonts w:ascii="Arial" w:hAnsi="Arial" w:cs="Arial"/>
          <w:sz w:val="18"/>
          <w:szCs w:val="15"/>
        </w:rPr>
        <w:t xml:space="preserve">Restrictions </w:t>
      </w:r>
    </w:p>
    <w:p w14:paraId="100FE226" w14:textId="77777777" w:rsidR="005C0A6C" w:rsidRPr="008677C3" w:rsidRDefault="005C0A6C" w:rsidP="005C0A6C">
      <w:pPr>
        <w:pStyle w:val="Default"/>
        <w:spacing w:before="240" w:after="240"/>
        <w:rPr>
          <w:rFonts w:ascii="Arial" w:hAnsi="Arial" w:cs="Arial"/>
          <w:sz w:val="18"/>
          <w:szCs w:val="15"/>
        </w:rPr>
      </w:pPr>
      <w:r w:rsidRPr="008677C3">
        <w:rPr>
          <w:rFonts w:ascii="Arial" w:hAnsi="Arial" w:cs="Arial"/>
          <w:sz w:val="18"/>
          <w:szCs w:val="15"/>
        </w:rPr>
        <w:t xml:space="preserve">The Licence may not give you all the permissions necessary for your intended use. For example, other rights (such as publicity, privacy and moral rights) may limit how you use the material found in this publication. </w:t>
      </w:r>
    </w:p>
    <w:p w14:paraId="4C63960F" w14:textId="77777777" w:rsidR="005C0A6C" w:rsidRPr="008677C3" w:rsidRDefault="005C0A6C" w:rsidP="005C0A6C">
      <w:pPr>
        <w:pStyle w:val="Default"/>
        <w:spacing w:after="120"/>
        <w:rPr>
          <w:rFonts w:ascii="Arial" w:hAnsi="Arial" w:cs="Arial"/>
          <w:sz w:val="18"/>
          <w:szCs w:val="15"/>
        </w:rPr>
      </w:pPr>
      <w:r w:rsidRPr="008677C3">
        <w:rPr>
          <w:rFonts w:ascii="Arial" w:hAnsi="Arial" w:cs="Arial"/>
          <w:sz w:val="18"/>
          <w:szCs w:val="15"/>
        </w:rPr>
        <w:t xml:space="preserve">The Licence does not cover, and there is no permission given for, use of any of the following material found in this publication: </w:t>
      </w:r>
    </w:p>
    <w:p w14:paraId="23809784" w14:textId="77777777" w:rsidR="005C0A6C" w:rsidRPr="008677C3" w:rsidRDefault="005C0A6C" w:rsidP="00B5514D">
      <w:pPr>
        <w:pStyle w:val="Default"/>
        <w:numPr>
          <w:ilvl w:val="0"/>
          <w:numId w:val="11"/>
        </w:numPr>
        <w:tabs>
          <w:tab w:val="left" w:pos="567"/>
        </w:tabs>
        <w:spacing w:after="60"/>
        <w:ind w:left="567" w:hanging="283"/>
        <w:rPr>
          <w:rFonts w:ascii="Arial" w:hAnsi="Arial" w:cs="Arial"/>
          <w:sz w:val="18"/>
          <w:szCs w:val="15"/>
        </w:rPr>
      </w:pPr>
      <w:r w:rsidRPr="008677C3">
        <w:rPr>
          <w:rFonts w:ascii="Arial" w:hAnsi="Arial" w:cs="Arial"/>
          <w:sz w:val="18"/>
          <w:szCs w:val="15"/>
        </w:rPr>
        <w:t xml:space="preserve">the Commonwealth Coat of Arms (by way of information, the terms under which the Coat of Arms may be used can be found on the Department of Prime Minister and Cabinet website http://www.dpmc.gov.au/government/commonwealth-coat-arms); </w:t>
      </w:r>
    </w:p>
    <w:p w14:paraId="1741632B" w14:textId="77777777" w:rsidR="005C0A6C" w:rsidRPr="008677C3" w:rsidRDefault="005C0A6C" w:rsidP="00B5514D">
      <w:pPr>
        <w:pStyle w:val="Default"/>
        <w:numPr>
          <w:ilvl w:val="0"/>
          <w:numId w:val="11"/>
        </w:numPr>
        <w:tabs>
          <w:tab w:val="left" w:pos="567"/>
        </w:tabs>
        <w:spacing w:after="60"/>
        <w:ind w:left="567" w:hanging="283"/>
        <w:rPr>
          <w:rFonts w:ascii="Arial" w:hAnsi="Arial" w:cs="Arial"/>
          <w:sz w:val="18"/>
          <w:szCs w:val="15"/>
        </w:rPr>
      </w:pPr>
      <w:r w:rsidRPr="008677C3">
        <w:rPr>
          <w:rFonts w:ascii="Arial" w:hAnsi="Arial" w:cs="Arial"/>
          <w:sz w:val="18"/>
          <w:szCs w:val="15"/>
        </w:rPr>
        <w:t xml:space="preserve">any logos and trademarks; </w:t>
      </w:r>
    </w:p>
    <w:p w14:paraId="428635A6" w14:textId="77777777" w:rsidR="005C0A6C" w:rsidRPr="008677C3" w:rsidRDefault="005C0A6C" w:rsidP="005C0A6C">
      <w:pPr>
        <w:pStyle w:val="Default"/>
        <w:tabs>
          <w:tab w:val="left" w:pos="567"/>
        </w:tabs>
        <w:spacing w:after="60"/>
        <w:ind w:left="567" w:hanging="283"/>
        <w:rPr>
          <w:rFonts w:ascii="Arial" w:hAnsi="Arial" w:cs="Arial"/>
          <w:sz w:val="18"/>
          <w:szCs w:val="15"/>
        </w:rPr>
      </w:pPr>
      <w:r w:rsidRPr="008677C3">
        <w:rPr>
          <w:rFonts w:ascii="Arial" w:hAnsi="Arial" w:cs="Arial"/>
          <w:sz w:val="18"/>
          <w:szCs w:val="15"/>
        </w:rPr>
        <w:t xml:space="preserve">• </w:t>
      </w:r>
      <w:r w:rsidRPr="008677C3">
        <w:rPr>
          <w:rFonts w:ascii="Arial" w:hAnsi="Arial" w:cs="Arial"/>
          <w:sz w:val="18"/>
          <w:szCs w:val="15"/>
        </w:rPr>
        <w:tab/>
        <w:t xml:space="preserve">any photographs and images; </w:t>
      </w:r>
    </w:p>
    <w:p w14:paraId="31C4F0A8" w14:textId="77777777" w:rsidR="005C0A6C" w:rsidRPr="008677C3" w:rsidRDefault="005C0A6C" w:rsidP="005C0A6C">
      <w:pPr>
        <w:pStyle w:val="Default"/>
        <w:tabs>
          <w:tab w:val="left" w:pos="567"/>
        </w:tabs>
        <w:spacing w:after="60"/>
        <w:ind w:left="567" w:hanging="283"/>
        <w:rPr>
          <w:rFonts w:ascii="Arial" w:hAnsi="Arial" w:cs="Arial"/>
          <w:sz w:val="18"/>
          <w:szCs w:val="15"/>
        </w:rPr>
      </w:pPr>
      <w:r w:rsidRPr="008677C3">
        <w:rPr>
          <w:rFonts w:ascii="Arial" w:hAnsi="Arial" w:cs="Arial"/>
          <w:sz w:val="18"/>
          <w:szCs w:val="15"/>
        </w:rPr>
        <w:t>•</w:t>
      </w:r>
      <w:r w:rsidRPr="008677C3">
        <w:rPr>
          <w:rFonts w:ascii="Arial" w:hAnsi="Arial" w:cs="Arial"/>
          <w:sz w:val="18"/>
          <w:szCs w:val="15"/>
        </w:rPr>
        <w:tab/>
        <w:t xml:space="preserve">any signatures; and </w:t>
      </w:r>
    </w:p>
    <w:p w14:paraId="6B511E37" w14:textId="77777777" w:rsidR="005C0A6C" w:rsidRPr="008677C3" w:rsidRDefault="005C0A6C" w:rsidP="00B5514D">
      <w:pPr>
        <w:pStyle w:val="Default"/>
        <w:numPr>
          <w:ilvl w:val="0"/>
          <w:numId w:val="11"/>
        </w:numPr>
        <w:tabs>
          <w:tab w:val="left" w:pos="567"/>
        </w:tabs>
        <w:spacing w:after="120"/>
        <w:ind w:left="567" w:hanging="283"/>
        <w:rPr>
          <w:rFonts w:ascii="Arial" w:hAnsi="Arial" w:cs="Arial"/>
          <w:sz w:val="18"/>
          <w:szCs w:val="15"/>
        </w:rPr>
      </w:pPr>
      <w:r w:rsidRPr="008677C3">
        <w:rPr>
          <w:rFonts w:ascii="Arial" w:hAnsi="Arial" w:cs="Arial"/>
          <w:sz w:val="18"/>
          <w:szCs w:val="15"/>
        </w:rPr>
        <w:t xml:space="preserve">any material belonging to third parties. </w:t>
      </w:r>
    </w:p>
    <w:p w14:paraId="2201253C" w14:textId="77777777" w:rsidR="005C0A6C" w:rsidRPr="008677C3" w:rsidRDefault="005C0A6C" w:rsidP="005C0A6C">
      <w:pPr>
        <w:pStyle w:val="Default"/>
        <w:spacing w:before="240" w:after="240"/>
        <w:rPr>
          <w:rFonts w:ascii="Arial" w:hAnsi="Arial" w:cs="Arial"/>
          <w:sz w:val="18"/>
          <w:szCs w:val="15"/>
        </w:rPr>
      </w:pPr>
      <w:r w:rsidRPr="008677C3">
        <w:rPr>
          <w:rFonts w:ascii="Arial" w:hAnsi="Arial" w:cs="Arial"/>
          <w:sz w:val="18"/>
          <w:szCs w:val="15"/>
        </w:rPr>
        <w:t xml:space="preserve">Attribution </w:t>
      </w:r>
    </w:p>
    <w:p w14:paraId="20FE2F03" w14:textId="77777777" w:rsidR="005C0A6C" w:rsidRPr="008677C3" w:rsidRDefault="005C0A6C" w:rsidP="005C0A6C">
      <w:pPr>
        <w:pStyle w:val="Default"/>
        <w:spacing w:after="120"/>
        <w:rPr>
          <w:rFonts w:ascii="Arial" w:hAnsi="Arial" w:cs="Arial"/>
          <w:sz w:val="18"/>
          <w:szCs w:val="15"/>
        </w:rPr>
      </w:pPr>
      <w:r w:rsidRPr="008677C3">
        <w:rPr>
          <w:rFonts w:ascii="Arial" w:hAnsi="Arial" w:cs="Arial"/>
          <w:sz w:val="18"/>
          <w:szCs w:val="15"/>
        </w:rPr>
        <w:t xml:space="preserve">Without limiting your obligations under the Licence, the Department of Health requests that you attribute this publication in your work. Any reasonable form of words may be used provided that you: </w:t>
      </w:r>
    </w:p>
    <w:p w14:paraId="525E531E" w14:textId="77777777" w:rsidR="005C0A6C" w:rsidRPr="008677C3" w:rsidRDefault="005C0A6C" w:rsidP="00B5514D">
      <w:pPr>
        <w:pStyle w:val="Default"/>
        <w:numPr>
          <w:ilvl w:val="0"/>
          <w:numId w:val="11"/>
        </w:numPr>
        <w:tabs>
          <w:tab w:val="left" w:pos="567"/>
        </w:tabs>
        <w:spacing w:after="60"/>
        <w:ind w:left="567" w:hanging="283"/>
        <w:rPr>
          <w:rFonts w:ascii="Arial" w:hAnsi="Arial" w:cs="Arial"/>
          <w:sz w:val="18"/>
          <w:szCs w:val="15"/>
        </w:rPr>
      </w:pPr>
      <w:r w:rsidRPr="008677C3">
        <w:rPr>
          <w:rFonts w:ascii="Arial" w:hAnsi="Arial" w:cs="Arial"/>
          <w:sz w:val="18"/>
          <w:szCs w:val="15"/>
        </w:rPr>
        <w:t xml:space="preserve">include a reference to this publication and, where practicable, the relevant page numbers; </w:t>
      </w:r>
    </w:p>
    <w:p w14:paraId="07A77540" w14:textId="77777777" w:rsidR="005C0A6C" w:rsidRPr="008677C3" w:rsidRDefault="005C0A6C" w:rsidP="00B5514D">
      <w:pPr>
        <w:pStyle w:val="Default"/>
        <w:numPr>
          <w:ilvl w:val="0"/>
          <w:numId w:val="11"/>
        </w:numPr>
        <w:tabs>
          <w:tab w:val="left" w:pos="567"/>
        </w:tabs>
        <w:spacing w:after="60"/>
        <w:ind w:left="567" w:hanging="283"/>
        <w:rPr>
          <w:rFonts w:ascii="Arial" w:hAnsi="Arial" w:cs="Arial"/>
          <w:sz w:val="18"/>
          <w:szCs w:val="15"/>
        </w:rPr>
      </w:pPr>
      <w:r w:rsidRPr="008677C3">
        <w:rPr>
          <w:rFonts w:ascii="Arial" w:hAnsi="Arial" w:cs="Arial"/>
          <w:sz w:val="18"/>
          <w:szCs w:val="15"/>
        </w:rPr>
        <w:t xml:space="preserve">make it clear that you have permission to use the material under the Creative Commons Attribution 4.0 International Public License; </w:t>
      </w:r>
    </w:p>
    <w:p w14:paraId="3E49D970" w14:textId="77777777" w:rsidR="005C0A6C" w:rsidRPr="008677C3" w:rsidRDefault="005C0A6C" w:rsidP="00B5514D">
      <w:pPr>
        <w:pStyle w:val="Default"/>
        <w:numPr>
          <w:ilvl w:val="0"/>
          <w:numId w:val="11"/>
        </w:numPr>
        <w:tabs>
          <w:tab w:val="left" w:pos="567"/>
        </w:tabs>
        <w:spacing w:after="60"/>
        <w:ind w:left="567" w:hanging="283"/>
        <w:rPr>
          <w:rFonts w:ascii="Arial" w:hAnsi="Arial" w:cs="Arial"/>
          <w:sz w:val="18"/>
          <w:szCs w:val="15"/>
        </w:rPr>
      </w:pPr>
      <w:r w:rsidRPr="008677C3">
        <w:rPr>
          <w:rFonts w:ascii="Arial" w:hAnsi="Arial" w:cs="Arial"/>
          <w:sz w:val="18"/>
          <w:szCs w:val="15"/>
        </w:rPr>
        <w:t xml:space="preserve">make it clear whether or not you have changed the material used from this publication; </w:t>
      </w:r>
    </w:p>
    <w:p w14:paraId="32277894" w14:textId="77777777" w:rsidR="005C0A6C" w:rsidRPr="008677C3" w:rsidRDefault="005C0A6C" w:rsidP="00B5514D">
      <w:pPr>
        <w:pStyle w:val="Default"/>
        <w:numPr>
          <w:ilvl w:val="0"/>
          <w:numId w:val="11"/>
        </w:numPr>
        <w:tabs>
          <w:tab w:val="left" w:pos="567"/>
        </w:tabs>
        <w:spacing w:after="60"/>
        <w:ind w:left="567" w:hanging="283"/>
        <w:rPr>
          <w:rFonts w:ascii="Arial" w:hAnsi="Arial" w:cs="Arial"/>
          <w:sz w:val="18"/>
          <w:szCs w:val="15"/>
        </w:rPr>
      </w:pPr>
      <w:r w:rsidRPr="008677C3">
        <w:rPr>
          <w:rFonts w:ascii="Arial" w:hAnsi="Arial" w:cs="Arial"/>
          <w:sz w:val="18"/>
          <w:szCs w:val="15"/>
        </w:rPr>
        <w:t xml:space="preserve">include a copyright notice in relation to the material used. In the case of no change to the material, the words “© Commonwealth of Australia (Department of Health) 2019” may be used. In the case where the material has been changed or adapted, the words: “Based on Commonwealth of Australia (Department of Health) material” may be used; and </w:t>
      </w:r>
    </w:p>
    <w:p w14:paraId="2F4985E8" w14:textId="77777777" w:rsidR="005C0A6C" w:rsidRPr="008677C3" w:rsidRDefault="005C0A6C" w:rsidP="00B5514D">
      <w:pPr>
        <w:pStyle w:val="Default"/>
        <w:numPr>
          <w:ilvl w:val="0"/>
          <w:numId w:val="11"/>
        </w:numPr>
        <w:tabs>
          <w:tab w:val="left" w:pos="567"/>
        </w:tabs>
        <w:spacing w:after="120"/>
        <w:ind w:left="567" w:hanging="283"/>
        <w:rPr>
          <w:rFonts w:ascii="Arial" w:hAnsi="Arial" w:cs="Arial"/>
          <w:sz w:val="18"/>
          <w:szCs w:val="15"/>
        </w:rPr>
      </w:pPr>
      <w:r w:rsidRPr="008677C3">
        <w:rPr>
          <w:rFonts w:ascii="Arial" w:hAnsi="Arial" w:cs="Arial"/>
          <w:sz w:val="18"/>
          <w:szCs w:val="15"/>
        </w:rPr>
        <w:t xml:space="preserve">do not suggest that the Department of Health endorses you or your use of the material. </w:t>
      </w:r>
    </w:p>
    <w:p w14:paraId="32A2DB57" w14:textId="77777777" w:rsidR="005C0A6C" w:rsidRPr="008677C3" w:rsidRDefault="005C0A6C" w:rsidP="005C0A6C">
      <w:pPr>
        <w:pStyle w:val="Default"/>
        <w:spacing w:after="120"/>
        <w:rPr>
          <w:rFonts w:ascii="Arial" w:hAnsi="Arial" w:cs="Arial"/>
          <w:sz w:val="18"/>
          <w:szCs w:val="15"/>
        </w:rPr>
      </w:pPr>
    </w:p>
    <w:p w14:paraId="2CC56C14" w14:textId="77777777" w:rsidR="005C0A6C" w:rsidRPr="000356F0" w:rsidRDefault="005C0A6C" w:rsidP="000356F0">
      <w:pPr>
        <w:rPr>
          <w:rFonts w:ascii="Arial" w:hAnsi="Arial" w:cs="Arial"/>
          <w:sz w:val="18"/>
          <w:szCs w:val="18"/>
        </w:rPr>
      </w:pPr>
      <w:r w:rsidRPr="000356F0">
        <w:rPr>
          <w:rFonts w:ascii="Arial" w:hAnsi="Arial" w:cs="Arial"/>
          <w:sz w:val="18"/>
          <w:szCs w:val="18"/>
        </w:rPr>
        <w:t xml:space="preserve">Enquiries </w:t>
      </w:r>
    </w:p>
    <w:p w14:paraId="2CCFFC15" w14:textId="77777777" w:rsidR="005C0A6C" w:rsidRPr="000356F0" w:rsidRDefault="005C0A6C" w:rsidP="000356F0">
      <w:pPr>
        <w:rPr>
          <w:rFonts w:ascii="Arial" w:hAnsi="Arial" w:cs="Arial"/>
          <w:sz w:val="18"/>
          <w:szCs w:val="18"/>
        </w:rPr>
      </w:pPr>
      <w:r w:rsidRPr="000356F0">
        <w:rPr>
          <w:rFonts w:ascii="Arial" w:hAnsi="Arial" w:cs="Arial"/>
          <w:sz w:val="18"/>
          <w:szCs w:val="18"/>
        </w:rPr>
        <w:t>Enquiries regarding any other use of this publication should be addressed to the Branch Manager, Communication Branch, Department of Health, GPO Box 9848, Canberra ACT 2601, or via e-mail to copyright@health.gov.au</w:t>
      </w:r>
    </w:p>
    <w:p w14:paraId="5979FE0C" w14:textId="77777777" w:rsidR="00D76802" w:rsidRDefault="005C0A6C">
      <w:pPr>
        <w:spacing w:before="0" w:after="160" w:line="259" w:lineRule="auto"/>
        <w:sectPr w:rsidR="00D76802" w:rsidSect="00D76802">
          <w:footerReference w:type="default" r:id="rId21"/>
          <w:endnotePr>
            <w:numFmt w:val="decimal"/>
          </w:endnotePr>
          <w:type w:val="continuous"/>
          <w:pgSz w:w="11907" w:h="16839" w:code="9"/>
          <w:pgMar w:top="1134" w:right="1134" w:bottom="1134" w:left="1134" w:header="720" w:footer="210" w:gutter="0"/>
          <w:pgNumType w:fmt="lowerRoman" w:start="1"/>
          <w:cols w:space="720"/>
          <w:docGrid w:linePitch="360"/>
        </w:sectPr>
      </w:pPr>
      <w:r>
        <w:br w:type="page"/>
      </w:r>
    </w:p>
    <w:p w14:paraId="0B10E698" w14:textId="77777777" w:rsidR="000356F0" w:rsidRDefault="005C0A6C" w:rsidP="00FE45ED">
      <w:pPr>
        <w:pStyle w:val="Heading1"/>
      </w:pPr>
      <w:bookmarkStart w:id="3" w:name="_Toc4873469"/>
      <w:bookmarkStart w:id="4" w:name="_Toc5282296"/>
      <w:r w:rsidRPr="000356F0">
        <w:lastRenderedPageBreak/>
        <w:t>Foreword</w:t>
      </w:r>
      <w:bookmarkEnd w:id="3"/>
      <w:bookmarkEnd w:id="4"/>
    </w:p>
    <w:p w14:paraId="226B1968" w14:textId="77777777" w:rsidR="008200E2" w:rsidRDefault="008200E2" w:rsidP="008200E2">
      <w:pPr>
        <w:rPr>
          <w:rFonts w:ascii="Segoe UI" w:hAnsi="Segoe UI" w:cs="Segoe UI"/>
          <w:sz w:val="20"/>
          <w:szCs w:val="20"/>
          <w:lang w:eastAsia="en-AU"/>
        </w:rPr>
      </w:pPr>
      <w:bookmarkStart w:id="5" w:name="NewPage"/>
      <w:r>
        <w:rPr>
          <w:rFonts w:ascii="Segoe UI" w:hAnsi="Segoe UI" w:cs="Segoe UI"/>
          <w:sz w:val="20"/>
          <w:szCs w:val="20"/>
          <w:lang w:eastAsia="en-AU"/>
        </w:rPr>
        <w:t xml:space="preserve">On behalf of the Australian Government, I am proud to be presenting the National Action Plan for the Health of Children and Young People: 2020-2030. I would like to thank all of those who have contributed to the development of this Action Plan – it is essential this collaboration is sustained as we roll out the Action Plan. </w:t>
      </w:r>
    </w:p>
    <w:p w14:paraId="01BA6980" w14:textId="77777777" w:rsidR="008200E2" w:rsidRDefault="008200E2" w:rsidP="008200E2">
      <w:pPr>
        <w:rPr>
          <w:rFonts w:ascii="Segoe UI" w:hAnsi="Segoe UI" w:cs="Segoe UI"/>
          <w:iCs/>
          <w:sz w:val="20"/>
          <w:szCs w:val="20"/>
          <w:lang w:eastAsia="en-AU"/>
        </w:rPr>
      </w:pPr>
      <w:r>
        <w:rPr>
          <w:rFonts w:ascii="Segoe UI" w:hAnsi="Segoe UI" w:cs="Segoe UI"/>
          <w:sz w:val="20"/>
          <w:szCs w:val="20"/>
          <w:lang w:eastAsia="en-AU"/>
        </w:rPr>
        <w:t xml:space="preserve">As a nation we can be commended for how we support and empower children and young people in Australia. Children born today are expected to live longer than ever before. As a nation we have made </w:t>
      </w:r>
      <w:r>
        <w:rPr>
          <w:rFonts w:ascii="Segoe UI" w:hAnsi="Segoe UI" w:cs="Segoe UI"/>
          <w:sz w:val="20"/>
          <w:szCs w:val="20"/>
        </w:rPr>
        <w:t xml:space="preserve">significant progress in reducing infant mortality, and we are seeing our children and young people </w:t>
      </w:r>
      <w:r>
        <w:rPr>
          <w:rFonts w:ascii="Segoe UI" w:hAnsi="Segoe UI" w:cs="Segoe UI"/>
          <w:sz w:val="20"/>
          <w:szCs w:val="20"/>
          <w:lang w:eastAsia="en-AU"/>
        </w:rPr>
        <w:t xml:space="preserve">benefitting from increased levels of immunisation and reduced injuries from accidents. </w:t>
      </w:r>
    </w:p>
    <w:p w14:paraId="676E083F" w14:textId="77777777" w:rsidR="008200E2" w:rsidRDefault="008200E2" w:rsidP="008200E2">
      <w:pPr>
        <w:rPr>
          <w:rFonts w:ascii="Segoe UI" w:hAnsi="Segoe UI" w:cs="Segoe UI"/>
          <w:sz w:val="20"/>
          <w:szCs w:val="20"/>
          <w:lang w:eastAsia="en-AU"/>
        </w:rPr>
      </w:pPr>
      <w:r>
        <w:rPr>
          <w:rFonts w:ascii="Segoe UI" w:hAnsi="Segoe UI" w:cs="Segoe UI"/>
          <w:sz w:val="20"/>
          <w:szCs w:val="20"/>
          <w:lang w:eastAsia="en-AU"/>
        </w:rPr>
        <w:t xml:space="preserve">However, we cannot be complacent - the future of Australia depends on our ability to foster the health and wellbeing of the current generation of children and young people, and increasingly this population group faces new health and wellbeing challenges.  </w:t>
      </w:r>
    </w:p>
    <w:p w14:paraId="033F544D" w14:textId="77777777" w:rsidR="008200E2" w:rsidRDefault="008200E2" w:rsidP="008200E2">
      <w:pPr>
        <w:rPr>
          <w:rFonts w:ascii="Segoe UI" w:hAnsi="Segoe UI" w:cs="Segoe UI"/>
          <w:sz w:val="20"/>
          <w:szCs w:val="20"/>
          <w:lang w:eastAsia="en-AU"/>
        </w:rPr>
      </w:pPr>
      <w:r>
        <w:rPr>
          <w:rFonts w:ascii="Segoe UI" w:hAnsi="Segoe UI" w:cs="Segoe UI"/>
          <w:sz w:val="20"/>
          <w:szCs w:val="20"/>
          <w:lang w:eastAsia="en-AU"/>
        </w:rPr>
        <w:t>Many chronic health problems in adulthood, such as obesity, heart disease, diabetes and mental health issues have their origins in early childhood.  Furthermore, we now know that the health of a child starts even before birth, with the health of parents pre-conception and during pregnancy, affecting the health of the baby at birth and through their early years.  Investing in early childhood is a powerful investment in our future, with returns outstripping many other forms of investment.</w:t>
      </w:r>
    </w:p>
    <w:p w14:paraId="2F91B84F" w14:textId="77777777" w:rsidR="008200E2" w:rsidRDefault="008200E2" w:rsidP="008200E2">
      <w:pPr>
        <w:rPr>
          <w:rFonts w:ascii="Segoe UI" w:hAnsi="Segoe UI" w:cs="Segoe UI"/>
          <w:sz w:val="20"/>
          <w:szCs w:val="20"/>
          <w:lang w:eastAsia="en-AU"/>
        </w:rPr>
      </w:pPr>
      <w:r>
        <w:rPr>
          <w:rFonts w:ascii="Segoe UI" w:hAnsi="Segoe UI" w:cs="Segoe UI"/>
          <w:sz w:val="20"/>
          <w:szCs w:val="20"/>
          <w:lang w:eastAsia="en-AU"/>
        </w:rPr>
        <w:t xml:space="preserve">In 2018, I proposed the establishment of an action plan to build on Healthy, Safe and Thriving: a national strategic framework for child and youth health. A framework which sets a national direction for child and youth health in Australia. </w:t>
      </w:r>
    </w:p>
    <w:p w14:paraId="04587A3C" w14:textId="77777777" w:rsidR="008200E2" w:rsidRDefault="008200E2" w:rsidP="008200E2">
      <w:pPr>
        <w:rPr>
          <w:rFonts w:ascii="Segoe UI" w:hAnsi="Segoe UI" w:cs="Segoe UI"/>
          <w:sz w:val="20"/>
          <w:szCs w:val="20"/>
          <w:lang w:eastAsia="en-AU"/>
        </w:rPr>
      </w:pPr>
      <w:r>
        <w:rPr>
          <w:rFonts w:ascii="Segoe UI" w:hAnsi="Segoe UI" w:cs="Segoe UI"/>
          <w:sz w:val="20"/>
          <w:szCs w:val="20"/>
          <w:lang w:eastAsia="en-AU"/>
        </w:rPr>
        <w:t xml:space="preserve">This resulting National Action Plan for the Health of Children and Young People: 2020-2030, shines a light on the importance of fostering the health of Australia’s future generations. It presents recommendations for action and highlights the need for collaboration between partners, including governments at all levels, the health sector, relevant organisations and children and young people themselves. </w:t>
      </w:r>
    </w:p>
    <w:p w14:paraId="5155F782" w14:textId="77777777" w:rsidR="008200E2" w:rsidRDefault="008200E2" w:rsidP="008200E2">
      <w:pPr>
        <w:rPr>
          <w:rFonts w:ascii="Segoe UI" w:hAnsi="Segoe UI" w:cs="Segoe UI"/>
          <w:sz w:val="20"/>
          <w:szCs w:val="20"/>
          <w:lang w:eastAsia="en-AU"/>
        </w:rPr>
      </w:pPr>
      <w:r>
        <w:rPr>
          <w:rFonts w:ascii="Segoe UI" w:hAnsi="Segoe UI" w:cs="Segoe UI"/>
          <w:sz w:val="20"/>
          <w:szCs w:val="20"/>
          <w:lang w:eastAsia="en-AU"/>
        </w:rPr>
        <w:t xml:space="preserve">Importantly the Action Plan recognises that as a nation we need to invest in both ‘universal’ and ‘targeted’ prevention and early intervention in order to address population based health needs. This will help achieve optimal and equitable health outcomes for all children and young people – including </w:t>
      </w:r>
      <w:r>
        <w:rPr>
          <w:rFonts w:ascii="Segoe UI" w:hAnsi="Segoe UI" w:cs="Segoe UI"/>
          <w:iCs/>
          <w:sz w:val="20"/>
          <w:szCs w:val="20"/>
          <w:lang w:eastAsia="en-AU"/>
        </w:rPr>
        <w:t>those most in need due to social inequalities.</w:t>
      </w:r>
    </w:p>
    <w:p w14:paraId="6A051A67" w14:textId="60E6BA41" w:rsidR="008200E2" w:rsidRDefault="008200E2" w:rsidP="008200E2">
      <w:pPr>
        <w:rPr>
          <w:rFonts w:ascii="Segoe UI" w:hAnsi="Segoe UI" w:cs="Segoe UI"/>
          <w:sz w:val="20"/>
          <w:szCs w:val="20"/>
          <w:lang w:eastAsia="en-AU"/>
        </w:rPr>
      </w:pPr>
      <w:r>
        <w:rPr>
          <w:rFonts w:ascii="Segoe UI" w:hAnsi="Segoe UI" w:cs="Segoe UI"/>
          <w:sz w:val="20"/>
          <w:szCs w:val="20"/>
          <w:lang w:eastAsia="en-AU"/>
        </w:rPr>
        <w:t>The Action Plan also recognises that children and young people do not exist in isolation, they exist within families</w:t>
      </w:r>
      <w:r>
        <w:rPr>
          <w:rFonts w:ascii="Segoe UI" w:hAnsi="Segoe UI" w:cs="Segoe UI"/>
          <w:iCs/>
          <w:sz w:val="20"/>
          <w:szCs w:val="20"/>
          <w:lang w:eastAsia="en-AU"/>
        </w:rPr>
        <w:t>.</w:t>
      </w:r>
      <w:r>
        <w:rPr>
          <w:rFonts w:ascii="Segoe UI" w:hAnsi="Segoe UI" w:cs="Segoe UI"/>
          <w:sz w:val="20"/>
          <w:szCs w:val="20"/>
          <w:lang w:eastAsia="en-AU"/>
        </w:rPr>
        <w:t xml:space="preserve"> It is these families - and the parents and car</w:t>
      </w:r>
      <w:r w:rsidR="00E861CF">
        <w:rPr>
          <w:rFonts w:ascii="Segoe UI" w:hAnsi="Segoe UI" w:cs="Segoe UI"/>
          <w:sz w:val="20"/>
          <w:szCs w:val="20"/>
          <w:lang w:eastAsia="en-AU"/>
        </w:rPr>
        <w:t>e givers</w:t>
      </w:r>
      <w:r>
        <w:rPr>
          <w:rFonts w:ascii="Segoe UI" w:hAnsi="Segoe UI" w:cs="Segoe UI"/>
          <w:sz w:val="20"/>
          <w:szCs w:val="20"/>
          <w:lang w:eastAsia="en-AU"/>
        </w:rPr>
        <w:t xml:space="preserve"> within these families - that are the most powerful influence on a child’s life and development.</w:t>
      </w:r>
    </w:p>
    <w:bookmarkEnd w:id="5"/>
    <w:p w14:paraId="60D2DC00" w14:textId="3FE8BE96" w:rsidR="008200E2" w:rsidRDefault="008200E2" w:rsidP="008200E2">
      <w:pPr>
        <w:rPr>
          <w:rFonts w:ascii="Segoe UI" w:hAnsi="Segoe UI" w:cs="Segoe UI"/>
          <w:sz w:val="20"/>
          <w:szCs w:val="20"/>
          <w:lang w:eastAsia="en-AU"/>
        </w:rPr>
      </w:pPr>
      <w:r>
        <w:rPr>
          <w:rFonts w:ascii="Segoe UI" w:hAnsi="Segoe UI" w:cs="Segoe UI"/>
          <w:sz w:val="20"/>
          <w:szCs w:val="20"/>
          <w:lang w:eastAsia="en-AU"/>
        </w:rPr>
        <w:t>The health of children and young people in Australia is fundamental to us all, to the individuals themselves, to their families and communities and to our nation. I commend it to you.</w:t>
      </w:r>
    </w:p>
    <w:p w14:paraId="144ECC23" w14:textId="77777777" w:rsidR="008200E2" w:rsidRDefault="008200E2" w:rsidP="008200E2">
      <w:pPr>
        <w:rPr>
          <w:rFonts w:ascii="Segoe UI" w:hAnsi="Segoe UI" w:cs="Segoe UI"/>
          <w:sz w:val="20"/>
          <w:szCs w:val="20"/>
          <w:lang w:eastAsia="en-AU"/>
        </w:rPr>
      </w:pPr>
      <w:r>
        <w:rPr>
          <w:rFonts w:ascii="Segoe UI" w:hAnsi="Segoe UI" w:cs="Segoe UI"/>
          <w:sz w:val="20"/>
          <w:szCs w:val="20"/>
          <w:lang w:eastAsia="en-AU"/>
        </w:rPr>
        <w:t>Sincerely</w:t>
      </w:r>
    </w:p>
    <w:p w14:paraId="6D415C7F" w14:textId="41E4DA90" w:rsidR="005326DF" w:rsidRPr="005326DF" w:rsidRDefault="00885E1E" w:rsidP="005326DF">
      <w:pPr>
        <w:rPr>
          <w:rFonts w:ascii="Segoe UI" w:hAnsi="Segoe UI" w:cs="Segoe UI"/>
          <w:sz w:val="20"/>
          <w:szCs w:val="20"/>
          <w:lang w:eastAsia="en-AU"/>
        </w:rPr>
      </w:pPr>
      <w:r>
        <w:rPr>
          <w:noProof/>
          <w:lang w:val="en-AU" w:eastAsia="en-AU"/>
        </w:rPr>
        <w:drawing>
          <wp:inline distT="0" distB="0" distL="0" distR="0" wp14:anchorId="03A19ECF" wp14:editId="180E6ABF">
            <wp:extent cx="2343150" cy="781050"/>
            <wp:effectExtent l="0" t="0" r="0" b="0"/>
            <wp:docPr id="7" name="Picture 7" descr="Signature of Greg Hunt MP" title="Signature of Greg Hun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150" cy="781050"/>
                    </a:xfrm>
                    <a:prstGeom prst="rect">
                      <a:avLst/>
                    </a:prstGeom>
                  </pic:spPr>
                </pic:pic>
              </a:graphicData>
            </a:graphic>
          </wp:inline>
        </w:drawing>
      </w:r>
    </w:p>
    <w:p w14:paraId="6163FF38" w14:textId="77777777" w:rsidR="005326DF" w:rsidRPr="005326DF" w:rsidRDefault="005326DF" w:rsidP="005326DF">
      <w:pPr>
        <w:rPr>
          <w:rFonts w:ascii="Segoe UI" w:hAnsi="Segoe UI" w:cs="Segoe UI"/>
          <w:b/>
          <w:sz w:val="20"/>
          <w:szCs w:val="20"/>
          <w:lang w:eastAsia="en-AU"/>
        </w:rPr>
      </w:pPr>
      <w:r w:rsidRPr="005326DF">
        <w:rPr>
          <w:rFonts w:ascii="Segoe UI" w:hAnsi="Segoe UI" w:cs="Segoe UI"/>
          <w:b/>
          <w:sz w:val="20"/>
          <w:szCs w:val="20"/>
          <w:lang w:eastAsia="en-AU"/>
        </w:rPr>
        <w:t>The Hon Greg Hunt MP</w:t>
      </w:r>
    </w:p>
    <w:p w14:paraId="5442F543" w14:textId="77777777" w:rsidR="005326DF" w:rsidRPr="005326DF" w:rsidRDefault="005326DF" w:rsidP="005326DF">
      <w:pPr>
        <w:rPr>
          <w:rFonts w:ascii="Segoe UI" w:hAnsi="Segoe UI" w:cs="Segoe UI"/>
          <w:sz w:val="20"/>
          <w:szCs w:val="20"/>
          <w:lang w:eastAsia="en-AU"/>
        </w:rPr>
      </w:pPr>
      <w:r w:rsidRPr="005326DF">
        <w:rPr>
          <w:rFonts w:ascii="Segoe UI" w:hAnsi="Segoe UI" w:cs="Segoe UI"/>
          <w:sz w:val="20"/>
          <w:szCs w:val="20"/>
          <w:lang w:eastAsia="en-AU"/>
        </w:rPr>
        <w:t>Minister for Health</w:t>
      </w:r>
    </w:p>
    <w:p w14:paraId="27C7F717" w14:textId="77777777" w:rsidR="005326DF" w:rsidRPr="00362781" w:rsidRDefault="005326DF" w:rsidP="005326DF">
      <w:pPr>
        <w:rPr>
          <w:rFonts w:ascii="Segoe UI" w:hAnsi="Segoe UI" w:cs="Segoe UI"/>
          <w:sz w:val="20"/>
          <w:szCs w:val="20"/>
          <w:lang w:eastAsia="en-AU"/>
        </w:rPr>
      </w:pPr>
      <w:r>
        <w:rPr>
          <w:rFonts w:ascii="Arial" w:eastAsia="Arial" w:hAnsi="Arial" w:cs="Arial"/>
          <w:color w:val="131313"/>
          <w:w w:val="95"/>
          <w:sz w:val="23"/>
          <w:szCs w:val="23"/>
        </w:rPr>
        <w:br w:type="page"/>
      </w:r>
    </w:p>
    <w:p w14:paraId="7D094FDB" w14:textId="77777777" w:rsidR="000356F0" w:rsidRDefault="000356F0" w:rsidP="000356F0">
      <w:pPr>
        <w:rPr>
          <w:lang w:eastAsia="en-AU"/>
        </w:rPr>
      </w:pPr>
    </w:p>
    <w:p w14:paraId="694985F5" w14:textId="77777777" w:rsidR="000356F0" w:rsidRPr="000356F0" w:rsidRDefault="000356F0" w:rsidP="000356F0">
      <w:pPr>
        <w:rPr>
          <w:lang w:eastAsia="en-AU"/>
        </w:rPr>
      </w:pPr>
    </w:p>
    <w:p w14:paraId="44A4FC84" w14:textId="77777777" w:rsidR="0024039D" w:rsidRDefault="0024039D" w:rsidP="00B7016B">
      <w:pPr>
        <w:pStyle w:val="Heading1"/>
        <w:sectPr w:rsidR="0024039D" w:rsidSect="00D76802">
          <w:footerReference w:type="default" r:id="rId23"/>
          <w:endnotePr>
            <w:numFmt w:val="decimal"/>
          </w:endnotePr>
          <w:type w:val="continuous"/>
          <w:pgSz w:w="11907" w:h="16839" w:code="9"/>
          <w:pgMar w:top="1134" w:right="1134" w:bottom="1134" w:left="1134" w:header="720" w:footer="210" w:gutter="0"/>
          <w:pgNumType w:fmt="lowerRoman" w:start="1"/>
          <w:cols w:space="720"/>
          <w:docGrid w:linePitch="360"/>
        </w:sectPr>
      </w:pPr>
    </w:p>
    <w:p w14:paraId="08783F1B" w14:textId="77777777" w:rsidR="005C0A6C" w:rsidRPr="000356F0" w:rsidRDefault="005C0A6C" w:rsidP="00B7016B">
      <w:pPr>
        <w:pStyle w:val="Heading1"/>
      </w:pPr>
      <w:bookmarkStart w:id="6" w:name="_Toc4873470"/>
      <w:bookmarkStart w:id="7" w:name="_Toc5282297"/>
      <w:r w:rsidRPr="00B7016B">
        <w:lastRenderedPageBreak/>
        <w:t>Acknowledgements</w:t>
      </w:r>
      <w:bookmarkEnd w:id="6"/>
      <w:bookmarkEnd w:id="7"/>
    </w:p>
    <w:p w14:paraId="0819988C" w14:textId="77777777" w:rsidR="0024039D" w:rsidRPr="0024039D" w:rsidRDefault="0024039D" w:rsidP="0024039D">
      <w:pPr>
        <w:rPr>
          <w:sz w:val="20"/>
        </w:rPr>
      </w:pPr>
      <w:r w:rsidRPr="0024039D">
        <w:rPr>
          <w:sz w:val="20"/>
        </w:rPr>
        <w:t xml:space="preserve">We want to acknowledge and thank the 500+ people who have contributed to the development of this </w:t>
      </w:r>
      <w:r w:rsidR="00821EBD">
        <w:rPr>
          <w:sz w:val="20"/>
        </w:rPr>
        <w:t xml:space="preserve">Action Plan. </w:t>
      </w:r>
      <w:r w:rsidRPr="0024039D">
        <w:rPr>
          <w:sz w:val="20"/>
        </w:rPr>
        <w:t>Their involvement and expert advice have helped to create this Action Plan and make a difference to the future health of Australian children and young people.</w:t>
      </w:r>
    </w:p>
    <w:p w14:paraId="58FDED01" w14:textId="77777777" w:rsidR="00EB4A1A" w:rsidRDefault="0024039D" w:rsidP="00EB4A1A">
      <w:pPr>
        <w:spacing w:after="360"/>
        <w:rPr>
          <w:sz w:val="20"/>
        </w:rPr>
        <w:sectPr w:rsidR="00EB4A1A" w:rsidSect="00D76802">
          <w:endnotePr>
            <w:numFmt w:val="decimal"/>
          </w:endnotePr>
          <w:pgSz w:w="11907" w:h="16839"/>
          <w:pgMar w:top="1134" w:right="1134" w:bottom="1134" w:left="1134" w:header="425" w:footer="210" w:gutter="0"/>
          <w:pgNumType w:fmt="lowerRoman" w:start="3"/>
          <w:cols w:space="720"/>
        </w:sectPr>
      </w:pPr>
      <w:r w:rsidRPr="0024039D">
        <w:rPr>
          <w:sz w:val="20"/>
        </w:rPr>
        <w:t>We would particularly like to thank the following people and organisations:</w:t>
      </w:r>
    </w:p>
    <w:p w14:paraId="207A1768" w14:textId="77777777" w:rsidR="00EB4A1A" w:rsidRDefault="00EB4A1A" w:rsidP="00EB4A1A">
      <w:pPr>
        <w:pStyle w:val="ListParagraph"/>
        <w:numPr>
          <w:ilvl w:val="0"/>
          <w:numId w:val="15"/>
        </w:numPr>
        <w:ind w:left="321" w:hanging="284"/>
        <w:contextualSpacing w:val="0"/>
        <w:rPr>
          <w:color w:val="339933"/>
          <w:sz w:val="20"/>
          <w:szCs w:val="20"/>
        </w:rPr>
      </w:pPr>
      <w:r w:rsidRPr="0024039D">
        <w:rPr>
          <w:color w:val="339933"/>
          <w:sz w:val="20"/>
          <w:szCs w:val="20"/>
        </w:rPr>
        <w:t>Allied Health Professions Australia</w:t>
      </w:r>
    </w:p>
    <w:p w14:paraId="06E0B4AC" w14:textId="77777777" w:rsidR="00EB4A1A" w:rsidRDefault="00EB4A1A" w:rsidP="00EB4A1A">
      <w:pPr>
        <w:pStyle w:val="ListParagraph"/>
        <w:numPr>
          <w:ilvl w:val="0"/>
          <w:numId w:val="15"/>
        </w:numPr>
        <w:ind w:left="321" w:hanging="284"/>
        <w:contextualSpacing w:val="0"/>
        <w:rPr>
          <w:color w:val="339933"/>
          <w:sz w:val="20"/>
          <w:szCs w:val="20"/>
        </w:rPr>
      </w:pPr>
      <w:r w:rsidRPr="0024039D">
        <w:rPr>
          <w:color w:val="339933"/>
          <w:sz w:val="20"/>
          <w:szCs w:val="20"/>
        </w:rPr>
        <w:t>Australian Council of Social Service</w:t>
      </w:r>
    </w:p>
    <w:p w14:paraId="757FCD53"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Australian Indigenous HealthInfoNet</w:t>
      </w:r>
    </w:p>
    <w:p w14:paraId="42F4D4C0"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Australian Institute of Family Studies</w:t>
      </w:r>
    </w:p>
    <w:p w14:paraId="45929D4C" w14:textId="77777777" w:rsidR="00EB4A1A" w:rsidRPr="0024039D" w:rsidRDefault="00EB4A1A" w:rsidP="00EB4A1A">
      <w:pPr>
        <w:pStyle w:val="ListParagraph"/>
        <w:numPr>
          <w:ilvl w:val="0"/>
          <w:numId w:val="15"/>
        </w:numPr>
        <w:ind w:left="321" w:hanging="284"/>
        <w:contextualSpacing w:val="0"/>
        <w:rPr>
          <w:color w:val="339933"/>
          <w:sz w:val="20"/>
          <w:szCs w:val="20"/>
        </w:rPr>
      </w:pPr>
      <w:r w:rsidRPr="0024039D">
        <w:rPr>
          <w:color w:val="339933"/>
          <w:sz w:val="20"/>
          <w:szCs w:val="20"/>
        </w:rPr>
        <w:t>Australian Medical Association</w:t>
      </w:r>
    </w:p>
    <w:p w14:paraId="24A93465"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Australian Nursing &amp; Midwifery Federation</w:t>
      </w:r>
    </w:p>
    <w:p w14:paraId="0A4BBA9F"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Australian Paediatric Society</w:t>
      </w:r>
    </w:p>
    <w:p w14:paraId="065B6778" w14:textId="5AAEAA56" w:rsidR="00D76802" w:rsidRDefault="00EB4A1A" w:rsidP="00EB4A1A">
      <w:pPr>
        <w:pStyle w:val="ListParagraph"/>
        <w:numPr>
          <w:ilvl w:val="0"/>
          <w:numId w:val="15"/>
        </w:numPr>
        <w:tabs>
          <w:tab w:val="left" w:pos="460"/>
        </w:tabs>
        <w:ind w:left="321" w:hanging="284"/>
        <w:contextualSpacing w:val="0"/>
        <w:rPr>
          <w:color w:val="339933"/>
          <w:sz w:val="20"/>
          <w:szCs w:val="20"/>
        </w:rPr>
      </w:pPr>
      <w:r>
        <w:rPr>
          <w:color w:val="339933"/>
          <w:sz w:val="20"/>
          <w:szCs w:val="20"/>
        </w:rPr>
        <w:t>Australian Research Allian</w:t>
      </w:r>
      <w:r w:rsidR="00D76802">
        <w:rPr>
          <w:color w:val="339933"/>
          <w:sz w:val="20"/>
          <w:szCs w:val="20"/>
        </w:rPr>
        <w:t>ce for Children and Youth</w:t>
      </w:r>
    </w:p>
    <w:p w14:paraId="16431485" w14:textId="58FD3EB4"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Parenting Research Centre</w:t>
      </w:r>
    </w:p>
    <w:p w14:paraId="2676F2FB"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beyondblue</w:t>
      </w:r>
    </w:p>
    <w:p w14:paraId="3C5457A8"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Children and Young People with Disability Australia</w:t>
      </w:r>
    </w:p>
    <w:p w14:paraId="0AB3A505" w14:textId="77777777" w:rsidR="00EB4A1A" w:rsidRPr="0024039D" w:rsidRDefault="00EB4A1A" w:rsidP="00EB4A1A">
      <w:pPr>
        <w:pStyle w:val="ListParagraph"/>
        <w:numPr>
          <w:ilvl w:val="0"/>
          <w:numId w:val="15"/>
        </w:numPr>
        <w:tabs>
          <w:tab w:val="left" w:pos="460"/>
        </w:tabs>
        <w:ind w:left="321" w:hanging="284"/>
        <w:contextualSpacing w:val="0"/>
        <w:rPr>
          <w:color w:val="339933"/>
          <w:sz w:val="20"/>
          <w:szCs w:val="20"/>
        </w:rPr>
      </w:pPr>
      <w:r w:rsidRPr="0024039D">
        <w:rPr>
          <w:color w:val="339933"/>
          <w:sz w:val="20"/>
          <w:szCs w:val="20"/>
        </w:rPr>
        <w:t>Dietitians Association of Australia</w:t>
      </w:r>
    </w:p>
    <w:p w14:paraId="28CE7441" w14:textId="77777777" w:rsidR="00EB4A1A" w:rsidRPr="0024039D" w:rsidRDefault="00EB4A1A" w:rsidP="00EB4A1A">
      <w:pPr>
        <w:pStyle w:val="ListParagraph"/>
        <w:numPr>
          <w:ilvl w:val="0"/>
          <w:numId w:val="15"/>
        </w:numPr>
        <w:ind w:left="321" w:hanging="284"/>
        <w:contextualSpacing w:val="0"/>
        <w:rPr>
          <w:color w:val="339933"/>
          <w:sz w:val="20"/>
          <w:szCs w:val="20"/>
        </w:rPr>
      </w:pPr>
      <w:r w:rsidRPr="0024039D">
        <w:rPr>
          <w:color w:val="339933"/>
          <w:sz w:val="20"/>
          <w:szCs w:val="20"/>
        </w:rPr>
        <w:t>Julie Inman Grant and the Office of the eSafety Commissioner</w:t>
      </w:r>
    </w:p>
    <w:p w14:paraId="134EA760" w14:textId="77777777" w:rsidR="00EB4A1A" w:rsidRPr="0024039D" w:rsidRDefault="00EB4A1A" w:rsidP="00EB4A1A">
      <w:pPr>
        <w:pStyle w:val="ListParagraph"/>
        <w:numPr>
          <w:ilvl w:val="0"/>
          <w:numId w:val="15"/>
        </w:numPr>
        <w:ind w:left="321" w:hanging="284"/>
        <w:contextualSpacing w:val="0"/>
        <w:rPr>
          <w:color w:val="339933"/>
          <w:sz w:val="20"/>
          <w:szCs w:val="20"/>
        </w:rPr>
      </w:pPr>
      <w:r w:rsidRPr="0024039D">
        <w:rPr>
          <w:color w:val="339933"/>
          <w:sz w:val="20"/>
          <w:szCs w:val="20"/>
        </w:rPr>
        <w:t>Megan Mitchell and the Office of the National Children’s Commissioner</w:t>
      </w:r>
    </w:p>
    <w:p w14:paraId="4B77C579" w14:textId="77777777" w:rsidR="00EB4A1A" w:rsidRDefault="00EB4A1A" w:rsidP="00EB4A1A">
      <w:pPr>
        <w:pStyle w:val="ListParagraph"/>
        <w:numPr>
          <w:ilvl w:val="0"/>
          <w:numId w:val="15"/>
        </w:numPr>
        <w:tabs>
          <w:tab w:val="left" w:pos="460"/>
        </w:tabs>
        <w:ind w:left="321" w:hanging="284"/>
        <w:contextualSpacing w:val="0"/>
        <w:rPr>
          <w:color w:val="339933"/>
          <w:sz w:val="20"/>
          <w:szCs w:val="20"/>
        </w:rPr>
      </w:pPr>
      <w:r w:rsidRPr="00EB4A1A">
        <w:rPr>
          <w:color w:val="339933"/>
          <w:sz w:val="20"/>
          <w:szCs w:val="20"/>
        </w:rPr>
        <w:t>Murdoch Children’s Research Institute</w:t>
      </w:r>
    </w:p>
    <w:p w14:paraId="4CDF8441" w14:textId="77777777" w:rsidR="00EB4A1A" w:rsidRDefault="00EB4A1A" w:rsidP="00EB4A1A">
      <w:pPr>
        <w:pStyle w:val="ListParagraph"/>
        <w:numPr>
          <w:ilvl w:val="0"/>
          <w:numId w:val="15"/>
        </w:numPr>
        <w:tabs>
          <w:tab w:val="left" w:pos="460"/>
        </w:tabs>
        <w:ind w:left="321" w:hanging="284"/>
        <w:contextualSpacing w:val="0"/>
        <w:rPr>
          <w:color w:val="339933"/>
          <w:sz w:val="20"/>
          <w:szCs w:val="20"/>
        </w:rPr>
      </w:pPr>
      <w:r w:rsidRPr="00EB4A1A">
        <w:rPr>
          <w:color w:val="339933"/>
          <w:sz w:val="20"/>
          <w:szCs w:val="20"/>
        </w:rPr>
        <w:t>National Rural Health Alliance</w:t>
      </w:r>
    </w:p>
    <w:p w14:paraId="35E18E86" w14:textId="77777777" w:rsidR="00EB4A1A" w:rsidRPr="00EB4A1A" w:rsidRDefault="00EB4A1A" w:rsidP="00EB4A1A">
      <w:pPr>
        <w:tabs>
          <w:tab w:val="left" w:pos="460"/>
        </w:tabs>
        <w:ind w:left="37"/>
        <w:rPr>
          <w:color w:val="339933"/>
          <w:sz w:val="20"/>
          <w:szCs w:val="20"/>
        </w:rPr>
      </w:pPr>
    </w:p>
    <w:p w14:paraId="29258D83" w14:textId="77777777" w:rsidR="00EB4A1A" w:rsidRPr="0024039D" w:rsidRDefault="00EB4A1A" w:rsidP="00EB4A1A">
      <w:pPr>
        <w:pStyle w:val="ListParagraph"/>
        <w:numPr>
          <w:ilvl w:val="0"/>
          <w:numId w:val="15"/>
        </w:numPr>
        <w:ind w:left="321" w:hanging="284"/>
        <w:contextualSpacing w:val="0"/>
        <w:rPr>
          <w:color w:val="339933"/>
          <w:sz w:val="20"/>
          <w:szCs w:val="20"/>
        </w:rPr>
      </w:pPr>
      <w:r w:rsidRPr="0024039D">
        <w:rPr>
          <w:color w:val="339933"/>
          <w:sz w:val="20"/>
          <w:szCs w:val="20"/>
        </w:rPr>
        <w:t>Orygen</w:t>
      </w:r>
    </w:p>
    <w:p w14:paraId="20B2A479"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Public Health Association of Australia</w:t>
      </w:r>
    </w:p>
    <w:p w14:paraId="005C6D2F" w14:textId="77777777" w:rsidR="00EB4A1A" w:rsidRPr="0024039D" w:rsidRDefault="00EB4A1A" w:rsidP="00EB4A1A">
      <w:pPr>
        <w:pStyle w:val="ListParagraph"/>
        <w:numPr>
          <w:ilvl w:val="0"/>
          <w:numId w:val="15"/>
        </w:numPr>
        <w:ind w:left="318" w:hanging="283"/>
        <w:contextualSpacing w:val="0"/>
        <w:rPr>
          <w:color w:val="339933"/>
          <w:sz w:val="20"/>
          <w:szCs w:val="20"/>
        </w:rPr>
      </w:pPr>
      <w:r>
        <w:rPr>
          <w:color w:val="339933"/>
          <w:sz w:val="20"/>
          <w:szCs w:val="20"/>
        </w:rPr>
        <w:t>Research Consultants – Angela Southwell, Neil Stafford and Rachael Wilken</w:t>
      </w:r>
    </w:p>
    <w:p w14:paraId="74D55287"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Royal Australasian College of Physicians</w:t>
      </w:r>
    </w:p>
    <w:p w14:paraId="36CBF690"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Royal Australasian College of Surgeons</w:t>
      </w:r>
    </w:p>
    <w:p w14:paraId="49BEBB5E"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SNAICC – National Voice for our Children</w:t>
      </w:r>
    </w:p>
    <w:p w14:paraId="3526E2CF"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 xml:space="preserve">State and Territory Departments of Health </w:t>
      </w:r>
    </w:p>
    <w:p w14:paraId="2FD7FAFD"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Telethon Kids Institute</w:t>
      </w:r>
    </w:p>
    <w:p w14:paraId="0BC482F2"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 xml:space="preserve">The Australian Institute of Health and Welfare </w:t>
      </w:r>
    </w:p>
    <w:p w14:paraId="0CE038E3"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The Department of Prime Minister and Cabinet</w:t>
      </w:r>
    </w:p>
    <w:p w14:paraId="10F30E12"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The Department of Social Services</w:t>
      </w:r>
    </w:p>
    <w:p w14:paraId="576F8574"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The Royal Australasian College of Physicians</w:t>
      </w:r>
    </w:p>
    <w:p w14:paraId="6C5FA6D4"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The Youth Health Forum and the Consumers Health Forum of Australia</w:t>
      </w:r>
    </w:p>
    <w:p w14:paraId="2C8FFE3D" w14:textId="77777777" w:rsidR="00EB4A1A" w:rsidRPr="0024039D" w:rsidRDefault="00EB4A1A" w:rsidP="00EB4A1A">
      <w:pPr>
        <w:pStyle w:val="ListParagraph"/>
        <w:numPr>
          <w:ilvl w:val="0"/>
          <w:numId w:val="15"/>
        </w:numPr>
        <w:ind w:left="318" w:hanging="283"/>
        <w:contextualSpacing w:val="0"/>
        <w:rPr>
          <w:color w:val="339933"/>
          <w:sz w:val="20"/>
          <w:szCs w:val="20"/>
        </w:rPr>
      </w:pPr>
      <w:r w:rsidRPr="0024039D">
        <w:rPr>
          <w:color w:val="339933"/>
          <w:sz w:val="20"/>
          <w:szCs w:val="20"/>
        </w:rPr>
        <w:t>Vision 2020 Australia</w:t>
      </w:r>
    </w:p>
    <w:p w14:paraId="0BB2A06C" w14:textId="44356D3B" w:rsidR="00EB4A1A" w:rsidRDefault="00EB4A1A" w:rsidP="00D67FBF">
      <w:pPr>
        <w:pStyle w:val="ListParagraph"/>
        <w:numPr>
          <w:ilvl w:val="0"/>
          <w:numId w:val="15"/>
        </w:numPr>
        <w:ind w:left="318" w:hanging="283"/>
        <w:contextualSpacing w:val="0"/>
        <w:rPr>
          <w:sz w:val="20"/>
        </w:rPr>
        <w:sectPr w:rsidR="00EB4A1A" w:rsidSect="00EB4A1A">
          <w:endnotePr>
            <w:numFmt w:val="decimal"/>
          </w:endnotePr>
          <w:type w:val="continuous"/>
          <w:pgSz w:w="11907" w:h="16839"/>
          <w:pgMar w:top="1134" w:right="1134" w:bottom="1134" w:left="1134" w:header="425" w:footer="210" w:gutter="0"/>
          <w:pgNumType w:start="1"/>
          <w:cols w:num="2" w:space="720"/>
        </w:sectPr>
      </w:pPr>
      <w:r w:rsidRPr="0024039D">
        <w:rPr>
          <w:color w:val="339933"/>
          <w:sz w:val="20"/>
          <w:szCs w:val="20"/>
        </w:rPr>
        <w:t>Women and Children’s Healthcare Australasia</w:t>
      </w:r>
    </w:p>
    <w:p w14:paraId="5EC0F8AB" w14:textId="77777777" w:rsidR="00EB4A1A" w:rsidRPr="0024039D" w:rsidRDefault="00EB4A1A" w:rsidP="0024039D">
      <w:pPr>
        <w:rPr>
          <w:sz w:val="20"/>
        </w:rPr>
      </w:pPr>
    </w:p>
    <w:p w14:paraId="166985FE" w14:textId="77777777" w:rsidR="00C2720C" w:rsidRDefault="00C2720C" w:rsidP="00EB4A1A">
      <w:pPr>
        <w:pStyle w:val="ListParagraph"/>
        <w:tabs>
          <w:tab w:val="left" w:pos="460"/>
        </w:tabs>
        <w:ind w:left="460"/>
        <w:contextualSpacing w:val="0"/>
        <w:rPr>
          <w:rFonts w:cstheme="minorHAnsi"/>
          <w:i/>
        </w:rPr>
        <w:sectPr w:rsidR="00C2720C" w:rsidSect="00EB4A1A">
          <w:endnotePr>
            <w:numFmt w:val="decimal"/>
          </w:endnotePr>
          <w:type w:val="continuous"/>
          <w:pgSz w:w="11907" w:h="16839"/>
          <w:pgMar w:top="1134" w:right="1134" w:bottom="1134" w:left="1134" w:header="425" w:footer="210" w:gutter="0"/>
          <w:pgNumType w:start="1"/>
          <w:cols w:space="720"/>
        </w:sectPr>
      </w:pPr>
    </w:p>
    <w:p w14:paraId="33CB3519" w14:textId="77777777" w:rsidR="00DD4037" w:rsidRDefault="00DD4037" w:rsidP="00EB4A1A">
      <w:pPr>
        <w:pStyle w:val="ListParagraph"/>
        <w:tabs>
          <w:tab w:val="left" w:pos="460"/>
        </w:tabs>
        <w:ind w:left="460"/>
        <w:contextualSpacing w:val="0"/>
        <w:rPr>
          <w:rFonts w:cstheme="minorHAnsi"/>
          <w:i/>
        </w:rPr>
        <w:sectPr w:rsidR="00DD4037" w:rsidSect="00C2720C">
          <w:endnotePr>
            <w:numFmt w:val="decimal"/>
          </w:endnotePr>
          <w:pgSz w:w="11907" w:h="16839"/>
          <w:pgMar w:top="1134" w:right="1134" w:bottom="1134" w:left="1134" w:header="425" w:footer="210" w:gutter="0"/>
          <w:pgNumType w:fmt="lowerRoman" w:start="5"/>
          <w:cols w:space="720"/>
        </w:sectPr>
      </w:pPr>
    </w:p>
    <w:p w14:paraId="175A7ED6" w14:textId="77777777" w:rsidR="006063C1" w:rsidRPr="00011F69" w:rsidRDefault="006063C1" w:rsidP="006063C1">
      <w:pPr>
        <w:pStyle w:val="Bullet"/>
        <w:numPr>
          <w:ilvl w:val="0"/>
          <w:numId w:val="0"/>
        </w:numPr>
        <w:spacing w:line="259" w:lineRule="auto"/>
        <w:rPr>
          <w:rFonts w:asciiTheme="minorHAnsi" w:hAnsiTheme="minorHAnsi" w:cstheme="minorHAnsi"/>
          <w:sz w:val="22"/>
        </w:rPr>
      </w:pPr>
    </w:p>
    <w:bookmarkStart w:id="8" w:name="_Toc5282298" w:displacedByCustomXml="next"/>
    <w:bookmarkStart w:id="9" w:name="_Toc4873471" w:displacedByCustomXml="next"/>
    <w:bookmarkStart w:id="10" w:name="_Toc519699083" w:displacedByCustomXml="next"/>
    <w:bookmarkStart w:id="11" w:name="_Toc508811236" w:displacedByCustomXml="next"/>
    <w:sdt>
      <w:sdtPr>
        <w:rPr>
          <w:rFonts w:asciiTheme="minorHAnsi" w:hAnsiTheme="minorHAnsi"/>
          <w:b w:val="0"/>
          <w:color w:val="auto"/>
          <w:sz w:val="24"/>
          <w:szCs w:val="24"/>
          <w:lang w:eastAsia="en-US"/>
        </w:rPr>
        <w:id w:val="-1458644396"/>
        <w:docPartObj>
          <w:docPartGallery w:val="Table of Contents"/>
          <w:docPartUnique/>
        </w:docPartObj>
      </w:sdtPr>
      <w:sdtEndPr>
        <w:rPr>
          <w:bCs/>
          <w:noProof/>
        </w:rPr>
      </w:sdtEndPr>
      <w:sdtContent>
        <w:p w14:paraId="05C0A898" w14:textId="77777777" w:rsidR="00A865C0" w:rsidRDefault="00A865C0" w:rsidP="00B7016B">
          <w:pPr>
            <w:pStyle w:val="Heading1"/>
          </w:pPr>
          <w:r>
            <w:t>Contents</w:t>
          </w:r>
          <w:bookmarkEnd w:id="9"/>
          <w:bookmarkEnd w:id="8"/>
        </w:p>
        <w:p w14:paraId="511D75BE" w14:textId="6220DAFD" w:rsidR="00324B28" w:rsidRDefault="00A865C0">
          <w:pPr>
            <w:pStyle w:val="TOC1"/>
            <w:tabs>
              <w:tab w:val="right" w:leader="dot" w:pos="9629"/>
            </w:tabs>
            <w:rPr>
              <w:rFonts w:asciiTheme="minorHAnsi" w:eastAsiaTheme="minorEastAsia" w:hAnsiTheme="minorHAnsi"/>
              <w:noProof/>
              <w:sz w:val="22"/>
              <w:lang w:val="en-AU" w:eastAsia="en-AU"/>
            </w:rPr>
          </w:pPr>
          <w:r w:rsidRPr="00FF12AB">
            <w:rPr>
              <w:rFonts w:cs="Segoe UI"/>
              <w:b/>
              <w:bCs/>
              <w:noProof/>
              <w:color w:val="000000"/>
              <w:sz w:val="22"/>
            </w:rPr>
            <w:fldChar w:fldCharType="begin"/>
          </w:r>
          <w:r w:rsidRPr="00FF12AB">
            <w:rPr>
              <w:b/>
              <w:bCs/>
              <w:noProof/>
              <w:sz w:val="22"/>
            </w:rPr>
            <w:instrText xml:space="preserve"> TOC \o "1-3" \h \z \u </w:instrText>
          </w:r>
          <w:r w:rsidRPr="00FF12AB">
            <w:rPr>
              <w:rFonts w:cs="Segoe UI"/>
              <w:b/>
              <w:bCs/>
              <w:noProof/>
              <w:color w:val="000000"/>
              <w:sz w:val="22"/>
            </w:rPr>
            <w:fldChar w:fldCharType="separate"/>
          </w:r>
          <w:hyperlink w:anchor="_Toc5282296" w:history="1">
            <w:r w:rsidR="00324B28" w:rsidRPr="00945DB6">
              <w:rPr>
                <w:rStyle w:val="Hyperlink"/>
                <w:noProof/>
              </w:rPr>
              <w:t>Foreword</w:t>
            </w:r>
            <w:r w:rsidR="00324B28">
              <w:rPr>
                <w:noProof/>
                <w:webHidden/>
              </w:rPr>
              <w:tab/>
            </w:r>
            <w:r w:rsidR="00324B28">
              <w:rPr>
                <w:noProof/>
                <w:webHidden/>
              </w:rPr>
              <w:fldChar w:fldCharType="begin"/>
            </w:r>
            <w:r w:rsidR="00324B28">
              <w:rPr>
                <w:noProof/>
                <w:webHidden/>
              </w:rPr>
              <w:instrText xml:space="preserve"> PAGEREF _Toc5282296 \h </w:instrText>
            </w:r>
            <w:r w:rsidR="00324B28">
              <w:rPr>
                <w:noProof/>
                <w:webHidden/>
              </w:rPr>
            </w:r>
            <w:r w:rsidR="00324B28">
              <w:rPr>
                <w:noProof/>
                <w:webHidden/>
              </w:rPr>
              <w:fldChar w:fldCharType="separate"/>
            </w:r>
            <w:r w:rsidR="00324B28">
              <w:rPr>
                <w:noProof/>
                <w:webHidden/>
              </w:rPr>
              <w:t>i</w:t>
            </w:r>
            <w:r w:rsidR="00324B28">
              <w:rPr>
                <w:noProof/>
                <w:webHidden/>
              </w:rPr>
              <w:fldChar w:fldCharType="end"/>
            </w:r>
          </w:hyperlink>
        </w:p>
        <w:p w14:paraId="723AD176" w14:textId="45FD6A06" w:rsidR="00324B28" w:rsidRDefault="006B587A">
          <w:pPr>
            <w:pStyle w:val="TOC1"/>
            <w:tabs>
              <w:tab w:val="right" w:leader="dot" w:pos="9629"/>
            </w:tabs>
            <w:rPr>
              <w:rFonts w:asciiTheme="minorHAnsi" w:eastAsiaTheme="minorEastAsia" w:hAnsiTheme="minorHAnsi"/>
              <w:noProof/>
              <w:sz w:val="22"/>
              <w:lang w:val="en-AU" w:eastAsia="en-AU"/>
            </w:rPr>
          </w:pPr>
          <w:hyperlink w:anchor="_Toc5282297" w:history="1">
            <w:r w:rsidR="00324B28" w:rsidRPr="00945DB6">
              <w:rPr>
                <w:rStyle w:val="Hyperlink"/>
                <w:noProof/>
              </w:rPr>
              <w:t>Acknowledgements</w:t>
            </w:r>
            <w:r w:rsidR="00324B28">
              <w:rPr>
                <w:noProof/>
                <w:webHidden/>
              </w:rPr>
              <w:tab/>
            </w:r>
            <w:r w:rsidR="00324B28">
              <w:rPr>
                <w:noProof/>
                <w:webHidden/>
              </w:rPr>
              <w:fldChar w:fldCharType="begin"/>
            </w:r>
            <w:r w:rsidR="00324B28">
              <w:rPr>
                <w:noProof/>
                <w:webHidden/>
              </w:rPr>
              <w:instrText xml:space="preserve"> PAGEREF _Toc5282297 \h </w:instrText>
            </w:r>
            <w:r w:rsidR="00324B28">
              <w:rPr>
                <w:noProof/>
                <w:webHidden/>
              </w:rPr>
            </w:r>
            <w:r w:rsidR="00324B28">
              <w:rPr>
                <w:noProof/>
                <w:webHidden/>
              </w:rPr>
              <w:fldChar w:fldCharType="separate"/>
            </w:r>
            <w:r w:rsidR="00324B28">
              <w:rPr>
                <w:noProof/>
                <w:webHidden/>
              </w:rPr>
              <w:t>iii</w:t>
            </w:r>
            <w:r w:rsidR="00324B28">
              <w:rPr>
                <w:noProof/>
                <w:webHidden/>
              </w:rPr>
              <w:fldChar w:fldCharType="end"/>
            </w:r>
          </w:hyperlink>
        </w:p>
        <w:p w14:paraId="55829B18" w14:textId="750A1A9F" w:rsidR="00324B28" w:rsidRDefault="006B587A">
          <w:pPr>
            <w:pStyle w:val="TOC1"/>
            <w:tabs>
              <w:tab w:val="right" w:leader="dot" w:pos="9629"/>
            </w:tabs>
            <w:rPr>
              <w:rFonts w:asciiTheme="minorHAnsi" w:eastAsiaTheme="minorEastAsia" w:hAnsiTheme="minorHAnsi"/>
              <w:noProof/>
              <w:sz w:val="22"/>
              <w:lang w:val="en-AU" w:eastAsia="en-AU"/>
            </w:rPr>
          </w:pPr>
          <w:hyperlink w:anchor="_Toc5282298" w:history="1">
            <w:r w:rsidR="00324B28" w:rsidRPr="00945DB6">
              <w:rPr>
                <w:rStyle w:val="Hyperlink"/>
                <w:noProof/>
              </w:rPr>
              <w:t>Contents</w:t>
            </w:r>
            <w:r w:rsidR="00324B28">
              <w:rPr>
                <w:noProof/>
                <w:webHidden/>
              </w:rPr>
              <w:tab/>
            </w:r>
            <w:r w:rsidR="00324B28">
              <w:rPr>
                <w:noProof/>
                <w:webHidden/>
              </w:rPr>
              <w:fldChar w:fldCharType="begin"/>
            </w:r>
            <w:r w:rsidR="00324B28">
              <w:rPr>
                <w:noProof/>
                <w:webHidden/>
              </w:rPr>
              <w:instrText xml:space="preserve"> PAGEREF _Toc5282298 \h </w:instrText>
            </w:r>
            <w:r w:rsidR="00324B28">
              <w:rPr>
                <w:noProof/>
                <w:webHidden/>
              </w:rPr>
            </w:r>
            <w:r w:rsidR="00324B28">
              <w:rPr>
                <w:noProof/>
                <w:webHidden/>
              </w:rPr>
              <w:fldChar w:fldCharType="separate"/>
            </w:r>
            <w:r w:rsidR="00324B28">
              <w:rPr>
                <w:noProof/>
                <w:webHidden/>
              </w:rPr>
              <w:t>v</w:t>
            </w:r>
            <w:r w:rsidR="00324B28">
              <w:rPr>
                <w:noProof/>
                <w:webHidden/>
              </w:rPr>
              <w:fldChar w:fldCharType="end"/>
            </w:r>
          </w:hyperlink>
        </w:p>
        <w:p w14:paraId="0E84D20C" w14:textId="211A2AAB" w:rsidR="00324B28" w:rsidRDefault="006B587A">
          <w:pPr>
            <w:pStyle w:val="TOC1"/>
            <w:tabs>
              <w:tab w:val="right" w:leader="dot" w:pos="9629"/>
            </w:tabs>
            <w:rPr>
              <w:rFonts w:asciiTheme="minorHAnsi" w:eastAsiaTheme="minorEastAsia" w:hAnsiTheme="minorHAnsi"/>
              <w:noProof/>
              <w:sz w:val="22"/>
              <w:lang w:val="en-AU" w:eastAsia="en-AU"/>
            </w:rPr>
          </w:pPr>
          <w:hyperlink w:anchor="_Toc5282299" w:history="1">
            <w:r w:rsidR="00324B28" w:rsidRPr="00945DB6">
              <w:rPr>
                <w:rStyle w:val="Hyperlink"/>
                <w:noProof/>
              </w:rPr>
              <w:t>Executive summary</w:t>
            </w:r>
            <w:r w:rsidR="00324B28">
              <w:rPr>
                <w:noProof/>
                <w:webHidden/>
              </w:rPr>
              <w:tab/>
            </w:r>
            <w:r w:rsidR="00324B28">
              <w:rPr>
                <w:noProof/>
                <w:webHidden/>
              </w:rPr>
              <w:fldChar w:fldCharType="begin"/>
            </w:r>
            <w:r w:rsidR="00324B28">
              <w:rPr>
                <w:noProof/>
                <w:webHidden/>
              </w:rPr>
              <w:instrText xml:space="preserve"> PAGEREF _Toc5282299 \h </w:instrText>
            </w:r>
            <w:r w:rsidR="00324B28">
              <w:rPr>
                <w:noProof/>
                <w:webHidden/>
              </w:rPr>
            </w:r>
            <w:r w:rsidR="00324B28">
              <w:rPr>
                <w:noProof/>
                <w:webHidden/>
              </w:rPr>
              <w:fldChar w:fldCharType="separate"/>
            </w:r>
            <w:r w:rsidR="00324B28">
              <w:rPr>
                <w:noProof/>
                <w:webHidden/>
              </w:rPr>
              <w:t>1</w:t>
            </w:r>
            <w:r w:rsidR="00324B28">
              <w:rPr>
                <w:noProof/>
                <w:webHidden/>
              </w:rPr>
              <w:fldChar w:fldCharType="end"/>
            </w:r>
          </w:hyperlink>
        </w:p>
        <w:p w14:paraId="187AC02C" w14:textId="2105016A" w:rsidR="00324B28" w:rsidRDefault="006B587A">
          <w:pPr>
            <w:pStyle w:val="TOC1"/>
            <w:tabs>
              <w:tab w:val="right" w:leader="dot" w:pos="9629"/>
            </w:tabs>
            <w:rPr>
              <w:rFonts w:asciiTheme="minorHAnsi" w:eastAsiaTheme="minorEastAsia" w:hAnsiTheme="minorHAnsi"/>
              <w:noProof/>
              <w:sz w:val="22"/>
              <w:lang w:val="en-AU" w:eastAsia="en-AU"/>
            </w:rPr>
          </w:pPr>
          <w:hyperlink w:anchor="_Toc5282300" w:history="1">
            <w:r w:rsidR="00324B28" w:rsidRPr="00945DB6">
              <w:rPr>
                <w:rStyle w:val="Hyperlink"/>
                <w:noProof/>
              </w:rPr>
              <w:t>Action plan overview</w:t>
            </w:r>
            <w:r w:rsidR="00324B28">
              <w:rPr>
                <w:noProof/>
                <w:webHidden/>
              </w:rPr>
              <w:tab/>
            </w:r>
            <w:r w:rsidR="00324B28">
              <w:rPr>
                <w:noProof/>
                <w:webHidden/>
              </w:rPr>
              <w:fldChar w:fldCharType="begin"/>
            </w:r>
            <w:r w:rsidR="00324B28">
              <w:rPr>
                <w:noProof/>
                <w:webHidden/>
              </w:rPr>
              <w:instrText xml:space="preserve"> PAGEREF _Toc5282300 \h </w:instrText>
            </w:r>
            <w:r w:rsidR="00324B28">
              <w:rPr>
                <w:noProof/>
                <w:webHidden/>
              </w:rPr>
            </w:r>
            <w:r w:rsidR="00324B28">
              <w:rPr>
                <w:noProof/>
                <w:webHidden/>
              </w:rPr>
              <w:fldChar w:fldCharType="separate"/>
            </w:r>
            <w:r w:rsidR="00324B28">
              <w:rPr>
                <w:noProof/>
                <w:webHidden/>
              </w:rPr>
              <w:t>2</w:t>
            </w:r>
            <w:r w:rsidR="00324B28">
              <w:rPr>
                <w:noProof/>
                <w:webHidden/>
              </w:rPr>
              <w:fldChar w:fldCharType="end"/>
            </w:r>
          </w:hyperlink>
        </w:p>
        <w:p w14:paraId="382B1919" w14:textId="746DB8F1" w:rsidR="00324B28" w:rsidRDefault="006B587A">
          <w:pPr>
            <w:pStyle w:val="TOC1"/>
            <w:tabs>
              <w:tab w:val="right" w:leader="dot" w:pos="9629"/>
            </w:tabs>
            <w:rPr>
              <w:rFonts w:asciiTheme="minorHAnsi" w:eastAsiaTheme="minorEastAsia" w:hAnsiTheme="minorHAnsi"/>
              <w:noProof/>
              <w:sz w:val="22"/>
              <w:lang w:val="en-AU" w:eastAsia="en-AU"/>
            </w:rPr>
          </w:pPr>
          <w:hyperlink w:anchor="_Toc5282301" w:history="1">
            <w:r w:rsidR="00324B28" w:rsidRPr="00945DB6">
              <w:rPr>
                <w:rStyle w:val="Hyperlink"/>
                <w:noProof/>
              </w:rPr>
              <w:t>About the Action Plan</w:t>
            </w:r>
            <w:r w:rsidR="00324B28">
              <w:rPr>
                <w:noProof/>
                <w:webHidden/>
              </w:rPr>
              <w:tab/>
            </w:r>
            <w:r w:rsidR="00324B28">
              <w:rPr>
                <w:noProof/>
                <w:webHidden/>
              </w:rPr>
              <w:fldChar w:fldCharType="begin"/>
            </w:r>
            <w:r w:rsidR="00324B28">
              <w:rPr>
                <w:noProof/>
                <w:webHidden/>
              </w:rPr>
              <w:instrText xml:space="preserve"> PAGEREF _Toc5282301 \h </w:instrText>
            </w:r>
            <w:r w:rsidR="00324B28">
              <w:rPr>
                <w:noProof/>
                <w:webHidden/>
              </w:rPr>
            </w:r>
            <w:r w:rsidR="00324B28">
              <w:rPr>
                <w:noProof/>
                <w:webHidden/>
              </w:rPr>
              <w:fldChar w:fldCharType="separate"/>
            </w:r>
            <w:r w:rsidR="00324B28">
              <w:rPr>
                <w:noProof/>
                <w:webHidden/>
              </w:rPr>
              <w:t>3</w:t>
            </w:r>
            <w:r w:rsidR="00324B28">
              <w:rPr>
                <w:noProof/>
                <w:webHidden/>
              </w:rPr>
              <w:fldChar w:fldCharType="end"/>
            </w:r>
          </w:hyperlink>
        </w:p>
        <w:p w14:paraId="686EA800" w14:textId="1C884ABC" w:rsidR="00324B28" w:rsidRDefault="006B587A">
          <w:pPr>
            <w:pStyle w:val="TOC1"/>
            <w:tabs>
              <w:tab w:val="right" w:leader="dot" w:pos="9629"/>
            </w:tabs>
            <w:rPr>
              <w:rFonts w:asciiTheme="minorHAnsi" w:eastAsiaTheme="minorEastAsia" w:hAnsiTheme="minorHAnsi"/>
              <w:noProof/>
              <w:sz w:val="22"/>
              <w:lang w:val="en-AU" w:eastAsia="en-AU"/>
            </w:rPr>
          </w:pPr>
          <w:hyperlink w:anchor="_Toc5282302" w:history="1">
            <w:r w:rsidR="00324B28" w:rsidRPr="00945DB6">
              <w:rPr>
                <w:rStyle w:val="Hyperlink"/>
                <w:noProof/>
              </w:rPr>
              <w:t>Why we need an Action Plan</w:t>
            </w:r>
            <w:r w:rsidR="00324B28">
              <w:rPr>
                <w:noProof/>
                <w:webHidden/>
              </w:rPr>
              <w:tab/>
            </w:r>
            <w:r w:rsidR="00324B28">
              <w:rPr>
                <w:noProof/>
                <w:webHidden/>
              </w:rPr>
              <w:fldChar w:fldCharType="begin"/>
            </w:r>
            <w:r w:rsidR="00324B28">
              <w:rPr>
                <w:noProof/>
                <w:webHidden/>
              </w:rPr>
              <w:instrText xml:space="preserve"> PAGEREF _Toc5282302 \h </w:instrText>
            </w:r>
            <w:r w:rsidR="00324B28">
              <w:rPr>
                <w:noProof/>
                <w:webHidden/>
              </w:rPr>
            </w:r>
            <w:r w:rsidR="00324B28">
              <w:rPr>
                <w:noProof/>
                <w:webHidden/>
              </w:rPr>
              <w:fldChar w:fldCharType="separate"/>
            </w:r>
            <w:r w:rsidR="00324B28">
              <w:rPr>
                <w:noProof/>
                <w:webHidden/>
              </w:rPr>
              <w:t>3</w:t>
            </w:r>
            <w:r w:rsidR="00324B28">
              <w:rPr>
                <w:noProof/>
                <w:webHidden/>
              </w:rPr>
              <w:fldChar w:fldCharType="end"/>
            </w:r>
          </w:hyperlink>
        </w:p>
        <w:p w14:paraId="782FF29F" w14:textId="558F201E" w:rsidR="00324B28" w:rsidRDefault="006B587A">
          <w:pPr>
            <w:pStyle w:val="TOC1"/>
            <w:tabs>
              <w:tab w:val="right" w:leader="dot" w:pos="9629"/>
            </w:tabs>
            <w:rPr>
              <w:rFonts w:asciiTheme="minorHAnsi" w:eastAsiaTheme="minorEastAsia" w:hAnsiTheme="minorHAnsi"/>
              <w:noProof/>
              <w:sz w:val="22"/>
              <w:lang w:val="en-AU" w:eastAsia="en-AU"/>
            </w:rPr>
          </w:pPr>
          <w:hyperlink w:anchor="_Toc5282303" w:history="1">
            <w:r w:rsidR="00324B28" w:rsidRPr="00945DB6">
              <w:rPr>
                <w:rStyle w:val="Hyperlink"/>
                <w:noProof/>
              </w:rPr>
              <w:t>Priority areas</w:t>
            </w:r>
            <w:r w:rsidR="00324B28">
              <w:rPr>
                <w:noProof/>
                <w:webHidden/>
              </w:rPr>
              <w:tab/>
            </w:r>
            <w:r w:rsidR="00324B28">
              <w:rPr>
                <w:noProof/>
                <w:webHidden/>
              </w:rPr>
              <w:fldChar w:fldCharType="begin"/>
            </w:r>
            <w:r w:rsidR="00324B28">
              <w:rPr>
                <w:noProof/>
                <w:webHidden/>
              </w:rPr>
              <w:instrText xml:space="preserve"> PAGEREF _Toc5282303 \h </w:instrText>
            </w:r>
            <w:r w:rsidR="00324B28">
              <w:rPr>
                <w:noProof/>
                <w:webHidden/>
              </w:rPr>
            </w:r>
            <w:r w:rsidR="00324B28">
              <w:rPr>
                <w:noProof/>
                <w:webHidden/>
              </w:rPr>
              <w:fldChar w:fldCharType="separate"/>
            </w:r>
            <w:r w:rsidR="00324B28">
              <w:rPr>
                <w:noProof/>
                <w:webHidden/>
              </w:rPr>
              <w:t>11</w:t>
            </w:r>
            <w:r w:rsidR="00324B28">
              <w:rPr>
                <w:noProof/>
                <w:webHidden/>
              </w:rPr>
              <w:fldChar w:fldCharType="end"/>
            </w:r>
          </w:hyperlink>
        </w:p>
        <w:p w14:paraId="627BA9CE" w14:textId="23946933" w:rsidR="00324B28" w:rsidRDefault="006B587A">
          <w:pPr>
            <w:pStyle w:val="TOC2"/>
            <w:tabs>
              <w:tab w:val="right" w:leader="dot" w:pos="9629"/>
            </w:tabs>
            <w:rPr>
              <w:rFonts w:asciiTheme="minorHAnsi" w:eastAsiaTheme="minorEastAsia" w:hAnsiTheme="minorHAnsi"/>
              <w:noProof/>
              <w:sz w:val="22"/>
              <w:lang w:val="en-AU" w:eastAsia="en-AU"/>
            </w:rPr>
          </w:pPr>
          <w:hyperlink w:anchor="_Toc5282304" w:history="1">
            <w:r w:rsidR="00324B28" w:rsidRPr="00945DB6">
              <w:rPr>
                <w:rStyle w:val="Hyperlink"/>
                <w:noProof/>
              </w:rPr>
              <w:t>Priority Area 1: Improving health equity across populations</w:t>
            </w:r>
            <w:r w:rsidR="00324B28">
              <w:rPr>
                <w:noProof/>
                <w:webHidden/>
              </w:rPr>
              <w:tab/>
            </w:r>
            <w:r w:rsidR="00324B28">
              <w:rPr>
                <w:noProof/>
                <w:webHidden/>
              </w:rPr>
              <w:fldChar w:fldCharType="begin"/>
            </w:r>
            <w:r w:rsidR="00324B28">
              <w:rPr>
                <w:noProof/>
                <w:webHidden/>
              </w:rPr>
              <w:instrText xml:space="preserve"> PAGEREF _Toc5282304 \h </w:instrText>
            </w:r>
            <w:r w:rsidR="00324B28">
              <w:rPr>
                <w:noProof/>
                <w:webHidden/>
              </w:rPr>
            </w:r>
            <w:r w:rsidR="00324B28">
              <w:rPr>
                <w:noProof/>
                <w:webHidden/>
              </w:rPr>
              <w:fldChar w:fldCharType="separate"/>
            </w:r>
            <w:r w:rsidR="00324B28">
              <w:rPr>
                <w:noProof/>
                <w:webHidden/>
              </w:rPr>
              <w:t>12</w:t>
            </w:r>
            <w:r w:rsidR="00324B28">
              <w:rPr>
                <w:noProof/>
                <w:webHidden/>
              </w:rPr>
              <w:fldChar w:fldCharType="end"/>
            </w:r>
          </w:hyperlink>
        </w:p>
        <w:p w14:paraId="3D2E4157" w14:textId="726125F7" w:rsidR="00324B28" w:rsidRDefault="006B587A">
          <w:pPr>
            <w:pStyle w:val="TOC2"/>
            <w:tabs>
              <w:tab w:val="right" w:leader="dot" w:pos="9629"/>
            </w:tabs>
            <w:rPr>
              <w:rFonts w:asciiTheme="minorHAnsi" w:eastAsiaTheme="minorEastAsia" w:hAnsiTheme="minorHAnsi"/>
              <w:noProof/>
              <w:sz w:val="22"/>
              <w:lang w:val="en-AU" w:eastAsia="en-AU"/>
            </w:rPr>
          </w:pPr>
          <w:hyperlink w:anchor="_Toc5282305" w:history="1">
            <w:r w:rsidR="00324B28" w:rsidRPr="00945DB6">
              <w:rPr>
                <w:rStyle w:val="Hyperlink"/>
                <w:noProof/>
              </w:rPr>
              <w:t>Priority Area 2: Empowering parents and caregivers to maximise healthy development</w:t>
            </w:r>
            <w:r w:rsidR="00324B28">
              <w:rPr>
                <w:noProof/>
                <w:webHidden/>
              </w:rPr>
              <w:tab/>
            </w:r>
            <w:r w:rsidR="00324B28">
              <w:rPr>
                <w:noProof/>
                <w:webHidden/>
              </w:rPr>
              <w:fldChar w:fldCharType="begin"/>
            </w:r>
            <w:r w:rsidR="00324B28">
              <w:rPr>
                <w:noProof/>
                <w:webHidden/>
              </w:rPr>
              <w:instrText xml:space="preserve"> PAGEREF _Toc5282305 \h </w:instrText>
            </w:r>
            <w:r w:rsidR="00324B28">
              <w:rPr>
                <w:noProof/>
                <w:webHidden/>
              </w:rPr>
            </w:r>
            <w:r w:rsidR="00324B28">
              <w:rPr>
                <w:noProof/>
                <w:webHidden/>
              </w:rPr>
              <w:fldChar w:fldCharType="separate"/>
            </w:r>
            <w:r w:rsidR="00324B28">
              <w:rPr>
                <w:noProof/>
                <w:webHidden/>
              </w:rPr>
              <w:t>15</w:t>
            </w:r>
            <w:r w:rsidR="00324B28">
              <w:rPr>
                <w:noProof/>
                <w:webHidden/>
              </w:rPr>
              <w:fldChar w:fldCharType="end"/>
            </w:r>
          </w:hyperlink>
        </w:p>
        <w:p w14:paraId="328D89F6" w14:textId="026B930B" w:rsidR="00324B28" w:rsidRDefault="006B587A">
          <w:pPr>
            <w:pStyle w:val="TOC2"/>
            <w:tabs>
              <w:tab w:val="right" w:leader="dot" w:pos="9629"/>
            </w:tabs>
            <w:rPr>
              <w:rFonts w:asciiTheme="minorHAnsi" w:eastAsiaTheme="minorEastAsia" w:hAnsiTheme="minorHAnsi"/>
              <w:noProof/>
              <w:sz w:val="22"/>
              <w:lang w:val="en-AU" w:eastAsia="en-AU"/>
            </w:rPr>
          </w:pPr>
          <w:hyperlink w:anchor="_Toc5282306" w:history="1">
            <w:r w:rsidR="00324B28" w:rsidRPr="00945DB6">
              <w:rPr>
                <w:rStyle w:val="Hyperlink"/>
                <w:noProof/>
              </w:rPr>
              <w:t>Priority Area 3: Tackling mental health and risky behaviours</w:t>
            </w:r>
            <w:r w:rsidR="00324B28">
              <w:rPr>
                <w:noProof/>
                <w:webHidden/>
              </w:rPr>
              <w:tab/>
            </w:r>
            <w:r w:rsidR="00324B28">
              <w:rPr>
                <w:noProof/>
                <w:webHidden/>
              </w:rPr>
              <w:fldChar w:fldCharType="begin"/>
            </w:r>
            <w:r w:rsidR="00324B28">
              <w:rPr>
                <w:noProof/>
                <w:webHidden/>
              </w:rPr>
              <w:instrText xml:space="preserve"> PAGEREF _Toc5282306 \h </w:instrText>
            </w:r>
            <w:r w:rsidR="00324B28">
              <w:rPr>
                <w:noProof/>
                <w:webHidden/>
              </w:rPr>
            </w:r>
            <w:r w:rsidR="00324B28">
              <w:rPr>
                <w:noProof/>
                <w:webHidden/>
              </w:rPr>
              <w:fldChar w:fldCharType="separate"/>
            </w:r>
            <w:r w:rsidR="00324B28">
              <w:rPr>
                <w:noProof/>
                <w:webHidden/>
              </w:rPr>
              <w:t>19</w:t>
            </w:r>
            <w:r w:rsidR="00324B28">
              <w:rPr>
                <w:noProof/>
                <w:webHidden/>
              </w:rPr>
              <w:fldChar w:fldCharType="end"/>
            </w:r>
          </w:hyperlink>
        </w:p>
        <w:p w14:paraId="7AF276A9" w14:textId="49F441C2" w:rsidR="00324B28" w:rsidRDefault="006B587A">
          <w:pPr>
            <w:pStyle w:val="TOC2"/>
            <w:tabs>
              <w:tab w:val="right" w:leader="dot" w:pos="9629"/>
            </w:tabs>
            <w:rPr>
              <w:rFonts w:asciiTheme="minorHAnsi" w:eastAsiaTheme="minorEastAsia" w:hAnsiTheme="minorHAnsi"/>
              <w:noProof/>
              <w:sz w:val="22"/>
              <w:lang w:val="en-AU" w:eastAsia="en-AU"/>
            </w:rPr>
          </w:pPr>
          <w:hyperlink w:anchor="_Toc5282307" w:history="1">
            <w:r w:rsidR="00324B28" w:rsidRPr="00945DB6">
              <w:rPr>
                <w:rStyle w:val="Hyperlink"/>
                <w:noProof/>
              </w:rPr>
              <w:t>Priority Area 4: Addressing chronic conditions and preventive health</w:t>
            </w:r>
            <w:r w:rsidR="00324B28">
              <w:rPr>
                <w:noProof/>
                <w:webHidden/>
              </w:rPr>
              <w:tab/>
            </w:r>
            <w:r w:rsidR="00324B28">
              <w:rPr>
                <w:noProof/>
                <w:webHidden/>
              </w:rPr>
              <w:fldChar w:fldCharType="begin"/>
            </w:r>
            <w:r w:rsidR="00324B28">
              <w:rPr>
                <w:noProof/>
                <w:webHidden/>
              </w:rPr>
              <w:instrText xml:space="preserve"> PAGEREF _Toc5282307 \h </w:instrText>
            </w:r>
            <w:r w:rsidR="00324B28">
              <w:rPr>
                <w:noProof/>
                <w:webHidden/>
              </w:rPr>
            </w:r>
            <w:r w:rsidR="00324B28">
              <w:rPr>
                <w:noProof/>
                <w:webHidden/>
              </w:rPr>
              <w:fldChar w:fldCharType="separate"/>
            </w:r>
            <w:r w:rsidR="00324B28">
              <w:rPr>
                <w:noProof/>
                <w:webHidden/>
              </w:rPr>
              <w:t>23</w:t>
            </w:r>
            <w:r w:rsidR="00324B28">
              <w:rPr>
                <w:noProof/>
                <w:webHidden/>
              </w:rPr>
              <w:fldChar w:fldCharType="end"/>
            </w:r>
          </w:hyperlink>
        </w:p>
        <w:p w14:paraId="42BF187F" w14:textId="1D9597F4" w:rsidR="00324B28" w:rsidRDefault="006B587A">
          <w:pPr>
            <w:pStyle w:val="TOC2"/>
            <w:tabs>
              <w:tab w:val="right" w:leader="dot" w:pos="9629"/>
            </w:tabs>
            <w:rPr>
              <w:rFonts w:asciiTheme="minorHAnsi" w:eastAsiaTheme="minorEastAsia" w:hAnsiTheme="minorHAnsi"/>
              <w:noProof/>
              <w:sz w:val="22"/>
              <w:lang w:val="en-AU" w:eastAsia="en-AU"/>
            </w:rPr>
          </w:pPr>
          <w:hyperlink w:anchor="_Toc5282308" w:history="1">
            <w:r w:rsidR="00324B28" w:rsidRPr="00945DB6">
              <w:rPr>
                <w:rStyle w:val="Hyperlink"/>
                <w:noProof/>
              </w:rPr>
              <w:t>Priority Area 5: Strengthening the workforce</w:t>
            </w:r>
            <w:r w:rsidR="00324B28">
              <w:rPr>
                <w:noProof/>
                <w:webHidden/>
              </w:rPr>
              <w:tab/>
            </w:r>
            <w:r w:rsidR="00324B28">
              <w:rPr>
                <w:noProof/>
                <w:webHidden/>
              </w:rPr>
              <w:fldChar w:fldCharType="begin"/>
            </w:r>
            <w:r w:rsidR="00324B28">
              <w:rPr>
                <w:noProof/>
                <w:webHidden/>
              </w:rPr>
              <w:instrText xml:space="preserve"> PAGEREF _Toc5282308 \h </w:instrText>
            </w:r>
            <w:r w:rsidR="00324B28">
              <w:rPr>
                <w:noProof/>
                <w:webHidden/>
              </w:rPr>
            </w:r>
            <w:r w:rsidR="00324B28">
              <w:rPr>
                <w:noProof/>
                <w:webHidden/>
              </w:rPr>
              <w:fldChar w:fldCharType="separate"/>
            </w:r>
            <w:r w:rsidR="00324B28">
              <w:rPr>
                <w:noProof/>
                <w:webHidden/>
              </w:rPr>
              <w:t>26</w:t>
            </w:r>
            <w:r w:rsidR="00324B28">
              <w:rPr>
                <w:noProof/>
                <w:webHidden/>
              </w:rPr>
              <w:fldChar w:fldCharType="end"/>
            </w:r>
          </w:hyperlink>
        </w:p>
        <w:p w14:paraId="381B9794" w14:textId="6519B53B" w:rsidR="00324B28" w:rsidRDefault="006B587A">
          <w:pPr>
            <w:pStyle w:val="TOC1"/>
            <w:tabs>
              <w:tab w:val="right" w:leader="dot" w:pos="9629"/>
            </w:tabs>
            <w:rPr>
              <w:rFonts w:asciiTheme="minorHAnsi" w:eastAsiaTheme="minorEastAsia" w:hAnsiTheme="minorHAnsi"/>
              <w:noProof/>
              <w:sz w:val="22"/>
              <w:lang w:val="en-AU" w:eastAsia="en-AU"/>
            </w:rPr>
          </w:pPr>
          <w:hyperlink w:anchor="_Toc5282309" w:history="1">
            <w:r w:rsidR="00324B28" w:rsidRPr="00945DB6">
              <w:rPr>
                <w:rStyle w:val="Hyperlink"/>
                <w:noProof/>
              </w:rPr>
              <w:t>Operational enablers</w:t>
            </w:r>
            <w:r w:rsidR="00324B28">
              <w:rPr>
                <w:noProof/>
                <w:webHidden/>
              </w:rPr>
              <w:tab/>
            </w:r>
            <w:r w:rsidR="00324B28">
              <w:rPr>
                <w:noProof/>
                <w:webHidden/>
              </w:rPr>
              <w:fldChar w:fldCharType="begin"/>
            </w:r>
            <w:r w:rsidR="00324B28">
              <w:rPr>
                <w:noProof/>
                <w:webHidden/>
              </w:rPr>
              <w:instrText xml:space="preserve"> PAGEREF _Toc5282309 \h </w:instrText>
            </w:r>
            <w:r w:rsidR="00324B28">
              <w:rPr>
                <w:noProof/>
                <w:webHidden/>
              </w:rPr>
            </w:r>
            <w:r w:rsidR="00324B28">
              <w:rPr>
                <w:noProof/>
                <w:webHidden/>
              </w:rPr>
              <w:fldChar w:fldCharType="separate"/>
            </w:r>
            <w:r w:rsidR="00324B28">
              <w:rPr>
                <w:noProof/>
                <w:webHidden/>
              </w:rPr>
              <w:t>29</w:t>
            </w:r>
            <w:r w:rsidR="00324B28">
              <w:rPr>
                <w:noProof/>
                <w:webHidden/>
              </w:rPr>
              <w:fldChar w:fldCharType="end"/>
            </w:r>
          </w:hyperlink>
        </w:p>
        <w:p w14:paraId="1592E1A2" w14:textId="4B067F4B" w:rsidR="00324B28" w:rsidRDefault="006B587A">
          <w:pPr>
            <w:pStyle w:val="TOC1"/>
            <w:tabs>
              <w:tab w:val="right" w:leader="dot" w:pos="9629"/>
            </w:tabs>
            <w:rPr>
              <w:rFonts w:asciiTheme="minorHAnsi" w:eastAsiaTheme="minorEastAsia" w:hAnsiTheme="minorHAnsi"/>
              <w:noProof/>
              <w:sz w:val="22"/>
              <w:lang w:val="en-AU" w:eastAsia="en-AU"/>
            </w:rPr>
          </w:pPr>
          <w:hyperlink w:anchor="_Toc5282310" w:history="1">
            <w:r w:rsidR="00324B28" w:rsidRPr="00945DB6">
              <w:rPr>
                <w:rStyle w:val="Hyperlink"/>
                <w:noProof/>
              </w:rPr>
              <w:t>Appendix A - Australian policy and strategy context</w:t>
            </w:r>
            <w:r w:rsidR="00324B28">
              <w:rPr>
                <w:noProof/>
                <w:webHidden/>
              </w:rPr>
              <w:tab/>
            </w:r>
            <w:r w:rsidR="00324B28">
              <w:rPr>
                <w:noProof/>
                <w:webHidden/>
              </w:rPr>
              <w:fldChar w:fldCharType="begin"/>
            </w:r>
            <w:r w:rsidR="00324B28">
              <w:rPr>
                <w:noProof/>
                <w:webHidden/>
              </w:rPr>
              <w:instrText xml:space="preserve"> PAGEREF _Toc5282310 \h </w:instrText>
            </w:r>
            <w:r w:rsidR="00324B28">
              <w:rPr>
                <w:noProof/>
                <w:webHidden/>
              </w:rPr>
            </w:r>
            <w:r w:rsidR="00324B28">
              <w:rPr>
                <w:noProof/>
                <w:webHidden/>
              </w:rPr>
              <w:fldChar w:fldCharType="separate"/>
            </w:r>
            <w:r w:rsidR="00324B28">
              <w:rPr>
                <w:noProof/>
                <w:webHidden/>
              </w:rPr>
              <w:t>39</w:t>
            </w:r>
            <w:r w:rsidR="00324B28">
              <w:rPr>
                <w:noProof/>
                <w:webHidden/>
              </w:rPr>
              <w:fldChar w:fldCharType="end"/>
            </w:r>
          </w:hyperlink>
        </w:p>
        <w:p w14:paraId="54839F74" w14:textId="616DB7F0" w:rsidR="00DD4037" w:rsidRDefault="00A865C0" w:rsidP="00D67FBF">
          <w:r w:rsidRPr="00FF12AB">
            <w:rPr>
              <w:b/>
              <w:bCs/>
              <w:noProof/>
              <w:sz w:val="22"/>
              <w:szCs w:val="22"/>
            </w:rPr>
            <w:fldChar w:fldCharType="end"/>
          </w:r>
        </w:p>
      </w:sdtContent>
    </w:sdt>
    <w:p w14:paraId="0744E3BB" w14:textId="77777777" w:rsidR="00DD4037" w:rsidRDefault="00DD4037">
      <w:pPr>
        <w:spacing w:after="160" w:line="259" w:lineRule="auto"/>
        <w:sectPr w:rsidR="00DD4037" w:rsidSect="00C2720C">
          <w:endnotePr>
            <w:numFmt w:val="decimal"/>
          </w:endnotePr>
          <w:pgSz w:w="11907" w:h="16839"/>
          <w:pgMar w:top="1134" w:right="1134" w:bottom="1134" w:left="1134" w:header="425" w:footer="210" w:gutter="0"/>
          <w:pgNumType w:fmt="lowerRoman" w:start="5"/>
          <w:cols w:space="720"/>
        </w:sectPr>
      </w:pPr>
    </w:p>
    <w:p w14:paraId="6712A33C" w14:textId="5657F452" w:rsidR="00DD4037" w:rsidRDefault="00DD4037">
      <w:pPr>
        <w:spacing w:after="160" w:line="259" w:lineRule="auto"/>
        <w:sectPr w:rsidR="00DD4037" w:rsidSect="00C2720C">
          <w:endnotePr>
            <w:numFmt w:val="decimal"/>
          </w:endnotePr>
          <w:pgSz w:w="11907" w:h="16839"/>
          <w:pgMar w:top="1134" w:right="1134" w:bottom="1134" w:left="1134" w:header="425" w:footer="210" w:gutter="0"/>
          <w:pgNumType w:fmt="lowerRoman" w:start="5"/>
          <w:cols w:space="720"/>
        </w:sectPr>
      </w:pPr>
    </w:p>
    <w:p w14:paraId="093608B7" w14:textId="77777777" w:rsidR="00FE72CF" w:rsidRDefault="00FE72CF" w:rsidP="00B7016B">
      <w:pPr>
        <w:pStyle w:val="Heading1"/>
      </w:pPr>
      <w:bookmarkStart w:id="12" w:name="_Toc5282299"/>
      <w:r>
        <w:t xml:space="preserve">Executive </w:t>
      </w:r>
      <w:r w:rsidR="00A865C0">
        <w:t>s</w:t>
      </w:r>
      <w:r>
        <w:t>ummary</w:t>
      </w:r>
      <w:bookmarkEnd w:id="12"/>
    </w:p>
    <w:p w14:paraId="78F907A7" w14:textId="3D705240" w:rsidR="00D71518" w:rsidRDefault="00D71518" w:rsidP="00D71518">
      <w:pPr>
        <w:rPr>
          <w:sz w:val="20"/>
          <w:szCs w:val="20"/>
          <w:lang w:eastAsia="en-AU"/>
        </w:rPr>
      </w:pPr>
      <w:bookmarkStart w:id="13" w:name="_Hlk3658217"/>
      <w:bookmarkStart w:id="14" w:name="_Toc519699085"/>
      <w:bookmarkEnd w:id="11"/>
      <w:bookmarkEnd w:id="10"/>
      <w:r>
        <w:rPr>
          <w:sz w:val="20"/>
          <w:szCs w:val="20"/>
          <w:lang w:eastAsia="en-AU"/>
        </w:rPr>
        <w:t xml:space="preserve">The health of children and young people is fundamental to the ongoing prosperity and cohesion of Australian society. What happens now has sustained, long term impacts; not only on children and young </w:t>
      </w:r>
      <w:r w:rsidR="00E41734">
        <w:rPr>
          <w:sz w:val="20"/>
          <w:szCs w:val="20"/>
          <w:lang w:eastAsia="en-AU"/>
        </w:rPr>
        <w:t>people’s</w:t>
      </w:r>
      <w:r>
        <w:rPr>
          <w:sz w:val="20"/>
          <w:szCs w:val="20"/>
          <w:lang w:eastAsia="en-AU"/>
        </w:rPr>
        <w:t xml:space="preserve"> own health outcomes and life experiences, but the future social and economic wellbeing and connectedness of our community.</w:t>
      </w:r>
    </w:p>
    <w:p w14:paraId="04A79432" w14:textId="3D9CC0D2" w:rsidR="00D71518" w:rsidRDefault="00D71518" w:rsidP="00D71518">
      <w:pPr>
        <w:rPr>
          <w:sz w:val="20"/>
          <w:szCs w:val="20"/>
          <w:lang w:eastAsia="en-AU"/>
        </w:rPr>
      </w:pPr>
      <w:r>
        <w:rPr>
          <w:sz w:val="20"/>
          <w:szCs w:val="20"/>
          <w:lang w:eastAsia="en-AU"/>
        </w:rPr>
        <w:t xml:space="preserve">While there is much to commend in terms of how we currently support and empower children and young people to thrive in Australia, there are also areas which can be enhanced, gaps in equity that should be closed, and growing challenges in certain areas of health and wellbeing that need to be tackled. </w:t>
      </w:r>
    </w:p>
    <w:p w14:paraId="2BED05D3" w14:textId="77777777" w:rsidR="00D71518" w:rsidRPr="00270477" w:rsidRDefault="00D71518" w:rsidP="00D71518">
      <w:pPr>
        <w:rPr>
          <w:sz w:val="20"/>
          <w:szCs w:val="20"/>
          <w:lang w:eastAsia="en-AU"/>
        </w:rPr>
      </w:pPr>
      <w:r>
        <w:rPr>
          <w:sz w:val="20"/>
          <w:szCs w:val="20"/>
          <w:lang w:eastAsia="en-AU"/>
        </w:rPr>
        <w:t xml:space="preserve">With this in mind, </w:t>
      </w:r>
      <w:r w:rsidRPr="00270477">
        <w:rPr>
          <w:sz w:val="20"/>
          <w:szCs w:val="20"/>
          <w:lang w:eastAsia="en-AU"/>
        </w:rPr>
        <w:t xml:space="preserve">The National Action Plan for the Health of Children and Young People (the Action Plan) provides a roadmap for a national approach to improve and ensure the health and wellbeing of all Australian children and young people – providing them with the best start to life. The Action Plan builds upon COAG Health Council’s </w:t>
      </w:r>
      <w:r w:rsidRPr="00270477">
        <w:rPr>
          <w:iCs/>
          <w:sz w:val="20"/>
          <w:szCs w:val="20"/>
        </w:rPr>
        <w:t xml:space="preserve">Healthy, Safe and Thriving: National Strategic Framework for Child and </w:t>
      </w:r>
      <w:r w:rsidRPr="00D71518">
        <w:rPr>
          <w:iCs/>
          <w:sz w:val="20"/>
          <w:szCs w:val="20"/>
        </w:rPr>
        <w:t>Youth Health</w:t>
      </w:r>
      <w:r w:rsidR="00DB1F46">
        <w:rPr>
          <w:iCs/>
          <w:sz w:val="20"/>
          <w:szCs w:val="20"/>
        </w:rPr>
        <w:t xml:space="preserve"> (Healthy, Safe and Thriving)</w:t>
      </w:r>
      <w:r w:rsidRPr="00D71518">
        <w:rPr>
          <w:iCs/>
          <w:sz w:val="20"/>
          <w:szCs w:val="20"/>
        </w:rPr>
        <w:t>.</w:t>
      </w:r>
      <w:r w:rsidRPr="00D71518">
        <w:rPr>
          <w:rStyle w:val="EndnoteReference"/>
          <w:iCs/>
          <w:sz w:val="20"/>
          <w:szCs w:val="20"/>
        </w:rPr>
        <w:endnoteReference w:id="2"/>
      </w:r>
    </w:p>
    <w:p w14:paraId="3F054A51" w14:textId="398466BC" w:rsidR="008B14D3" w:rsidRPr="008B14D3" w:rsidRDefault="008B14D3" w:rsidP="008B14D3">
      <w:pPr>
        <w:rPr>
          <w:sz w:val="20"/>
          <w:szCs w:val="20"/>
          <w:lang w:eastAsia="en-AU"/>
        </w:rPr>
      </w:pPr>
      <w:r w:rsidRPr="008B14D3">
        <w:rPr>
          <w:iCs/>
          <w:sz w:val="20"/>
          <w:szCs w:val="20"/>
        </w:rPr>
        <w:t xml:space="preserve">The Action Plan seeks to build the foundation for the implementation of </w:t>
      </w:r>
      <w:r w:rsidRPr="008B14D3">
        <w:rPr>
          <w:sz w:val="20"/>
          <w:szCs w:val="20"/>
          <w:lang w:eastAsia="en-AU"/>
        </w:rPr>
        <w:t>a series of policies, interventions and approaches that aim to improve health outcomes for children and young people. These aim to drive action at the national, jurisdictional and local levels in order that priority health needs and inequities in health care are addressed for all children and young people in Australia. The priorities build on the existing strong health infrastructure including universal and primary care services, but suggest where these can be strengthened to better meet the needs of groups of children and address the equity gap</w:t>
      </w:r>
      <w:r w:rsidR="00E41734">
        <w:rPr>
          <w:sz w:val="20"/>
          <w:szCs w:val="20"/>
          <w:lang w:eastAsia="en-AU"/>
        </w:rPr>
        <w:t>.</w:t>
      </w:r>
    </w:p>
    <w:p w14:paraId="4900D706" w14:textId="77777777" w:rsidR="008B14D3" w:rsidRPr="00270477" w:rsidRDefault="008B14D3" w:rsidP="008B14D3">
      <w:pPr>
        <w:rPr>
          <w:sz w:val="20"/>
          <w:szCs w:val="20"/>
          <w:lang w:eastAsia="en-AU"/>
        </w:rPr>
      </w:pPr>
      <w:r w:rsidRPr="008B14D3">
        <w:rPr>
          <w:sz w:val="20"/>
          <w:szCs w:val="20"/>
          <w:lang w:eastAsia="en-AU"/>
        </w:rPr>
        <w:t>Through a life course approach, the Action Plan recognises that there are a range of health needs, risks and influences experienced by children and young people at different stages of life, and focuses on the importance of specific investments to maximise physical, mental and social health at every age.</w:t>
      </w:r>
    </w:p>
    <w:p w14:paraId="4045D39A" w14:textId="77777777" w:rsidR="00D71518" w:rsidRPr="00270477" w:rsidRDefault="00D71518" w:rsidP="00D71518">
      <w:pPr>
        <w:spacing w:before="0" w:after="60"/>
        <w:rPr>
          <w:sz w:val="20"/>
          <w:szCs w:val="20"/>
          <w:lang w:eastAsia="en-AU"/>
        </w:rPr>
      </w:pPr>
      <w:r>
        <w:rPr>
          <w:sz w:val="20"/>
          <w:szCs w:val="20"/>
          <w:lang w:eastAsia="en-AU"/>
        </w:rPr>
        <w:t>Following a consultative process and review of evidence, five</w:t>
      </w:r>
      <w:r w:rsidRPr="00E64AF9">
        <w:rPr>
          <w:sz w:val="20"/>
          <w:szCs w:val="20"/>
          <w:lang w:eastAsia="en-AU"/>
        </w:rPr>
        <w:t xml:space="preserve"> </w:t>
      </w:r>
      <w:r>
        <w:rPr>
          <w:sz w:val="20"/>
          <w:szCs w:val="20"/>
          <w:lang w:eastAsia="en-AU"/>
        </w:rPr>
        <w:t xml:space="preserve">priority </w:t>
      </w:r>
      <w:r w:rsidRPr="00E64AF9">
        <w:rPr>
          <w:sz w:val="20"/>
          <w:szCs w:val="20"/>
          <w:lang w:eastAsia="en-AU"/>
        </w:rPr>
        <w:t xml:space="preserve">areas </w:t>
      </w:r>
      <w:r>
        <w:rPr>
          <w:sz w:val="20"/>
          <w:szCs w:val="20"/>
          <w:lang w:eastAsia="en-AU"/>
        </w:rPr>
        <w:t xml:space="preserve">have been identified to drive change and improve outcomes in order to </w:t>
      </w:r>
      <w:r w:rsidRPr="00E64AF9">
        <w:rPr>
          <w:rFonts w:cstheme="minorHAnsi"/>
          <w:sz w:val="20"/>
          <w:szCs w:val="20"/>
        </w:rPr>
        <w:t>ensur</w:t>
      </w:r>
      <w:r>
        <w:rPr>
          <w:rFonts w:cstheme="minorHAnsi"/>
          <w:sz w:val="20"/>
          <w:szCs w:val="20"/>
        </w:rPr>
        <w:t>e</w:t>
      </w:r>
      <w:r w:rsidRPr="00E64AF9">
        <w:rPr>
          <w:rFonts w:cstheme="minorHAnsi"/>
          <w:sz w:val="20"/>
          <w:szCs w:val="20"/>
        </w:rPr>
        <w:t xml:space="preserve"> the health of Australia’s children and young</w:t>
      </w:r>
      <w:r>
        <w:rPr>
          <w:rFonts w:cstheme="minorHAnsi"/>
          <w:sz w:val="20"/>
          <w:szCs w:val="20"/>
        </w:rPr>
        <w:t xml:space="preserve"> people</w:t>
      </w:r>
      <w:r w:rsidRPr="00E64AF9">
        <w:rPr>
          <w:rFonts w:cstheme="minorHAnsi"/>
          <w:sz w:val="20"/>
          <w:szCs w:val="20"/>
        </w:rPr>
        <w:t>:</w:t>
      </w:r>
    </w:p>
    <w:p w14:paraId="51D38D4A" w14:textId="77777777" w:rsidR="00D71518" w:rsidRDefault="00D71518" w:rsidP="00D71518">
      <w:pPr>
        <w:pStyle w:val="ListParagraph"/>
        <w:numPr>
          <w:ilvl w:val="0"/>
          <w:numId w:val="37"/>
        </w:numPr>
        <w:spacing w:before="0" w:after="60"/>
        <w:contextualSpacing w:val="0"/>
        <w:rPr>
          <w:color w:val="339933"/>
          <w:sz w:val="20"/>
          <w:szCs w:val="20"/>
          <w:lang w:eastAsia="en-AU"/>
        </w:rPr>
      </w:pPr>
      <w:r>
        <w:rPr>
          <w:color w:val="339933"/>
          <w:sz w:val="20"/>
          <w:szCs w:val="20"/>
          <w:lang w:eastAsia="en-AU"/>
        </w:rPr>
        <w:t>Improve health equity across populations</w:t>
      </w:r>
    </w:p>
    <w:p w14:paraId="3BE041A0" w14:textId="243326E6" w:rsidR="00D71518" w:rsidRDefault="00D71518" w:rsidP="00D71518">
      <w:pPr>
        <w:pStyle w:val="ListParagraph"/>
        <w:numPr>
          <w:ilvl w:val="0"/>
          <w:numId w:val="37"/>
        </w:numPr>
        <w:spacing w:before="0" w:after="60"/>
        <w:contextualSpacing w:val="0"/>
        <w:rPr>
          <w:color w:val="339933"/>
          <w:sz w:val="20"/>
          <w:szCs w:val="20"/>
          <w:lang w:eastAsia="en-AU"/>
        </w:rPr>
      </w:pPr>
      <w:r>
        <w:rPr>
          <w:color w:val="339933"/>
          <w:sz w:val="20"/>
          <w:szCs w:val="20"/>
          <w:lang w:eastAsia="en-AU"/>
        </w:rPr>
        <w:t xml:space="preserve">Empower parents </w:t>
      </w:r>
      <w:r w:rsidR="00E861CF">
        <w:rPr>
          <w:color w:val="339933"/>
          <w:sz w:val="20"/>
          <w:szCs w:val="20"/>
          <w:lang w:eastAsia="en-AU"/>
        </w:rPr>
        <w:t xml:space="preserve">and caregivers </w:t>
      </w:r>
      <w:r>
        <w:rPr>
          <w:color w:val="339933"/>
          <w:sz w:val="20"/>
          <w:szCs w:val="20"/>
          <w:lang w:eastAsia="en-AU"/>
        </w:rPr>
        <w:t>to maximise health</w:t>
      </w:r>
      <w:r w:rsidR="007D0734">
        <w:rPr>
          <w:color w:val="339933"/>
          <w:sz w:val="20"/>
          <w:szCs w:val="20"/>
          <w:lang w:eastAsia="en-AU"/>
        </w:rPr>
        <w:t>y</w:t>
      </w:r>
      <w:r>
        <w:rPr>
          <w:color w:val="339933"/>
          <w:sz w:val="20"/>
          <w:szCs w:val="20"/>
          <w:lang w:eastAsia="en-AU"/>
        </w:rPr>
        <w:t xml:space="preserve"> development</w:t>
      </w:r>
    </w:p>
    <w:p w14:paraId="254266A0" w14:textId="77777777" w:rsidR="00D71518" w:rsidRPr="00E64AF9" w:rsidRDefault="00D71518" w:rsidP="00D71518">
      <w:pPr>
        <w:pStyle w:val="ListParagraph"/>
        <w:numPr>
          <w:ilvl w:val="0"/>
          <w:numId w:val="37"/>
        </w:numPr>
        <w:spacing w:before="0" w:after="60"/>
        <w:contextualSpacing w:val="0"/>
        <w:rPr>
          <w:color w:val="339933"/>
          <w:sz w:val="20"/>
          <w:szCs w:val="20"/>
          <w:lang w:eastAsia="en-AU"/>
        </w:rPr>
      </w:pPr>
      <w:r>
        <w:rPr>
          <w:color w:val="339933"/>
          <w:sz w:val="20"/>
          <w:szCs w:val="20"/>
          <w:lang w:eastAsia="en-AU"/>
        </w:rPr>
        <w:t xml:space="preserve">Tackle mental health and risky behaviours </w:t>
      </w:r>
    </w:p>
    <w:p w14:paraId="7F67D73F" w14:textId="77777777" w:rsidR="00D71518" w:rsidRDefault="00D71518" w:rsidP="00D71518">
      <w:pPr>
        <w:pStyle w:val="ListParagraph"/>
        <w:numPr>
          <w:ilvl w:val="0"/>
          <w:numId w:val="37"/>
        </w:numPr>
        <w:spacing w:before="0" w:after="60"/>
        <w:contextualSpacing w:val="0"/>
        <w:rPr>
          <w:color w:val="339933"/>
          <w:sz w:val="20"/>
          <w:szCs w:val="20"/>
          <w:lang w:eastAsia="en-AU"/>
        </w:rPr>
      </w:pPr>
      <w:r>
        <w:rPr>
          <w:color w:val="339933"/>
          <w:sz w:val="20"/>
          <w:szCs w:val="20"/>
          <w:lang w:eastAsia="en-AU"/>
        </w:rPr>
        <w:t>Address chronic conditions and preventive health</w:t>
      </w:r>
    </w:p>
    <w:p w14:paraId="4DB984E5" w14:textId="77777777" w:rsidR="00D71518" w:rsidRPr="00E64AF9" w:rsidRDefault="00D71518" w:rsidP="00D71518">
      <w:pPr>
        <w:pStyle w:val="ListParagraph"/>
        <w:numPr>
          <w:ilvl w:val="0"/>
          <w:numId w:val="37"/>
        </w:numPr>
        <w:spacing w:before="0" w:after="60"/>
        <w:contextualSpacing w:val="0"/>
        <w:rPr>
          <w:color w:val="339933"/>
          <w:sz w:val="20"/>
          <w:szCs w:val="20"/>
          <w:lang w:eastAsia="en-AU"/>
        </w:rPr>
      </w:pPr>
      <w:r>
        <w:rPr>
          <w:color w:val="339933"/>
          <w:sz w:val="20"/>
          <w:szCs w:val="20"/>
          <w:lang w:eastAsia="en-AU"/>
        </w:rPr>
        <w:t>Strengthen the workforce</w:t>
      </w:r>
    </w:p>
    <w:p w14:paraId="612C2C84" w14:textId="77777777" w:rsidR="00D71518" w:rsidRPr="00E64AF9" w:rsidRDefault="00D71518" w:rsidP="00D71518">
      <w:pPr>
        <w:rPr>
          <w:sz w:val="20"/>
          <w:szCs w:val="20"/>
          <w:lang w:eastAsia="en-AU"/>
        </w:rPr>
      </w:pPr>
      <w:r w:rsidRPr="00E64AF9">
        <w:rPr>
          <w:sz w:val="20"/>
          <w:szCs w:val="20"/>
          <w:lang w:eastAsia="en-AU"/>
        </w:rPr>
        <w:t>The improvement of health outcomes for children and young people is</w:t>
      </w:r>
      <w:r>
        <w:rPr>
          <w:sz w:val="20"/>
          <w:szCs w:val="20"/>
          <w:lang w:eastAsia="en-AU"/>
        </w:rPr>
        <w:t xml:space="preserve"> something which can flourish only through effective collaboration and shared </w:t>
      </w:r>
      <w:r w:rsidRPr="00E64AF9">
        <w:rPr>
          <w:sz w:val="20"/>
          <w:szCs w:val="20"/>
          <w:lang w:eastAsia="en-AU"/>
        </w:rPr>
        <w:t>contributions made by a wide range of partners. These partners include:</w:t>
      </w:r>
    </w:p>
    <w:p w14:paraId="76B4B04C"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individuals, carers and families;</w:t>
      </w:r>
    </w:p>
    <w:p w14:paraId="0CDC467A"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communities;</w:t>
      </w:r>
    </w:p>
    <w:p w14:paraId="79887B53"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all levels of government;</w:t>
      </w:r>
    </w:p>
    <w:p w14:paraId="03F02A86"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non-government organisations;</w:t>
      </w:r>
    </w:p>
    <w:p w14:paraId="2F9C0476"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the public and private health sectors, including health care providers and private health insurers;</w:t>
      </w:r>
    </w:p>
    <w:p w14:paraId="0F63FC09"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industry; and</w:t>
      </w:r>
    </w:p>
    <w:p w14:paraId="09C89E98" w14:textId="77777777" w:rsidR="00D71518" w:rsidRPr="00E64AF9" w:rsidRDefault="00D71518" w:rsidP="00D71518">
      <w:pPr>
        <w:pStyle w:val="ListParagraph"/>
        <w:numPr>
          <w:ilvl w:val="0"/>
          <w:numId w:val="38"/>
        </w:numPr>
        <w:spacing w:before="0"/>
        <w:rPr>
          <w:b/>
          <w:sz w:val="20"/>
          <w:szCs w:val="20"/>
          <w:lang w:val="en-AU" w:eastAsia="en-AU"/>
        </w:rPr>
      </w:pPr>
      <w:r w:rsidRPr="00E64AF9">
        <w:rPr>
          <w:sz w:val="20"/>
          <w:szCs w:val="20"/>
          <w:lang w:val="en-AU" w:eastAsia="en-AU"/>
        </w:rPr>
        <w:t>researchers and academics.</w:t>
      </w:r>
    </w:p>
    <w:p w14:paraId="7078DEF8" w14:textId="77777777" w:rsidR="00D71518" w:rsidRDefault="00D71518" w:rsidP="00D71518">
      <w:pPr>
        <w:rPr>
          <w:sz w:val="20"/>
          <w:szCs w:val="20"/>
          <w:lang w:eastAsia="en-AU"/>
        </w:rPr>
      </w:pPr>
      <w:r w:rsidRPr="00E64AF9">
        <w:rPr>
          <w:sz w:val="20"/>
          <w:szCs w:val="20"/>
          <w:lang w:eastAsia="en-AU"/>
        </w:rPr>
        <w:t>Greater</w:t>
      </w:r>
      <w:r>
        <w:rPr>
          <w:sz w:val="20"/>
          <w:szCs w:val="20"/>
          <w:lang w:eastAsia="en-AU"/>
        </w:rPr>
        <w:t xml:space="preserve"> </w:t>
      </w:r>
      <w:r w:rsidRPr="00E64AF9">
        <w:rPr>
          <w:sz w:val="20"/>
          <w:szCs w:val="20"/>
          <w:lang w:eastAsia="en-AU"/>
        </w:rPr>
        <w:t xml:space="preserve">cooperation between partners will </w:t>
      </w:r>
      <w:r>
        <w:rPr>
          <w:sz w:val="20"/>
          <w:szCs w:val="20"/>
          <w:lang w:eastAsia="en-AU"/>
        </w:rPr>
        <w:t xml:space="preserve">ultimately </w:t>
      </w:r>
      <w:r w:rsidRPr="00E64AF9">
        <w:rPr>
          <w:sz w:val="20"/>
          <w:szCs w:val="20"/>
          <w:lang w:eastAsia="en-AU"/>
        </w:rPr>
        <w:t xml:space="preserve">lead to more successful individual and system outcomes. The priorities and actions outlined in this </w:t>
      </w:r>
      <w:r w:rsidRPr="00E40C39">
        <w:rPr>
          <w:sz w:val="20"/>
          <w:szCs w:val="20"/>
          <w:lang w:eastAsia="en-AU"/>
        </w:rPr>
        <w:t>Action Plan</w:t>
      </w:r>
      <w:r w:rsidRPr="00E64AF9">
        <w:rPr>
          <w:sz w:val="20"/>
          <w:szCs w:val="20"/>
          <w:lang w:eastAsia="en-AU"/>
        </w:rPr>
        <w:t xml:space="preserve"> are </w:t>
      </w:r>
      <w:r>
        <w:rPr>
          <w:sz w:val="20"/>
          <w:szCs w:val="20"/>
          <w:lang w:eastAsia="en-AU"/>
        </w:rPr>
        <w:t xml:space="preserve">therefore </w:t>
      </w:r>
      <w:r w:rsidRPr="00E64AF9">
        <w:rPr>
          <w:sz w:val="20"/>
          <w:szCs w:val="20"/>
          <w:lang w:eastAsia="en-AU"/>
        </w:rPr>
        <w:t>intended to guide partner investment in activities to address the health of Australia’s children and young people and should be implemented collaboratively to achieve the best</w:t>
      </w:r>
      <w:r>
        <w:rPr>
          <w:sz w:val="20"/>
          <w:szCs w:val="20"/>
          <w:lang w:eastAsia="en-AU"/>
        </w:rPr>
        <w:t xml:space="preserve"> possible</w:t>
      </w:r>
      <w:r w:rsidRPr="00E64AF9">
        <w:rPr>
          <w:sz w:val="20"/>
          <w:szCs w:val="20"/>
          <w:lang w:eastAsia="en-AU"/>
        </w:rPr>
        <w:t xml:space="preserve"> health outcomes.</w:t>
      </w:r>
      <w:bookmarkStart w:id="15" w:name="_Toc519699084"/>
    </w:p>
    <w:p w14:paraId="680EC14F" w14:textId="77777777" w:rsidR="00F87946" w:rsidRPr="00BA2C69" w:rsidRDefault="00D71518" w:rsidP="00BA2C69">
      <w:pPr>
        <w:rPr>
          <w:sz w:val="20"/>
          <w:szCs w:val="20"/>
          <w:lang w:eastAsia="en-AU"/>
        </w:rPr>
      </w:pPr>
      <w:r>
        <w:rPr>
          <w:sz w:val="20"/>
          <w:szCs w:val="20"/>
          <w:lang w:eastAsia="en-AU"/>
        </w:rPr>
        <w:t xml:space="preserve">Throughout the life of the Action Plan it is imperative that </w:t>
      </w:r>
      <w:r w:rsidR="0012133D">
        <w:rPr>
          <w:sz w:val="20"/>
          <w:szCs w:val="20"/>
          <w:lang w:eastAsia="en-AU"/>
        </w:rPr>
        <w:t xml:space="preserve">children and young people feature at its very core. This includes actively engaging, collaborating and reflecting with children and young people so that they are central in determining and shaping the services, strategies and approaches that affect them, and – ultimately – are empowered to be healthy, safe and thriving. </w:t>
      </w:r>
      <w:bookmarkEnd w:id="15"/>
    </w:p>
    <w:p w14:paraId="191ADF39" w14:textId="77777777" w:rsidR="00A73CB4" w:rsidRDefault="00D71518" w:rsidP="00A73CB4">
      <w:pPr>
        <w:pStyle w:val="Heading1"/>
      </w:pPr>
      <w:bookmarkStart w:id="16" w:name="_Toc5282300"/>
      <w:r w:rsidRPr="004D65BD">
        <w:t>Action plan o</w:t>
      </w:r>
      <w:r w:rsidR="00E40C39" w:rsidRPr="004D65BD">
        <w:t>vervie</w:t>
      </w:r>
      <w:bookmarkEnd w:id="13"/>
      <w:r w:rsidR="00FE45ED" w:rsidRPr="004D65BD">
        <w:t>w</w:t>
      </w:r>
      <w:bookmarkEnd w:id="16"/>
    </w:p>
    <w:p w14:paraId="73349F77" w14:textId="77777777" w:rsidR="008D55B0" w:rsidRPr="00EC1A3D" w:rsidRDefault="008D55B0" w:rsidP="008D55B0">
      <w:pPr>
        <w:pBdr>
          <w:top w:val="single" w:sz="12" w:space="1" w:color="00581B"/>
          <w:bottom w:val="single" w:sz="12" w:space="1" w:color="00581B"/>
        </w:pBdr>
        <w:spacing w:before="0" w:after="0" w:line="256" w:lineRule="auto"/>
        <w:jc w:val="center"/>
        <w:rPr>
          <w:b/>
          <w:i/>
          <w:sz w:val="20"/>
          <w:szCs w:val="20"/>
        </w:rPr>
      </w:pPr>
      <w:r w:rsidRPr="00EC1A3D">
        <w:rPr>
          <w:b/>
          <w:i/>
          <w:color w:val="1C8243"/>
          <w:sz w:val="20"/>
          <w:szCs w:val="20"/>
        </w:rPr>
        <w:t xml:space="preserve">Ensure that </w:t>
      </w:r>
      <w:r w:rsidRPr="00EC1A3D">
        <w:rPr>
          <w:rFonts w:cstheme="minorBidi"/>
          <w:b/>
          <w:i/>
          <w:color w:val="1C8243"/>
          <w:sz w:val="20"/>
          <w:szCs w:val="20"/>
        </w:rPr>
        <w:t xml:space="preserve">Australian children and young people, from all backgrounds and all walks of life, have the same opportunities to fulfil their potential, and are </w:t>
      </w:r>
      <w:r w:rsidRPr="00EC1A3D">
        <w:rPr>
          <w:b/>
          <w:i/>
          <w:color w:val="1C8243"/>
          <w:sz w:val="20"/>
          <w:szCs w:val="20"/>
        </w:rPr>
        <w:t>healthy</w:t>
      </w:r>
      <w:r w:rsidRPr="00EC1A3D">
        <w:rPr>
          <w:rFonts w:cstheme="minorBidi"/>
          <w:b/>
          <w:i/>
          <w:color w:val="1C8243"/>
          <w:sz w:val="20"/>
          <w:szCs w:val="20"/>
        </w:rPr>
        <w:t xml:space="preserve">, </w:t>
      </w:r>
      <w:r w:rsidRPr="00EC1A3D">
        <w:rPr>
          <w:b/>
          <w:i/>
          <w:color w:val="1C8243"/>
          <w:sz w:val="20"/>
          <w:szCs w:val="20"/>
        </w:rPr>
        <w:t>safe</w:t>
      </w:r>
      <w:r w:rsidRPr="00EC1A3D">
        <w:rPr>
          <w:rFonts w:cstheme="minorBidi"/>
          <w:b/>
          <w:i/>
          <w:color w:val="1C8243"/>
          <w:sz w:val="20"/>
          <w:szCs w:val="20"/>
        </w:rPr>
        <w:t xml:space="preserve"> and </w:t>
      </w:r>
      <w:r w:rsidRPr="00EC1A3D">
        <w:rPr>
          <w:b/>
          <w:i/>
          <w:color w:val="1C8243"/>
          <w:sz w:val="20"/>
          <w:szCs w:val="20"/>
        </w:rPr>
        <w:t>thriving</w:t>
      </w:r>
    </w:p>
    <w:p w14:paraId="2F5EFF26" w14:textId="0265C70E" w:rsidR="00EC1A3D" w:rsidRDefault="000B78A5" w:rsidP="00EC1A3D">
      <w:pPr>
        <w:spacing w:before="0" w:after="0" w:line="256" w:lineRule="auto"/>
        <w:rPr>
          <w:rFonts w:ascii="Segoe UI" w:hAnsi="Segoe UI"/>
          <w:b/>
          <w:color w:val="227439"/>
          <w:sz w:val="18"/>
          <w:szCs w:val="18"/>
          <w:lang w:eastAsia="en-AU"/>
        </w:rPr>
      </w:pPr>
      <w:r>
        <w:rPr>
          <w:noProof/>
          <w:lang w:val="en-AU" w:eastAsia="en-AU"/>
        </w:rPr>
        <w:drawing>
          <wp:inline distT="0" distB="0" distL="0" distR="0" wp14:anchorId="063519EA" wp14:editId="3E2FEC84">
            <wp:extent cx="6512400" cy="8395200"/>
            <wp:effectExtent l="0" t="0" r="3175" b="6350"/>
            <wp:docPr id="34" name="Picture 34" descr="Using a life course approach, five guiding principles, five priority areas and five operational enablers set the context for the action plan." title="Action plan guiding principles, priority areas, actions and operational enab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12400" cy="8395200"/>
                    </a:xfrm>
                    <a:prstGeom prst="rect">
                      <a:avLst/>
                    </a:prstGeom>
                  </pic:spPr>
                </pic:pic>
              </a:graphicData>
            </a:graphic>
          </wp:inline>
        </w:drawing>
      </w:r>
    </w:p>
    <w:p w14:paraId="5385C797" w14:textId="72C18F0F" w:rsidR="001E22F6" w:rsidRPr="000B54E7" w:rsidRDefault="00171D2A" w:rsidP="00DA47FD">
      <w:pPr>
        <w:pStyle w:val="Heading1"/>
      </w:pPr>
      <w:bookmarkStart w:id="17" w:name="_Toc5282301"/>
      <w:r>
        <w:t>About the Action Plan</w:t>
      </w:r>
      <w:bookmarkEnd w:id="17"/>
    </w:p>
    <w:p w14:paraId="4E46CA57" w14:textId="77777777" w:rsidR="006B49CF" w:rsidRDefault="005D5693" w:rsidP="005D5693">
      <w:pPr>
        <w:spacing w:before="0"/>
        <w:rPr>
          <w:sz w:val="20"/>
          <w:szCs w:val="20"/>
        </w:rPr>
      </w:pPr>
      <w:r w:rsidRPr="000B54E7">
        <w:rPr>
          <w:sz w:val="20"/>
          <w:szCs w:val="20"/>
        </w:rPr>
        <w:t>The</w:t>
      </w:r>
      <w:r w:rsidR="00F44CAA">
        <w:rPr>
          <w:sz w:val="20"/>
          <w:szCs w:val="20"/>
        </w:rPr>
        <w:t xml:space="preserve"> </w:t>
      </w:r>
      <w:r w:rsidR="00840FDC">
        <w:rPr>
          <w:sz w:val="20"/>
          <w:szCs w:val="20"/>
        </w:rPr>
        <w:t>ongoing</w:t>
      </w:r>
      <w:r w:rsidRPr="000B54E7">
        <w:rPr>
          <w:sz w:val="20"/>
          <w:szCs w:val="20"/>
        </w:rPr>
        <w:t xml:space="preserve"> prosperity </w:t>
      </w:r>
      <w:r>
        <w:rPr>
          <w:sz w:val="20"/>
          <w:szCs w:val="20"/>
        </w:rPr>
        <w:t xml:space="preserve">and cohesion </w:t>
      </w:r>
      <w:r w:rsidRPr="000B54E7">
        <w:rPr>
          <w:sz w:val="20"/>
          <w:szCs w:val="20"/>
        </w:rPr>
        <w:t xml:space="preserve">of Australian society </w:t>
      </w:r>
      <w:r w:rsidR="003330B2">
        <w:rPr>
          <w:sz w:val="20"/>
          <w:szCs w:val="20"/>
        </w:rPr>
        <w:t>revolves around</w:t>
      </w:r>
      <w:r w:rsidRPr="000B54E7">
        <w:rPr>
          <w:sz w:val="20"/>
          <w:szCs w:val="20"/>
        </w:rPr>
        <w:t xml:space="preserve"> the health and wellbeing of our children and young people. </w:t>
      </w:r>
      <w:r w:rsidR="00A403E7">
        <w:rPr>
          <w:sz w:val="20"/>
          <w:szCs w:val="20"/>
        </w:rPr>
        <w:t xml:space="preserve">While much has been achieved to improve health outcomes for young Australians in recent years, we know that as a country we could still </w:t>
      </w:r>
      <w:r w:rsidR="00785849">
        <w:rPr>
          <w:sz w:val="20"/>
          <w:szCs w:val="20"/>
        </w:rPr>
        <w:t>do</w:t>
      </w:r>
      <w:r w:rsidR="00A403E7">
        <w:rPr>
          <w:sz w:val="20"/>
          <w:szCs w:val="20"/>
        </w:rPr>
        <w:t xml:space="preserve"> better</w:t>
      </w:r>
      <w:r w:rsidR="006B49CF">
        <w:rPr>
          <w:sz w:val="20"/>
          <w:szCs w:val="20"/>
        </w:rPr>
        <w:t xml:space="preserve">. Some health outcomes are </w:t>
      </w:r>
      <w:r w:rsidR="00785849">
        <w:rPr>
          <w:sz w:val="20"/>
          <w:szCs w:val="20"/>
        </w:rPr>
        <w:t>flatlining</w:t>
      </w:r>
      <w:r w:rsidR="006B49CF">
        <w:rPr>
          <w:sz w:val="20"/>
          <w:szCs w:val="20"/>
        </w:rPr>
        <w:t>, other challenges are emerging, and inequities across populations persevere.</w:t>
      </w:r>
      <w:r w:rsidR="006B49CF">
        <w:rPr>
          <w:rStyle w:val="EndnoteReference"/>
          <w:sz w:val="20"/>
          <w:szCs w:val="20"/>
        </w:rPr>
        <w:endnoteReference w:id="3"/>
      </w:r>
      <w:r w:rsidR="006B49CF">
        <w:rPr>
          <w:sz w:val="20"/>
          <w:szCs w:val="20"/>
        </w:rPr>
        <w:t xml:space="preserve"> </w:t>
      </w:r>
      <w:r w:rsidR="00315942">
        <w:rPr>
          <w:rStyle w:val="EndnoteReference"/>
          <w:sz w:val="20"/>
          <w:szCs w:val="20"/>
        </w:rPr>
        <w:endnoteReference w:id="4"/>
      </w:r>
      <w:r w:rsidR="006B49CF">
        <w:rPr>
          <w:sz w:val="20"/>
          <w:szCs w:val="20"/>
        </w:rPr>
        <w:t xml:space="preserve"> </w:t>
      </w:r>
    </w:p>
    <w:p w14:paraId="0CCD4752" w14:textId="77777777" w:rsidR="005D5693" w:rsidRDefault="00703AB7" w:rsidP="005D5693">
      <w:pPr>
        <w:spacing w:before="0"/>
        <w:rPr>
          <w:sz w:val="20"/>
          <w:szCs w:val="20"/>
        </w:rPr>
      </w:pPr>
      <w:r>
        <w:rPr>
          <w:sz w:val="20"/>
          <w:szCs w:val="20"/>
        </w:rPr>
        <w:t>T</w:t>
      </w:r>
      <w:r w:rsidR="005D5693">
        <w:rPr>
          <w:sz w:val="20"/>
          <w:szCs w:val="20"/>
        </w:rPr>
        <w:t>h</w:t>
      </w:r>
      <w:r w:rsidR="00840FDC">
        <w:rPr>
          <w:sz w:val="20"/>
          <w:szCs w:val="20"/>
        </w:rPr>
        <w:t>is</w:t>
      </w:r>
      <w:r w:rsidR="005D5693" w:rsidRPr="00E40C39">
        <w:rPr>
          <w:sz w:val="20"/>
          <w:szCs w:val="20"/>
        </w:rPr>
        <w:t xml:space="preserve"> Action Plan </w:t>
      </w:r>
      <w:r w:rsidR="005D5693">
        <w:rPr>
          <w:sz w:val="20"/>
          <w:szCs w:val="20"/>
        </w:rPr>
        <w:t>has been</w:t>
      </w:r>
      <w:r w:rsidR="005D5693" w:rsidRPr="00E40C39">
        <w:rPr>
          <w:sz w:val="20"/>
          <w:szCs w:val="20"/>
        </w:rPr>
        <w:t xml:space="preserve"> </w:t>
      </w:r>
      <w:r w:rsidR="00840FDC">
        <w:rPr>
          <w:sz w:val="20"/>
          <w:szCs w:val="20"/>
        </w:rPr>
        <w:t>produced</w:t>
      </w:r>
      <w:r w:rsidR="005D5693" w:rsidRPr="00E40C39">
        <w:rPr>
          <w:sz w:val="20"/>
          <w:szCs w:val="20"/>
        </w:rPr>
        <w:t xml:space="preserve"> </w:t>
      </w:r>
      <w:r w:rsidR="00785849">
        <w:rPr>
          <w:sz w:val="20"/>
          <w:szCs w:val="20"/>
        </w:rPr>
        <w:t>as</w:t>
      </w:r>
      <w:r w:rsidR="00840FDC">
        <w:rPr>
          <w:sz w:val="20"/>
          <w:szCs w:val="20"/>
        </w:rPr>
        <w:t xml:space="preserve"> a roadmap for</w:t>
      </w:r>
      <w:r w:rsidR="00F642EE">
        <w:rPr>
          <w:sz w:val="20"/>
          <w:szCs w:val="20"/>
        </w:rPr>
        <w:t xml:space="preserve"> enhancing</w:t>
      </w:r>
      <w:r w:rsidR="00840FDC">
        <w:rPr>
          <w:sz w:val="20"/>
          <w:szCs w:val="20"/>
        </w:rPr>
        <w:t xml:space="preserve"> the collective health and wellbeing of Australia’s children and young people. It has been developed </w:t>
      </w:r>
      <w:r w:rsidR="005D5693" w:rsidRPr="00E40C39">
        <w:rPr>
          <w:sz w:val="20"/>
          <w:szCs w:val="20"/>
        </w:rPr>
        <w:t xml:space="preserve">through a consultative process that considered the latest evidence in relation to child and youth health and drew on contributions from health experts from across Australia, members of the health sector, and the wider community. </w:t>
      </w:r>
    </w:p>
    <w:p w14:paraId="3A35D4DA" w14:textId="77777777" w:rsidR="00AD2C23" w:rsidRDefault="005D5693" w:rsidP="00F44CAA">
      <w:pPr>
        <w:spacing w:before="0"/>
        <w:rPr>
          <w:sz w:val="20"/>
          <w:szCs w:val="20"/>
        </w:rPr>
      </w:pPr>
      <w:r>
        <w:rPr>
          <w:sz w:val="20"/>
          <w:szCs w:val="20"/>
        </w:rPr>
        <w:t xml:space="preserve">The Action Plan aims to drive improvement in the health of all children and young people in Australia across the life course, noting challenges of disparity and inequity in health outcomes between individuals, areas, and different sections of the population. It is a call to action and a tool for action, guiding collaborative and cohesive approaches to a set of key priority areas that can better ensure that </w:t>
      </w:r>
      <w:r w:rsidRPr="009D5940">
        <w:rPr>
          <w:sz w:val="20"/>
          <w:szCs w:val="20"/>
        </w:rPr>
        <w:t xml:space="preserve">Australian children and young people, from all backgrounds and all walks of life, have the same opportunities to fulfil their potential, and are </w:t>
      </w:r>
      <w:r>
        <w:rPr>
          <w:sz w:val="20"/>
          <w:szCs w:val="20"/>
        </w:rPr>
        <w:t>healthy</w:t>
      </w:r>
      <w:r w:rsidRPr="009D5940">
        <w:rPr>
          <w:sz w:val="20"/>
          <w:szCs w:val="20"/>
        </w:rPr>
        <w:t xml:space="preserve">, </w:t>
      </w:r>
      <w:r>
        <w:rPr>
          <w:sz w:val="20"/>
          <w:szCs w:val="20"/>
        </w:rPr>
        <w:t>safe</w:t>
      </w:r>
      <w:r w:rsidRPr="009D5940">
        <w:rPr>
          <w:sz w:val="20"/>
          <w:szCs w:val="20"/>
        </w:rPr>
        <w:t xml:space="preserve"> and </w:t>
      </w:r>
      <w:r>
        <w:rPr>
          <w:sz w:val="20"/>
          <w:szCs w:val="20"/>
        </w:rPr>
        <w:t>thriving.</w:t>
      </w:r>
    </w:p>
    <w:p w14:paraId="3E3394A6" w14:textId="77777777" w:rsidR="00F44CAA" w:rsidRPr="00E40C39" w:rsidRDefault="00F44CAA" w:rsidP="00F44CAA">
      <w:pPr>
        <w:spacing w:before="0"/>
        <w:rPr>
          <w:sz w:val="20"/>
          <w:szCs w:val="20"/>
        </w:rPr>
      </w:pPr>
      <w:r w:rsidRPr="00E40C39">
        <w:rPr>
          <w:sz w:val="20"/>
          <w:szCs w:val="20"/>
        </w:rPr>
        <w:t xml:space="preserve">The Action Plan has been developed to </w:t>
      </w:r>
      <w:r w:rsidR="00B6540B">
        <w:rPr>
          <w:sz w:val="20"/>
          <w:szCs w:val="20"/>
        </w:rPr>
        <w:t>guide efforts and approaches</w:t>
      </w:r>
      <w:r w:rsidRPr="00E40C39">
        <w:rPr>
          <w:sz w:val="20"/>
          <w:szCs w:val="20"/>
        </w:rPr>
        <w:t xml:space="preserve"> for the period 2020-2030. Periodic reviews of the evidence underpinning action areas will be undertaken </w:t>
      </w:r>
      <w:r w:rsidR="00B6540B">
        <w:rPr>
          <w:sz w:val="20"/>
          <w:szCs w:val="20"/>
        </w:rPr>
        <w:t>during the life of the Action Plan</w:t>
      </w:r>
      <w:r w:rsidRPr="00E40C39">
        <w:rPr>
          <w:sz w:val="20"/>
          <w:szCs w:val="20"/>
        </w:rPr>
        <w:t>. As time elapses, priority activities and timeframes for implementation will be reassessed</w:t>
      </w:r>
      <w:r w:rsidR="003F7930">
        <w:rPr>
          <w:sz w:val="20"/>
          <w:szCs w:val="20"/>
        </w:rPr>
        <w:t xml:space="preserve"> and refreshed</w:t>
      </w:r>
      <w:r w:rsidRPr="00E40C39">
        <w:rPr>
          <w:sz w:val="20"/>
          <w:szCs w:val="20"/>
        </w:rPr>
        <w:t>, to ensure efforts are invested effectively, efficiently</w:t>
      </w:r>
      <w:r>
        <w:rPr>
          <w:sz w:val="20"/>
          <w:szCs w:val="20"/>
        </w:rPr>
        <w:t>,</w:t>
      </w:r>
      <w:r w:rsidRPr="00E40C39">
        <w:rPr>
          <w:sz w:val="20"/>
          <w:szCs w:val="20"/>
        </w:rPr>
        <w:t xml:space="preserve"> and where needed.</w:t>
      </w:r>
    </w:p>
    <w:p w14:paraId="5BDA7BE5" w14:textId="317B80BA" w:rsidR="00F44CAA" w:rsidRPr="00E40C39" w:rsidRDefault="00F44CAA" w:rsidP="00F44CAA">
      <w:pPr>
        <w:rPr>
          <w:rFonts w:cstheme="minorHAnsi"/>
          <w:sz w:val="20"/>
          <w:szCs w:val="20"/>
        </w:rPr>
      </w:pPr>
      <w:r w:rsidRPr="00E40C39">
        <w:rPr>
          <w:rFonts w:cstheme="minorHAnsi"/>
          <w:sz w:val="20"/>
          <w:szCs w:val="20"/>
          <w:lang w:eastAsia="en-AU"/>
        </w:rPr>
        <w:t xml:space="preserve">The Action Plan </w:t>
      </w:r>
      <w:r w:rsidRPr="00E40C39">
        <w:rPr>
          <w:rFonts w:cstheme="minorHAnsi"/>
          <w:sz w:val="20"/>
          <w:szCs w:val="20"/>
        </w:rPr>
        <w:t>is relevant to children and young people aged from 0-24 years. The Action</w:t>
      </w:r>
      <w:r w:rsidR="00DF0E40">
        <w:rPr>
          <w:rFonts w:cstheme="minorHAnsi"/>
          <w:sz w:val="20"/>
          <w:szCs w:val="20"/>
        </w:rPr>
        <w:t xml:space="preserve"> Plan recognises that the ante</w:t>
      </w:r>
      <w:r w:rsidRPr="00E40C39">
        <w:rPr>
          <w:rFonts w:cstheme="minorHAnsi"/>
          <w:sz w:val="20"/>
          <w:szCs w:val="20"/>
        </w:rPr>
        <w:t>natal period, and pre-conception period, are also key to optimal health for children and young people.</w:t>
      </w:r>
    </w:p>
    <w:p w14:paraId="67CFE6FE" w14:textId="77777777" w:rsidR="008F2C01" w:rsidRDefault="005377A2" w:rsidP="003330B2">
      <w:pPr>
        <w:pStyle w:val="Heading1"/>
      </w:pPr>
      <w:bookmarkStart w:id="18" w:name="_Toc5282302"/>
      <w:r>
        <w:t xml:space="preserve">Why </w:t>
      </w:r>
      <w:r w:rsidR="00B6540B">
        <w:t>we need an</w:t>
      </w:r>
      <w:r w:rsidR="008F2C01">
        <w:t xml:space="preserve"> Action Plan</w:t>
      </w:r>
      <w:bookmarkEnd w:id="18"/>
    </w:p>
    <w:p w14:paraId="2DDD8035" w14:textId="77777777" w:rsidR="00953290" w:rsidRDefault="00A145FB" w:rsidP="00AD2C23">
      <w:pPr>
        <w:rPr>
          <w:rFonts w:cstheme="minorHAnsi"/>
          <w:sz w:val="20"/>
          <w:szCs w:val="20"/>
        </w:rPr>
      </w:pPr>
      <w:r>
        <w:rPr>
          <w:rFonts w:cstheme="minorHAnsi"/>
          <w:sz w:val="20"/>
          <w:szCs w:val="20"/>
        </w:rPr>
        <w:t>An Action Plan for the health of children and young people recognises the unique</w:t>
      </w:r>
      <w:r w:rsidR="00785849">
        <w:rPr>
          <w:rFonts w:cstheme="minorHAnsi"/>
          <w:sz w:val="20"/>
          <w:szCs w:val="20"/>
        </w:rPr>
        <w:t xml:space="preserve"> </w:t>
      </w:r>
      <w:r>
        <w:rPr>
          <w:rFonts w:cstheme="minorHAnsi"/>
          <w:sz w:val="20"/>
          <w:szCs w:val="20"/>
        </w:rPr>
        <w:t>influence</w:t>
      </w:r>
      <w:r w:rsidR="00FD43B6">
        <w:rPr>
          <w:rFonts w:cstheme="minorHAnsi"/>
          <w:sz w:val="20"/>
          <w:szCs w:val="20"/>
        </w:rPr>
        <w:t>s</w:t>
      </w:r>
      <w:r w:rsidR="00785849">
        <w:rPr>
          <w:rFonts w:cstheme="minorHAnsi"/>
          <w:sz w:val="20"/>
          <w:szCs w:val="20"/>
        </w:rPr>
        <w:t xml:space="preserve"> that occur during</w:t>
      </w:r>
      <w:r w:rsidR="00FD43B6">
        <w:rPr>
          <w:rFonts w:cstheme="minorHAnsi"/>
          <w:sz w:val="20"/>
          <w:szCs w:val="20"/>
        </w:rPr>
        <w:t xml:space="preserve"> this period of life, the </w:t>
      </w:r>
      <w:r w:rsidR="00785849">
        <w:rPr>
          <w:rFonts w:cstheme="minorHAnsi"/>
          <w:sz w:val="20"/>
          <w:szCs w:val="20"/>
        </w:rPr>
        <w:t xml:space="preserve">dynamic </w:t>
      </w:r>
      <w:r w:rsidR="00FD43B6">
        <w:rPr>
          <w:rFonts w:cstheme="minorHAnsi"/>
          <w:sz w:val="20"/>
          <w:szCs w:val="20"/>
        </w:rPr>
        <w:t>health needs</w:t>
      </w:r>
      <w:r w:rsidR="00785849">
        <w:rPr>
          <w:rFonts w:cstheme="minorHAnsi"/>
          <w:sz w:val="20"/>
          <w:szCs w:val="20"/>
        </w:rPr>
        <w:t xml:space="preserve"> of children and young people</w:t>
      </w:r>
      <w:r w:rsidR="00FD43B6">
        <w:rPr>
          <w:rFonts w:cstheme="minorHAnsi"/>
          <w:sz w:val="20"/>
          <w:szCs w:val="20"/>
        </w:rPr>
        <w:t xml:space="preserve"> as they develop</w:t>
      </w:r>
      <w:r w:rsidR="00953290">
        <w:rPr>
          <w:rFonts w:cstheme="minorHAnsi"/>
          <w:sz w:val="20"/>
          <w:szCs w:val="20"/>
        </w:rPr>
        <w:t xml:space="preserve"> through the life course</w:t>
      </w:r>
      <w:r w:rsidR="00785849">
        <w:rPr>
          <w:rFonts w:cstheme="minorHAnsi"/>
          <w:sz w:val="20"/>
          <w:szCs w:val="20"/>
        </w:rPr>
        <w:t>,</w:t>
      </w:r>
      <w:r w:rsidR="00FD43B6">
        <w:rPr>
          <w:rFonts w:cstheme="minorHAnsi"/>
          <w:sz w:val="20"/>
          <w:szCs w:val="20"/>
        </w:rPr>
        <w:t xml:space="preserve"> and their divergent experiences within health system</w:t>
      </w:r>
      <w:r w:rsidR="003058CA">
        <w:rPr>
          <w:rFonts w:cstheme="minorHAnsi"/>
          <w:sz w:val="20"/>
          <w:szCs w:val="20"/>
        </w:rPr>
        <w:t>s and environments</w:t>
      </w:r>
      <w:r w:rsidR="00785849">
        <w:rPr>
          <w:rFonts w:cstheme="minorHAnsi"/>
          <w:sz w:val="20"/>
          <w:szCs w:val="20"/>
        </w:rPr>
        <w:t xml:space="preserve"> over this time</w:t>
      </w:r>
      <w:r w:rsidR="00FD43B6">
        <w:rPr>
          <w:rFonts w:cstheme="minorHAnsi"/>
          <w:sz w:val="20"/>
          <w:szCs w:val="20"/>
        </w:rPr>
        <w:t xml:space="preserve">. </w:t>
      </w:r>
    </w:p>
    <w:p w14:paraId="258C343E" w14:textId="77777777" w:rsidR="00953290" w:rsidRDefault="00FD43B6" w:rsidP="00AD2C23">
      <w:pPr>
        <w:rPr>
          <w:rFonts w:cstheme="minorHAnsi"/>
          <w:sz w:val="20"/>
          <w:szCs w:val="20"/>
        </w:rPr>
      </w:pPr>
      <w:r>
        <w:rPr>
          <w:rFonts w:cstheme="minorHAnsi"/>
          <w:sz w:val="20"/>
          <w:szCs w:val="20"/>
        </w:rPr>
        <w:t xml:space="preserve">The need for an Action Plan for children and young people reflects cumulative knowledge and evidence that what we do now matters for the future of our society. Despite an improving trend in </w:t>
      </w:r>
      <w:r w:rsidR="00953290">
        <w:rPr>
          <w:rFonts w:cstheme="minorHAnsi"/>
          <w:sz w:val="20"/>
          <w:szCs w:val="20"/>
        </w:rPr>
        <w:t xml:space="preserve">population </w:t>
      </w:r>
      <w:r>
        <w:rPr>
          <w:rFonts w:cstheme="minorHAnsi"/>
          <w:sz w:val="20"/>
          <w:szCs w:val="20"/>
        </w:rPr>
        <w:t xml:space="preserve">health outcomes </w:t>
      </w:r>
      <w:r w:rsidR="00953290">
        <w:rPr>
          <w:rFonts w:cstheme="minorHAnsi"/>
          <w:sz w:val="20"/>
          <w:szCs w:val="20"/>
        </w:rPr>
        <w:t>in the last century</w:t>
      </w:r>
      <w:r w:rsidR="00953290">
        <w:rPr>
          <w:rStyle w:val="EndnoteReference"/>
          <w:rFonts w:cstheme="minorHAnsi"/>
          <w:sz w:val="20"/>
          <w:szCs w:val="20"/>
        </w:rPr>
        <w:endnoteReference w:id="5"/>
      </w:r>
      <w:r>
        <w:rPr>
          <w:rFonts w:cstheme="minorHAnsi"/>
          <w:sz w:val="20"/>
          <w:szCs w:val="20"/>
        </w:rPr>
        <w:t xml:space="preserve">, it acknowledges </w:t>
      </w:r>
      <w:r w:rsidR="003058CA">
        <w:rPr>
          <w:rFonts w:cstheme="minorHAnsi"/>
          <w:sz w:val="20"/>
          <w:szCs w:val="20"/>
        </w:rPr>
        <w:t xml:space="preserve">a need to tackle </w:t>
      </w:r>
      <w:r>
        <w:rPr>
          <w:rFonts w:cstheme="minorHAnsi"/>
          <w:sz w:val="20"/>
          <w:szCs w:val="20"/>
        </w:rPr>
        <w:t>gaps and inequities in health outcomes for children and young people, and</w:t>
      </w:r>
      <w:r w:rsidR="003058CA">
        <w:rPr>
          <w:rFonts w:cstheme="minorHAnsi"/>
          <w:sz w:val="20"/>
          <w:szCs w:val="20"/>
        </w:rPr>
        <w:t xml:space="preserve"> to</w:t>
      </w:r>
      <w:r>
        <w:rPr>
          <w:rFonts w:cstheme="minorHAnsi"/>
          <w:sz w:val="20"/>
          <w:szCs w:val="20"/>
        </w:rPr>
        <w:t xml:space="preserve"> </w:t>
      </w:r>
      <w:r w:rsidR="003058CA">
        <w:rPr>
          <w:rFonts w:cstheme="minorHAnsi"/>
          <w:sz w:val="20"/>
          <w:szCs w:val="20"/>
        </w:rPr>
        <w:t xml:space="preserve">address </w:t>
      </w:r>
      <w:r>
        <w:rPr>
          <w:rFonts w:cstheme="minorHAnsi"/>
          <w:sz w:val="20"/>
          <w:szCs w:val="20"/>
        </w:rPr>
        <w:t xml:space="preserve">emerging challenges in certain domains of health and wellbeing. </w:t>
      </w:r>
      <w:r w:rsidR="00953290">
        <w:rPr>
          <w:rFonts w:cstheme="minorHAnsi"/>
          <w:sz w:val="20"/>
          <w:szCs w:val="20"/>
        </w:rPr>
        <w:t xml:space="preserve">The Action Plan manifests </w:t>
      </w:r>
      <w:r w:rsidR="003058CA">
        <w:rPr>
          <w:rFonts w:cstheme="minorHAnsi"/>
          <w:sz w:val="20"/>
          <w:szCs w:val="20"/>
        </w:rPr>
        <w:t xml:space="preserve">as a means to focus and shape </w:t>
      </w:r>
      <w:r w:rsidR="00953290">
        <w:rPr>
          <w:rFonts w:cstheme="minorHAnsi"/>
          <w:sz w:val="20"/>
          <w:szCs w:val="20"/>
        </w:rPr>
        <w:t>collaborati</w:t>
      </w:r>
      <w:r w:rsidR="003058CA">
        <w:rPr>
          <w:rFonts w:cstheme="minorHAnsi"/>
          <w:sz w:val="20"/>
          <w:szCs w:val="20"/>
        </w:rPr>
        <w:t>ve efforts from</w:t>
      </w:r>
      <w:r w:rsidR="00953290">
        <w:rPr>
          <w:rFonts w:cstheme="minorHAnsi"/>
          <w:sz w:val="20"/>
          <w:szCs w:val="20"/>
        </w:rPr>
        <w:t xml:space="preserve"> partners across the health sector and wider society, to more effectively address priorities and </w:t>
      </w:r>
      <w:r w:rsidR="003058CA">
        <w:rPr>
          <w:rFonts w:cstheme="minorHAnsi"/>
          <w:sz w:val="20"/>
          <w:szCs w:val="20"/>
        </w:rPr>
        <w:t>implement activities collectively. Action from everyone matters and continued action is needed.</w:t>
      </w:r>
    </w:p>
    <w:p w14:paraId="0EBCF0D7" w14:textId="77777777" w:rsidR="00C51E05" w:rsidRPr="00A724D2" w:rsidRDefault="007B5327" w:rsidP="00C14B3A">
      <w:pPr>
        <w:pStyle w:val="Heading4"/>
        <w:rPr>
          <w:rFonts w:eastAsiaTheme="minorHAnsi"/>
          <w:lang w:val="en-US"/>
        </w:rPr>
      </w:pPr>
      <w:r w:rsidRPr="00A724D2">
        <w:rPr>
          <w:rFonts w:eastAsiaTheme="minorHAnsi"/>
          <w:lang w:val="en-US"/>
        </w:rPr>
        <w:t>There is a</w:t>
      </w:r>
      <w:r w:rsidR="00803502">
        <w:rPr>
          <w:rFonts w:eastAsiaTheme="minorHAnsi"/>
          <w:lang w:val="en-US"/>
        </w:rPr>
        <w:t xml:space="preserve"> clear</w:t>
      </w:r>
      <w:r w:rsidR="00C51E05" w:rsidRPr="00A724D2">
        <w:rPr>
          <w:rFonts w:eastAsiaTheme="minorHAnsi"/>
          <w:lang w:val="en-US"/>
        </w:rPr>
        <w:t xml:space="preserve"> opportunity to shape </w:t>
      </w:r>
      <w:r w:rsidR="00AF4DC5" w:rsidRPr="00A724D2">
        <w:rPr>
          <w:rFonts w:eastAsiaTheme="minorHAnsi"/>
          <w:lang w:val="en-US"/>
        </w:rPr>
        <w:t>a better</w:t>
      </w:r>
      <w:r w:rsidR="00C51E05" w:rsidRPr="00A724D2">
        <w:rPr>
          <w:rFonts w:eastAsiaTheme="minorHAnsi"/>
          <w:lang w:val="en-US"/>
        </w:rPr>
        <w:t xml:space="preserve"> future</w:t>
      </w:r>
      <w:r w:rsidR="00A724D2" w:rsidRPr="00A724D2">
        <w:rPr>
          <w:rFonts w:eastAsiaTheme="minorHAnsi"/>
          <w:lang w:val="en-US"/>
        </w:rPr>
        <w:t>…</w:t>
      </w:r>
      <w:r w:rsidR="00C36CDD" w:rsidRPr="00A724D2">
        <w:rPr>
          <w:rFonts w:eastAsiaTheme="minorHAnsi"/>
          <w:lang w:val="en-US"/>
        </w:rPr>
        <w:t xml:space="preserve"> </w:t>
      </w:r>
    </w:p>
    <w:p w14:paraId="01701212" w14:textId="77777777" w:rsidR="002C2A4B" w:rsidRDefault="00483576" w:rsidP="00483576">
      <w:pPr>
        <w:rPr>
          <w:rFonts w:cstheme="minorHAnsi"/>
          <w:sz w:val="20"/>
          <w:szCs w:val="20"/>
        </w:rPr>
      </w:pPr>
      <w:r w:rsidRPr="00F642EE">
        <w:rPr>
          <w:rFonts w:cstheme="minorHAnsi"/>
          <w:sz w:val="20"/>
          <w:szCs w:val="20"/>
        </w:rPr>
        <w:t>There is</w:t>
      </w:r>
      <w:r w:rsidR="001E43D9">
        <w:rPr>
          <w:rFonts w:cstheme="minorHAnsi"/>
          <w:sz w:val="20"/>
          <w:szCs w:val="20"/>
        </w:rPr>
        <w:t xml:space="preserve"> </w:t>
      </w:r>
      <w:r w:rsidRPr="00F642EE">
        <w:rPr>
          <w:rFonts w:cstheme="minorHAnsi"/>
          <w:sz w:val="20"/>
          <w:szCs w:val="20"/>
        </w:rPr>
        <w:t>compelling</w:t>
      </w:r>
      <w:r w:rsidR="001E43D9">
        <w:rPr>
          <w:rFonts w:cstheme="minorHAnsi"/>
          <w:sz w:val="20"/>
          <w:szCs w:val="20"/>
        </w:rPr>
        <w:t xml:space="preserve"> </w:t>
      </w:r>
      <w:r w:rsidRPr="00F642EE">
        <w:rPr>
          <w:rFonts w:cstheme="minorHAnsi"/>
          <w:sz w:val="20"/>
          <w:szCs w:val="20"/>
        </w:rPr>
        <w:t xml:space="preserve">evidence that what happens </w:t>
      </w:r>
      <w:r w:rsidR="003A7D25">
        <w:rPr>
          <w:rFonts w:cstheme="minorHAnsi"/>
          <w:sz w:val="20"/>
          <w:szCs w:val="20"/>
        </w:rPr>
        <w:t>during childhood</w:t>
      </w:r>
      <w:r w:rsidR="009E6221">
        <w:rPr>
          <w:rFonts w:cstheme="minorHAnsi"/>
          <w:sz w:val="20"/>
          <w:szCs w:val="20"/>
        </w:rPr>
        <w:t xml:space="preserve"> and adolescence</w:t>
      </w:r>
      <w:r w:rsidR="003A7D25">
        <w:rPr>
          <w:rFonts w:cstheme="minorHAnsi"/>
          <w:sz w:val="20"/>
          <w:szCs w:val="20"/>
        </w:rPr>
        <w:t xml:space="preserve"> goes on to affect long term individual</w:t>
      </w:r>
      <w:r w:rsidR="009E6221">
        <w:rPr>
          <w:rFonts w:cstheme="minorHAnsi"/>
          <w:sz w:val="20"/>
          <w:szCs w:val="20"/>
        </w:rPr>
        <w:t xml:space="preserve"> health </w:t>
      </w:r>
      <w:r w:rsidR="003A7D25">
        <w:rPr>
          <w:rFonts w:cstheme="minorHAnsi"/>
          <w:sz w:val="20"/>
          <w:szCs w:val="20"/>
        </w:rPr>
        <w:t>outcomes</w:t>
      </w:r>
      <w:r w:rsidR="00915DA6">
        <w:rPr>
          <w:rFonts w:cstheme="minorHAnsi"/>
          <w:sz w:val="20"/>
          <w:szCs w:val="20"/>
        </w:rPr>
        <w:t>.</w:t>
      </w:r>
      <w:r w:rsidR="00915DA6" w:rsidRPr="00E64AF9">
        <w:rPr>
          <w:rStyle w:val="EndnoteReference"/>
          <w:sz w:val="20"/>
          <w:szCs w:val="19"/>
          <w:lang w:eastAsia="en-AU"/>
        </w:rPr>
        <w:endnoteReference w:id="6"/>
      </w:r>
      <w:r w:rsidR="00915DA6" w:rsidRPr="00E64AF9">
        <w:rPr>
          <w:sz w:val="20"/>
          <w:szCs w:val="19"/>
          <w:lang w:eastAsia="en-AU"/>
        </w:rPr>
        <w:t xml:space="preserve"> </w:t>
      </w:r>
      <w:r w:rsidR="00973F68" w:rsidRPr="00E64AF9">
        <w:rPr>
          <w:rStyle w:val="EndnoteReference"/>
          <w:sz w:val="20"/>
          <w:szCs w:val="19"/>
          <w:lang w:eastAsia="en-AU"/>
        </w:rPr>
        <w:endnoteReference w:id="7"/>
      </w:r>
      <w:r w:rsidR="001E43D9">
        <w:rPr>
          <w:sz w:val="20"/>
          <w:szCs w:val="19"/>
          <w:lang w:eastAsia="en-AU"/>
        </w:rPr>
        <w:t xml:space="preserve"> </w:t>
      </w:r>
      <w:r w:rsidR="00973F68">
        <w:rPr>
          <w:rFonts w:cstheme="minorHAnsi"/>
          <w:sz w:val="20"/>
          <w:szCs w:val="20"/>
        </w:rPr>
        <w:t>Early childhood in particular</w:t>
      </w:r>
      <w:r w:rsidR="00E21CC5">
        <w:rPr>
          <w:rFonts w:cstheme="minorHAnsi"/>
          <w:sz w:val="20"/>
          <w:szCs w:val="20"/>
        </w:rPr>
        <w:t xml:space="preserve"> </w:t>
      </w:r>
      <w:r w:rsidR="003A7D25">
        <w:rPr>
          <w:rFonts w:cstheme="minorHAnsi"/>
          <w:sz w:val="20"/>
          <w:szCs w:val="20"/>
        </w:rPr>
        <w:t xml:space="preserve">offers a crucial ‘window of opportunity’ for investment and </w:t>
      </w:r>
      <w:r w:rsidR="00915DA6">
        <w:rPr>
          <w:rFonts w:cstheme="minorHAnsi"/>
          <w:sz w:val="20"/>
          <w:szCs w:val="20"/>
        </w:rPr>
        <w:t xml:space="preserve">early intervention, </w:t>
      </w:r>
      <w:r w:rsidR="001E43D9">
        <w:rPr>
          <w:rFonts w:cstheme="minorHAnsi"/>
          <w:sz w:val="20"/>
          <w:szCs w:val="20"/>
        </w:rPr>
        <w:t>not only</w:t>
      </w:r>
      <w:r w:rsidR="00915DA6">
        <w:rPr>
          <w:rFonts w:cstheme="minorHAnsi"/>
          <w:sz w:val="20"/>
          <w:szCs w:val="20"/>
        </w:rPr>
        <w:t xml:space="preserve"> to prevent</w:t>
      </w:r>
      <w:r w:rsidR="00973F68">
        <w:rPr>
          <w:rFonts w:cstheme="minorHAnsi"/>
          <w:sz w:val="20"/>
          <w:szCs w:val="20"/>
        </w:rPr>
        <w:t xml:space="preserve"> or reduce</w:t>
      </w:r>
      <w:r w:rsidR="00915DA6">
        <w:rPr>
          <w:rFonts w:cstheme="minorHAnsi"/>
          <w:sz w:val="20"/>
          <w:szCs w:val="20"/>
        </w:rPr>
        <w:t xml:space="preserve"> adverse outcomes</w:t>
      </w:r>
      <w:r w:rsidR="001E43D9">
        <w:rPr>
          <w:rFonts w:cstheme="minorHAnsi"/>
          <w:sz w:val="20"/>
          <w:szCs w:val="20"/>
        </w:rPr>
        <w:t xml:space="preserve"> but to </w:t>
      </w:r>
      <w:r w:rsidR="00915DA6">
        <w:rPr>
          <w:rFonts w:cstheme="minorHAnsi"/>
          <w:sz w:val="20"/>
          <w:szCs w:val="20"/>
        </w:rPr>
        <w:t>maximise</w:t>
      </w:r>
      <w:r w:rsidR="00973F68">
        <w:rPr>
          <w:rFonts w:cstheme="minorHAnsi"/>
          <w:sz w:val="20"/>
          <w:szCs w:val="20"/>
        </w:rPr>
        <w:t xml:space="preserve"> the life chances of </w:t>
      </w:r>
      <w:r w:rsidR="001E43D9">
        <w:rPr>
          <w:rFonts w:cstheme="minorHAnsi"/>
          <w:sz w:val="20"/>
          <w:szCs w:val="20"/>
        </w:rPr>
        <w:t>children and young people so that they can</w:t>
      </w:r>
      <w:r w:rsidR="00E21CC5">
        <w:rPr>
          <w:rFonts w:cstheme="minorHAnsi"/>
          <w:sz w:val="20"/>
          <w:szCs w:val="20"/>
        </w:rPr>
        <w:t xml:space="preserve"> </w:t>
      </w:r>
      <w:r w:rsidR="001E43D9">
        <w:rPr>
          <w:rFonts w:cstheme="minorHAnsi"/>
          <w:sz w:val="20"/>
          <w:szCs w:val="20"/>
        </w:rPr>
        <w:t>thrive.</w:t>
      </w:r>
      <w:r w:rsidR="00E21CC5">
        <w:rPr>
          <w:rStyle w:val="EndnoteReference"/>
          <w:rFonts w:cstheme="minorHAnsi"/>
          <w:sz w:val="20"/>
          <w:szCs w:val="20"/>
        </w:rPr>
        <w:endnoteReference w:id="8"/>
      </w:r>
      <w:r w:rsidR="001E43D9">
        <w:rPr>
          <w:rFonts w:cstheme="minorHAnsi"/>
          <w:sz w:val="20"/>
          <w:szCs w:val="20"/>
        </w:rPr>
        <w:t xml:space="preserve"> </w:t>
      </w:r>
      <w:r w:rsidR="00E21CC5">
        <w:rPr>
          <w:rFonts w:cstheme="minorHAnsi"/>
          <w:sz w:val="20"/>
          <w:szCs w:val="20"/>
        </w:rPr>
        <w:t xml:space="preserve">Adolescence too </w:t>
      </w:r>
      <w:r w:rsidR="00E963CF">
        <w:rPr>
          <w:rFonts w:cstheme="minorHAnsi"/>
          <w:sz w:val="20"/>
          <w:szCs w:val="20"/>
        </w:rPr>
        <w:t>represents</w:t>
      </w:r>
      <w:r w:rsidR="00E21CC5">
        <w:rPr>
          <w:rFonts w:cstheme="minorHAnsi"/>
          <w:sz w:val="20"/>
          <w:szCs w:val="20"/>
        </w:rPr>
        <w:t xml:space="preserve"> a vital period</w:t>
      </w:r>
      <w:r w:rsidR="00F078CA">
        <w:rPr>
          <w:rFonts w:cstheme="minorHAnsi"/>
          <w:sz w:val="20"/>
          <w:szCs w:val="20"/>
        </w:rPr>
        <w:t xml:space="preserve"> </w:t>
      </w:r>
      <w:r w:rsidR="00F7278F">
        <w:rPr>
          <w:rFonts w:cstheme="minorHAnsi"/>
          <w:sz w:val="20"/>
          <w:szCs w:val="20"/>
        </w:rPr>
        <w:t>for development, in which</w:t>
      </w:r>
      <w:r w:rsidR="008B7E05">
        <w:rPr>
          <w:rFonts w:cstheme="minorHAnsi"/>
          <w:sz w:val="20"/>
          <w:szCs w:val="20"/>
        </w:rPr>
        <w:t xml:space="preserve"> biological and psychosocial changes present</w:t>
      </w:r>
      <w:r w:rsidR="00F7278F">
        <w:rPr>
          <w:rFonts w:cstheme="minorHAnsi"/>
          <w:sz w:val="20"/>
          <w:szCs w:val="20"/>
        </w:rPr>
        <w:t xml:space="preserve"> a ‘window of vulnerability’ </w:t>
      </w:r>
      <w:r w:rsidR="002C2A4B">
        <w:rPr>
          <w:rFonts w:cstheme="minorHAnsi"/>
          <w:sz w:val="20"/>
          <w:szCs w:val="20"/>
        </w:rPr>
        <w:t>through which pathways can be set</w:t>
      </w:r>
      <w:r w:rsidR="00E963CF">
        <w:rPr>
          <w:rFonts w:cstheme="minorHAnsi"/>
          <w:sz w:val="20"/>
          <w:szCs w:val="20"/>
        </w:rPr>
        <w:t xml:space="preserve"> – positively or negatively – </w:t>
      </w:r>
      <w:r w:rsidR="002C2A4B">
        <w:rPr>
          <w:rFonts w:cstheme="minorHAnsi"/>
          <w:sz w:val="20"/>
          <w:szCs w:val="20"/>
        </w:rPr>
        <w:t xml:space="preserve">towards </w:t>
      </w:r>
      <w:r w:rsidR="00847C9D">
        <w:rPr>
          <w:rFonts w:cstheme="minorHAnsi"/>
          <w:sz w:val="20"/>
          <w:szCs w:val="20"/>
        </w:rPr>
        <w:t>lifelong health outcomes</w:t>
      </w:r>
      <w:r w:rsidR="002C2A4B">
        <w:rPr>
          <w:rFonts w:cstheme="minorHAnsi"/>
          <w:sz w:val="20"/>
          <w:szCs w:val="20"/>
        </w:rPr>
        <w:t>.</w:t>
      </w:r>
      <w:r w:rsidR="002C2A4B">
        <w:rPr>
          <w:rStyle w:val="EndnoteReference"/>
          <w:rFonts w:cstheme="minorHAnsi"/>
          <w:sz w:val="20"/>
          <w:szCs w:val="20"/>
        </w:rPr>
        <w:endnoteReference w:id="9"/>
      </w:r>
      <w:r w:rsidR="002C2A4B">
        <w:rPr>
          <w:rFonts w:cstheme="minorHAnsi"/>
          <w:sz w:val="20"/>
          <w:szCs w:val="20"/>
        </w:rPr>
        <w:t xml:space="preserve"> </w:t>
      </w:r>
    </w:p>
    <w:p w14:paraId="4371E53A" w14:textId="77777777" w:rsidR="008B7E05" w:rsidRDefault="009E6221" w:rsidP="00483576">
      <w:pPr>
        <w:rPr>
          <w:sz w:val="20"/>
          <w:szCs w:val="19"/>
          <w:lang w:eastAsia="en-AU"/>
        </w:rPr>
      </w:pPr>
      <w:r>
        <w:rPr>
          <w:rFonts w:cstheme="minorHAnsi"/>
          <w:sz w:val="20"/>
          <w:szCs w:val="20"/>
        </w:rPr>
        <w:t xml:space="preserve">Beyond </w:t>
      </w:r>
      <w:r w:rsidR="00AE17BE">
        <w:rPr>
          <w:rFonts w:cstheme="minorHAnsi"/>
          <w:sz w:val="20"/>
          <w:szCs w:val="20"/>
        </w:rPr>
        <w:t xml:space="preserve">the long term </w:t>
      </w:r>
      <w:r>
        <w:rPr>
          <w:rFonts w:cstheme="minorHAnsi"/>
          <w:sz w:val="20"/>
          <w:szCs w:val="20"/>
        </w:rPr>
        <w:t xml:space="preserve">individual </w:t>
      </w:r>
      <w:r w:rsidR="000E759B">
        <w:rPr>
          <w:rFonts w:cstheme="minorHAnsi"/>
          <w:sz w:val="20"/>
          <w:szCs w:val="20"/>
        </w:rPr>
        <w:t>impacts</w:t>
      </w:r>
      <w:r>
        <w:rPr>
          <w:rFonts w:cstheme="minorHAnsi"/>
          <w:sz w:val="20"/>
          <w:szCs w:val="20"/>
        </w:rPr>
        <w:t xml:space="preserve">, there is a clear social and economic rationale to sustain and enhance the health and wellbeing of all children </w:t>
      </w:r>
      <w:r w:rsidR="00E963CF">
        <w:rPr>
          <w:rFonts w:cstheme="minorHAnsi"/>
          <w:sz w:val="20"/>
          <w:szCs w:val="20"/>
        </w:rPr>
        <w:t xml:space="preserve">and </w:t>
      </w:r>
      <w:r>
        <w:rPr>
          <w:rFonts w:cstheme="minorHAnsi"/>
          <w:sz w:val="20"/>
          <w:szCs w:val="20"/>
        </w:rPr>
        <w:t xml:space="preserve">young people. The ability of adults to participate fully in society </w:t>
      </w:r>
      <w:r w:rsidR="008B7E05">
        <w:rPr>
          <w:rFonts w:cstheme="minorHAnsi"/>
          <w:sz w:val="20"/>
          <w:szCs w:val="20"/>
        </w:rPr>
        <w:t>will</w:t>
      </w:r>
      <w:r>
        <w:rPr>
          <w:rFonts w:cstheme="minorHAnsi"/>
          <w:sz w:val="20"/>
          <w:szCs w:val="20"/>
        </w:rPr>
        <w:t xml:space="preserve"> be largely shaped by their experiences in childhood. Cost-benefit analyses demonstrate a positive return on investment for</w:t>
      </w:r>
      <w:r w:rsidR="00847C9D">
        <w:rPr>
          <w:rFonts w:cstheme="minorHAnsi"/>
          <w:sz w:val="20"/>
          <w:szCs w:val="20"/>
        </w:rPr>
        <w:t xml:space="preserve"> health</w:t>
      </w:r>
      <w:r w:rsidR="008B7E05">
        <w:rPr>
          <w:rFonts w:cstheme="minorHAnsi"/>
          <w:sz w:val="20"/>
          <w:szCs w:val="20"/>
        </w:rPr>
        <w:t xml:space="preserve"> programs and interventions in childhood, acting as a powerful equaliser for children and young people experienc</w:t>
      </w:r>
      <w:r w:rsidR="00AE17BE">
        <w:rPr>
          <w:rFonts w:cstheme="minorHAnsi"/>
          <w:sz w:val="20"/>
          <w:szCs w:val="20"/>
        </w:rPr>
        <w:t>ing</w:t>
      </w:r>
      <w:r w:rsidR="008B7E05">
        <w:rPr>
          <w:rFonts w:cstheme="minorHAnsi"/>
          <w:sz w:val="20"/>
          <w:szCs w:val="20"/>
        </w:rPr>
        <w:t xml:space="preserve"> disadvantage.</w:t>
      </w:r>
      <w:r w:rsidR="008B7E05">
        <w:rPr>
          <w:rStyle w:val="EndnoteReference"/>
          <w:rFonts w:cstheme="minorHAnsi"/>
          <w:sz w:val="20"/>
          <w:szCs w:val="20"/>
        </w:rPr>
        <w:endnoteReference w:id="10"/>
      </w:r>
      <w:r w:rsidR="008B7E05">
        <w:rPr>
          <w:rFonts w:cstheme="minorHAnsi"/>
          <w:sz w:val="20"/>
          <w:szCs w:val="20"/>
        </w:rPr>
        <w:t xml:space="preserve"> </w:t>
      </w:r>
      <w:r w:rsidR="008B7E05">
        <w:rPr>
          <w:rStyle w:val="EndnoteReference"/>
          <w:rFonts w:cstheme="minorHAnsi"/>
          <w:sz w:val="20"/>
          <w:szCs w:val="20"/>
        </w:rPr>
        <w:endnoteReference w:id="11"/>
      </w:r>
      <w:r w:rsidR="00784C52">
        <w:rPr>
          <w:rFonts w:cstheme="minorHAnsi"/>
          <w:sz w:val="20"/>
          <w:szCs w:val="20"/>
        </w:rPr>
        <w:t xml:space="preserve"> </w:t>
      </w:r>
      <w:r w:rsidR="00784C52" w:rsidRPr="00E64AF9">
        <w:rPr>
          <w:sz w:val="20"/>
          <w:szCs w:val="19"/>
          <w:lang w:eastAsia="en-AU"/>
        </w:rPr>
        <w:t>When we invest wisely in children and young people, the next generation will pay that back through a lifetime of productivity and responsible citizenship.</w:t>
      </w:r>
      <w:r w:rsidR="00784C52" w:rsidRPr="00E64AF9">
        <w:rPr>
          <w:rStyle w:val="EndnoteReference"/>
          <w:sz w:val="20"/>
          <w:szCs w:val="19"/>
          <w:lang w:eastAsia="en-AU"/>
        </w:rPr>
        <w:endnoteReference w:id="12"/>
      </w:r>
    </w:p>
    <w:p w14:paraId="0373ADC1" w14:textId="77777777" w:rsidR="000E759B" w:rsidRDefault="000E759B" w:rsidP="000E759B">
      <w:pPr>
        <w:rPr>
          <w:rFonts w:cstheme="minorHAnsi"/>
          <w:sz w:val="20"/>
          <w:szCs w:val="20"/>
        </w:rPr>
      </w:pPr>
      <w:r w:rsidRPr="00632E8F">
        <w:rPr>
          <w:rFonts w:cstheme="minorHAnsi"/>
          <w:sz w:val="20"/>
          <w:szCs w:val="20"/>
        </w:rPr>
        <w:t xml:space="preserve">Perhaps above all </w:t>
      </w:r>
      <w:r w:rsidR="00847C9D" w:rsidRPr="00632E8F">
        <w:rPr>
          <w:rFonts w:cstheme="minorHAnsi"/>
          <w:sz w:val="20"/>
          <w:szCs w:val="20"/>
        </w:rPr>
        <w:t xml:space="preserve">this </w:t>
      </w:r>
      <w:r w:rsidRPr="00632E8F">
        <w:rPr>
          <w:rFonts w:cstheme="minorHAnsi"/>
          <w:sz w:val="20"/>
          <w:szCs w:val="20"/>
        </w:rPr>
        <w:t>there is</w:t>
      </w:r>
      <w:r w:rsidR="00784C52" w:rsidRPr="00632E8F">
        <w:rPr>
          <w:rFonts w:cstheme="minorHAnsi"/>
          <w:sz w:val="20"/>
          <w:szCs w:val="20"/>
        </w:rPr>
        <w:t xml:space="preserve"> a moral imperative for us to act</w:t>
      </w:r>
      <w:r w:rsidR="00847C9D" w:rsidRPr="00632E8F">
        <w:rPr>
          <w:rFonts w:cstheme="minorHAnsi"/>
          <w:sz w:val="20"/>
          <w:szCs w:val="20"/>
        </w:rPr>
        <w:t xml:space="preserve">. Children </w:t>
      </w:r>
      <w:r w:rsidR="00632E8F" w:rsidRPr="00632E8F">
        <w:rPr>
          <w:rFonts w:cstheme="minorHAnsi"/>
          <w:sz w:val="20"/>
          <w:szCs w:val="20"/>
        </w:rPr>
        <w:t xml:space="preserve">and young people </w:t>
      </w:r>
      <w:r w:rsidR="00847C9D" w:rsidRPr="00632E8F">
        <w:rPr>
          <w:rFonts w:cstheme="minorHAnsi"/>
          <w:sz w:val="20"/>
          <w:szCs w:val="20"/>
        </w:rPr>
        <w:t>are important</w:t>
      </w:r>
      <w:r w:rsidR="00632E8F" w:rsidRPr="00632E8F">
        <w:rPr>
          <w:rFonts w:cstheme="minorHAnsi"/>
          <w:sz w:val="20"/>
          <w:szCs w:val="20"/>
        </w:rPr>
        <w:t>,</w:t>
      </w:r>
      <w:r w:rsidR="00847C9D" w:rsidRPr="00632E8F">
        <w:rPr>
          <w:rFonts w:cstheme="minorHAnsi"/>
          <w:sz w:val="20"/>
          <w:szCs w:val="20"/>
        </w:rPr>
        <w:t xml:space="preserve"> and</w:t>
      </w:r>
      <w:r w:rsidR="00632E8F" w:rsidRPr="00632E8F">
        <w:rPr>
          <w:rFonts w:cstheme="minorHAnsi"/>
          <w:sz w:val="20"/>
          <w:szCs w:val="20"/>
        </w:rPr>
        <w:t xml:space="preserve"> we have a commitment to protect, nurture and ensure they are able to develop to their fullest. Children and young people deserve the opportunity to reach their potential so </w:t>
      </w:r>
      <w:r w:rsidRPr="00632E8F">
        <w:rPr>
          <w:rFonts w:cstheme="minorHAnsi"/>
          <w:sz w:val="20"/>
          <w:szCs w:val="20"/>
        </w:rPr>
        <w:t xml:space="preserve">that they can </w:t>
      </w:r>
      <w:r w:rsidR="00632E8F" w:rsidRPr="00632E8F">
        <w:rPr>
          <w:rFonts w:cstheme="minorHAnsi"/>
          <w:sz w:val="20"/>
          <w:szCs w:val="20"/>
        </w:rPr>
        <w:t>prosper</w:t>
      </w:r>
      <w:r w:rsidRPr="00632E8F">
        <w:rPr>
          <w:rFonts w:cstheme="minorHAnsi"/>
          <w:sz w:val="20"/>
          <w:szCs w:val="20"/>
        </w:rPr>
        <w:t xml:space="preserve"> as </w:t>
      </w:r>
      <w:r w:rsidR="00632E8F" w:rsidRPr="00632E8F">
        <w:rPr>
          <w:rFonts w:cstheme="minorHAnsi"/>
          <w:sz w:val="20"/>
          <w:szCs w:val="20"/>
        </w:rPr>
        <w:t xml:space="preserve">much or more than </w:t>
      </w:r>
      <w:r w:rsidRPr="00632E8F">
        <w:rPr>
          <w:rFonts w:cstheme="minorHAnsi"/>
          <w:sz w:val="20"/>
          <w:szCs w:val="20"/>
        </w:rPr>
        <w:t>those before them have.</w:t>
      </w:r>
      <w:r w:rsidR="00632E8F">
        <w:rPr>
          <w:rStyle w:val="EndnoteReference"/>
          <w:rFonts w:cstheme="minorHAnsi"/>
          <w:sz w:val="20"/>
          <w:szCs w:val="20"/>
        </w:rPr>
        <w:endnoteReference w:id="13"/>
      </w:r>
      <w:r w:rsidR="00AE17BE">
        <w:rPr>
          <w:rFonts w:cstheme="minorHAnsi"/>
          <w:sz w:val="20"/>
          <w:szCs w:val="20"/>
        </w:rPr>
        <w:t xml:space="preserve"> </w:t>
      </w:r>
      <w:r w:rsidR="00AE17BE">
        <w:rPr>
          <w:rStyle w:val="EndnoteReference"/>
          <w:rFonts w:cstheme="minorHAnsi"/>
          <w:sz w:val="20"/>
          <w:szCs w:val="20"/>
        </w:rPr>
        <w:endnoteReference w:id="14"/>
      </w:r>
    </w:p>
    <w:p w14:paraId="07DD6F3A" w14:textId="77777777" w:rsidR="00B6540B" w:rsidRPr="00A724D2" w:rsidRDefault="00B6540B" w:rsidP="00A724D2">
      <w:pPr>
        <w:pStyle w:val="Heading4"/>
        <w:rPr>
          <w:rFonts w:eastAsiaTheme="minorHAnsi"/>
          <w:szCs w:val="24"/>
          <w:lang w:val="en-US"/>
        </w:rPr>
      </w:pPr>
      <w:r w:rsidRPr="00A724D2">
        <w:rPr>
          <w:rFonts w:eastAsiaTheme="minorHAnsi"/>
          <w:szCs w:val="24"/>
          <w:lang w:val="en-US"/>
        </w:rPr>
        <w:t xml:space="preserve">We have a good understanding of </w:t>
      </w:r>
      <w:r w:rsidR="000A0B91">
        <w:rPr>
          <w:rFonts w:eastAsiaTheme="minorHAnsi"/>
          <w:szCs w:val="24"/>
          <w:lang w:val="en-US"/>
        </w:rPr>
        <w:t>how</w:t>
      </w:r>
      <w:r w:rsidRPr="00A724D2">
        <w:rPr>
          <w:rFonts w:eastAsiaTheme="minorHAnsi"/>
          <w:szCs w:val="24"/>
          <w:lang w:val="en-US"/>
        </w:rPr>
        <w:t xml:space="preserve"> </w:t>
      </w:r>
      <w:r w:rsidR="000A0B91">
        <w:rPr>
          <w:rFonts w:eastAsiaTheme="minorHAnsi"/>
          <w:szCs w:val="24"/>
          <w:lang w:val="en-US"/>
        </w:rPr>
        <w:t xml:space="preserve">and when we </w:t>
      </w:r>
      <w:r w:rsidRPr="00A724D2">
        <w:rPr>
          <w:rFonts w:eastAsiaTheme="minorHAnsi"/>
          <w:szCs w:val="24"/>
          <w:lang w:val="en-US"/>
        </w:rPr>
        <w:t>can make</w:t>
      </w:r>
      <w:r w:rsidR="00A724D2" w:rsidRPr="00A724D2">
        <w:rPr>
          <w:rFonts w:eastAsiaTheme="minorHAnsi"/>
          <w:szCs w:val="24"/>
          <w:lang w:val="en-US"/>
        </w:rPr>
        <w:t xml:space="preserve"> a</w:t>
      </w:r>
      <w:r w:rsidRPr="00A724D2">
        <w:rPr>
          <w:rFonts w:eastAsiaTheme="minorHAnsi"/>
          <w:szCs w:val="24"/>
          <w:lang w:val="en-US"/>
        </w:rPr>
        <w:t xml:space="preserve"> difference</w:t>
      </w:r>
      <w:r w:rsidR="00A724D2" w:rsidRPr="00A724D2">
        <w:rPr>
          <w:rFonts w:eastAsiaTheme="minorHAnsi"/>
          <w:szCs w:val="24"/>
          <w:lang w:val="en-US"/>
        </w:rPr>
        <w:t>…</w:t>
      </w:r>
    </w:p>
    <w:p w14:paraId="5500BAB1" w14:textId="77777777" w:rsidR="00A408CE" w:rsidRDefault="00B6540B" w:rsidP="00A408CE">
      <w:pPr>
        <w:rPr>
          <w:rFonts w:cstheme="minorHAnsi"/>
          <w:sz w:val="20"/>
          <w:szCs w:val="20"/>
        </w:rPr>
      </w:pPr>
      <w:r w:rsidRPr="00B6540B">
        <w:rPr>
          <w:rFonts w:cstheme="minorHAnsi"/>
          <w:sz w:val="20"/>
          <w:szCs w:val="19"/>
          <w:lang w:eastAsia="en-AU"/>
        </w:rPr>
        <w:t>There are known risk and protective factors underpinning the health outcomes of children and young people</w:t>
      </w:r>
      <w:r w:rsidR="004E1C01">
        <w:rPr>
          <w:rFonts w:cstheme="minorHAnsi"/>
          <w:sz w:val="20"/>
          <w:szCs w:val="19"/>
          <w:lang w:eastAsia="en-AU"/>
        </w:rPr>
        <w:t xml:space="preserve"> across the life </w:t>
      </w:r>
      <w:r w:rsidR="004E1C01" w:rsidRPr="004947EC">
        <w:rPr>
          <w:rFonts w:cstheme="minorHAnsi"/>
          <w:sz w:val="20"/>
          <w:szCs w:val="19"/>
          <w:lang w:eastAsia="en-AU"/>
        </w:rPr>
        <w:t>course</w:t>
      </w:r>
      <w:r w:rsidR="00803502" w:rsidRPr="004947EC">
        <w:rPr>
          <w:rFonts w:cstheme="minorHAnsi"/>
          <w:sz w:val="20"/>
          <w:szCs w:val="19"/>
          <w:lang w:eastAsia="en-AU"/>
        </w:rPr>
        <w:t xml:space="preserve"> (Figure </w:t>
      </w:r>
      <w:r w:rsidR="00D526CB" w:rsidRPr="004947EC">
        <w:rPr>
          <w:rFonts w:cstheme="minorHAnsi"/>
          <w:sz w:val="20"/>
          <w:szCs w:val="19"/>
          <w:lang w:eastAsia="en-AU"/>
        </w:rPr>
        <w:t>1</w:t>
      </w:r>
      <w:r w:rsidR="00803502" w:rsidRPr="004947EC">
        <w:rPr>
          <w:rFonts w:cstheme="minorHAnsi"/>
          <w:sz w:val="20"/>
          <w:szCs w:val="19"/>
          <w:lang w:eastAsia="en-AU"/>
        </w:rPr>
        <w:t>)</w:t>
      </w:r>
      <w:r w:rsidRPr="004947EC">
        <w:rPr>
          <w:rFonts w:cstheme="minorHAnsi"/>
          <w:sz w:val="20"/>
          <w:szCs w:val="19"/>
          <w:lang w:eastAsia="en-AU"/>
        </w:rPr>
        <w:t>, many</w:t>
      </w:r>
      <w:r w:rsidRPr="00B6540B">
        <w:rPr>
          <w:rFonts w:cstheme="minorHAnsi"/>
          <w:sz w:val="20"/>
          <w:szCs w:val="19"/>
          <w:lang w:eastAsia="en-AU"/>
        </w:rPr>
        <w:t xml:space="preserve"> of which are malleable and can be influenced by </w:t>
      </w:r>
      <w:r w:rsidR="004E1C01">
        <w:rPr>
          <w:rFonts w:cstheme="minorHAnsi"/>
          <w:sz w:val="20"/>
          <w:szCs w:val="19"/>
          <w:lang w:eastAsia="en-AU"/>
        </w:rPr>
        <w:t xml:space="preserve">timely, </w:t>
      </w:r>
      <w:r w:rsidRPr="00B6540B">
        <w:rPr>
          <w:rFonts w:cstheme="minorHAnsi"/>
          <w:sz w:val="20"/>
          <w:szCs w:val="19"/>
          <w:lang w:eastAsia="en-AU"/>
        </w:rPr>
        <w:t>effective</w:t>
      </w:r>
      <w:r w:rsidR="004E1C01">
        <w:rPr>
          <w:rFonts w:cstheme="minorHAnsi"/>
          <w:sz w:val="20"/>
          <w:szCs w:val="19"/>
          <w:lang w:eastAsia="en-AU"/>
        </w:rPr>
        <w:t xml:space="preserve"> </w:t>
      </w:r>
      <w:r w:rsidRPr="00B6540B">
        <w:rPr>
          <w:rFonts w:cstheme="minorHAnsi"/>
          <w:sz w:val="20"/>
          <w:szCs w:val="19"/>
          <w:lang w:eastAsia="en-AU"/>
        </w:rPr>
        <w:t>interventions.</w:t>
      </w:r>
      <w:r w:rsidR="00A408CE">
        <w:rPr>
          <w:rFonts w:cstheme="minorHAnsi"/>
          <w:sz w:val="20"/>
          <w:szCs w:val="19"/>
          <w:lang w:eastAsia="en-AU"/>
        </w:rPr>
        <w:t xml:space="preserve"> </w:t>
      </w:r>
      <w:r w:rsidR="00A408CE">
        <w:rPr>
          <w:rFonts w:cstheme="minorHAnsi"/>
          <w:sz w:val="20"/>
          <w:szCs w:val="20"/>
        </w:rPr>
        <w:t>We</w:t>
      </w:r>
      <w:r w:rsidR="00A408CE" w:rsidRPr="00A724D2">
        <w:rPr>
          <w:rFonts w:cstheme="minorHAnsi"/>
          <w:sz w:val="20"/>
          <w:szCs w:val="20"/>
        </w:rPr>
        <w:t xml:space="preserve"> can </w:t>
      </w:r>
      <w:r w:rsidR="00A408CE">
        <w:rPr>
          <w:rFonts w:cstheme="minorHAnsi"/>
          <w:sz w:val="20"/>
          <w:szCs w:val="20"/>
        </w:rPr>
        <w:t xml:space="preserve">therefore </w:t>
      </w:r>
      <w:r w:rsidR="00A408CE" w:rsidRPr="00A724D2">
        <w:rPr>
          <w:rFonts w:cstheme="minorHAnsi"/>
          <w:sz w:val="20"/>
          <w:szCs w:val="20"/>
        </w:rPr>
        <w:t xml:space="preserve">affect change by seeking to prevent or reduce </w:t>
      </w:r>
      <w:r w:rsidR="00A408CE">
        <w:rPr>
          <w:rFonts w:cstheme="minorHAnsi"/>
          <w:sz w:val="20"/>
          <w:szCs w:val="20"/>
        </w:rPr>
        <w:t xml:space="preserve">key risk factors and working to enhance the presence of protective enablers that will support children and young people to thrive. </w:t>
      </w:r>
    </w:p>
    <w:p w14:paraId="1807021A" w14:textId="77777777" w:rsidR="00B6540B" w:rsidRPr="002E7533" w:rsidRDefault="00B6540B" w:rsidP="00B6540B">
      <w:pPr>
        <w:rPr>
          <w:rFonts w:ascii="Segoe UI Semibold" w:hAnsi="Segoe UI Semibold"/>
          <w:color w:val="227439"/>
          <w:sz w:val="20"/>
          <w:szCs w:val="19"/>
          <w:lang w:eastAsia="en-AU"/>
        </w:rPr>
      </w:pPr>
      <w:r w:rsidRPr="002E7533">
        <w:rPr>
          <w:rFonts w:ascii="Segoe UI Semibold" w:hAnsi="Segoe UI Semibold"/>
          <w:color w:val="227439"/>
          <w:sz w:val="20"/>
          <w:szCs w:val="19"/>
          <w:lang w:eastAsia="en-AU"/>
        </w:rPr>
        <w:t xml:space="preserve">Figure </w:t>
      </w:r>
      <w:r w:rsidR="00D526CB">
        <w:rPr>
          <w:rFonts w:ascii="Segoe UI Semibold" w:hAnsi="Segoe UI Semibold"/>
          <w:color w:val="227439"/>
          <w:sz w:val="20"/>
          <w:szCs w:val="19"/>
          <w:lang w:eastAsia="en-AU"/>
        </w:rPr>
        <w:t>1</w:t>
      </w:r>
      <w:r w:rsidRPr="002E7533">
        <w:rPr>
          <w:rFonts w:ascii="Segoe UI Semibold" w:hAnsi="Segoe UI Semibold"/>
          <w:color w:val="227439"/>
          <w:sz w:val="20"/>
          <w:szCs w:val="19"/>
          <w:lang w:eastAsia="en-AU"/>
        </w:rPr>
        <w:t xml:space="preserve">: </w:t>
      </w:r>
      <w:r>
        <w:rPr>
          <w:rFonts w:ascii="Segoe UI Semibold" w:hAnsi="Segoe UI Semibold"/>
          <w:color w:val="227439"/>
          <w:sz w:val="20"/>
          <w:szCs w:val="19"/>
          <w:lang w:eastAsia="en-AU"/>
        </w:rPr>
        <w:t>Key risk and protective factors for child development and health outcomes</w:t>
      </w:r>
      <w:r>
        <w:rPr>
          <w:rStyle w:val="EndnoteReference"/>
          <w:rFonts w:ascii="Segoe UI Semibold" w:hAnsi="Segoe UI Semibold"/>
          <w:color w:val="227439"/>
          <w:sz w:val="20"/>
          <w:szCs w:val="19"/>
          <w:lang w:eastAsia="en-AU"/>
        </w:rPr>
        <w:endnoteReference w:id="15"/>
      </w:r>
      <w:r>
        <w:rPr>
          <w:rFonts w:ascii="Segoe UI Semibold" w:hAnsi="Segoe UI Semibold"/>
          <w:color w:val="227439"/>
          <w:sz w:val="20"/>
          <w:szCs w:val="19"/>
          <w:lang w:eastAsia="en-AU"/>
        </w:rPr>
        <w:t xml:space="preserve"> </w:t>
      </w:r>
      <w:r>
        <w:rPr>
          <w:rStyle w:val="EndnoteReference"/>
          <w:rFonts w:ascii="Segoe UI Semibold" w:hAnsi="Segoe UI Semibold"/>
          <w:color w:val="227439"/>
          <w:sz w:val="20"/>
          <w:szCs w:val="19"/>
          <w:lang w:eastAsia="en-AU"/>
        </w:rPr>
        <w:endnoteReference w:id="16"/>
      </w:r>
    </w:p>
    <w:p w14:paraId="3DBEA81A" w14:textId="14C6DE23" w:rsidR="005A77B2" w:rsidRDefault="005A77B2" w:rsidP="005A77B2">
      <w:pPr>
        <w:ind w:hanging="426"/>
        <w:rPr>
          <w:rFonts w:cstheme="minorHAnsi"/>
          <w:sz w:val="20"/>
          <w:szCs w:val="20"/>
        </w:rPr>
      </w:pPr>
      <w:r>
        <w:rPr>
          <w:noProof/>
          <w:lang w:val="en-AU" w:eastAsia="en-AU"/>
        </w:rPr>
        <w:drawing>
          <wp:inline distT="0" distB="0" distL="0" distR="0" wp14:anchorId="2C44A2E8" wp14:editId="582B1161">
            <wp:extent cx="6633128" cy="4176000"/>
            <wp:effectExtent l="0" t="0" r="0" b="0"/>
            <wp:docPr id="37" name="Picture 37" descr="the key risk and protective factors are outlined for each area of influence, from the individual level to societal levels." title="Risk factors and protective factors for development and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3128" cy="4176000"/>
                    </a:xfrm>
                    <a:prstGeom prst="rect">
                      <a:avLst/>
                    </a:prstGeom>
                  </pic:spPr>
                </pic:pic>
              </a:graphicData>
            </a:graphic>
          </wp:inline>
        </w:drawing>
      </w:r>
    </w:p>
    <w:p w14:paraId="0D8ADFD4" w14:textId="06D53E2B" w:rsidR="00A408CE" w:rsidRDefault="00A408CE" w:rsidP="00B6540B">
      <w:pPr>
        <w:rPr>
          <w:rFonts w:cstheme="minorHAnsi"/>
          <w:sz w:val="20"/>
          <w:szCs w:val="20"/>
        </w:rPr>
      </w:pPr>
      <w:r>
        <w:rPr>
          <w:rFonts w:cstheme="minorHAnsi"/>
          <w:sz w:val="20"/>
          <w:szCs w:val="20"/>
        </w:rPr>
        <w:t xml:space="preserve">We also know, </w:t>
      </w:r>
      <w:r w:rsidR="00583281">
        <w:rPr>
          <w:rFonts w:cstheme="minorHAnsi"/>
          <w:sz w:val="20"/>
          <w:szCs w:val="20"/>
        </w:rPr>
        <w:t>from a significant</w:t>
      </w:r>
      <w:r>
        <w:rPr>
          <w:rFonts w:cstheme="minorHAnsi"/>
          <w:sz w:val="20"/>
          <w:szCs w:val="20"/>
        </w:rPr>
        <w:t xml:space="preserve"> body of evidence developed in recent years, what some of the optimum opportunities for affecting positive change </w:t>
      </w:r>
      <w:r w:rsidR="00583281">
        <w:rPr>
          <w:rFonts w:cstheme="minorHAnsi"/>
          <w:sz w:val="20"/>
          <w:szCs w:val="20"/>
        </w:rPr>
        <w:t xml:space="preserve">in relation to these factors </w:t>
      </w:r>
      <w:r>
        <w:rPr>
          <w:rFonts w:cstheme="minorHAnsi"/>
          <w:sz w:val="20"/>
          <w:szCs w:val="20"/>
        </w:rPr>
        <w:t>are:</w:t>
      </w:r>
    </w:p>
    <w:p w14:paraId="23B98D7A" w14:textId="77777777" w:rsidR="00B6540B" w:rsidRPr="00A408CE" w:rsidRDefault="00A408CE" w:rsidP="00B5514D">
      <w:pPr>
        <w:pStyle w:val="ListParagraph"/>
        <w:numPr>
          <w:ilvl w:val="0"/>
          <w:numId w:val="17"/>
        </w:numPr>
        <w:rPr>
          <w:rFonts w:cstheme="minorHAnsi"/>
          <w:sz w:val="20"/>
          <w:szCs w:val="20"/>
        </w:rPr>
      </w:pPr>
      <w:r w:rsidRPr="00A408CE">
        <w:rPr>
          <w:rFonts w:cstheme="minorHAnsi"/>
          <w:sz w:val="20"/>
          <w:szCs w:val="20"/>
        </w:rPr>
        <w:t>Through</w:t>
      </w:r>
      <w:r w:rsidR="00B6540B" w:rsidRPr="00A408CE">
        <w:rPr>
          <w:rFonts w:cstheme="minorHAnsi"/>
          <w:sz w:val="20"/>
          <w:szCs w:val="20"/>
        </w:rPr>
        <w:t xml:space="preserve"> strengthening </w:t>
      </w:r>
      <w:r w:rsidR="00B6540B" w:rsidRPr="00A408CE">
        <w:rPr>
          <w:rFonts w:cstheme="minorHAnsi"/>
          <w:b/>
          <w:color w:val="1C8243"/>
          <w:sz w:val="20"/>
          <w:szCs w:val="20"/>
        </w:rPr>
        <w:t>prevention and early intervention</w:t>
      </w:r>
      <w:r w:rsidR="00B6540B" w:rsidRPr="00A408CE">
        <w:rPr>
          <w:rFonts w:cstheme="minorHAnsi"/>
          <w:color w:val="1C8243"/>
          <w:sz w:val="20"/>
          <w:szCs w:val="20"/>
        </w:rPr>
        <w:t xml:space="preserve"> </w:t>
      </w:r>
      <w:r w:rsidR="00B6540B" w:rsidRPr="00E7476B">
        <w:rPr>
          <w:rFonts w:cstheme="minorHAnsi"/>
          <w:b/>
          <w:color w:val="1C8243"/>
          <w:sz w:val="20"/>
          <w:szCs w:val="20"/>
        </w:rPr>
        <w:t xml:space="preserve">in the </w:t>
      </w:r>
      <w:r w:rsidR="00CC02D9">
        <w:rPr>
          <w:rFonts w:cstheme="minorHAnsi"/>
          <w:b/>
          <w:color w:val="1C8243"/>
          <w:sz w:val="20"/>
          <w:szCs w:val="20"/>
        </w:rPr>
        <w:t>first 2000 days</w:t>
      </w:r>
      <w:r w:rsidR="00B6540B" w:rsidRPr="00A408CE">
        <w:rPr>
          <w:rFonts w:cstheme="minorHAnsi"/>
          <w:sz w:val="20"/>
          <w:szCs w:val="20"/>
        </w:rPr>
        <w:t xml:space="preserve">, given </w:t>
      </w:r>
      <w:r w:rsidR="00703AB7">
        <w:rPr>
          <w:rFonts w:cstheme="minorHAnsi"/>
          <w:sz w:val="20"/>
          <w:szCs w:val="20"/>
        </w:rPr>
        <w:t>neuro</w:t>
      </w:r>
      <w:r w:rsidR="00B6540B" w:rsidRPr="00A408CE">
        <w:rPr>
          <w:rFonts w:cstheme="minorHAnsi"/>
          <w:sz w:val="20"/>
          <w:szCs w:val="20"/>
        </w:rPr>
        <w:t>science tells us this is when we can have most impact</w:t>
      </w:r>
      <w:r w:rsidR="0012133D">
        <w:rPr>
          <w:rFonts w:cstheme="minorHAnsi"/>
          <w:sz w:val="20"/>
          <w:szCs w:val="20"/>
        </w:rPr>
        <w:t>;</w:t>
      </w:r>
      <w:r w:rsidR="00B6540B" w:rsidRPr="00A408CE">
        <w:rPr>
          <w:rFonts w:cstheme="minorHAnsi"/>
          <w:sz w:val="20"/>
          <w:szCs w:val="20"/>
        </w:rPr>
        <w:t xml:space="preserve"> </w:t>
      </w:r>
    </w:p>
    <w:p w14:paraId="20754369" w14:textId="77777777" w:rsidR="00B6540B" w:rsidRPr="00A408CE" w:rsidRDefault="00A408CE" w:rsidP="00B5514D">
      <w:pPr>
        <w:pStyle w:val="ListParagraph"/>
        <w:numPr>
          <w:ilvl w:val="0"/>
          <w:numId w:val="17"/>
        </w:numPr>
        <w:rPr>
          <w:rFonts w:cstheme="minorHAnsi"/>
          <w:sz w:val="20"/>
          <w:szCs w:val="20"/>
        </w:rPr>
      </w:pPr>
      <w:r w:rsidRPr="00A408CE">
        <w:rPr>
          <w:rFonts w:cstheme="minorHAnsi"/>
          <w:sz w:val="20"/>
          <w:szCs w:val="20"/>
        </w:rPr>
        <w:t>By</w:t>
      </w:r>
      <w:r w:rsidR="00B6540B" w:rsidRPr="00A408CE">
        <w:rPr>
          <w:rFonts w:cstheme="minorHAnsi"/>
          <w:sz w:val="20"/>
          <w:szCs w:val="20"/>
        </w:rPr>
        <w:t xml:space="preserve"> enhancing </w:t>
      </w:r>
      <w:r w:rsidR="00B6540B" w:rsidRPr="00A408CE">
        <w:rPr>
          <w:rFonts w:cstheme="minorHAnsi"/>
          <w:b/>
          <w:color w:val="1C8243"/>
          <w:sz w:val="20"/>
          <w:szCs w:val="20"/>
        </w:rPr>
        <w:t>parenting support and skills</w:t>
      </w:r>
      <w:r w:rsidR="00B6540B" w:rsidRPr="00A408CE">
        <w:rPr>
          <w:rFonts w:cstheme="minorHAnsi"/>
          <w:color w:val="1C8243"/>
          <w:sz w:val="20"/>
          <w:szCs w:val="20"/>
        </w:rPr>
        <w:t xml:space="preserve"> </w:t>
      </w:r>
      <w:r w:rsidR="00B6540B" w:rsidRPr="00A408CE">
        <w:rPr>
          <w:rFonts w:cstheme="minorHAnsi"/>
          <w:sz w:val="20"/>
          <w:szCs w:val="20"/>
        </w:rPr>
        <w:t xml:space="preserve">development to help all children and their families thrive across and between life stages, in light of </w:t>
      </w:r>
      <w:r w:rsidR="004E1C01">
        <w:rPr>
          <w:rFonts w:cstheme="minorHAnsi"/>
          <w:sz w:val="20"/>
          <w:szCs w:val="20"/>
        </w:rPr>
        <w:t xml:space="preserve">effective </w:t>
      </w:r>
      <w:r w:rsidR="00B6540B" w:rsidRPr="00A408CE">
        <w:rPr>
          <w:rFonts w:cstheme="minorHAnsi"/>
          <w:sz w:val="20"/>
          <w:szCs w:val="20"/>
        </w:rPr>
        <w:t xml:space="preserve">parenting being </w:t>
      </w:r>
      <w:r w:rsidR="004E1C01">
        <w:rPr>
          <w:rFonts w:cstheme="minorHAnsi"/>
          <w:sz w:val="20"/>
          <w:szCs w:val="20"/>
        </w:rPr>
        <w:t>able</w:t>
      </w:r>
      <w:r w:rsidR="00B6540B" w:rsidRPr="00A408CE">
        <w:rPr>
          <w:rFonts w:cstheme="minorHAnsi"/>
          <w:sz w:val="20"/>
          <w:szCs w:val="20"/>
        </w:rPr>
        <w:t xml:space="preserve"> </w:t>
      </w:r>
      <w:r w:rsidR="00763B25">
        <w:rPr>
          <w:rFonts w:cstheme="minorHAnsi"/>
          <w:sz w:val="20"/>
          <w:szCs w:val="20"/>
        </w:rPr>
        <w:t xml:space="preserve">to </w:t>
      </w:r>
      <w:r w:rsidR="00B6540B" w:rsidRPr="00A408CE">
        <w:rPr>
          <w:rFonts w:cstheme="minorHAnsi"/>
          <w:sz w:val="20"/>
          <w:szCs w:val="20"/>
        </w:rPr>
        <w:t>mitigate against other risk factors and determinants of health</w:t>
      </w:r>
      <w:r w:rsidR="0012133D">
        <w:rPr>
          <w:rFonts w:cstheme="minorHAnsi"/>
          <w:sz w:val="20"/>
          <w:szCs w:val="20"/>
        </w:rPr>
        <w:t>;</w:t>
      </w:r>
      <w:r w:rsidR="00B6540B" w:rsidRPr="00A408CE">
        <w:rPr>
          <w:rFonts w:cstheme="minorHAnsi"/>
          <w:sz w:val="20"/>
          <w:szCs w:val="20"/>
        </w:rPr>
        <w:t xml:space="preserve"> and</w:t>
      </w:r>
    </w:p>
    <w:p w14:paraId="4DA7CE90" w14:textId="77777777" w:rsidR="00B6540B" w:rsidRPr="00A408CE" w:rsidRDefault="00B6540B" w:rsidP="00B5514D">
      <w:pPr>
        <w:pStyle w:val="ListParagraph"/>
        <w:numPr>
          <w:ilvl w:val="0"/>
          <w:numId w:val="17"/>
        </w:numPr>
        <w:rPr>
          <w:rFonts w:cstheme="minorHAnsi"/>
          <w:sz w:val="20"/>
          <w:szCs w:val="20"/>
        </w:rPr>
      </w:pPr>
      <w:r w:rsidRPr="00A408CE">
        <w:rPr>
          <w:rFonts w:cstheme="minorHAnsi"/>
          <w:sz w:val="20"/>
          <w:szCs w:val="20"/>
        </w:rPr>
        <w:t xml:space="preserve">By focusing on promotion and programs supporting </w:t>
      </w:r>
      <w:r w:rsidRPr="00A408CE">
        <w:rPr>
          <w:rFonts w:cstheme="minorHAnsi"/>
          <w:b/>
          <w:color w:val="1C8243"/>
          <w:sz w:val="20"/>
          <w:szCs w:val="20"/>
        </w:rPr>
        <w:t>positive social and emotional wellbeing and preventive mental health</w:t>
      </w:r>
      <w:r w:rsidRPr="00A408CE">
        <w:rPr>
          <w:rFonts w:cstheme="minorHAnsi"/>
          <w:sz w:val="20"/>
          <w:szCs w:val="20"/>
        </w:rPr>
        <w:t>, given development of such skills enable</w:t>
      </w:r>
      <w:r w:rsidR="00763B25">
        <w:rPr>
          <w:rFonts w:cstheme="minorHAnsi"/>
          <w:sz w:val="20"/>
          <w:szCs w:val="20"/>
        </w:rPr>
        <w:t>s</w:t>
      </w:r>
      <w:r w:rsidRPr="00A408CE">
        <w:rPr>
          <w:rFonts w:cstheme="minorHAnsi"/>
          <w:sz w:val="20"/>
          <w:szCs w:val="20"/>
        </w:rPr>
        <w:t xml:space="preserve"> children and adolescents to respond and adapt to emerging challenges as they progress through the life course.</w:t>
      </w:r>
      <w:r w:rsidRPr="00A408CE">
        <w:rPr>
          <w:rStyle w:val="EndnoteReference"/>
          <w:rFonts w:asciiTheme="minorHAnsi" w:eastAsia="Times New Roman" w:hAnsiTheme="minorHAnsi" w:cstheme="minorHAnsi"/>
          <w:sz w:val="20"/>
          <w:szCs w:val="20"/>
          <w:lang w:val="en-AU"/>
        </w:rPr>
        <w:endnoteReference w:id="17"/>
      </w:r>
    </w:p>
    <w:p w14:paraId="39AC45BA" w14:textId="77777777" w:rsidR="00CF6CDD" w:rsidRDefault="00CF6CDD" w:rsidP="00CF6CDD">
      <w:pPr>
        <w:spacing w:before="0"/>
        <w:rPr>
          <w:sz w:val="20"/>
          <w:szCs w:val="19"/>
        </w:rPr>
      </w:pPr>
      <w:r w:rsidRPr="00E64AF9">
        <w:rPr>
          <w:sz w:val="20"/>
          <w:szCs w:val="19"/>
        </w:rPr>
        <w:t xml:space="preserve">To increase the effectiveness of </w:t>
      </w:r>
      <w:r>
        <w:rPr>
          <w:sz w:val="20"/>
          <w:szCs w:val="19"/>
        </w:rPr>
        <w:t xml:space="preserve">what we do to address risk and protective factors, </w:t>
      </w:r>
      <w:r w:rsidRPr="00E64AF9">
        <w:rPr>
          <w:sz w:val="20"/>
          <w:szCs w:val="19"/>
        </w:rPr>
        <w:t>there needs to be a strategic focus on intervention points across the life course. Health care policy, research, planning</w:t>
      </w:r>
      <w:r>
        <w:rPr>
          <w:sz w:val="20"/>
          <w:szCs w:val="19"/>
        </w:rPr>
        <w:t>,</w:t>
      </w:r>
      <w:r w:rsidRPr="00E64AF9">
        <w:rPr>
          <w:sz w:val="20"/>
          <w:szCs w:val="19"/>
        </w:rPr>
        <w:t xml:space="preserve"> and service delivery must be age</w:t>
      </w:r>
      <w:r>
        <w:rPr>
          <w:sz w:val="20"/>
          <w:szCs w:val="19"/>
        </w:rPr>
        <w:t>-</w:t>
      </w:r>
      <w:r w:rsidRPr="00E64AF9">
        <w:rPr>
          <w:sz w:val="20"/>
          <w:szCs w:val="19"/>
        </w:rPr>
        <w:t xml:space="preserve">appropriate and adapted to respond to the changing </w:t>
      </w:r>
      <w:r>
        <w:rPr>
          <w:sz w:val="20"/>
          <w:szCs w:val="19"/>
        </w:rPr>
        <w:t xml:space="preserve">developmental needs and experiences of children and young people at </w:t>
      </w:r>
      <w:r w:rsidRPr="00E64AF9">
        <w:rPr>
          <w:sz w:val="20"/>
          <w:szCs w:val="19"/>
        </w:rPr>
        <w:t>different stages</w:t>
      </w:r>
      <w:r>
        <w:rPr>
          <w:sz w:val="20"/>
          <w:szCs w:val="19"/>
        </w:rPr>
        <w:t>.</w:t>
      </w:r>
      <w:r w:rsidRPr="00E64AF9">
        <w:rPr>
          <w:sz w:val="20"/>
          <w:szCs w:val="19"/>
        </w:rPr>
        <w:t xml:space="preserve"> </w:t>
      </w:r>
      <w:r>
        <w:rPr>
          <w:sz w:val="20"/>
          <w:szCs w:val="19"/>
        </w:rPr>
        <w:t>Taking</w:t>
      </w:r>
      <w:r w:rsidR="003F7930">
        <w:rPr>
          <w:sz w:val="20"/>
          <w:szCs w:val="19"/>
        </w:rPr>
        <w:t xml:space="preserve"> both a universally proportionate and </w:t>
      </w:r>
      <w:r w:rsidRPr="00E64AF9">
        <w:rPr>
          <w:sz w:val="20"/>
          <w:szCs w:val="19"/>
        </w:rPr>
        <w:t>life course approach</w:t>
      </w:r>
      <w:r>
        <w:rPr>
          <w:sz w:val="20"/>
          <w:szCs w:val="19"/>
        </w:rPr>
        <w:t xml:space="preserve"> </w:t>
      </w:r>
      <w:r w:rsidRPr="004947EC">
        <w:rPr>
          <w:sz w:val="20"/>
          <w:szCs w:val="19"/>
        </w:rPr>
        <w:t>(Figure 2</w:t>
      </w:r>
      <w:r>
        <w:rPr>
          <w:sz w:val="20"/>
          <w:szCs w:val="19"/>
        </w:rPr>
        <w:t>)</w:t>
      </w:r>
      <w:r w:rsidRPr="00E64AF9">
        <w:rPr>
          <w:sz w:val="20"/>
          <w:szCs w:val="19"/>
        </w:rPr>
        <w:t xml:space="preserve"> </w:t>
      </w:r>
      <w:r>
        <w:rPr>
          <w:sz w:val="20"/>
          <w:szCs w:val="19"/>
        </w:rPr>
        <w:t>means</w:t>
      </w:r>
      <w:r w:rsidRPr="00E64AF9">
        <w:rPr>
          <w:sz w:val="20"/>
          <w:szCs w:val="19"/>
        </w:rPr>
        <w:t xml:space="preserve"> coordinat</w:t>
      </w:r>
      <w:r>
        <w:rPr>
          <w:sz w:val="20"/>
          <w:szCs w:val="19"/>
        </w:rPr>
        <w:t>ing</w:t>
      </w:r>
      <w:r w:rsidRPr="00E64AF9">
        <w:rPr>
          <w:sz w:val="20"/>
          <w:szCs w:val="19"/>
        </w:rPr>
        <w:t xml:space="preserve"> and focus</w:t>
      </w:r>
      <w:r>
        <w:rPr>
          <w:sz w:val="20"/>
          <w:szCs w:val="19"/>
        </w:rPr>
        <w:t>ing</w:t>
      </w:r>
      <w:r w:rsidRPr="00E64AF9">
        <w:rPr>
          <w:sz w:val="20"/>
          <w:szCs w:val="19"/>
        </w:rPr>
        <w:t xml:space="preserve"> activities </w:t>
      </w:r>
      <w:r>
        <w:rPr>
          <w:sz w:val="20"/>
          <w:szCs w:val="19"/>
        </w:rPr>
        <w:t>so they are</w:t>
      </w:r>
      <w:r w:rsidRPr="00E64AF9">
        <w:rPr>
          <w:sz w:val="20"/>
          <w:szCs w:val="19"/>
        </w:rPr>
        <w:t xml:space="preserve"> </w:t>
      </w:r>
      <w:r w:rsidR="003F7930">
        <w:rPr>
          <w:sz w:val="20"/>
          <w:szCs w:val="19"/>
        </w:rPr>
        <w:t xml:space="preserve">focused </w:t>
      </w:r>
      <w:r w:rsidRPr="00E64AF9">
        <w:rPr>
          <w:sz w:val="20"/>
          <w:szCs w:val="19"/>
        </w:rPr>
        <w:t xml:space="preserve">in a way that works to reduce health </w:t>
      </w:r>
      <w:r>
        <w:rPr>
          <w:sz w:val="20"/>
          <w:szCs w:val="19"/>
        </w:rPr>
        <w:t xml:space="preserve">risks and </w:t>
      </w:r>
      <w:r w:rsidRPr="00E64AF9">
        <w:rPr>
          <w:sz w:val="20"/>
          <w:szCs w:val="19"/>
        </w:rPr>
        <w:t>inequalities at the point at which they are most likely to occur</w:t>
      </w:r>
      <w:r>
        <w:rPr>
          <w:sz w:val="20"/>
          <w:szCs w:val="19"/>
        </w:rPr>
        <w:t>.</w:t>
      </w:r>
    </w:p>
    <w:p w14:paraId="20FBBB20" w14:textId="77777777" w:rsidR="00CF6CDD" w:rsidRDefault="00CF6CDD" w:rsidP="00803502">
      <w:pPr>
        <w:spacing w:before="0"/>
        <w:rPr>
          <w:sz w:val="20"/>
          <w:szCs w:val="19"/>
        </w:rPr>
      </w:pPr>
    </w:p>
    <w:p w14:paraId="74468A32" w14:textId="77777777" w:rsidR="00803502" w:rsidRDefault="00803502" w:rsidP="00803502">
      <w:pPr>
        <w:pStyle w:val="Heading4"/>
      </w:pPr>
      <w:r w:rsidRPr="00F37259">
        <w:t>F</w:t>
      </w:r>
      <w:r>
        <w:t xml:space="preserve">igure </w:t>
      </w:r>
      <w:r w:rsidR="00D526CB">
        <w:t>2</w:t>
      </w:r>
      <w:r w:rsidRPr="00F37259">
        <w:t xml:space="preserve">: </w:t>
      </w:r>
      <w:r>
        <w:t>Key l</w:t>
      </w:r>
      <w:r w:rsidRPr="00F37259">
        <w:t>ife stages</w:t>
      </w:r>
      <w:r>
        <w:t>, risks and intervention focus</w:t>
      </w:r>
      <w:r w:rsidRPr="00F37259">
        <w:t xml:space="preserve"> </w:t>
      </w:r>
      <w:r>
        <w:t xml:space="preserve">for children and young people </w:t>
      </w:r>
      <w:r>
        <w:rPr>
          <w:rStyle w:val="EndnoteReference"/>
        </w:rPr>
        <w:endnoteReference w:id="18"/>
      </w:r>
      <w:r>
        <w:t xml:space="preserve"> </w:t>
      </w:r>
      <w:r>
        <w:rPr>
          <w:rStyle w:val="EndnoteReference"/>
        </w:rPr>
        <w:endnoteReference w:id="19"/>
      </w:r>
    </w:p>
    <w:p w14:paraId="0DE80A13" w14:textId="4DE5D287" w:rsidR="005A77B2" w:rsidRDefault="005A77B2" w:rsidP="005A77B2">
      <w:pPr>
        <w:ind w:hanging="567"/>
      </w:pPr>
      <w:r>
        <w:rPr>
          <w:noProof/>
          <w:lang w:val="en-AU" w:eastAsia="en-AU"/>
        </w:rPr>
        <w:drawing>
          <wp:inline distT="0" distB="0" distL="0" distR="0" wp14:anchorId="3583E1FB" wp14:editId="73289DD6">
            <wp:extent cx="6764400" cy="6696000"/>
            <wp:effectExtent l="0" t="0" r="0" b="0"/>
            <wp:docPr id="35" name="Picture 35" descr="Leading causes of burden of disease at different life stages can be influenced by specific health interventions pathways at different life stages." title="Leading causes of burden of disease at different life stages, with health interventions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64400" cy="6696000"/>
                    </a:xfrm>
                    <a:prstGeom prst="rect">
                      <a:avLst/>
                    </a:prstGeom>
                  </pic:spPr>
                </pic:pic>
              </a:graphicData>
            </a:graphic>
          </wp:inline>
        </w:drawing>
      </w:r>
    </w:p>
    <w:p w14:paraId="48A76EC2" w14:textId="77777777" w:rsidR="00DB1F46" w:rsidRDefault="00C2324D" w:rsidP="00C2324D">
      <w:pPr>
        <w:spacing w:before="0"/>
        <w:rPr>
          <w:sz w:val="20"/>
          <w:szCs w:val="19"/>
        </w:rPr>
      </w:pPr>
      <w:r>
        <w:rPr>
          <w:sz w:val="20"/>
          <w:szCs w:val="19"/>
        </w:rPr>
        <w:t>It is recognised that across the life course</w:t>
      </w:r>
      <w:r w:rsidRPr="00CF6CDD">
        <w:rPr>
          <w:sz w:val="20"/>
          <w:szCs w:val="19"/>
        </w:rPr>
        <w:t xml:space="preserve"> there are </w:t>
      </w:r>
      <w:r>
        <w:rPr>
          <w:sz w:val="20"/>
          <w:szCs w:val="19"/>
        </w:rPr>
        <w:t xml:space="preserve">several </w:t>
      </w:r>
      <w:r w:rsidRPr="00CF6CDD">
        <w:rPr>
          <w:sz w:val="20"/>
          <w:szCs w:val="19"/>
        </w:rPr>
        <w:t>key transition</w:t>
      </w:r>
      <w:r>
        <w:rPr>
          <w:sz w:val="20"/>
          <w:szCs w:val="19"/>
        </w:rPr>
        <w:t xml:space="preserve"> point</w:t>
      </w:r>
      <w:r w:rsidRPr="00CF6CDD">
        <w:rPr>
          <w:sz w:val="20"/>
          <w:szCs w:val="19"/>
        </w:rPr>
        <w:t xml:space="preserve">s which further influence outcomes in child </w:t>
      </w:r>
      <w:r>
        <w:rPr>
          <w:sz w:val="20"/>
          <w:szCs w:val="19"/>
        </w:rPr>
        <w:t xml:space="preserve">and youth </w:t>
      </w:r>
      <w:r w:rsidRPr="00CF6CDD">
        <w:rPr>
          <w:sz w:val="20"/>
          <w:szCs w:val="19"/>
        </w:rPr>
        <w:t xml:space="preserve">health. </w:t>
      </w:r>
      <w:r>
        <w:rPr>
          <w:sz w:val="20"/>
          <w:szCs w:val="19"/>
        </w:rPr>
        <w:t>Therefore, we</w:t>
      </w:r>
      <w:r w:rsidRPr="00CF6CDD">
        <w:rPr>
          <w:sz w:val="20"/>
          <w:szCs w:val="19"/>
        </w:rPr>
        <w:t xml:space="preserve"> </w:t>
      </w:r>
      <w:r>
        <w:rPr>
          <w:sz w:val="20"/>
          <w:szCs w:val="19"/>
        </w:rPr>
        <w:t>need to take into account</w:t>
      </w:r>
      <w:r w:rsidRPr="00CF6CDD">
        <w:rPr>
          <w:sz w:val="20"/>
          <w:szCs w:val="19"/>
        </w:rPr>
        <w:t xml:space="preserve"> the important transitions over the life course where support needs will be greater and where more help-seeking naturally occurs (e.g. becoming pregnant, entry </w:t>
      </w:r>
      <w:r>
        <w:rPr>
          <w:sz w:val="20"/>
          <w:szCs w:val="19"/>
        </w:rPr>
        <w:t>i</w:t>
      </w:r>
      <w:r w:rsidRPr="00CF6CDD">
        <w:rPr>
          <w:sz w:val="20"/>
          <w:szCs w:val="19"/>
        </w:rPr>
        <w:t xml:space="preserve">nto early learning, starting school, transition to high school). </w:t>
      </w:r>
    </w:p>
    <w:p w14:paraId="5A50E41D" w14:textId="5DA4666D" w:rsidR="00C2324D" w:rsidRDefault="00C2324D" w:rsidP="00C2324D">
      <w:pPr>
        <w:spacing w:before="0"/>
        <w:rPr>
          <w:sz w:val="20"/>
          <w:szCs w:val="19"/>
        </w:rPr>
      </w:pPr>
      <w:r w:rsidRPr="00CF6CDD">
        <w:rPr>
          <w:sz w:val="20"/>
          <w:szCs w:val="19"/>
        </w:rPr>
        <w:t xml:space="preserve">As risk factors can accumulate for children and </w:t>
      </w:r>
      <w:r>
        <w:rPr>
          <w:sz w:val="20"/>
          <w:szCs w:val="19"/>
        </w:rPr>
        <w:t>young people</w:t>
      </w:r>
      <w:r w:rsidRPr="00CF6CDD">
        <w:rPr>
          <w:sz w:val="20"/>
          <w:szCs w:val="19"/>
        </w:rPr>
        <w:t xml:space="preserve"> around these transitions, </w:t>
      </w:r>
      <w:r w:rsidR="008A698C">
        <w:rPr>
          <w:sz w:val="20"/>
          <w:szCs w:val="19"/>
        </w:rPr>
        <w:t>this is a prime opportunity</w:t>
      </w:r>
      <w:r w:rsidRPr="00CF6CDD">
        <w:rPr>
          <w:sz w:val="20"/>
          <w:szCs w:val="19"/>
        </w:rPr>
        <w:t xml:space="preserve"> </w:t>
      </w:r>
      <w:r w:rsidR="00DB1F46">
        <w:rPr>
          <w:sz w:val="20"/>
          <w:szCs w:val="19"/>
        </w:rPr>
        <w:t>for intervention</w:t>
      </w:r>
      <w:r w:rsidR="008A698C">
        <w:rPr>
          <w:sz w:val="20"/>
          <w:szCs w:val="19"/>
        </w:rPr>
        <w:t>s</w:t>
      </w:r>
      <w:r w:rsidR="00DB1F46">
        <w:rPr>
          <w:sz w:val="20"/>
          <w:szCs w:val="19"/>
        </w:rPr>
        <w:t xml:space="preserve"> </w:t>
      </w:r>
      <w:r w:rsidR="008A698C">
        <w:rPr>
          <w:sz w:val="20"/>
          <w:szCs w:val="19"/>
        </w:rPr>
        <w:t>which enhance protective factors and support positive outcomes</w:t>
      </w:r>
      <w:r w:rsidRPr="00CF6CDD">
        <w:rPr>
          <w:sz w:val="20"/>
          <w:szCs w:val="19"/>
        </w:rPr>
        <w:t xml:space="preserve">. However, stronger prevention measures will likely involve intervention before these transitions occur, and as such, actions </w:t>
      </w:r>
      <w:r>
        <w:rPr>
          <w:sz w:val="20"/>
          <w:szCs w:val="19"/>
        </w:rPr>
        <w:t xml:space="preserve">which </w:t>
      </w:r>
      <w:r w:rsidRPr="00CF6CDD">
        <w:rPr>
          <w:sz w:val="20"/>
          <w:szCs w:val="19"/>
        </w:rPr>
        <w:t xml:space="preserve">relate to programs or services which build awareness, resilience or skills in the preceding time periods </w:t>
      </w:r>
      <w:r>
        <w:rPr>
          <w:sz w:val="20"/>
          <w:szCs w:val="19"/>
        </w:rPr>
        <w:t xml:space="preserve">should be considered </w:t>
      </w:r>
      <w:r w:rsidRPr="00CF6CDD">
        <w:rPr>
          <w:sz w:val="20"/>
          <w:szCs w:val="19"/>
        </w:rPr>
        <w:t>(e.g. prenatal inter</w:t>
      </w:r>
      <w:r w:rsidR="0000153C">
        <w:rPr>
          <w:sz w:val="20"/>
          <w:szCs w:val="19"/>
        </w:rPr>
        <w:t xml:space="preserve">ventions to support early years </w:t>
      </w:r>
      <w:r w:rsidRPr="00CF6CDD">
        <w:rPr>
          <w:sz w:val="20"/>
          <w:szCs w:val="19"/>
        </w:rPr>
        <w:t>development, prevention of mental health issues in adolescents via programs targeting the middle years)</w:t>
      </w:r>
      <w:r>
        <w:rPr>
          <w:sz w:val="20"/>
          <w:szCs w:val="19"/>
        </w:rPr>
        <w:t>.</w:t>
      </w:r>
      <w:r w:rsidR="00DB1F46">
        <w:rPr>
          <w:rStyle w:val="EndnoteReference"/>
          <w:sz w:val="20"/>
          <w:szCs w:val="19"/>
        </w:rPr>
        <w:endnoteReference w:id="20"/>
      </w:r>
      <w:r w:rsidRPr="00CF6CDD">
        <w:rPr>
          <w:sz w:val="20"/>
          <w:szCs w:val="19"/>
        </w:rPr>
        <w:t xml:space="preserve">  </w:t>
      </w:r>
    </w:p>
    <w:p w14:paraId="6E7B741F" w14:textId="77777777" w:rsidR="00AF4DC5" w:rsidRPr="00A408CE" w:rsidRDefault="00803502" w:rsidP="00A408CE">
      <w:pPr>
        <w:pStyle w:val="Heading4"/>
        <w:rPr>
          <w:rFonts w:eastAsiaTheme="minorHAnsi"/>
          <w:szCs w:val="24"/>
          <w:lang w:val="en-US"/>
        </w:rPr>
      </w:pPr>
      <w:r>
        <w:rPr>
          <w:rFonts w:eastAsiaTheme="minorHAnsi"/>
          <w:szCs w:val="24"/>
          <w:lang w:val="en-US"/>
        </w:rPr>
        <w:t xml:space="preserve">There is room </w:t>
      </w:r>
      <w:r w:rsidR="00314AA3">
        <w:rPr>
          <w:rFonts w:eastAsiaTheme="minorHAnsi"/>
          <w:szCs w:val="24"/>
          <w:lang w:val="en-US"/>
        </w:rPr>
        <w:t>for</w:t>
      </w:r>
      <w:r>
        <w:rPr>
          <w:rFonts w:eastAsiaTheme="minorHAnsi"/>
          <w:szCs w:val="24"/>
          <w:lang w:val="en-US"/>
        </w:rPr>
        <w:t xml:space="preserve"> improve</w:t>
      </w:r>
      <w:r w:rsidR="00314AA3">
        <w:rPr>
          <w:rFonts w:eastAsiaTheme="minorHAnsi"/>
          <w:szCs w:val="24"/>
          <w:lang w:val="en-US"/>
        </w:rPr>
        <w:t>ment</w:t>
      </w:r>
      <w:r w:rsidR="004E1C01">
        <w:rPr>
          <w:rFonts w:eastAsiaTheme="minorHAnsi"/>
          <w:szCs w:val="24"/>
          <w:lang w:val="en-US"/>
        </w:rPr>
        <w:t>…</w:t>
      </w:r>
    </w:p>
    <w:p w14:paraId="1122BA8E" w14:textId="77777777" w:rsidR="00064B26" w:rsidRPr="004E1C01" w:rsidRDefault="000E759B" w:rsidP="000A0B91">
      <w:pPr>
        <w:pStyle w:val="NormalWeb"/>
        <w:spacing w:beforeLines="20" w:before="48" w:beforeAutospacing="0" w:afterLines="20" w:after="48" w:afterAutospacing="0"/>
        <w:rPr>
          <w:rFonts w:cstheme="minorHAnsi"/>
          <w:sz w:val="20"/>
          <w:szCs w:val="19"/>
          <w:lang w:eastAsia="en-AU"/>
        </w:rPr>
      </w:pPr>
      <w:r w:rsidRPr="00B6540B">
        <w:rPr>
          <w:rFonts w:cstheme="minorHAnsi"/>
          <w:sz w:val="20"/>
          <w:szCs w:val="19"/>
          <w:lang w:eastAsia="en-AU"/>
        </w:rPr>
        <w:t xml:space="preserve">Despite </w:t>
      </w:r>
      <w:r w:rsidR="003966CD" w:rsidRPr="00B6540B">
        <w:rPr>
          <w:rFonts w:cstheme="minorHAnsi"/>
          <w:sz w:val="20"/>
          <w:szCs w:val="19"/>
          <w:lang w:eastAsia="en-AU"/>
        </w:rPr>
        <w:t xml:space="preserve">some </w:t>
      </w:r>
      <w:r w:rsidRPr="00B6540B">
        <w:rPr>
          <w:rFonts w:cstheme="minorHAnsi"/>
          <w:sz w:val="20"/>
          <w:szCs w:val="19"/>
          <w:lang w:eastAsia="en-AU"/>
        </w:rPr>
        <w:t>significant achievements i</w:t>
      </w:r>
      <w:r w:rsidR="00A9032D" w:rsidRPr="00B6540B">
        <w:rPr>
          <w:rFonts w:cstheme="minorHAnsi"/>
          <w:sz w:val="20"/>
          <w:szCs w:val="19"/>
          <w:lang w:eastAsia="en-AU"/>
        </w:rPr>
        <w:t xml:space="preserve">mproving </w:t>
      </w:r>
      <w:r w:rsidRPr="00B6540B">
        <w:rPr>
          <w:rFonts w:cstheme="minorHAnsi"/>
          <w:sz w:val="20"/>
          <w:szCs w:val="19"/>
          <w:lang w:eastAsia="en-AU"/>
        </w:rPr>
        <w:t>health</w:t>
      </w:r>
      <w:r w:rsidR="003966CD" w:rsidRPr="00B6540B">
        <w:rPr>
          <w:rFonts w:cstheme="minorHAnsi"/>
          <w:sz w:val="20"/>
          <w:szCs w:val="19"/>
          <w:lang w:eastAsia="en-AU"/>
        </w:rPr>
        <w:t xml:space="preserve"> outcomes for children and young people</w:t>
      </w:r>
      <w:r w:rsidRPr="00B6540B">
        <w:rPr>
          <w:rFonts w:cstheme="minorHAnsi"/>
          <w:sz w:val="20"/>
          <w:szCs w:val="19"/>
          <w:lang w:eastAsia="en-AU"/>
        </w:rPr>
        <w:t>, there</w:t>
      </w:r>
      <w:r w:rsidR="003966CD" w:rsidRPr="00B6540B">
        <w:rPr>
          <w:rFonts w:cstheme="minorHAnsi"/>
          <w:sz w:val="20"/>
          <w:szCs w:val="19"/>
          <w:lang w:eastAsia="en-AU"/>
        </w:rPr>
        <w:t xml:space="preserve"> are areas which lag behind and growing challenges to </w:t>
      </w:r>
      <w:r w:rsidR="00DF63C9" w:rsidRPr="00B6540B">
        <w:rPr>
          <w:rFonts w:cstheme="minorHAnsi"/>
          <w:sz w:val="20"/>
          <w:szCs w:val="19"/>
          <w:lang w:eastAsia="en-AU"/>
        </w:rPr>
        <w:t>address</w:t>
      </w:r>
      <w:r w:rsidR="003966CD" w:rsidRPr="00B6540B">
        <w:rPr>
          <w:rFonts w:cstheme="minorHAnsi"/>
          <w:sz w:val="20"/>
          <w:szCs w:val="19"/>
          <w:lang w:eastAsia="en-AU"/>
        </w:rPr>
        <w:t xml:space="preserve">. </w:t>
      </w:r>
      <w:r w:rsidR="00064B26">
        <w:rPr>
          <w:rFonts w:cstheme="minorHAnsi"/>
          <w:sz w:val="20"/>
          <w:szCs w:val="19"/>
        </w:rPr>
        <w:t>P</w:t>
      </w:r>
      <w:r w:rsidR="00064B26" w:rsidRPr="00E64AF9">
        <w:rPr>
          <w:rFonts w:cstheme="minorHAnsi"/>
          <w:sz w:val="20"/>
          <w:szCs w:val="19"/>
        </w:rPr>
        <w:t xml:space="preserve">rogress has been made in </w:t>
      </w:r>
      <w:r w:rsidR="00F70086">
        <w:rPr>
          <w:rFonts w:cstheme="minorHAnsi"/>
          <w:sz w:val="20"/>
          <w:szCs w:val="19"/>
        </w:rPr>
        <w:t>areas suc</w:t>
      </w:r>
      <w:r w:rsidR="00064B26" w:rsidRPr="00E64AF9">
        <w:rPr>
          <w:rFonts w:cstheme="minorHAnsi"/>
          <w:sz w:val="20"/>
          <w:szCs w:val="19"/>
        </w:rPr>
        <w:t>h</w:t>
      </w:r>
      <w:r w:rsidR="00F70086">
        <w:rPr>
          <w:rFonts w:cstheme="minorHAnsi"/>
          <w:sz w:val="20"/>
          <w:szCs w:val="19"/>
        </w:rPr>
        <w:t xml:space="preserve"> </w:t>
      </w:r>
      <w:r w:rsidR="00064B26" w:rsidRPr="00E64AF9">
        <w:rPr>
          <w:rFonts w:cstheme="minorHAnsi"/>
          <w:sz w:val="20"/>
          <w:szCs w:val="19"/>
        </w:rPr>
        <w:t xml:space="preserve">as </w:t>
      </w:r>
      <w:r w:rsidR="003966CD">
        <w:rPr>
          <w:rFonts w:cstheme="minorHAnsi"/>
          <w:sz w:val="20"/>
          <w:szCs w:val="19"/>
        </w:rPr>
        <w:t xml:space="preserve">infant mortality, </w:t>
      </w:r>
      <w:r w:rsidR="00F70086">
        <w:rPr>
          <w:rFonts w:cstheme="minorHAnsi"/>
          <w:sz w:val="20"/>
          <w:szCs w:val="19"/>
        </w:rPr>
        <w:t>substance use</w:t>
      </w:r>
      <w:r w:rsidR="00A9032D">
        <w:rPr>
          <w:rFonts w:cstheme="minorHAnsi"/>
          <w:sz w:val="20"/>
          <w:szCs w:val="19"/>
        </w:rPr>
        <w:t xml:space="preserve">, injury deaths, and the provision of antenatal care; however, Australian children </w:t>
      </w:r>
      <w:r w:rsidR="00626896">
        <w:rPr>
          <w:rFonts w:cstheme="minorHAnsi"/>
          <w:sz w:val="20"/>
          <w:szCs w:val="19"/>
        </w:rPr>
        <w:t xml:space="preserve">and young people </w:t>
      </w:r>
      <w:r w:rsidR="00A9032D" w:rsidRPr="008A698C">
        <w:rPr>
          <w:rFonts w:cstheme="minorHAnsi"/>
          <w:sz w:val="20"/>
          <w:szCs w:val="20"/>
        </w:rPr>
        <w:t xml:space="preserve">are </w:t>
      </w:r>
      <w:r w:rsidR="00A9032D" w:rsidRPr="008A698C">
        <w:rPr>
          <w:rFonts w:ascii="Segoe UI" w:eastAsiaTheme="minorEastAsia" w:hAnsi="Segoe UI" w:cs="Segoe UI"/>
          <w:color w:val="000000" w:themeColor="text1"/>
          <w:kern w:val="24"/>
          <w:sz w:val="20"/>
          <w:szCs w:val="20"/>
        </w:rPr>
        <w:t>now</w:t>
      </w:r>
      <w:r w:rsidR="00A9032D" w:rsidRPr="008A698C">
        <w:rPr>
          <w:rFonts w:cstheme="minorHAnsi"/>
          <w:sz w:val="20"/>
          <w:szCs w:val="20"/>
        </w:rPr>
        <w:t xml:space="preserve"> </w:t>
      </w:r>
      <w:r w:rsidR="00064B26" w:rsidRPr="008A698C">
        <w:rPr>
          <w:rFonts w:cstheme="minorHAnsi"/>
          <w:sz w:val="20"/>
          <w:szCs w:val="20"/>
          <w:lang w:eastAsia="en-AU"/>
        </w:rPr>
        <w:t>more</w:t>
      </w:r>
      <w:r w:rsidR="00064B26" w:rsidRPr="00E64AF9">
        <w:rPr>
          <w:rFonts w:cstheme="minorHAnsi"/>
          <w:sz w:val="20"/>
          <w:szCs w:val="19"/>
          <w:lang w:eastAsia="en-AU"/>
        </w:rPr>
        <w:t xml:space="preserve"> likely than ever before to be overweight or obese, are less likely to be predominantly or exclusively breastfed at six months, and increasingly face homelessness.</w:t>
      </w:r>
      <w:r w:rsidR="00064B26" w:rsidRPr="00E64AF9">
        <w:rPr>
          <w:rStyle w:val="EndnoteReference"/>
          <w:rFonts w:cstheme="minorHAnsi"/>
          <w:sz w:val="20"/>
          <w:szCs w:val="19"/>
          <w:lang w:eastAsia="en-AU"/>
        </w:rPr>
        <w:endnoteReference w:id="21"/>
      </w:r>
      <w:r w:rsidR="00A9032D">
        <w:rPr>
          <w:rFonts w:cstheme="minorHAnsi"/>
          <w:sz w:val="20"/>
          <w:szCs w:val="19"/>
          <w:lang w:eastAsia="en-AU"/>
        </w:rPr>
        <w:t xml:space="preserve"> </w:t>
      </w:r>
      <w:r w:rsidR="00A9032D">
        <w:rPr>
          <w:rStyle w:val="EndnoteReference"/>
          <w:rFonts w:cstheme="minorHAnsi"/>
          <w:sz w:val="20"/>
          <w:szCs w:val="19"/>
          <w:lang w:eastAsia="en-AU"/>
        </w:rPr>
        <w:endnoteReference w:id="22"/>
      </w:r>
      <w:r w:rsidR="00A9032D">
        <w:rPr>
          <w:rFonts w:cstheme="minorHAnsi"/>
          <w:sz w:val="20"/>
          <w:szCs w:val="19"/>
          <w:lang w:eastAsia="en-AU"/>
        </w:rPr>
        <w:t xml:space="preserve"> </w:t>
      </w:r>
      <w:r w:rsidR="00A9032D">
        <w:rPr>
          <w:rStyle w:val="EndnoteReference"/>
          <w:rFonts w:cstheme="minorHAnsi"/>
          <w:sz w:val="20"/>
          <w:szCs w:val="19"/>
          <w:lang w:eastAsia="en-AU"/>
        </w:rPr>
        <w:endnoteReference w:id="23"/>
      </w:r>
    </w:p>
    <w:p w14:paraId="7C5BA5A3" w14:textId="77777777" w:rsidR="00064B26" w:rsidRDefault="003E73B9" w:rsidP="00064B26">
      <w:pPr>
        <w:rPr>
          <w:rFonts w:cstheme="minorHAnsi"/>
          <w:bCs/>
          <w:sz w:val="20"/>
          <w:szCs w:val="19"/>
        </w:rPr>
      </w:pPr>
      <w:r>
        <w:rPr>
          <w:rFonts w:cstheme="minorHAnsi"/>
          <w:sz w:val="20"/>
          <w:szCs w:val="19"/>
        </w:rPr>
        <w:t>A</w:t>
      </w:r>
      <w:r w:rsidR="000E759B">
        <w:rPr>
          <w:rFonts w:cstheme="minorHAnsi"/>
          <w:sz w:val="20"/>
          <w:szCs w:val="19"/>
        </w:rPr>
        <w:t xml:space="preserve"> growing concern</w:t>
      </w:r>
      <w:r w:rsidR="00A9032D">
        <w:rPr>
          <w:rFonts w:cstheme="minorHAnsi"/>
          <w:sz w:val="20"/>
          <w:szCs w:val="19"/>
        </w:rPr>
        <w:t xml:space="preserve"> is the mental health of our children and young people</w:t>
      </w:r>
      <w:r w:rsidR="00064B26" w:rsidRPr="00E64AF9">
        <w:rPr>
          <w:rFonts w:cstheme="minorHAnsi"/>
          <w:sz w:val="20"/>
          <w:szCs w:val="19"/>
        </w:rPr>
        <w:t xml:space="preserve">. </w:t>
      </w:r>
      <w:r w:rsidR="00A9032D" w:rsidRPr="00E64AF9">
        <w:rPr>
          <w:rFonts w:cstheme="minorHAnsi"/>
          <w:sz w:val="20"/>
          <w:szCs w:val="19"/>
        </w:rPr>
        <w:t xml:space="preserve">The 2017 </w:t>
      </w:r>
      <w:r w:rsidR="00A9032D" w:rsidRPr="00E64AF9">
        <w:rPr>
          <w:rFonts w:cstheme="minorHAnsi"/>
          <w:i/>
          <w:sz w:val="20"/>
          <w:szCs w:val="19"/>
        </w:rPr>
        <w:t>Youth Mental Health Report</w:t>
      </w:r>
      <w:r w:rsidR="00064B26" w:rsidRPr="00E64AF9">
        <w:rPr>
          <w:rFonts w:cstheme="minorHAnsi"/>
          <w:sz w:val="20"/>
          <w:szCs w:val="19"/>
        </w:rPr>
        <w:t xml:space="preserve"> found that one in four young people are at risk of serious mental illness</w:t>
      </w:r>
      <w:r w:rsidR="00A9032D">
        <w:rPr>
          <w:rFonts w:cstheme="minorHAnsi"/>
          <w:sz w:val="20"/>
          <w:szCs w:val="19"/>
        </w:rPr>
        <w:t>,</w:t>
      </w:r>
      <w:r w:rsidR="00064B26" w:rsidRPr="00E64AF9">
        <w:rPr>
          <w:rFonts w:cstheme="minorHAnsi"/>
          <w:sz w:val="20"/>
          <w:szCs w:val="19"/>
        </w:rPr>
        <w:t xml:space="preserve"> </w:t>
      </w:r>
      <w:r w:rsidR="00083F64">
        <w:rPr>
          <w:rFonts w:cstheme="minorHAnsi"/>
          <w:sz w:val="20"/>
          <w:szCs w:val="19"/>
        </w:rPr>
        <w:t xml:space="preserve">with </w:t>
      </w:r>
      <w:r w:rsidR="00064B26" w:rsidRPr="00E64AF9">
        <w:rPr>
          <w:rFonts w:cstheme="minorHAnsi"/>
          <w:sz w:val="20"/>
          <w:szCs w:val="19"/>
        </w:rPr>
        <w:t>risk increas</w:t>
      </w:r>
      <w:r w:rsidR="00083F64">
        <w:rPr>
          <w:rFonts w:cstheme="minorHAnsi"/>
          <w:sz w:val="20"/>
          <w:szCs w:val="19"/>
        </w:rPr>
        <w:t>ing</w:t>
      </w:r>
      <w:r w:rsidR="00064B26" w:rsidRPr="00E64AF9">
        <w:rPr>
          <w:rFonts w:cstheme="minorHAnsi"/>
          <w:sz w:val="20"/>
          <w:szCs w:val="19"/>
        </w:rPr>
        <w:t xml:space="preserve"> as adolescents age</w:t>
      </w:r>
      <w:r w:rsidR="00083F64">
        <w:rPr>
          <w:rFonts w:cstheme="minorHAnsi"/>
          <w:sz w:val="20"/>
          <w:szCs w:val="19"/>
        </w:rPr>
        <w:t xml:space="preserve"> and more prominent among</w:t>
      </w:r>
      <w:r w:rsidR="00064B26" w:rsidRPr="00E64AF9">
        <w:rPr>
          <w:rFonts w:cstheme="minorHAnsi"/>
          <w:sz w:val="20"/>
          <w:szCs w:val="19"/>
        </w:rPr>
        <w:t xml:space="preserve"> Indigenous </w:t>
      </w:r>
      <w:r w:rsidR="003F1E81">
        <w:rPr>
          <w:rFonts w:cstheme="minorHAnsi"/>
          <w:sz w:val="20"/>
          <w:szCs w:val="19"/>
        </w:rPr>
        <w:t>Australians</w:t>
      </w:r>
      <w:r w:rsidR="00064B26" w:rsidRPr="00E64AF9">
        <w:rPr>
          <w:rFonts w:cstheme="minorHAnsi"/>
          <w:sz w:val="20"/>
          <w:szCs w:val="19"/>
        </w:rPr>
        <w:t xml:space="preserve"> and young women. Furthermore, t</w:t>
      </w:r>
      <w:r w:rsidR="00064B26" w:rsidRPr="00E64AF9">
        <w:rPr>
          <w:rFonts w:cstheme="minorHAnsi"/>
          <w:bCs/>
          <w:sz w:val="20"/>
          <w:szCs w:val="19"/>
        </w:rPr>
        <w:t xml:space="preserve">he number of deaths by suicide </w:t>
      </w:r>
      <w:r w:rsidR="00064B26">
        <w:rPr>
          <w:rFonts w:cstheme="minorHAnsi"/>
          <w:bCs/>
          <w:sz w:val="20"/>
          <w:szCs w:val="19"/>
        </w:rPr>
        <w:t>of</w:t>
      </w:r>
      <w:r w:rsidR="00064B26" w:rsidRPr="00E64AF9">
        <w:rPr>
          <w:rFonts w:cstheme="minorHAnsi"/>
          <w:bCs/>
          <w:sz w:val="20"/>
          <w:szCs w:val="19"/>
        </w:rPr>
        <w:t xml:space="preserve"> young Australians in 2015 was the highest it has been in </w:t>
      </w:r>
      <w:r w:rsidR="00703AB7">
        <w:rPr>
          <w:rFonts w:cstheme="minorHAnsi"/>
          <w:bCs/>
          <w:sz w:val="20"/>
          <w:szCs w:val="19"/>
        </w:rPr>
        <w:t>ten</w:t>
      </w:r>
      <w:r w:rsidR="00064B26" w:rsidRPr="00E64AF9">
        <w:rPr>
          <w:rFonts w:cstheme="minorHAnsi"/>
          <w:bCs/>
          <w:sz w:val="20"/>
          <w:szCs w:val="19"/>
        </w:rPr>
        <w:t xml:space="preserve"> years.</w:t>
      </w:r>
      <w:r w:rsidR="00064B26" w:rsidRPr="00E64AF9">
        <w:rPr>
          <w:rStyle w:val="EndnoteReference"/>
          <w:rFonts w:cstheme="minorHAnsi"/>
          <w:bCs/>
          <w:sz w:val="20"/>
          <w:szCs w:val="19"/>
        </w:rPr>
        <w:endnoteReference w:id="24"/>
      </w:r>
    </w:p>
    <w:p w14:paraId="62EE4610" w14:textId="77777777" w:rsidR="006B49CF" w:rsidRDefault="00064B26" w:rsidP="003058CA">
      <w:pPr>
        <w:rPr>
          <w:rFonts w:ascii="Segoe UI Semibold" w:hAnsi="Segoe UI Semibold"/>
          <w:color w:val="227439"/>
          <w:sz w:val="20"/>
          <w:szCs w:val="19"/>
          <w:lang w:eastAsia="en-AU"/>
        </w:rPr>
      </w:pPr>
      <w:r w:rsidRPr="006451FD">
        <w:rPr>
          <w:rFonts w:cstheme="minorHAnsi"/>
          <w:bCs/>
          <w:sz w:val="20"/>
          <w:szCs w:val="19"/>
        </w:rPr>
        <w:t xml:space="preserve">A </w:t>
      </w:r>
      <w:r w:rsidR="003F1E81">
        <w:rPr>
          <w:rFonts w:cstheme="minorHAnsi"/>
          <w:bCs/>
          <w:sz w:val="20"/>
          <w:szCs w:val="19"/>
        </w:rPr>
        <w:t>selection</w:t>
      </w:r>
      <w:r w:rsidRPr="006451FD">
        <w:rPr>
          <w:rFonts w:cstheme="minorHAnsi"/>
          <w:bCs/>
          <w:sz w:val="20"/>
          <w:szCs w:val="19"/>
        </w:rPr>
        <w:t xml:space="preserve"> of measures related to the health of children and young people in Australia are presented </w:t>
      </w:r>
      <w:r w:rsidR="000A0B91">
        <w:rPr>
          <w:rFonts w:cstheme="minorHAnsi"/>
          <w:bCs/>
          <w:sz w:val="20"/>
          <w:szCs w:val="19"/>
        </w:rPr>
        <w:t xml:space="preserve">in </w:t>
      </w:r>
      <w:r w:rsidR="000A0B91" w:rsidRPr="004947EC">
        <w:rPr>
          <w:rFonts w:cstheme="minorHAnsi"/>
          <w:bCs/>
          <w:sz w:val="20"/>
          <w:szCs w:val="19"/>
        </w:rPr>
        <w:t xml:space="preserve">Figure </w:t>
      </w:r>
      <w:r w:rsidR="00D526CB" w:rsidRPr="004947EC">
        <w:rPr>
          <w:rFonts w:cstheme="minorHAnsi"/>
          <w:bCs/>
          <w:sz w:val="20"/>
          <w:szCs w:val="19"/>
        </w:rPr>
        <w:t>3</w:t>
      </w:r>
      <w:r w:rsidRPr="004947EC">
        <w:rPr>
          <w:rFonts w:cstheme="minorHAnsi"/>
          <w:bCs/>
          <w:sz w:val="20"/>
          <w:szCs w:val="19"/>
        </w:rPr>
        <w:t>. These</w:t>
      </w:r>
      <w:r>
        <w:rPr>
          <w:rFonts w:cstheme="minorHAnsi"/>
          <w:bCs/>
          <w:sz w:val="20"/>
          <w:szCs w:val="19"/>
        </w:rPr>
        <w:t xml:space="preserve"> </w:t>
      </w:r>
      <w:r w:rsidR="004E1C01">
        <w:rPr>
          <w:rFonts w:cstheme="minorHAnsi"/>
          <w:bCs/>
          <w:sz w:val="20"/>
          <w:szCs w:val="19"/>
        </w:rPr>
        <w:t>demonstrate</w:t>
      </w:r>
      <w:r>
        <w:rPr>
          <w:rFonts w:cstheme="minorHAnsi"/>
          <w:bCs/>
          <w:sz w:val="20"/>
          <w:szCs w:val="19"/>
        </w:rPr>
        <w:t xml:space="preserve"> a number of ongoing challenges and some concerning trends, across domains of physical and mental health, childhood development, child protection, justice and welfare. They illustrate that, while much has been done, there is still much more that can be done for all children and young people to be healthy, safe and thriving.</w:t>
      </w:r>
    </w:p>
    <w:p w14:paraId="6A02CAB9" w14:textId="77777777" w:rsidR="00A43239" w:rsidRDefault="00A43239" w:rsidP="00703AB7">
      <w:pPr>
        <w:pStyle w:val="Heading4"/>
        <w:rPr>
          <w:vertAlign w:val="superscript"/>
        </w:rPr>
      </w:pPr>
      <w:r w:rsidRPr="005F30BB">
        <w:t xml:space="preserve">Figure </w:t>
      </w:r>
      <w:r w:rsidR="00D526CB" w:rsidRPr="005F30BB">
        <w:t>3</w:t>
      </w:r>
      <w:r w:rsidRPr="0071662D">
        <w:t xml:space="preserve">: The </w:t>
      </w:r>
      <w:r>
        <w:t>health of Australia’s children and young people at a glance</w:t>
      </w:r>
      <w:r>
        <w:rPr>
          <w:rStyle w:val="EndnoteReference"/>
        </w:rPr>
        <w:endnoteReference w:id="25"/>
      </w:r>
      <w:r>
        <w:rPr>
          <w:vertAlign w:val="superscript"/>
        </w:rPr>
        <w:t xml:space="preserve"> </w:t>
      </w:r>
      <w:r>
        <w:rPr>
          <w:rStyle w:val="EndnoteReference"/>
        </w:rPr>
        <w:endnoteReference w:id="26"/>
      </w:r>
      <w:r>
        <w:rPr>
          <w:vertAlign w:val="superscript"/>
        </w:rPr>
        <w:t xml:space="preserve"> </w:t>
      </w:r>
      <w:r>
        <w:rPr>
          <w:rStyle w:val="EndnoteReference"/>
        </w:rPr>
        <w:endnoteReference w:id="27"/>
      </w:r>
      <w:r>
        <w:rPr>
          <w:vertAlign w:val="superscript"/>
        </w:rPr>
        <w:t xml:space="preserve"> </w:t>
      </w:r>
      <w:r>
        <w:rPr>
          <w:rStyle w:val="EndnoteReference"/>
        </w:rPr>
        <w:endnoteReference w:id="28"/>
      </w:r>
      <w:r>
        <w:rPr>
          <w:vertAlign w:val="superscript"/>
        </w:rPr>
        <w:t xml:space="preserve"> </w:t>
      </w:r>
      <w:r>
        <w:rPr>
          <w:rStyle w:val="EndnoteReference"/>
        </w:rPr>
        <w:endnoteReference w:id="29"/>
      </w:r>
      <w:r>
        <w:rPr>
          <w:vertAlign w:val="superscript"/>
        </w:rPr>
        <w:t xml:space="preserve"> </w:t>
      </w:r>
      <w:r>
        <w:rPr>
          <w:rStyle w:val="EndnoteReference"/>
        </w:rPr>
        <w:endnoteReference w:id="30"/>
      </w:r>
      <w:r>
        <w:rPr>
          <w:vertAlign w:val="superscript"/>
        </w:rPr>
        <w:t xml:space="preserve"> </w:t>
      </w:r>
      <w:r>
        <w:rPr>
          <w:rStyle w:val="EndnoteReference"/>
        </w:rPr>
        <w:endnoteReference w:id="31"/>
      </w:r>
      <w:r>
        <w:rPr>
          <w:vertAlign w:val="superscript"/>
        </w:rPr>
        <w:t xml:space="preserve"> </w:t>
      </w:r>
      <w:r>
        <w:rPr>
          <w:rStyle w:val="EndnoteReference"/>
        </w:rPr>
        <w:endnoteReference w:id="32"/>
      </w:r>
      <w:r>
        <w:rPr>
          <w:vertAlign w:val="superscript"/>
        </w:rPr>
        <w:t xml:space="preserve"> </w:t>
      </w:r>
      <w:r>
        <w:rPr>
          <w:rStyle w:val="EndnoteReference"/>
        </w:rPr>
        <w:endnoteReference w:id="33"/>
      </w:r>
      <w:r>
        <w:rPr>
          <w:vertAlign w:val="superscript"/>
        </w:rPr>
        <w:t xml:space="preserve"> </w:t>
      </w:r>
      <w:r>
        <w:rPr>
          <w:rStyle w:val="EndnoteReference"/>
        </w:rPr>
        <w:endnoteReference w:id="34"/>
      </w:r>
    </w:p>
    <w:p w14:paraId="0827FF2A" w14:textId="77777777" w:rsidR="00C36CDD" w:rsidRDefault="000A0B91" w:rsidP="00D75EDE">
      <w:pPr>
        <w:ind w:left="-142"/>
        <w:jc w:val="center"/>
        <w:rPr>
          <w:rFonts w:ascii="Segoe UI Semibold" w:hAnsi="Segoe UI Semibold"/>
          <w:i/>
          <w:color w:val="1BAD37"/>
          <w:sz w:val="28"/>
          <w:szCs w:val="19"/>
          <w:lang w:eastAsia="en-AU"/>
        </w:rPr>
      </w:pPr>
      <w:r w:rsidRPr="00A43239">
        <w:rPr>
          <w:noProof/>
          <w:lang w:val="en-AU" w:eastAsia="en-AU"/>
        </w:rPr>
        <w:drawing>
          <wp:inline distT="0" distB="0" distL="0" distR="0" wp14:anchorId="5DCD3D8A" wp14:editId="2B84887A">
            <wp:extent cx="6379200" cy="8650800"/>
            <wp:effectExtent l="0" t="0" r="3175" b="0"/>
            <wp:docPr id="65" name="Picture 65" descr="These are the current issues facing Australia's children and young people." title="The health of Australia's children and young people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379200" cy="8650800"/>
                    </a:xfrm>
                    <a:prstGeom prst="rect">
                      <a:avLst/>
                    </a:prstGeom>
                    <a:noFill/>
                    <a:ln>
                      <a:noFill/>
                    </a:ln>
                    <a:extLst>
                      <a:ext uri="{53640926-AAD7-44D8-BBD7-CCE9431645EC}">
                        <a14:shadowObscured xmlns:a14="http://schemas.microsoft.com/office/drawing/2010/main"/>
                      </a:ext>
                    </a:extLst>
                  </pic:spPr>
                </pic:pic>
              </a:graphicData>
            </a:graphic>
          </wp:inline>
        </w:drawing>
      </w:r>
    </w:p>
    <w:p w14:paraId="0174AD94" w14:textId="77777777" w:rsidR="00803502" w:rsidRPr="000A0B91" w:rsidRDefault="00803502" w:rsidP="000A0B91">
      <w:pPr>
        <w:pStyle w:val="Heading4"/>
        <w:rPr>
          <w:rFonts w:eastAsiaTheme="minorHAnsi"/>
          <w:szCs w:val="24"/>
          <w:lang w:val="en-US"/>
        </w:rPr>
      </w:pPr>
      <w:r w:rsidRPr="000A0B91">
        <w:rPr>
          <w:rFonts w:eastAsiaTheme="minorHAnsi"/>
          <w:szCs w:val="24"/>
          <w:lang w:val="en-US"/>
        </w:rPr>
        <w:t xml:space="preserve">Health </w:t>
      </w:r>
      <w:r w:rsidR="000A0B91" w:rsidRPr="000A0B91">
        <w:rPr>
          <w:rFonts w:eastAsiaTheme="minorHAnsi"/>
          <w:szCs w:val="24"/>
          <w:lang w:val="en-US"/>
        </w:rPr>
        <w:t>in</w:t>
      </w:r>
      <w:r w:rsidRPr="000A0B91">
        <w:rPr>
          <w:rFonts w:eastAsiaTheme="minorHAnsi"/>
          <w:szCs w:val="24"/>
          <w:lang w:val="en-US"/>
        </w:rPr>
        <w:t>equity persists</w:t>
      </w:r>
      <w:r w:rsidR="000A0B91" w:rsidRPr="000A0B91">
        <w:rPr>
          <w:rFonts w:eastAsiaTheme="minorHAnsi"/>
          <w:szCs w:val="24"/>
          <w:lang w:val="en-US"/>
        </w:rPr>
        <w:t>…</w:t>
      </w:r>
    </w:p>
    <w:p w14:paraId="7433A688" w14:textId="77777777" w:rsidR="00057BA6" w:rsidRDefault="00057BA6" w:rsidP="00057BA6">
      <w:pPr>
        <w:rPr>
          <w:sz w:val="20"/>
          <w:szCs w:val="19"/>
        </w:rPr>
      </w:pPr>
      <w:r w:rsidRPr="00E64AF9">
        <w:rPr>
          <w:sz w:val="20"/>
          <w:szCs w:val="19"/>
        </w:rPr>
        <w:t>There is no ‘average’ child or young person where health</w:t>
      </w:r>
      <w:r>
        <w:rPr>
          <w:sz w:val="20"/>
          <w:szCs w:val="19"/>
        </w:rPr>
        <w:t xml:space="preserve"> is concerned. Health inequities emerge as a result of many different factors, including geography, health literacy</w:t>
      </w:r>
      <w:r w:rsidR="00F91756">
        <w:rPr>
          <w:sz w:val="20"/>
          <w:szCs w:val="19"/>
        </w:rPr>
        <w:t xml:space="preserve"> (</w:t>
      </w:r>
      <w:r w:rsidR="00F91756" w:rsidRPr="00F91756">
        <w:rPr>
          <w:sz w:val="20"/>
          <w:szCs w:val="19"/>
        </w:rPr>
        <w:t>both a combination of an individual’s skills and abilities and the healthcare environment)</w:t>
      </w:r>
      <w:r>
        <w:rPr>
          <w:sz w:val="20"/>
          <w:szCs w:val="19"/>
        </w:rPr>
        <w:t>, culture, social and economic circumstances, and individual characteristics. These inequities often appear early and increase along a clear social gradient, widening the health gap between the most and least disadvantaged as the life course progresses.</w:t>
      </w:r>
      <w:r>
        <w:rPr>
          <w:rStyle w:val="EndnoteReference"/>
          <w:sz w:val="20"/>
          <w:szCs w:val="19"/>
        </w:rPr>
        <w:endnoteReference w:id="35"/>
      </w:r>
      <w:r>
        <w:rPr>
          <w:sz w:val="20"/>
          <w:szCs w:val="19"/>
        </w:rPr>
        <w:t xml:space="preserve"> </w:t>
      </w:r>
    </w:p>
    <w:p w14:paraId="7C88B035" w14:textId="77777777" w:rsidR="00057BA6" w:rsidRPr="00E64AF9" w:rsidRDefault="00D12568" w:rsidP="00057BA6">
      <w:pPr>
        <w:rPr>
          <w:sz w:val="20"/>
          <w:szCs w:val="19"/>
          <w:lang w:eastAsia="en-AU"/>
        </w:rPr>
      </w:pPr>
      <w:r>
        <w:rPr>
          <w:sz w:val="20"/>
          <w:szCs w:val="19"/>
        </w:rPr>
        <w:t>Certain</w:t>
      </w:r>
      <w:r w:rsidR="00057BA6">
        <w:rPr>
          <w:sz w:val="20"/>
          <w:szCs w:val="19"/>
        </w:rPr>
        <w:t xml:space="preserve"> populations are especially prone to health inequity as a result of social, geographical and other </w:t>
      </w:r>
      <w:r w:rsidR="00057BA6" w:rsidRPr="000C3EAF">
        <w:rPr>
          <w:sz w:val="20"/>
          <w:szCs w:val="19"/>
        </w:rPr>
        <w:t xml:space="preserve">determinants (Figure </w:t>
      </w:r>
      <w:r w:rsidR="00D526CB" w:rsidRPr="000C3EAF">
        <w:rPr>
          <w:sz w:val="20"/>
          <w:szCs w:val="19"/>
        </w:rPr>
        <w:t>4</w:t>
      </w:r>
      <w:r w:rsidR="00057BA6" w:rsidRPr="000C3EAF">
        <w:rPr>
          <w:sz w:val="20"/>
          <w:szCs w:val="19"/>
        </w:rPr>
        <w:t xml:space="preserve">). </w:t>
      </w:r>
      <w:r w:rsidR="00057BA6" w:rsidRPr="000C3EAF">
        <w:rPr>
          <w:sz w:val="20"/>
          <w:szCs w:val="19"/>
          <w:lang w:eastAsia="en-AU"/>
        </w:rPr>
        <w:t>Many children</w:t>
      </w:r>
      <w:r w:rsidR="00057BA6" w:rsidRPr="00E64AF9">
        <w:rPr>
          <w:sz w:val="20"/>
          <w:szCs w:val="19"/>
          <w:lang w:eastAsia="en-AU"/>
        </w:rPr>
        <w:t xml:space="preserve"> and young people also fall within multiple ‘priority’ population groups, </w:t>
      </w:r>
      <w:r w:rsidR="00057BA6">
        <w:rPr>
          <w:sz w:val="20"/>
          <w:szCs w:val="19"/>
          <w:lang w:eastAsia="en-AU"/>
        </w:rPr>
        <w:t xml:space="preserve">something </w:t>
      </w:r>
      <w:r w:rsidR="00057BA6" w:rsidRPr="00E64AF9">
        <w:rPr>
          <w:sz w:val="20"/>
          <w:szCs w:val="19"/>
          <w:lang w:eastAsia="en-AU"/>
        </w:rPr>
        <w:t xml:space="preserve">which can have a compounding effect on </w:t>
      </w:r>
      <w:r w:rsidR="00057BA6">
        <w:rPr>
          <w:sz w:val="20"/>
          <w:szCs w:val="19"/>
          <w:lang w:eastAsia="en-AU"/>
        </w:rPr>
        <w:t xml:space="preserve">their </w:t>
      </w:r>
      <w:r w:rsidR="00057BA6" w:rsidRPr="00E64AF9">
        <w:rPr>
          <w:sz w:val="20"/>
          <w:szCs w:val="19"/>
          <w:lang w:eastAsia="en-AU"/>
        </w:rPr>
        <w:t xml:space="preserve">health needs and outcomes. For example, many Australians from rural and remote backgrounds also have a lower socioeconomic status, may identify as Aboriginal and Torres Strait Islander or from a culturally and linguistically diverse background, and may have experienced violence and/or abuse. Furthermore, these population groups are often disadvantaged with respect to accessing healthcare. Each of these factors singularly and collectively impact on </w:t>
      </w:r>
      <w:r w:rsidR="00057BA6">
        <w:rPr>
          <w:sz w:val="20"/>
          <w:szCs w:val="19"/>
          <w:lang w:eastAsia="en-AU"/>
        </w:rPr>
        <w:t xml:space="preserve">their </w:t>
      </w:r>
      <w:r w:rsidR="00057BA6" w:rsidRPr="00E64AF9">
        <w:rPr>
          <w:sz w:val="20"/>
          <w:szCs w:val="19"/>
          <w:lang w:eastAsia="en-AU"/>
        </w:rPr>
        <w:t>health and health needs.</w:t>
      </w:r>
      <w:r w:rsidR="00057BA6" w:rsidRPr="00E64AF9">
        <w:rPr>
          <w:rStyle w:val="EndnoteReference"/>
          <w:sz w:val="20"/>
          <w:szCs w:val="19"/>
          <w:lang w:eastAsia="en-AU"/>
        </w:rPr>
        <w:endnoteReference w:id="36"/>
      </w:r>
      <w:r w:rsidR="00057BA6" w:rsidRPr="00E64AF9">
        <w:rPr>
          <w:sz w:val="20"/>
          <w:szCs w:val="19"/>
          <w:vertAlign w:val="superscript"/>
          <w:lang w:eastAsia="en-AU"/>
        </w:rPr>
        <w:t xml:space="preserve"> </w:t>
      </w:r>
      <w:r w:rsidR="00057BA6" w:rsidRPr="00E64AF9">
        <w:rPr>
          <w:rStyle w:val="EndnoteReference"/>
          <w:sz w:val="20"/>
          <w:szCs w:val="19"/>
          <w:lang w:eastAsia="en-AU"/>
        </w:rPr>
        <w:endnoteReference w:id="37"/>
      </w:r>
      <w:r w:rsidR="00057BA6" w:rsidRPr="00E64AF9">
        <w:rPr>
          <w:sz w:val="20"/>
          <w:szCs w:val="19"/>
          <w:lang w:eastAsia="en-AU"/>
        </w:rPr>
        <w:t xml:space="preserve"> </w:t>
      </w:r>
    </w:p>
    <w:p w14:paraId="22DCCFED" w14:textId="77777777" w:rsidR="00031CDC" w:rsidRDefault="00031CDC" w:rsidP="00031CDC">
      <w:pPr>
        <w:rPr>
          <w:rFonts w:eastAsiaTheme="minorHAnsi"/>
          <w:sz w:val="20"/>
        </w:rPr>
      </w:pPr>
      <w:r>
        <w:rPr>
          <w:sz w:val="20"/>
          <w:szCs w:val="19"/>
        </w:rPr>
        <w:t>Positively, there are opportunities to tackle health disparities experienced by these populations by working to address the causative factors underpinning their inequity. This is especially the case if actions are taken early in childhood, with greater potential to shift health trajectories and disrupt intergenerational cycles of disadvantage.</w:t>
      </w:r>
      <w:r w:rsidRPr="004E0E1D">
        <w:rPr>
          <w:rStyle w:val="EndnoteReference"/>
          <w:rFonts w:cstheme="minorHAnsi"/>
          <w:sz w:val="20"/>
          <w:szCs w:val="19"/>
        </w:rPr>
        <w:t xml:space="preserve"> </w:t>
      </w:r>
      <w:r w:rsidRPr="00E64AF9">
        <w:rPr>
          <w:rStyle w:val="EndnoteReference"/>
          <w:rFonts w:cstheme="minorHAnsi"/>
          <w:sz w:val="20"/>
          <w:szCs w:val="19"/>
        </w:rPr>
        <w:endnoteReference w:id="38"/>
      </w:r>
      <w:r w:rsidRPr="00E64AF9">
        <w:rPr>
          <w:rFonts w:cstheme="minorHAnsi"/>
          <w:sz w:val="20"/>
          <w:szCs w:val="19"/>
          <w:vertAlign w:val="superscript"/>
        </w:rPr>
        <w:t xml:space="preserve"> </w:t>
      </w:r>
      <w:r w:rsidRPr="00E64AF9">
        <w:rPr>
          <w:rStyle w:val="EndnoteReference"/>
          <w:rFonts w:cstheme="minorHAnsi"/>
          <w:sz w:val="20"/>
          <w:szCs w:val="19"/>
        </w:rPr>
        <w:endnoteReference w:id="39"/>
      </w:r>
      <w:r>
        <w:rPr>
          <w:rFonts w:cstheme="minorHAnsi"/>
          <w:sz w:val="20"/>
          <w:szCs w:val="19"/>
          <w:vertAlign w:val="superscript"/>
        </w:rPr>
        <w:t xml:space="preserve"> </w:t>
      </w:r>
      <w:r>
        <w:rPr>
          <w:rFonts w:eastAsiaTheme="minorHAnsi"/>
          <w:sz w:val="20"/>
        </w:rPr>
        <w:t xml:space="preserve"> </w:t>
      </w:r>
      <w:r w:rsidRPr="00E64AF9">
        <w:rPr>
          <w:rFonts w:eastAsiaTheme="minorHAnsi"/>
          <w:sz w:val="20"/>
        </w:rPr>
        <w:t xml:space="preserve">Through </w:t>
      </w:r>
      <w:r w:rsidR="000C3EAF">
        <w:rPr>
          <w:rFonts w:eastAsiaTheme="minorHAnsi"/>
          <w:sz w:val="20"/>
        </w:rPr>
        <w:t>focused</w:t>
      </w:r>
      <w:r w:rsidRPr="00E64AF9">
        <w:rPr>
          <w:rFonts w:eastAsiaTheme="minorHAnsi"/>
          <w:sz w:val="20"/>
        </w:rPr>
        <w:t xml:space="preserve"> health policy design, education and service delivery </w:t>
      </w:r>
      <w:r w:rsidR="000C3EAF">
        <w:rPr>
          <w:rFonts w:eastAsiaTheme="minorHAnsi"/>
          <w:sz w:val="20"/>
        </w:rPr>
        <w:t>concentrated</w:t>
      </w:r>
      <w:r w:rsidRPr="00E64AF9">
        <w:rPr>
          <w:rFonts w:eastAsiaTheme="minorHAnsi"/>
          <w:sz w:val="20"/>
        </w:rPr>
        <w:t xml:space="preserve"> on the particular needs and circumstances of priority groups of children and young people, there is substantial scope to improve health equity, not only among children and young people, but also across the whole population.</w:t>
      </w:r>
    </w:p>
    <w:p w14:paraId="0C217584" w14:textId="5B62F34B" w:rsidR="00057BA6" w:rsidRDefault="00057BA6" w:rsidP="006643AE">
      <w:pPr>
        <w:pStyle w:val="Heading4"/>
      </w:pPr>
      <w:r w:rsidRPr="00057BA6">
        <w:t xml:space="preserve">Figure </w:t>
      </w:r>
      <w:r w:rsidR="00D526CB">
        <w:t>4</w:t>
      </w:r>
      <w:r w:rsidRPr="00057BA6">
        <w:t xml:space="preserve">: </w:t>
      </w:r>
      <w:r>
        <w:t>Priority population groups</w:t>
      </w:r>
      <w:r w:rsidR="00837907">
        <w:t xml:space="preserve"> of children and young people</w:t>
      </w:r>
      <w:r>
        <w:t xml:space="preserve">  </w:t>
      </w:r>
    </w:p>
    <w:tbl>
      <w:tblPr>
        <w:tblStyle w:val="ListTable5Dark-Accent51"/>
        <w:tblW w:w="5000" w:type="pct"/>
        <w:tblBorders>
          <w:top w:val="none" w:sz="0" w:space="0" w:color="auto"/>
          <w:left w:val="single" w:sz="24" w:space="0" w:color="288843"/>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Caption w:val="Priority population groups of children and young people"/>
        <w:tblDescription w:val="This table describes the priority population groups and selected health and wellbeing indicators for each priority group."/>
      </w:tblPr>
      <w:tblGrid>
        <w:gridCol w:w="2005"/>
        <w:gridCol w:w="7850"/>
      </w:tblGrid>
      <w:tr w:rsidR="002443E0" w:rsidRPr="00E64AF9" w14:paraId="11E0E7DB" w14:textId="77777777" w:rsidTr="001C2712">
        <w:trPr>
          <w:cnfStyle w:val="100000000000" w:firstRow="1" w:lastRow="0" w:firstColumn="0" w:lastColumn="0" w:oddVBand="0" w:evenVBand="0" w:oddHBand="0" w:evenHBand="0" w:firstRowFirstColumn="0" w:firstRowLastColumn="0" w:lastRowFirstColumn="0" w:lastRowLastColumn="0"/>
          <w:trHeight w:val="15"/>
          <w:tblHeader/>
        </w:trPr>
        <w:tc>
          <w:tcPr>
            <w:cnfStyle w:val="001000000100" w:firstRow="0" w:lastRow="0" w:firstColumn="1" w:lastColumn="0" w:oddVBand="0" w:evenVBand="0" w:oddHBand="0" w:evenHBand="0" w:firstRowFirstColumn="1" w:firstRowLastColumn="0" w:lastRowFirstColumn="0" w:lastRowLastColumn="0"/>
            <w:tcW w:w="1017" w:type="pct"/>
            <w:shd w:val="clear" w:color="auto" w:fill="A6A6A6" w:themeFill="background1" w:themeFillShade="A6"/>
            <w:vAlign w:val="center"/>
          </w:tcPr>
          <w:p w14:paraId="226EBB40" w14:textId="77777777" w:rsidR="002443E0" w:rsidRPr="00E64AF9" w:rsidRDefault="002443E0" w:rsidP="001C2712">
            <w:pPr>
              <w:spacing w:before="0" w:after="0"/>
              <w:jc w:val="center"/>
              <w:rPr>
                <w:rFonts w:cstheme="minorHAnsi"/>
                <w:bCs w:val="0"/>
                <w:color w:val="auto"/>
                <w:sz w:val="20"/>
                <w:szCs w:val="18"/>
                <w:lang w:eastAsia="en-AU"/>
              </w:rPr>
            </w:pPr>
            <w:r w:rsidRPr="00E64AF9">
              <w:rPr>
                <w:rFonts w:cstheme="minorHAnsi"/>
                <w:bCs w:val="0"/>
                <w:color w:val="auto"/>
                <w:sz w:val="20"/>
                <w:szCs w:val="18"/>
                <w:lang w:eastAsia="en-AU"/>
              </w:rPr>
              <w:t>Priority Group</w:t>
            </w:r>
          </w:p>
        </w:tc>
        <w:tc>
          <w:tcPr>
            <w:tcW w:w="3983" w:type="pct"/>
            <w:shd w:val="clear" w:color="auto" w:fill="A6A6A6" w:themeFill="background1" w:themeFillShade="A6"/>
            <w:vAlign w:val="center"/>
          </w:tcPr>
          <w:p w14:paraId="0D124B56" w14:textId="77777777" w:rsidR="002443E0" w:rsidRPr="00E64AF9" w:rsidRDefault="002443E0" w:rsidP="001C2712">
            <w:pPr>
              <w:tabs>
                <w:tab w:val="left" w:pos="259"/>
              </w:tabs>
              <w:spacing w:before="60" w:after="60"/>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18"/>
              </w:rPr>
            </w:pPr>
            <w:r w:rsidRPr="00E64AF9">
              <w:rPr>
                <w:rFonts w:cstheme="minorHAnsi"/>
                <w:color w:val="auto"/>
                <w:sz w:val="20"/>
                <w:szCs w:val="18"/>
              </w:rPr>
              <w:t>Select Health</w:t>
            </w:r>
            <w:r>
              <w:rPr>
                <w:rFonts w:cstheme="minorHAnsi"/>
                <w:color w:val="auto"/>
                <w:sz w:val="20"/>
                <w:szCs w:val="18"/>
              </w:rPr>
              <w:t xml:space="preserve"> and Wellbeing</w:t>
            </w:r>
            <w:r w:rsidRPr="00E64AF9">
              <w:rPr>
                <w:rFonts w:cstheme="minorHAnsi"/>
                <w:color w:val="auto"/>
                <w:sz w:val="20"/>
                <w:szCs w:val="18"/>
              </w:rPr>
              <w:t xml:space="preserve"> Indicators</w:t>
            </w:r>
          </w:p>
        </w:tc>
      </w:tr>
      <w:tr w:rsidR="002443E0" w:rsidRPr="00AF31C6" w14:paraId="45EE4916" w14:textId="77777777" w:rsidTr="001C2712">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7C2B6637"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bCs w:val="0"/>
                <w:color w:val="1C8243"/>
                <w:sz w:val="16"/>
                <w:szCs w:val="16"/>
                <w:lang w:eastAsia="en-AU"/>
              </w:rPr>
              <w:t>Children and young people from rural and remote areas</w:t>
            </w:r>
          </w:p>
        </w:tc>
        <w:tc>
          <w:tcPr>
            <w:tcW w:w="3983" w:type="pct"/>
            <w:shd w:val="clear" w:color="auto" w:fill="F2F2F2" w:themeFill="background1" w:themeFillShade="F2"/>
          </w:tcPr>
          <w:p w14:paraId="27FD4BE3"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595959" w:themeColor="text1" w:themeTint="A6"/>
                <w:sz w:val="16"/>
                <w:szCs w:val="16"/>
              </w:rPr>
            </w:pPr>
            <w:r w:rsidRPr="00AF31C6">
              <w:rPr>
                <w:rFonts w:asciiTheme="minorHAnsi" w:hAnsiTheme="minorHAnsi" w:cstheme="minorHAnsi"/>
                <w:b/>
                <w:bCs/>
                <w:color w:val="595959" w:themeColor="text1" w:themeTint="A6"/>
                <w:sz w:val="16"/>
                <w:szCs w:val="16"/>
              </w:rPr>
              <w:t xml:space="preserve">People living in rural areas have shorter lives and higher levels of illness and disease risk factors than those in major cities. Key determinants </w:t>
            </w:r>
            <w:r>
              <w:rPr>
                <w:rFonts w:asciiTheme="minorHAnsi" w:hAnsiTheme="minorHAnsi" w:cstheme="minorHAnsi"/>
                <w:b/>
                <w:bCs/>
                <w:color w:val="595959" w:themeColor="text1" w:themeTint="A6"/>
                <w:sz w:val="16"/>
                <w:szCs w:val="16"/>
              </w:rPr>
              <w:t>for this are</w:t>
            </w:r>
            <w:r w:rsidRPr="00AF31C6">
              <w:rPr>
                <w:rFonts w:asciiTheme="minorHAnsi" w:hAnsiTheme="minorHAnsi" w:cstheme="minorHAnsi"/>
                <w:b/>
                <w:bCs/>
                <w:color w:val="595959" w:themeColor="text1" w:themeTint="A6"/>
                <w:sz w:val="16"/>
                <w:szCs w:val="16"/>
              </w:rPr>
              <w:t xml:space="preserve"> poorer access to goods and services, </w:t>
            </w:r>
            <w:r>
              <w:rPr>
                <w:rFonts w:asciiTheme="minorHAnsi" w:hAnsiTheme="minorHAnsi" w:cstheme="minorHAnsi"/>
                <w:b/>
                <w:bCs/>
                <w:color w:val="595959" w:themeColor="text1" w:themeTint="A6"/>
                <w:sz w:val="16"/>
                <w:szCs w:val="16"/>
              </w:rPr>
              <w:t xml:space="preserve">fewer </w:t>
            </w:r>
            <w:r w:rsidRPr="00AF31C6">
              <w:rPr>
                <w:rFonts w:asciiTheme="minorHAnsi" w:hAnsiTheme="minorHAnsi" w:cstheme="minorHAnsi"/>
                <w:b/>
                <w:bCs/>
                <w:color w:val="595959" w:themeColor="text1" w:themeTint="A6"/>
                <w:sz w:val="16"/>
                <w:szCs w:val="16"/>
              </w:rPr>
              <w:t xml:space="preserve">educational and employment opportunities, </w:t>
            </w:r>
            <w:r>
              <w:rPr>
                <w:rFonts w:asciiTheme="minorHAnsi" w:hAnsiTheme="minorHAnsi" w:cstheme="minorHAnsi"/>
                <w:b/>
                <w:bCs/>
                <w:color w:val="595959" w:themeColor="text1" w:themeTint="A6"/>
                <w:sz w:val="16"/>
                <w:szCs w:val="16"/>
              </w:rPr>
              <w:t>and</w:t>
            </w:r>
            <w:r w:rsidRPr="00AF31C6">
              <w:rPr>
                <w:rFonts w:asciiTheme="minorHAnsi" w:hAnsiTheme="minorHAnsi" w:cstheme="minorHAnsi"/>
                <w:b/>
                <w:bCs/>
                <w:color w:val="595959" w:themeColor="text1" w:themeTint="A6"/>
                <w:sz w:val="16"/>
                <w:szCs w:val="16"/>
              </w:rPr>
              <w:t xml:space="preserve"> lower levels of income.</w:t>
            </w:r>
            <w:r w:rsidRPr="00AF31C6">
              <w:rPr>
                <w:rStyle w:val="EndnoteReference"/>
                <w:rFonts w:asciiTheme="minorHAnsi" w:hAnsiTheme="minorHAnsi" w:cstheme="minorHAnsi"/>
                <w:b/>
                <w:bCs/>
                <w:color w:val="595959" w:themeColor="text1" w:themeTint="A6"/>
                <w:sz w:val="16"/>
                <w:szCs w:val="16"/>
              </w:rPr>
              <w:endnoteReference w:id="40"/>
            </w:r>
          </w:p>
          <w:p w14:paraId="3B54F957"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595959" w:themeColor="text1" w:themeTint="A6"/>
                <w:sz w:val="16"/>
                <w:szCs w:val="16"/>
              </w:rPr>
            </w:pPr>
            <w:r w:rsidRPr="00AF31C6">
              <w:rPr>
                <w:rFonts w:asciiTheme="minorHAnsi" w:hAnsiTheme="minorHAnsi" w:cstheme="minorHAnsi"/>
                <w:b/>
                <w:bCs/>
                <w:color w:val="595959" w:themeColor="text1" w:themeTint="A6"/>
                <w:sz w:val="16"/>
                <w:szCs w:val="16"/>
              </w:rPr>
              <w:t>People living in rural and remote areas have higher rates of chronic disease and mortality, have poorer access to health services, are more likely to engage in behaviours associated with poorer health, and are over-represented in the child protection and youth justice sectors.</w:t>
            </w:r>
            <w:r w:rsidRPr="00AF31C6">
              <w:rPr>
                <w:rStyle w:val="EndnoteReference"/>
                <w:rFonts w:asciiTheme="minorHAnsi" w:hAnsiTheme="minorHAnsi" w:cstheme="minorHAnsi"/>
                <w:b/>
                <w:bCs/>
                <w:color w:val="595959" w:themeColor="text1" w:themeTint="A6"/>
                <w:sz w:val="16"/>
                <w:szCs w:val="16"/>
              </w:rPr>
              <w:endnoteReference w:id="41"/>
            </w:r>
          </w:p>
        </w:tc>
      </w:tr>
      <w:tr w:rsidR="002443E0" w:rsidRPr="00AF31C6" w14:paraId="4D3F8BFF" w14:textId="77777777" w:rsidTr="001C2712">
        <w:trPr>
          <w:trHeight w:val="1331"/>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61769999"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bCs w:val="0"/>
                <w:color w:val="1C8243"/>
                <w:sz w:val="16"/>
                <w:szCs w:val="16"/>
                <w:lang w:eastAsia="en-AU"/>
              </w:rPr>
              <w:t xml:space="preserve">Aboriginal </w:t>
            </w:r>
            <w:r>
              <w:rPr>
                <w:rFonts w:cstheme="minorHAnsi"/>
                <w:b w:val="0"/>
                <w:bCs w:val="0"/>
                <w:color w:val="1C8243"/>
                <w:sz w:val="16"/>
                <w:szCs w:val="16"/>
                <w:lang w:eastAsia="en-AU"/>
              </w:rPr>
              <w:t>and</w:t>
            </w:r>
            <w:r w:rsidRPr="00AF31C6">
              <w:rPr>
                <w:rFonts w:cstheme="minorHAnsi"/>
                <w:b w:val="0"/>
                <w:bCs w:val="0"/>
                <w:color w:val="1C8243"/>
                <w:sz w:val="16"/>
                <w:szCs w:val="16"/>
                <w:lang w:eastAsia="en-AU"/>
              </w:rPr>
              <w:t xml:space="preserve"> Torres Strait Islander children and young people</w:t>
            </w:r>
          </w:p>
        </w:tc>
        <w:tc>
          <w:tcPr>
            <w:tcW w:w="3983" w:type="pct"/>
            <w:shd w:val="clear" w:color="auto" w:fill="F2F2F2" w:themeFill="background1" w:themeFillShade="F2"/>
          </w:tcPr>
          <w:p w14:paraId="1DEF5CCC" w14:textId="77777777" w:rsidR="002443E0" w:rsidRPr="00AF31C6" w:rsidRDefault="002443E0" w:rsidP="001C2712">
            <w:pPr>
              <w:pStyle w:val="ListParagraph"/>
              <w:numPr>
                <w:ilvl w:val="0"/>
                <w:numId w:val="14"/>
              </w:numPr>
              <w:tabs>
                <w:tab w:val="left" w:pos="259"/>
              </w:tabs>
              <w:spacing w:before="60" w:after="60"/>
              <w:ind w:left="255" w:hanging="255"/>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Aboriginal and Torres Strait Islander children and young people are more likely to experience poorer health and health outcomes than their non-Indigenous counterparts. For instance, when compared to their non-Indigenous counterparts</w:t>
            </w:r>
            <w:r>
              <w:rPr>
                <w:rFonts w:asciiTheme="minorHAnsi" w:hAnsiTheme="minorHAnsi" w:cstheme="minorHAnsi"/>
                <w:b/>
                <w:color w:val="595959" w:themeColor="text1" w:themeTint="A6"/>
                <w:sz w:val="16"/>
                <w:szCs w:val="16"/>
              </w:rPr>
              <w:t>,</w:t>
            </w:r>
            <w:r w:rsidRPr="00AF31C6">
              <w:rPr>
                <w:rFonts w:asciiTheme="minorHAnsi" w:hAnsiTheme="minorHAnsi" w:cstheme="minorHAnsi"/>
                <w:b/>
                <w:color w:val="595959" w:themeColor="text1" w:themeTint="A6"/>
                <w:sz w:val="16"/>
                <w:szCs w:val="16"/>
              </w:rPr>
              <w:t xml:space="preserve"> Indigenous children and young people are: </w:t>
            </w:r>
          </w:p>
          <w:p w14:paraId="02C7CC43" w14:textId="77777777" w:rsidR="002443E0" w:rsidRPr="00AF31C6" w:rsidRDefault="002443E0" w:rsidP="001C2712">
            <w:pPr>
              <w:pStyle w:val="ListParagraph"/>
              <w:numPr>
                <w:ilvl w:val="0"/>
                <w:numId w:val="13"/>
              </w:numPr>
              <w:tabs>
                <w:tab w:val="left" w:pos="607"/>
              </w:tabs>
              <w:spacing w:before="60" w:after="60"/>
              <w:ind w:left="607"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twice as likely to be developmentally vulnerable in one or more areas; </w:t>
            </w:r>
          </w:p>
          <w:p w14:paraId="45F3EB20" w14:textId="77777777" w:rsidR="002443E0" w:rsidRPr="00AF31C6" w:rsidRDefault="002443E0" w:rsidP="001C2712">
            <w:pPr>
              <w:pStyle w:val="ListParagraph"/>
              <w:numPr>
                <w:ilvl w:val="0"/>
                <w:numId w:val="13"/>
              </w:numPr>
              <w:tabs>
                <w:tab w:val="left" w:pos="607"/>
              </w:tabs>
              <w:spacing w:before="60" w:after="60"/>
              <w:ind w:left="607"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consistently and significantly over-represented in child protection and youth justice; </w:t>
            </w:r>
          </w:p>
          <w:p w14:paraId="398FFABA" w14:textId="77777777" w:rsidR="002443E0" w:rsidRPr="00AF31C6" w:rsidRDefault="002443E0" w:rsidP="001C2712">
            <w:pPr>
              <w:pStyle w:val="ListParagraph"/>
              <w:numPr>
                <w:ilvl w:val="0"/>
                <w:numId w:val="13"/>
              </w:numPr>
              <w:tabs>
                <w:tab w:val="left" w:pos="607"/>
              </w:tabs>
              <w:spacing w:before="60" w:after="60"/>
              <w:ind w:left="607"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nine times as likely to be in out-of-home care; </w:t>
            </w:r>
          </w:p>
          <w:p w14:paraId="639282B7" w14:textId="77777777" w:rsidR="002443E0" w:rsidRPr="00AF31C6" w:rsidRDefault="002443E0" w:rsidP="001C2712">
            <w:pPr>
              <w:pStyle w:val="ListParagraph"/>
              <w:numPr>
                <w:ilvl w:val="0"/>
                <w:numId w:val="13"/>
              </w:numPr>
              <w:tabs>
                <w:tab w:val="left" w:pos="607"/>
              </w:tabs>
              <w:spacing w:before="60" w:after="60"/>
              <w:ind w:left="607"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1.6 times as likely to be obese; and </w:t>
            </w:r>
          </w:p>
          <w:p w14:paraId="06AD9BD2" w14:textId="77777777" w:rsidR="002443E0" w:rsidRPr="00AF31C6" w:rsidRDefault="002443E0" w:rsidP="001C2712">
            <w:pPr>
              <w:pStyle w:val="ListParagraph"/>
              <w:numPr>
                <w:ilvl w:val="0"/>
                <w:numId w:val="13"/>
              </w:numPr>
              <w:tabs>
                <w:tab w:val="left" w:pos="607"/>
              </w:tabs>
              <w:spacing w:before="60" w:after="60"/>
              <w:ind w:left="607" w:hanging="284"/>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less likely to have ever received breastmilk.</w:t>
            </w:r>
            <w:r w:rsidRPr="00AF31C6">
              <w:rPr>
                <w:rStyle w:val="EndnoteReference"/>
                <w:rFonts w:asciiTheme="minorHAnsi" w:hAnsiTheme="minorHAnsi" w:cstheme="minorHAnsi"/>
                <w:b/>
                <w:color w:val="595959" w:themeColor="text1" w:themeTint="A6"/>
                <w:sz w:val="16"/>
                <w:szCs w:val="16"/>
              </w:rPr>
              <w:endnoteReference w:id="42"/>
            </w:r>
          </w:p>
        </w:tc>
      </w:tr>
      <w:tr w:rsidR="002443E0" w:rsidRPr="00EB6B9E" w14:paraId="573DE8E9" w14:textId="77777777" w:rsidTr="001C2712">
        <w:trPr>
          <w:cnfStyle w:val="000000100000" w:firstRow="0" w:lastRow="0" w:firstColumn="0" w:lastColumn="0" w:oddVBand="0" w:evenVBand="0" w:oddHBand="1" w:evenHBand="0" w:firstRowFirstColumn="0" w:firstRowLastColumn="0" w:lastRowFirstColumn="0" w:lastRowLastColumn="0"/>
          <w:trHeight w:val="1843"/>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19EAA522"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bCs w:val="0"/>
                <w:color w:val="1C8243"/>
                <w:sz w:val="16"/>
                <w:szCs w:val="16"/>
                <w:lang w:eastAsia="en-AU"/>
              </w:rPr>
              <w:t xml:space="preserve">Children and young people born into poverty </w:t>
            </w:r>
          </w:p>
        </w:tc>
        <w:tc>
          <w:tcPr>
            <w:tcW w:w="3983" w:type="pct"/>
            <w:shd w:val="clear" w:color="auto" w:fill="F2F2F2" w:themeFill="background1" w:themeFillShade="F2"/>
          </w:tcPr>
          <w:p w14:paraId="59CDC79E"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Almost one in six children and young people live below the poverty line</w:t>
            </w:r>
            <w:r w:rsidRPr="00AF31C6">
              <w:rPr>
                <w:rFonts w:asciiTheme="minorHAnsi" w:hAnsiTheme="minorHAnsi" w:cstheme="minorHAnsi"/>
                <w:b/>
                <w:color w:val="595959" w:themeColor="text1" w:themeTint="A6"/>
                <w:sz w:val="16"/>
                <w:szCs w:val="16"/>
              </w:rPr>
              <w:t>.</w:t>
            </w:r>
            <w:r>
              <w:rPr>
                <w:rStyle w:val="EndnoteReference"/>
                <w:rFonts w:asciiTheme="minorHAnsi" w:hAnsiTheme="minorHAnsi" w:cstheme="minorHAnsi"/>
                <w:b/>
                <w:color w:val="595959" w:themeColor="text1" w:themeTint="A6"/>
                <w:sz w:val="16"/>
                <w:szCs w:val="16"/>
              </w:rPr>
              <w:endnoteReference w:id="43"/>
            </w:r>
          </w:p>
          <w:p w14:paraId="466FD011"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The risk of poverty for children and young people in sole parent families is three times that for children in couple families.</w:t>
            </w:r>
            <w:r w:rsidRPr="00AF31C6">
              <w:rPr>
                <w:rStyle w:val="EndnoteReference"/>
                <w:rFonts w:asciiTheme="minorHAnsi" w:hAnsiTheme="minorHAnsi" w:cstheme="minorHAnsi"/>
                <w:b/>
                <w:color w:val="595959" w:themeColor="text1" w:themeTint="A6"/>
                <w:sz w:val="16"/>
                <w:szCs w:val="16"/>
              </w:rPr>
              <w:endnoteReference w:id="44"/>
            </w:r>
          </w:p>
          <w:p w14:paraId="4A8DE395" w14:textId="77777777" w:rsidR="002443E0" w:rsidRPr="00AF31C6" w:rsidRDefault="002443E0" w:rsidP="001C2712">
            <w:pPr>
              <w:pStyle w:val="Bullet"/>
              <w:numPr>
                <w:ilvl w:val="0"/>
                <w:numId w:val="14"/>
              </w:numPr>
              <w:tabs>
                <w:tab w:val="left" w:pos="259"/>
              </w:tabs>
              <w:spacing w:before="60" w:after="60"/>
              <w:ind w:left="256" w:hanging="256"/>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color w:val="595959" w:themeColor="text1" w:themeTint="A6"/>
                <w:sz w:val="16"/>
                <w:szCs w:val="16"/>
              </w:rPr>
            </w:pPr>
            <w:r w:rsidRPr="00AF31C6">
              <w:rPr>
                <w:rFonts w:asciiTheme="minorHAnsi" w:hAnsiTheme="minorHAnsi" w:cstheme="minorHAnsi"/>
                <w:b/>
                <w:color w:val="595959" w:themeColor="text1" w:themeTint="A6"/>
                <w:sz w:val="16"/>
                <w:szCs w:val="16"/>
              </w:rPr>
              <w:t xml:space="preserve">Low family income can increase emotional distress within a family, adversely affect parenting practices and leading to behavioural problems in children and young people. </w:t>
            </w:r>
            <w:r w:rsidRPr="00AF31C6">
              <w:rPr>
                <w:rStyle w:val="EndnoteReference"/>
                <w:rFonts w:asciiTheme="minorHAnsi" w:eastAsiaTheme="majorEastAsia" w:hAnsiTheme="minorHAnsi" w:cstheme="minorHAnsi"/>
                <w:b/>
                <w:color w:val="595959" w:themeColor="text1" w:themeTint="A6"/>
                <w:sz w:val="16"/>
                <w:szCs w:val="16"/>
              </w:rPr>
              <w:endnoteReference w:id="45"/>
            </w:r>
          </w:p>
          <w:p w14:paraId="4060A8F0" w14:textId="77777777" w:rsidR="002443E0" w:rsidRPr="00EB6B9E"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sidRPr="00E955C2">
              <w:rPr>
                <w:rFonts w:asciiTheme="minorHAnsi" w:hAnsiTheme="minorHAnsi" w:cstheme="minorHAnsi"/>
                <w:b/>
                <w:color w:val="595959" w:themeColor="text1" w:themeTint="A6"/>
                <w:sz w:val="16"/>
                <w:szCs w:val="16"/>
              </w:rPr>
              <w:t>Deprivation of basic material needs can reduce a child’s engagement in school, in turn impacting a child’s development and educational opportunities.</w:t>
            </w:r>
            <w:r w:rsidRPr="00E955C2">
              <w:rPr>
                <w:rStyle w:val="EndnoteReference"/>
                <w:rFonts w:asciiTheme="minorHAnsi" w:hAnsiTheme="minorHAnsi" w:cstheme="minorHAnsi"/>
                <w:b/>
                <w:color w:val="595959" w:themeColor="text1" w:themeTint="A6"/>
                <w:sz w:val="16"/>
                <w:szCs w:val="16"/>
              </w:rPr>
              <w:endnoteReference w:id="46"/>
            </w:r>
            <w:r w:rsidRPr="00AF31C6">
              <w:rPr>
                <w:rFonts w:asciiTheme="minorHAnsi" w:hAnsiTheme="minorHAnsi" w:cstheme="minorHAnsi"/>
                <w:b/>
                <w:color w:val="595959" w:themeColor="text1" w:themeTint="A6"/>
                <w:sz w:val="16"/>
                <w:szCs w:val="16"/>
              </w:rPr>
              <w:t xml:space="preserve">  </w:t>
            </w:r>
          </w:p>
        </w:tc>
      </w:tr>
      <w:tr w:rsidR="002443E0" w:rsidRPr="00E955C2" w14:paraId="39B6D68B" w14:textId="77777777" w:rsidTr="001C2712">
        <w:trPr>
          <w:trHeight w:val="994"/>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7D1D17CB"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bCs w:val="0"/>
                <w:color w:val="1C8243"/>
                <w:sz w:val="16"/>
                <w:szCs w:val="16"/>
                <w:lang w:eastAsia="en-AU"/>
              </w:rPr>
              <w:t>C</w:t>
            </w:r>
            <w:r w:rsidRPr="00AF31C6">
              <w:rPr>
                <w:rFonts w:cstheme="minorHAnsi"/>
                <w:b w:val="0"/>
                <w:color w:val="1C8243"/>
                <w:sz w:val="16"/>
                <w:szCs w:val="16"/>
                <w:lang w:eastAsia="en-AU"/>
              </w:rPr>
              <w:t>hildren and young people from c</w:t>
            </w:r>
            <w:r w:rsidRPr="00AF31C6">
              <w:rPr>
                <w:rFonts w:cstheme="minorHAnsi"/>
                <w:b w:val="0"/>
                <w:bCs w:val="0"/>
                <w:color w:val="1C8243"/>
                <w:sz w:val="16"/>
                <w:szCs w:val="16"/>
                <w:lang w:eastAsia="en-AU"/>
              </w:rPr>
              <w:t>ulturally and linguistically diverse backgrounds – including those from refugee and asylum seeker families</w:t>
            </w:r>
          </w:p>
        </w:tc>
        <w:tc>
          <w:tcPr>
            <w:tcW w:w="3983" w:type="pct"/>
            <w:shd w:val="clear" w:color="auto" w:fill="F2F2F2" w:themeFill="background1" w:themeFillShade="F2"/>
            <w:vAlign w:val="center"/>
          </w:tcPr>
          <w:p w14:paraId="6026CF30"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Persons from culturally </w:t>
            </w:r>
            <w:r>
              <w:rPr>
                <w:rFonts w:asciiTheme="minorHAnsi" w:hAnsiTheme="minorHAnsi" w:cstheme="minorHAnsi"/>
                <w:b/>
                <w:color w:val="595959" w:themeColor="text1" w:themeTint="A6"/>
                <w:sz w:val="16"/>
                <w:szCs w:val="16"/>
              </w:rPr>
              <w:t xml:space="preserve">and linguistically </w:t>
            </w:r>
            <w:r w:rsidRPr="00AF31C6">
              <w:rPr>
                <w:rFonts w:asciiTheme="minorHAnsi" w:hAnsiTheme="minorHAnsi" w:cstheme="minorHAnsi"/>
                <w:b/>
                <w:color w:val="595959" w:themeColor="text1" w:themeTint="A6"/>
                <w:sz w:val="16"/>
                <w:szCs w:val="16"/>
              </w:rPr>
              <w:t>diverse backgrounds experience cultural barriers when trying to access health facilities and resources.</w:t>
            </w:r>
            <w:r w:rsidRPr="00AF31C6">
              <w:rPr>
                <w:rStyle w:val="EndnoteReference"/>
                <w:rFonts w:asciiTheme="minorHAnsi" w:hAnsiTheme="minorHAnsi" w:cstheme="minorHAnsi"/>
                <w:b/>
                <w:color w:val="595959" w:themeColor="text1" w:themeTint="A6"/>
                <w:sz w:val="16"/>
                <w:szCs w:val="16"/>
              </w:rPr>
              <w:endnoteReference w:id="47"/>
            </w:r>
          </w:p>
          <w:p w14:paraId="4BE75BCC"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Around half of all humanitarian arrivals to Australia are aged less than 18 years.</w:t>
            </w:r>
            <w:r w:rsidRPr="00AF31C6">
              <w:rPr>
                <w:rStyle w:val="EndnoteReference"/>
                <w:rFonts w:asciiTheme="minorHAnsi" w:hAnsiTheme="minorHAnsi" w:cstheme="minorHAnsi"/>
                <w:b/>
                <w:color w:val="595959" w:themeColor="text1" w:themeTint="A6"/>
                <w:sz w:val="16"/>
                <w:szCs w:val="16"/>
              </w:rPr>
              <w:endnoteReference w:id="48"/>
            </w:r>
          </w:p>
          <w:p w14:paraId="05B98884" w14:textId="77777777" w:rsidR="002443E0" w:rsidRPr="00E955C2" w:rsidRDefault="002443E0" w:rsidP="001C2712">
            <w:pPr>
              <w:pStyle w:val="ListParagraph"/>
              <w:numPr>
                <w:ilvl w:val="0"/>
                <w:numId w:val="14"/>
              </w:numPr>
              <w:tabs>
                <w:tab w:val="left" w:pos="259"/>
              </w:tabs>
              <w:spacing w:before="60"/>
              <w:ind w:left="255" w:hanging="255"/>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The prolonged and cumulative stressors placed on children and young people from refugee and asylum seeker families can have lasting and negative impacts on physical and mental health of children, many of which last into adulthood.</w:t>
            </w:r>
            <w:r w:rsidRPr="00AF31C6">
              <w:rPr>
                <w:rFonts w:asciiTheme="minorHAnsi" w:hAnsiTheme="minorHAnsi" w:cstheme="minorHAnsi"/>
                <w:b/>
                <w:color w:val="595959" w:themeColor="text1" w:themeTint="A6"/>
                <w:sz w:val="16"/>
                <w:szCs w:val="16"/>
                <w:vertAlign w:val="superscript"/>
              </w:rPr>
              <w:endnoteReference w:id="49"/>
            </w:r>
            <w:r w:rsidRPr="00AF31C6">
              <w:rPr>
                <w:rFonts w:asciiTheme="minorHAnsi" w:hAnsiTheme="minorHAnsi" w:cstheme="minorHAnsi"/>
                <w:b/>
                <w:color w:val="595959" w:themeColor="text1" w:themeTint="A6"/>
                <w:sz w:val="16"/>
                <w:szCs w:val="16"/>
                <w:vertAlign w:val="superscript"/>
              </w:rPr>
              <w:t xml:space="preserve"> </w:t>
            </w:r>
            <w:r w:rsidRPr="00AF31C6">
              <w:rPr>
                <w:rFonts w:asciiTheme="minorHAnsi" w:hAnsiTheme="minorHAnsi" w:cstheme="minorHAnsi"/>
                <w:b/>
                <w:color w:val="595959" w:themeColor="text1" w:themeTint="A6"/>
                <w:sz w:val="16"/>
                <w:szCs w:val="16"/>
                <w:vertAlign w:val="superscript"/>
              </w:rPr>
              <w:endnoteReference w:id="50"/>
            </w:r>
          </w:p>
        </w:tc>
      </w:tr>
      <w:tr w:rsidR="002443E0" w:rsidRPr="00AF31C6" w14:paraId="54D48A09" w14:textId="77777777" w:rsidTr="001C2712">
        <w:trPr>
          <w:cnfStyle w:val="000000100000" w:firstRow="0" w:lastRow="0" w:firstColumn="0" w:lastColumn="0" w:oddVBand="0" w:evenVBand="0" w:oddHBand="1" w:evenHBand="0" w:firstRowFirstColumn="0" w:firstRowLastColumn="0" w:lastRowFirstColumn="0" w:lastRowLastColumn="0"/>
          <w:trHeight w:val="902"/>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36515AE1"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color w:val="1C8243"/>
                <w:sz w:val="16"/>
                <w:szCs w:val="16"/>
                <w:lang w:eastAsia="en-AU"/>
              </w:rPr>
              <w:t>Children and young people living with disability</w:t>
            </w:r>
            <w:r>
              <w:rPr>
                <w:rFonts w:cstheme="minorHAnsi"/>
                <w:b w:val="0"/>
                <w:color w:val="1C8243"/>
                <w:sz w:val="16"/>
                <w:szCs w:val="16"/>
                <w:lang w:eastAsia="en-AU"/>
              </w:rPr>
              <w:t xml:space="preserve"> and chronic conditions</w:t>
            </w:r>
          </w:p>
        </w:tc>
        <w:tc>
          <w:tcPr>
            <w:tcW w:w="3983" w:type="pct"/>
            <w:shd w:val="clear" w:color="auto" w:fill="F2F2F2" w:themeFill="background1" w:themeFillShade="F2"/>
            <w:vAlign w:val="center"/>
          </w:tcPr>
          <w:p w14:paraId="6A182F0B" w14:textId="77777777" w:rsidR="002443E0"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Children and young people living with disability are more likely to be deprived across multiple wellbeing domains, most commonly health, education and participation.</w:t>
            </w:r>
            <w:r w:rsidRPr="00AF31C6">
              <w:rPr>
                <w:rStyle w:val="EndnoteReference"/>
                <w:rFonts w:asciiTheme="minorHAnsi" w:hAnsiTheme="minorHAnsi" w:cstheme="minorHAnsi"/>
                <w:b/>
                <w:color w:val="595959" w:themeColor="text1" w:themeTint="A6"/>
                <w:sz w:val="16"/>
                <w:szCs w:val="16"/>
              </w:rPr>
              <w:endnoteReference w:id="51"/>
            </w:r>
          </w:p>
          <w:p w14:paraId="3CD1B9E0" w14:textId="77777777" w:rsidR="002443E0"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Approximately 85% of children and young people with a disability attend mainstream schools, however more than 75% of school principals report not having enough resources to meet the needs of students with a disability.</w:t>
            </w:r>
            <w:r w:rsidRPr="00AF31C6">
              <w:rPr>
                <w:rStyle w:val="EndnoteReference"/>
                <w:rFonts w:asciiTheme="minorHAnsi" w:hAnsiTheme="minorHAnsi" w:cstheme="minorHAnsi"/>
                <w:b/>
                <w:color w:val="595959" w:themeColor="text1" w:themeTint="A6"/>
                <w:sz w:val="16"/>
                <w:szCs w:val="16"/>
              </w:rPr>
              <w:endnoteReference w:id="52"/>
            </w:r>
          </w:p>
        </w:tc>
      </w:tr>
      <w:tr w:rsidR="002443E0" w:rsidRPr="00AF31C6" w14:paraId="2047B982" w14:textId="77777777" w:rsidTr="001C2712">
        <w:trPr>
          <w:trHeight w:val="902"/>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78C055EE" w14:textId="77777777" w:rsidR="002443E0" w:rsidRPr="00AF31C6" w:rsidRDefault="002443E0" w:rsidP="001C2712">
            <w:pPr>
              <w:spacing w:before="0" w:after="0"/>
              <w:jc w:val="center"/>
              <w:rPr>
                <w:rFonts w:cstheme="minorHAnsi"/>
                <w:b w:val="0"/>
                <w:color w:val="1C8243"/>
                <w:sz w:val="16"/>
                <w:szCs w:val="16"/>
                <w:lang w:eastAsia="en-AU"/>
              </w:rPr>
            </w:pPr>
            <w:r w:rsidRPr="00AF31C6">
              <w:rPr>
                <w:rFonts w:cstheme="minorHAnsi"/>
                <w:b w:val="0"/>
                <w:bCs w:val="0"/>
                <w:color w:val="1C8243"/>
                <w:sz w:val="16"/>
                <w:szCs w:val="16"/>
                <w:lang w:eastAsia="en-AU"/>
              </w:rPr>
              <w:t>C</w:t>
            </w:r>
            <w:r w:rsidRPr="00AF31C6">
              <w:rPr>
                <w:rFonts w:cstheme="minorHAnsi"/>
                <w:b w:val="0"/>
                <w:color w:val="1C8243"/>
                <w:sz w:val="16"/>
                <w:szCs w:val="16"/>
                <w:lang w:eastAsia="en-AU"/>
              </w:rPr>
              <w:t>hildren and young people who experience violence and/or abuse</w:t>
            </w:r>
          </w:p>
        </w:tc>
        <w:tc>
          <w:tcPr>
            <w:tcW w:w="3983" w:type="pct"/>
            <w:shd w:val="clear" w:color="auto" w:fill="F2F2F2" w:themeFill="background1" w:themeFillShade="F2"/>
            <w:vAlign w:val="center"/>
          </w:tcPr>
          <w:p w14:paraId="05AD836D"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1 in 8</w:t>
            </w:r>
            <w:r w:rsidRPr="00AF31C6">
              <w:rPr>
                <w:rFonts w:asciiTheme="minorHAnsi" w:hAnsiTheme="minorHAnsi" w:cstheme="minorHAnsi"/>
                <w:b/>
                <w:color w:val="595959" w:themeColor="text1" w:themeTint="A6"/>
                <w:sz w:val="16"/>
                <w:szCs w:val="16"/>
              </w:rPr>
              <w:t xml:space="preserve"> Australian</w:t>
            </w:r>
            <w:r>
              <w:rPr>
                <w:rFonts w:asciiTheme="minorHAnsi" w:hAnsiTheme="minorHAnsi" w:cstheme="minorHAnsi"/>
                <w:b/>
                <w:color w:val="595959" w:themeColor="text1" w:themeTint="A6"/>
                <w:sz w:val="16"/>
                <w:szCs w:val="16"/>
              </w:rPr>
              <w:t xml:space="preserve"> adults </w:t>
            </w:r>
            <w:r w:rsidRPr="00AF31C6">
              <w:rPr>
                <w:rFonts w:asciiTheme="minorHAnsi" w:hAnsiTheme="minorHAnsi" w:cstheme="minorHAnsi"/>
                <w:b/>
                <w:color w:val="595959" w:themeColor="text1" w:themeTint="A6"/>
                <w:sz w:val="16"/>
                <w:szCs w:val="16"/>
              </w:rPr>
              <w:t>experienced physical and/or sexual abuse before the age of 15.</w:t>
            </w:r>
            <w:r>
              <w:rPr>
                <w:rStyle w:val="EndnoteReference"/>
                <w:rFonts w:asciiTheme="minorHAnsi" w:hAnsiTheme="minorHAnsi" w:cstheme="minorHAnsi"/>
                <w:b/>
                <w:color w:val="595959" w:themeColor="text1" w:themeTint="A6"/>
                <w:sz w:val="16"/>
                <w:szCs w:val="16"/>
              </w:rPr>
              <w:endnoteReference w:id="53"/>
            </w:r>
          </w:p>
          <w:p w14:paraId="6C9798BA"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I</w:t>
            </w:r>
            <w:r w:rsidRPr="00AF31C6">
              <w:rPr>
                <w:rFonts w:asciiTheme="minorHAnsi" w:hAnsiTheme="minorHAnsi" w:cstheme="minorHAnsi"/>
                <w:b/>
                <w:color w:val="595959" w:themeColor="text1" w:themeTint="A6"/>
                <w:sz w:val="16"/>
                <w:szCs w:val="16"/>
              </w:rPr>
              <w:t>n 2016–2017 there were 67,968 substantiations of child abuse and neglect, a 27% increase since 2012–2013. This include</w:t>
            </w:r>
            <w:r>
              <w:rPr>
                <w:rFonts w:asciiTheme="minorHAnsi" w:hAnsiTheme="minorHAnsi" w:cstheme="minorHAnsi"/>
                <w:b/>
                <w:color w:val="595959" w:themeColor="text1" w:themeTint="A6"/>
                <w:sz w:val="16"/>
                <w:szCs w:val="16"/>
              </w:rPr>
              <w:t>d</w:t>
            </w:r>
            <w:r w:rsidRPr="00AF31C6">
              <w:rPr>
                <w:rFonts w:asciiTheme="minorHAnsi" w:hAnsiTheme="minorHAnsi" w:cstheme="minorHAnsi"/>
                <w:b/>
                <w:color w:val="595959" w:themeColor="text1" w:themeTint="A6"/>
                <w:sz w:val="16"/>
                <w:szCs w:val="16"/>
              </w:rPr>
              <w:t xml:space="preserve"> emotional abuse (48% of substantiations), neglect (24%), physical abuse (16%) and sexual abuse (12%).</w:t>
            </w:r>
            <w:r w:rsidRPr="00AF31C6">
              <w:rPr>
                <w:rFonts w:asciiTheme="minorHAnsi" w:hAnsiTheme="minorHAnsi" w:cstheme="minorHAnsi"/>
                <w:b/>
                <w:color w:val="595959" w:themeColor="text1" w:themeTint="A6"/>
                <w:sz w:val="16"/>
                <w:szCs w:val="16"/>
                <w:vertAlign w:val="superscript"/>
              </w:rPr>
              <w:endnoteReference w:id="54"/>
            </w:r>
          </w:p>
          <w:p w14:paraId="0ECB1740"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Between</w:t>
            </w:r>
            <w:r w:rsidRPr="00AF31C6">
              <w:rPr>
                <w:rFonts w:asciiTheme="minorHAnsi" w:hAnsiTheme="minorHAnsi" w:cstheme="minorHAnsi"/>
                <w:b/>
                <w:color w:val="595959" w:themeColor="text1" w:themeTint="A6"/>
                <w:sz w:val="16"/>
                <w:szCs w:val="16"/>
              </w:rPr>
              <w:t xml:space="preserve"> 2002-2012, family violence resulted in 238 cases of children and young people being killed by their parents.</w:t>
            </w:r>
            <w:r w:rsidRPr="00AF31C6">
              <w:rPr>
                <w:rFonts w:asciiTheme="minorHAnsi" w:hAnsiTheme="minorHAnsi" w:cstheme="minorHAnsi"/>
                <w:b/>
                <w:color w:val="595959" w:themeColor="text1" w:themeTint="A6"/>
                <w:sz w:val="16"/>
                <w:szCs w:val="16"/>
                <w:vertAlign w:val="superscript"/>
              </w:rPr>
              <w:endnoteReference w:id="55"/>
            </w:r>
          </w:p>
        </w:tc>
      </w:tr>
      <w:tr w:rsidR="002443E0" w:rsidRPr="00AF31C6" w14:paraId="28A16AD6" w14:textId="77777777" w:rsidTr="001C2712">
        <w:trPr>
          <w:cnfStyle w:val="000000100000" w:firstRow="0" w:lastRow="0" w:firstColumn="0" w:lastColumn="0" w:oddVBand="0" w:evenVBand="0" w:oddHBand="1"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7AA48019"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bCs w:val="0"/>
                <w:color w:val="1C8243"/>
                <w:sz w:val="16"/>
                <w:szCs w:val="16"/>
                <w:lang w:eastAsia="en-AU"/>
              </w:rPr>
              <w:t>C</w:t>
            </w:r>
            <w:r w:rsidRPr="00AF31C6">
              <w:rPr>
                <w:rFonts w:cstheme="minorHAnsi"/>
                <w:b w:val="0"/>
                <w:color w:val="1C8243"/>
                <w:sz w:val="16"/>
                <w:szCs w:val="16"/>
                <w:lang w:eastAsia="en-AU"/>
              </w:rPr>
              <w:t>hildren and young people living in out of home care</w:t>
            </w:r>
          </w:p>
        </w:tc>
        <w:tc>
          <w:tcPr>
            <w:tcW w:w="3983" w:type="pct"/>
            <w:shd w:val="clear" w:color="auto" w:fill="F2F2F2" w:themeFill="background1" w:themeFillShade="F2"/>
            <w:vAlign w:val="center"/>
          </w:tcPr>
          <w:p w14:paraId="13D3310D"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The number of children and young people living in out of home care has risen every year over the past five years, </w:t>
            </w:r>
            <w:r>
              <w:rPr>
                <w:rFonts w:asciiTheme="minorHAnsi" w:hAnsiTheme="minorHAnsi" w:cstheme="minorHAnsi"/>
                <w:b/>
                <w:color w:val="595959" w:themeColor="text1" w:themeTint="A6"/>
                <w:sz w:val="16"/>
                <w:szCs w:val="16"/>
              </w:rPr>
              <w:t>increasing</w:t>
            </w:r>
            <w:r w:rsidRPr="00AF31C6">
              <w:rPr>
                <w:rFonts w:asciiTheme="minorHAnsi" w:hAnsiTheme="minorHAnsi" w:cstheme="minorHAnsi"/>
                <w:b/>
                <w:color w:val="595959" w:themeColor="text1" w:themeTint="A6"/>
                <w:sz w:val="16"/>
                <w:szCs w:val="16"/>
              </w:rPr>
              <w:t xml:space="preserve"> by 7,366 (18%) from 30 June 2013 to 30 June 2017. </w:t>
            </w:r>
            <w:r w:rsidRPr="00AF31C6">
              <w:rPr>
                <w:rStyle w:val="EndnoteReference"/>
                <w:rFonts w:asciiTheme="minorHAnsi" w:hAnsiTheme="minorHAnsi" w:cstheme="minorHAnsi"/>
                <w:b/>
                <w:color w:val="595959" w:themeColor="text1" w:themeTint="A6"/>
                <w:sz w:val="16"/>
                <w:szCs w:val="16"/>
              </w:rPr>
              <w:endnoteReference w:id="56"/>
            </w:r>
            <w:r w:rsidRPr="00AF31C6">
              <w:rPr>
                <w:rFonts w:asciiTheme="minorHAnsi" w:hAnsiTheme="minorHAnsi" w:cstheme="minorHAnsi"/>
                <w:b/>
                <w:color w:val="595959" w:themeColor="text1" w:themeTint="A6"/>
                <w:sz w:val="16"/>
                <w:szCs w:val="16"/>
                <w:vertAlign w:val="superscript"/>
              </w:rPr>
              <w:t xml:space="preserve"> </w:t>
            </w:r>
            <w:r w:rsidRPr="00AF31C6">
              <w:rPr>
                <w:rStyle w:val="EndnoteReference"/>
                <w:rFonts w:asciiTheme="minorHAnsi" w:hAnsiTheme="minorHAnsi" w:cstheme="minorHAnsi"/>
                <w:b/>
                <w:color w:val="595959" w:themeColor="text1" w:themeTint="A6"/>
                <w:sz w:val="16"/>
                <w:szCs w:val="16"/>
              </w:rPr>
              <w:endnoteReference w:id="57"/>
            </w:r>
          </w:p>
          <w:p w14:paraId="280D7DD7"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Placement instability can have significant adverse effects on children and young people. Continued instability is associated with poor educational, employment, social, psychological, behavioral and emotional outcomes. </w:t>
            </w:r>
            <w:r w:rsidRPr="00AF31C6">
              <w:rPr>
                <w:rFonts w:asciiTheme="minorHAnsi" w:hAnsiTheme="minorHAnsi" w:cstheme="minorHAnsi"/>
                <w:b/>
                <w:color w:val="595959" w:themeColor="text1" w:themeTint="A6"/>
                <w:sz w:val="16"/>
                <w:szCs w:val="16"/>
                <w:vertAlign w:val="superscript"/>
              </w:rPr>
              <w:t xml:space="preserve"> </w:t>
            </w:r>
            <w:r w:rsidRPr="00AF31C6">
              <w:rPr>
                <w:rFonts w:asciiTheme="minorHAnsi" w:hAnsiTheme="minorHAnsi" w:cstheme="minorHAnsi"/>
                <w:b/>
                <w:color w:val="595959" w:themeColor="text1" w:themeTint="A6"/>
                <w:sz w:val="16"/>
                <w:szCs w:val="16"/>
              </w:rPr>
              <w:t>Experiencing multiple placements can also affect a young person’s capacity to develop and maintain relationships.</w:t>
            </w:r>
            <w:r w:rsidRPr="00AF31C6">
              <w:rPr>
                <w:rStyle w:val="EndnoteReference"/>
                <w:rFonts w:asciiTheme="minorHAnsi" w:hAnsiTheme="minorHAnsi" w:cstheme="minorHAnsi"/>
                <w:b/>
                <w:color w:val="595959" w:themeColor="text1" w:themeTint="A6"/>
                <w:sz w:val="16"/>
                <w:szCs w:val="16"/>
              </w:rPr>
              <w:t xml:space="preserve"> </w:t>
            </w:r>
            <w:r w:rsidRPr="00AF31C6">
              <w:rPr>
                <w:rStyle w:val="EndnoteReference"/>
                <w:rFonts w:asciiTheme="minorHAnsi" w:hAnsiTheme="minorHAnsi" w:cstheme="minorHAnsi"/>
                <w:b/>
                <w:color w:val="595959" w:themeColor="text1" w:themeTint="A6"/>
                <w:sz w:val="16"/>
                <w:szCs w:val="16"/>
              </w:rPr>
              <w:endnoteReference w:id="58"/>
            </w:r>
            <w:r>
              <w:rPr>
                <w:rStyle w:val="EndnoteReference"/>
                <w:rFonts w:asciiTheme="minorHAnsi" w:hAnsiTheme="minorHAnsi" w:cstheme="minorHAnsi"/>
                <w:b/>
                <w:color w:val="595959" w:themeColor="text1" w:themeTint="A6"/>
                <w:sz w:val="16"/>
                <w:szCs w:val="16"/>
              </w:rPr>
              <w:t xml:space="preserve"> </w:t>
            </w:r>
            <w:r w:rsidRPr="00AF31C6">
              <w:rPr>
                <w:rStyle w:val="EndnoteReference"/>
                <w:rFonts w:asciiTheme="minorHAnsi" w:hAnsiTheme="minorHAnsi" w:cstheme="minorHAnsi"/>
                <w:b/>
                <w:color w:val="595959" w:themeColor="text1" w:themeTint="A6"/>
                <w:sz w:val="16"/>
                <w:szCs w:val="16"/>
              </w:rPr>
              <w:endnoteReference w:id="59"/>
            </w:r>
          </w:p>
        </w:tc>
      </w:tr>
      <w:tr w:rsidR="002443E0" w:rsidRPr="00E955C2" w14:paraId="45BE4E29" w14:textId="77777777" w:rsidTr="001C2712">
        <w:trPr>
          <w:trHeight w:val="251"/>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538C6364" w14:textId="77777777" w:rsidR="002443E0" w:rsidRPr="00AF31C6" w:rsidRDefault="002443E0" w:rsidP="001C2712">
            <w:pPr>
              <w:spacing w:before="0" w:after="0"/>
              <w:jc w:val="center"/>
              <w:rPr>
                <w:rFonts w:cstheme="minorHAnsi"/>
                <w:b w:val="0"/>
                <w:bCs w:val="0"/>
                <w:color w:val="1C8243"/>
                <w:sz w:val="16"/>
                <w:szCs w:val="16"/>
                <w:lang w:eastAsia="en-AU"/>
              </w:rPr>
            </w:pPr>
            <w:r w:rsidRPr="00AF31C6">
              <w:rPr>
                <w:rFonts w:cstheme="minorHAnsi"/>
                <w:b w:val="0"/>
                <w:bCs w:val="0"/>
                <w:color w:val="1C8243"/>
                <w:sz w:val="16"/>
                <w:szCs w:val="16"/>
                <w:lang w:eastAsia="en-AU"/>
              </w:rPr>
              <w:t>Incarcerated children and young people</w:t>
            </w:r>
          </w:p>
        </w:tc>
        <w:tc>
          <w:tcPr>
            <w:tcW w:w="3983" w:type="pct"/>
            <w:shd w:val="clear" w:color="auto" w:fill="F2F2F2" w:themeFill="background1" w:themeFillShade="F2"/>
            <w:vAlign w:val="center"/>
          </w:tcPr>
          <w:p w14:paraId="4BCDD063"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People involved</w:t>
            </w:r>
            <w:r w:rsidRPr="00AF31C6">
              <w:rPr>
                <w:rFonts w:asciiTheme="minorHAnsi" w:hAnsiTheme="minorHAnsi" w:cstheme="minorHAnsi"/>
                <w:b/>
                <w:color w:val="595959" w:themeColor="text1" w:themeTint="A6"/>
                <w:sz w:val="16"/>
                <w:szCs w:val="16"/>
              </w:rPr>
              <w:t xml:space="preserve"> in the justice system </w:t>
            </w:r>
            <w:r>
              <w:rPr>
                <w:rFonts w:asciiTheme="minorHAnsi" w:hAnsiTheme="minorHAnsi" w:cstheme="minorHAnsi"/>
                <w:b/>
                <w:color w:val="595959" w:themeColor="text1" w:themeTint="A6"/>
                <w:sz w:val="16"/>
                <w:szCs w:val="16"/>
              </w:rPr>
              <w:t>often have</w:t>
            </w:r>
            <w:r w:rsidRPr="00AF31C6">
              <w:rPr>
                <w:rFonts w:asciiTheme="minorHAnsi" w:hAnsiTheme="minorHAnsi" w:cstheme="minorHAnsi"/>
                <w:b/>
                <w:color w:val="595959" w:themeColor="text1" w:themeTint="A6"/>
                <w:sz w:val="16"/>
                <w:szCs w:val="16"/>
              </w:rPr>
              <w:t xml:space="preserve"> significant and complex health needs. Compounding this is the over-representation of other already vulnerable groups, such as Indigenous Australians, within this population.</w:t>
            </w:r>
            <w:r w:rsidRPr="00AF31C6">
              <w:rPr>
                <w:rFonts w:asciiTheme="minorHAnsi" w:hAnsiTheme="minorHAnsi" w:cstheme="minorHAnsi"/>
                <w:b/>
                <w:color w:val="595959" w:themeColor="text1" w:themeTint="A6"/>
                <w:sz w:val="16"/>
                <w:szCs w:val="16"/>
                <w:vertAlign w:val="superscript"/>
              </w:rPr>
              <w:endnoteReference w:id="60"/>
            </w:r>
          </w:p>
          <w:p w14:paraId="31C056BC" w14:textId="77777777" w:rsidR="002443E0" w:rsidRPr="00AF31C6"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 xml:space="preserve">Those in youth justice </w:t>
            </w:r>
            <w:r>
              <w:rPr>
                <w:rFonts w:asciiTheme="minorHAnsi" w:hAnsiTheme="minorHAnsi" w:cstheme="minorHAnsi"/>
                <w:b/>
                <w:color w:val="595959" w:themeColor="text1" w:themeTint="A6"/>
                <w:sz w:val="16"/>
                <w:szCs w:val="16"/>
              </w:rPr>
              <w:t>have</w:t>
            </w:r>
            <w:r w:rsidRPr="00AF31C6">
              <w:rPr>
                <w:rFonts w:asciiTheme="minorHAnsi" w:hAnsiTheme="minorHAnsi" w:cstheme="minorHAnsi"/>
                <w:b/>
                <w:color w:val="595959" w:themeColor="text1" w:themeTint="A6"/>
                <w:sz w:val="16"/>
                <w:szCs w:val="16"/>
              </w:rPr>
              <w:t xml:space="preserve"> increased risk </w:t>
            </w:r>
            <w:r>
              <w:rPr>
                <w:rFonts w:asciiTheme="minorHAnsi" w:hAnsiTheme="minorHAnsi" w:cstheme="minorHAnsi"/>
                <w:b/>
                <w:color w:val="595959" w:themeColor="text1" w:themeTint="A6"/>
                <w:sz w:val="16"/>
                <w:szCs w:val="16"/>
              </w:rPr>
              <w:t>of</w:t>
            </w:r>
            <w:r w:rsidRPr="00AF31C6">
              <w:rPr>
                <w:rFonts w:asciiTheme="minorHAnsi" w:hAnsiTheme="minorHAnsi" w:cstheme="minorHAnsi"/>
                <w:b/>
                <w:color w:val="595959" w:themeColor="text1" w:themeTint="A6"/>
                <w:sz w:val="16"/>
                <w:szCs w:val="16"/>
              </w:rPr>
              <w:t xml:space="preserve"> developing serious and chronic mental illness.</w:t>
            </w:r>
            <w:r w:rsidRPr="00AF31C6">
              <w:rPr>
                <w:rFonts w:asciiTheme="minorHAnsi" w:hAnsiTheme="minorHAnsi" w:cstheme="minorHAnsi"/>
                <w:b/>
                <w:color w:val="595959" w:themeColor="text1" w:themeTint="A6"/>
                <w:sz w:val="16"/>
                <w:szCs w:val="16"/>
                <w:vertAlign w:val="superscript"/>
              </w:rPr>
              <w:endnoteReference w:id="61"/>
            </w:r>
          </w:p>
          <w:p w14:paraId="3ACC2BEF" w14:textId="77777777" w:rsidR="002443E0" w:rsidRPr="00E955C2"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AF31C6">
              <w:rPr>
                <w:rFonts w:asciiTheme="minorHAnsi" w:hAnsiTheme="minorHAnsi" w:cstheme="minorHAnsi"/>
                <w:b/>
                <w:color w:val="595959" w:themeColor="text1" w:themeTint="A6"/>
                <w:sz w:val="16"/>
                <w:szCs w:val="16"/>
              </w:rPr>
              <w:t>Young people on remand have poorer mental and physical health</w:t>
            </w:r>
            <w:r>
              <w:rPr>
                <w:rFonts w:asciiTheme="minorHAnsi" w:hAnsiTheme="minorHAnsi" w:cstheme="minorHAnsi"/>
                <w:b/>
                <w:color w:val="595959" w:themeColor="text1" w:themeTint="A6"/>
                <w:sz w:val="16"/>
                <w:szCs w:val="16"/>
              </w:rPr>
              <w:t>,</w:t>
            </w:r>
            <w:r w:rsidRPr="00AF31C6">
              <w:rPr>
                <w:rFonts w:asciiTheme="minorHAnsi" w:hAnsiTheme="minorHAnsi" w:cstheme="minorHAnsi"/>
                <w:b/>
                <w:color w:val="595959" w:themeColor="text1" w:themeTint="A6"/>
                <w:sz w:val="16"/>
                <w:szCs w:val="16"/>
              </w:rPr>
              <w:t xml:space="preserve"> higher prevalence of suicidal thoughts and behaviours</w:t>
            </w:r>
            <w:r>
              <w:rPr>
                <w:rFonts w:asciiTheme="minorHAnsi" w:hAnsiTheme="minorHAnsi" w:cstheme="minorHAnsi"/>
                <w:b/>
                <w:color w:val="595959" w:themeColor="text1" w:themeTint="A6"/>
                <w:sz w:val="16"/>
                <w:szCs w:val="16"/>
              </w:rPr>
              <w:t>,</w:t>
            </w:r>
            <w:r w:rsidRPr="00AF31C6">
              <w:rPr>
                <w:rFonts w:asciiTheme="minorHAnsi" w:hAnsiTheme="minorHAnsi" w:cstheme="minorHAnsi"/>
                <w:b/>
                <w:color w:val="595959" w:themeColor="text1" w:themeTint="A6"/>
                <w:sz w:val="16"/>
                <w:szCs w:val="16"/>
              </w:rPr>
              <w:t xml:space="preserve"> greater family adversity</w:t>
            </w:r>
            <w:r>
              <w:rPr>
                <w:rFonts w:asciiTheme="minorHAnsi" w:hAnsiTheme="minorHAnsi" w:cstheme="minorHAnsi"/>
                <w:b/>
                <w:color w:val="595959" w:themeColor="text1" w:themeTint="A6"/>
                <w:sz w:val="16"/>
                <w:szCs w:val="16"/>
              </w:rPr>
              <w:t>,</w:t>
            </w:r>
            <w:r w:rsidRPr="00AF31C6">
              <w:rPr>
                <w:rFonts w:asciiTheme="minorHAnsi" w:hAnsiTheme="minorHAnsi" w:cstheme="minorHAnsi"/>
                <w:b/>
                <w:color w:val="595959" w:themeColor="text1" w:themeTint="A6"/>
                <w:sz w:val="16"/>
                <w:szCs w:val="16"/>
              </w:rPr>
              <w:t xml:space="preserve"> poorer school attendance</w:t>
            </w:r>
            <w:r>
              <w:rPr>
                <w:rFonts w:asciiTheme="minorHAnsi" w:hAnsiTheme="minorHAnsi" w:cstheme="minorHAnsi"/>
                <w:b/>
                <w:color w:val="595959" w:themeColor="text1" w:themeTint="A6"/>
                <w:sz w:val="16"/>
                <w:szCs w:val="16"/>
              </w:rPr>
              <w:t>,</w:t>
            </w:r>
            <w:r w:rsidRPr="00AF31C6">
              <w:rPr>
                <w:rFonts w:asciiTheme="minorHAnsi" w:hAnsiTheme="minorHAnsi" w:cstheme="minorHAnsi"/>
                <w:b/>
                <w:color w:val="595959" w:themeColor="text1" w:themeTint="A6"/>
                <w:sz w:val="16"/>
                <w:szCs w:val="16"/>
              </w:rPr>
              <w:t xml:space="preserve"> and emotional/behavioural problems interfering with schooling and social activities.</w:t>
            </w:r>
            <w:r w:rsidRPr="00AF31C6">
              <w:rPr>
                <w:rFonts w:asciiTheme="minorHAnsi" w:hAnsiTheme="minorHAnsi" w:cstheme="minorHAnsi"/>
                <w:b/>
                <w:color w:val="595959" w:themeColor="text1" w:themeTint="A6"/>
                <w:sz w:val="16"/>
                <w:szCs w:val="16"/>
                <w:vertAlign w:val="superscript"/>
              </w:rPr>
              <w:endnoteReference w:id="62"/>
            </w:r>
          </w:p>
        </w:tc>
      </w:tr>
      <w:tr w:rsidR="002443E0" w:rsidRPr="00E955C2" w14:paraId="6022ADC6" w14:textId="77777777" w:rsidTr="001C2712">
        <w:trPr>
          <w:cnfStyle w:val="000000100000" w:firstRow="0" w:lastRow="0" w:firstColumn="0" w:lastColumn="0" w:oddVBand="0" w:evenVBand="0" w:oddHBand="1"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30C948AC" w14:textId="77777777" w:rsidR="002443E0" w:rsidRPr="00AF31C6" w:rsidRDefault="002443E0" w:rsidP="001C2712">
            <w:pPr>
              <w:spacing w:before="0" w:after="0"/>
              <w:jc w:val="center"/>
              <w:rPr>
                <w:rFonts w:cstheme="minorHAnsi"/>
                <w:b w:val="0"/>
                <w:bCs w:val="0"/>
                <w:color w:val="1C8243"/>
                <w:sz w:val="16"/>
                <w:szCs w:val="16"/>
                <w:lang w:eastAsia="en-AU"/>
              </w:rPr>
            </w:pPr>
            <w:r>
              <w:rPr>
                <w:rFonts w:cstheme="minorHAnsi"/>
                <w:b w:val="0"/>
                <w:bCs w:val="0"/>
                <w:color w:val="1C8243"/>
                <w:sz w:val="16"/>
                <w:szCs w:val="16"/>
                <w:lang w:eastAsia="en-AU"/>
              </w:rPr>
              <w:t>Children and young people who identify as LGBTI+</w:t>
            </w:r>
          </w:p>
        </w:tc>
        <w:tc>
          <w:tcPr>
            <w:tcW w:w="3983" w:type="pct"/>
            <w:shd w:val="clear" w:color="auto" w:fill="F2F2F2" w:themeFill="background1" w:themeFillShade="F2"/>
            <w:vAlign w:val="center"/>
          </w:tcPr>
          <w:p w14:paraId="34F5B6CB" w14:textId="77777777" w:rsidR="002443E0"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 xml:space="preserve">Australians identifying as LGBTI+ </w:t>
            </w:r>
            <w:r w:rsidRPr="009D4440">
              <w:rPr>
                <w:rFonts w:asciiTheme="minorHAnsi" w:hAnsiTheme="minorHAnsi" w:cstheme="minorHAnsi"/>
                <w:b/>
                <w:color w:val="595959" w:themeColor="text1" w:themeTint="A6"/>
                <w:sz w:val="16"/>
                <w:szCs w:val="16"/>
                <w:lang w:val="en-GB"/>
              </w:rPr>
              <w:t xml:space="preserve">face </w:t>
            </w:r>
            <w:r>
              <w:rPr>
                <w:rFonts w:asciiTheme="minorHAnsi" w:hAnsiTheme="minorHAnsi" w:cstheme="minorHAnsi"/>
                <w:b/>
                <w:color w:val="595959" w:themeColor="text1" w:themeTint="A6"/>
                <w:sz w:val="16"/>
                <w:szCs w:val="16"/>
                <w:lang w:val="en-GB"/>
              </w:rPr>
              <w:t xml:space="preserve">health </w:t>
            </w:r>
            <w:r w:rsidRPr="009D4440">
              <w:rPr>
                <w:rFonts w:asciiTheme="minorHAnsi" w:hAnsiTheme="minorHAnsi" w:cstheme="minorHAnsi"/>
                <w:b/>
                <w:color w:val="595959" w:themeColor="text1" w:themeTint="A6"/>
                <w:sz w:val="16"/>
                <w:szCs w:val="16"/>
                <w:lang w:val="en-GB"/>
              </w:rPr>
              <w:t>disparities in terms of their mental health, sexual health and rates of substance use</w:t>
            </w:r>
            <w:r>
              <w:rPr>
                <w:rFonts w:asciiTheme="minorHAnsi" w:hAnsiTheme="minorHAnsi" w:cstheme="minorHAnsi"/>
                <w:b/>
                <w:color w:val="595959" w:themeColor="text1" w:themeTint="A6"/>
                <w:sz w:val="16"/>
                <w:szCs w:val="16"/>
                <w:lang w:val="en-GB"/>
              </w:rPr>
              <w:t>.</w:t>
            </w:r>
            <w:r>
              <w:rPr>
                <w:rStyle w:val="EndnoteReference"/>
                <w:rFonts w:asciiTheme="minorHAnsi" w:hAnsiTheme="minorHAnsi" w:cstheme="minorHAnsi"/>
                <w:b/>
                <w:color w:val="595959" w:themeColor="text1" w:themeTint="A6"/>
                <w:sz w:val="16"/>
                <w:szCs w:val="16"/>
                <w:lang w:val="en-GB"/>
              </w:rPr>
              <w:endnoteReference w:id="63"/>
            </w:r>
            <w:r>
              <w:rPr>
                <w:rFonts w:asciiTheme="minorHAnsi" w:hAnsiTheme="minorHAnsi" w:cstheme="minorHAnsi"/>
                <w:b/>
                <w:color w:val="595959" w:themeColor="text1" w:themeTint="A6"/>
                <w:sz w:val="16"/>
                <w:szCs w:val="16"/>
                <w:lang w:val="en-GB"/>
              </w:rPr>
              <w:t xml:space="preserve"> </w:t>
            </w:r>
            <w:r>
              <w:rPr>
                <w:rFonts w:asciiTheme="minorHAnsi" w:hAnsiTheme="minorHAnsi" w:cstheme="minorHAnsi"/>
                <w:b/>
                <w:color w:val="595959" w:themeColor="text1" w:themeTint="A6"/>
                <w:sz w:val="16"/>
                <w:szCs w:val="16"/>
              </w:rPr>
              <w:t xml:space="preserve"> </w:t>
            </w:r>
          </w:p>
          <w:p w14:paraId="51724816" w14:textId="77777777" w:rsidR="002443E0"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They are significantly more likely than non-LGBTI+ Australians to have a high or very high level of psychological distress – 55% of 16-24 year old women and 40% of 16-24 year old men experience psychological distress at this level (compared with 18% and 7% respectively among heterosexual peers).</w:t>
            </w:r>
            <w:r>
              <w:rPr>
                <w:rStyle w:val="EndnoteReference"/>
                <w:rFonts w:asciiTheme="minorHAnsi" w:hAnsiTheme="minorHAnsi" w:cstheme="minorHAnsi"/>
                <w:b/>
                <w:color w:val="595959" w:themeColor="text1" w:themeTint="A6"/>
                <w:sz w:val="16"/>
                <w:szCs w:val="16"/>
              </w:rPr>
              <w:endnoteReference w:id="64"/>
            </w:r>
          </w:p>
          <w:p w14:paraId="284452A1" w14:textId="77777777" w:rsidR="002443E0" w:rsidRDefault="002443E0" w:rsidP="001C2712">
            <w:pPr>
              <w:pStyle w:val="ListParagraph"/>
              <w:numPr>
                <w:ilvl w:val="0"/>
                <w:numId w:val="14"/>
              </w:numPr>
              <w:tabs>
                <w:tab w:val="left" w:pos="259"/>
              </w:tabs>
              <w:spacing w:before="60" w:after="60"/>
              <w:ind w:left="256" w:hanging="256"/>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LGBTI+ people have the highest rate of suicidality of any group in the country, with the average age of a first suicide attempt being 16 years.</w:t>
            </w:r>
            <w:r>
              <w:rPr>
                <w:rStyle w:val="EndnoteReference"/>
                <w:rFonts w:asciiTheme="minorHAnsi" w:hAnsiTheme="minorHAnsi" w:cstheme="minorHAnsi"/>
                <w:b/>
                <w:color w:val="595959" w:themeColor="text1" w:themeTint="A6"/>
                <w:sz w:val="16"/>
                <w:szCs w:val="16"/>
              </w:rPr>
              <w:endnoteReference w:id="65"/>
            </w:r>
          </w:p>
        </w:tc>
      </w:tr>
      <w:tr w:rsidR="002443E0" w:rsidRPr="00E955C2" w14:paraId="0A979BCE" w14:textId="77777777" w:rsidTr="001C2712">
        <w:trPr>
          <w:trHeight w:val="251"/>
          <w:tblHeader/>
        </w:trPr>
        <w:tc>
          <w:tcPr>
            <w:cnfStyle w:val="001000000000" w:firstRow="0" w:lastRow="0" w:firstColumn="1" w:lastColumn="0" w:oddVBand="0" w:evenVBand="0" w:oddHBand="0" w:evenHBand="0" w:firstRowFirstColumn="0" w:firstRowLastColumn="0" w:lastRowFirstColumn="0" w:lastRowLastColumn="0"/>
            <w:tcW w:w="1017" w:type="pct"/>
            <w:shd w:val="clear" w:color="auto" w:fill="D9D9D9" w:themeFill="background1" w:themeFillShade="D9"/>
            <w:vAlign w:val="center"/>
          </w:tcPr>
          <w:p w14:paraId="2D71631E" w14:textId="77777777" w:rsidR="002443E0" w:rsidRDefault="002443E0" w:rsidP="001C2712">
            <w:pPr>
              <w:spacing w:before="0" w:after="0"/>
              <w:jc w:val="center"/>
              <w:rPr>
                <w:rFonts w:cstheme="minorHAnsi"/>
                <w:b w:val="0"/>
                <w:bCs w:val="0"/>
                <w:color w:val="1C8243"/>
                <w:sz w:val="16"/>
                <w:szCs w:val="16"/>
                <w:lang w:eastAsia="en-AU"/>
              </w:rPr>
            </w:pPr>
            <w:r>
              <w:rPr>
                <w:rFonts w:cstheme="minorHAnsi"/>
                <w:b w:val="0"/>
                <w:bCs w:val="0"/>
                <w:color w:val="1C8243"/>
                <w:sz w:val="16"/>
                <w:szCs w:val="16"/>
                <w:lang w:eastAsia="en-AU"/>
              </w:rPr>
              <w:t>Children and young people who experience homelessness</w:t>
            </w:r>
          </w:p>
        </w:tc>
        <w:tc>
          <w:tcPr>
            <w:tcW w:w="3983" w:type="pct"/>
            <w:shd w:val="clear" w:color="auto" w:fill="F2F2F2" w:themeFill="background1" w:themeFillShade="F2"/>
            <w:vAlign w:val="center"/>
          </w:tcPr>
          <w:p w14:paraId="71F435BC" w14:textId="77777777" w:rsidR="002443E0"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Prevalence of mental health conditions is high among homeless young people, with 53% reporting being diagnosed with at least one mental health condition.</w:t>
            </w:r>
            <w:r>
              <w:rPr>
                <w:rStyle w:val="EndnoteReference"/>
                <w:rFonts w:asciiTheme="minorHAnsi" w:hAnsiTheme="minorHAnsi" w:cstheme="minorHAnsi"/>
                <w:b/>
                <w:color w:val="595959" w:themeColor="text1" w:themeTint="A6"/>
                <w:sz w:val="16"/>
                <w:szCs w:val="16"/>
              </w:rPr>
              <w:endnoteReference w:id="66"/>
            </w:r>
          </w:p>
          <w:p w14:paraId="40BE6435" w14:textId="77777777" w:rsidR="002443E0"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Pr>
                <w:rFonts w:asciiTheme="minorHAnsi" w:hAnsiTheme="minorHAnsi" w:cstheme="minorHAnsi"/>
                <w:b/>
                <w:color w:val="595959" w:themeColor="text1" w:themeTint="A6"/>
                <w:sz w:val="16"/>
                <w:szCs w:val="16"/>
              </w:rPr>
              <w:t>Young people who had experienced homelessness were more likely than those or not to be concerned about family conflict, depression, coping with stress, and suicide.</w:t>
            </w:r>
            <w:r>
              <w:rPr>
                <w:rStyle w:val="EndnoteReference"/>
                <w:rFonts w:asciiTheme="minorHAnsi" w:hAnsiTheme="minorHAnsi" w:cstheme="minorHAnsi"/>
                <w:b/>
                <w:color w:val="595959" w:themeColor="text1" w:themeTint="A6"/>
                <w:sz w:val="16"/>
                <w:szCs w:val="16"/>
              </w:rPr>
              <w:endnoteReference w:id="67"/>
            </w:r>
          </w:p>
          <w:p w14:paraId="63172948" w14:textId="77777777" w:rsidR="002443E0" w:rsidRDefault="002443E0" w:rsidP="001C2712">
            <w:pPr>
              <w:pStyle w:val="ListParagraph"/>
              <w:numPr>
                <w:ilvl w:val="0"/>
                <w:numId w:val="14"/>
              </w:numPr>
              <w:tabs>
                <w:tab w:val="left" w:pos="259"/>
              </w:tabs>
              <w:spacing w:before="60" w:after="60"/>
              <w:ind w:left="256" w:hanging="256"/>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595959" w:themeColor="text1" w:themeTint="A6"/>
                <w:sz w:val="16"/>
                <w:szCs w:val="16"/>
              </w:rPr>
            </w:pPr>
            <w:r w:rsidRPr="00031CDC">
              <w:rPr>
                <w:rFonts w:asciiTheme="minorHAnsi" w:hAnsiTheme="minorHAnsi" w:cstheme="minorHAnsi"/>
                <w:b/>
                <w:color w:val="595959" w:themeColor="text1" w:themeTint="A6"/>
                <w:sz w:val="16"/>
                <w:szCs w:val="16"/>
              </w:rPr>
              <w:t>Overall, homeless young people exhibit much lower rates of sport and exercise than other young people.</w:t>
            </w:r>
            <w:r>
              <w:rPr>
                <w:rStyle w:val="EndnoteReference"/>
                <w:rFonts w:asciiTheme="minorHAnsi" w:hAnsiTheme="minorHAnsi" w:cstheme="minorHAnsi"/>
                <w:b/>
                <w:color w:val="595959" w:themeColor="text1" w:themeTint="A6"/>
                <w:sz w:val="16"/>
                <w:szCs w:val="16"/>
              </w:rPr>
              <w:t xml:space="preserve"> </w:t>
            </w:r>
            <w:r>
              <w:rPr>
                <w:rStyle w:val="EndnoteReference"/>
                <w:rFonts w:asciiTheme="minorHAnsi" w:hAnsiTheme="minorHAnsi" w:cstheme="minorHAnsi"/>
                <w:b/>
                <w:color w:val="595959" w:themeColor="text1" w:themeTint="A6"/>
                <w:sz w:val="16"/>
                <w:szCs w:val="16"/>
              </w:rPr>
              <w:endnoteReference w:id="68"/>
            </w:r>
          </w:p>
        </w:tc>
      </w:tr>
    </w:tbl>
    <w:p w14:paraId="00966CB1" w14:textId="39017C02" w:rsidR="00455BE8" w:rsidRDefault="00455BE8" w:rsidP="00057BA6">
      <w:pPr>
        <w:rPr>
          <w:rFonts w:ascii="Segoe UI Semibold" w:hAnsi="Segoe UI Semibold"/>
          <w:color w:val="227439"/>
          <w:sz w:val="20"/>
          <w:szCs w:val="19"/>
          <w:lang w:eastAsia="en-AU"/>
        </w:rPr>
      </w:pPr>
    </w:p>
    <w:p w14:paraId="25D4654B" w14:textId="77777777" w:rsidR="00232FE1" w:rsidRPr="00314AA3" w:rsidRDefault="00232FE1" w:rsidP="00DF63C9">
      <w:pPr>
        <w:pStyle w:val="Heading4"/>
        <w:rPr>
          <w:i/>
        </w:rPr>
      </w:pPr>
      <w:bookmarkStart w:id="19" w:name="_Toc3826832"/>
      <w:r w:rsidRPr="00314AA3">
        <w:rPr>
          <w:i/>
        </w:rPr>
        <w:t>Aboriginal and Torres Strait Islander children and youth</w:t>
      </w:r>
      <w:bookmarkEnd w:id="19"/>
    </w:p>
    <w:p w14:paraId="603EC16B" w14:textId="77777777" w:rsidR="00232FE1" w:rsidRPr="00E64AF9" w:rsidRDefault="00232FE1" w:rsidP="00232FE1">
      <w:pPr>
        <w:rPr>
          <w:rFonts w:cstheme="minorHAnsi"/>
          <w:sz w:val="20"/>
          <w:szCs w:val="20"/>
        </w:rPr>
      </w:pPr>
      <w:r w:rsidRPr="00E64AF9">
        <w:rPr>
          <w:rFonts w:cstheme="minorHAnsi"/>
          <w:sz w:val="20"/>
          <w:szCs w:val="20"/>
        </w:rPr>
        <w:t xml:space="preserve">Across the entire Australian population, there is a need for a greater focus on the health and wellbeing of Aboriginal and Torres Strait Islander peoples. Aboriginal and Torres Strait Islander populations are more likely to experience significantly poorer health and health outcomes than non-Indigenous populations. These poorer health outcomes extend across many key areas </w:t>
      </w:r>
      <w:r w:rsidR="00A403E7">
        <w:rPr>
          <w:rFonts w:cstheme="minorHAnsi"/>
          <w:sz w:val="20"/>
          <w:szCs w:val="20"/>
        </w:rPr>
        <w:t xml:space="preserve">including </w:t>
      </w:r>
      <w:r w:rsidRPr="00E64AF9">
        <w:rPr>
          <w:rFonts w:cstheme="minorHAnsi"/>
          <w:sz w:val="20"/>
          <w:szCs w:val="20"/>
        </w:rPr>
        <w:t>life expectancy and mortality</w:t>
      </w:r>
      <w:r w:rsidR="00A403E7">
        <w:rPr>
          <w:rFonts w:cstheme="minorHAnsi"/>
          <w:sz w:val="20"/>
          <w:szCs w:val="20"/>
        </w:rPr>
        <w:t>,</w:t>
      </w:r>
      <w:r w:rsidRPr="00E64AF9">
        <w:rPr>
          <w:rFonts w:cstheme="minorHAnsi"/>
          <w:sz w:val="20"/>
          <w:szCs w:val="20"/>
        </w:rPr>
        <w:t xml:space="preserve"> incidences of mental illness and chronic conditions</w:t>
      </w:r>
      <w:r w:rsidR="00A403E7">
        <w:rPr>
          <w:rFonts w:cstheme="minorHAnsi"/>
          <w:sz w:val="20"/>
          <w:szCs w:val="20"/>
        </w:rPr>
        <w:t>,</w:t>
      </w:r>
      <w:r w:rsidRPr="00E64AF9">
        <w:rPr>
          <w:rFonts w:cstheme="minorHAnsi"/>
          <w:sz w:val="20"/>
          <w:szCs w:val="20"/>
        </w:rPr>
        <w:t xml:space="preserve"> health risk factors, such as smoking, alcohol, physical inactivity and unhealthy eating habits</w:t>
      </w:r>
      <w:r w:rsidR="00A403E7">
        <w:rPr>
          <w:rFonts w:cstheme="minorHAnsi"/>
          <w:sz w:val="20"/>
          <w:szCs w:val="20"/>
        </w:rPr>
        <w:t>,</w:t>
      </w:r>
      <w:r w:rsidRPr="00E64AF9">
        <w:rPr>
          <w:rFonts w:cstheme="minorHAnsi"/>
          <w:sz w:val="20"/>
          <w:szCs w:val="20"/>
        </w:rPr>
        <w:t xml:space="preserve"> sexual health</w:t>
      </w:r>
      <w:r w:rsidR="00A403E7">
        <w:rPr>
          <w:rFonts w:cstheme="minorHAnsi"/>
          <w:sz w:val="20"/>
          <w:szCs w:val="20"/>
        </w:rPr>
        <w:t>,</w:t>
      </w:r>
      <w:r w:rsidRPr="00E64AF9">
        <w:rPr>
          <w:rFonts w:cstheme="minorHAnsi"/>
          <w:sz w:val="20"/>
          <w:szCs w:val="20"/>
        </w:rPr>
        <w:t xml:space="preserve"> child and maternal health; and potentially avoidable deaths and hospitalisations.</w:t>
      </w:r>
      <w:r w:rsidRPr="00E64AF9">
        <w:rPr>
          <w:rFonts w:cstheme="minorHAnsi"/>
          <w:sz w:val="20"/>
          <w:szCs w:val="20"/>
          <w:vertAlign w:val="superscript"/>
        </w:rPr>
        <w:endnoteReference w:id="69"/>
      </w:r>
    </w:p>
    <w:p w14:paraId="628EFCAC" w14:textId="77777777" w:rsidR="00314AA3" w:rsidRDefault="00232FE1" w:rsidP="00031CDC">
      <w:pPr>
        <w:rPr>
          <w:rFonts w:ascii="Segoe UI" w:eastAsiaTheme="minorHAnsi" w:hAnsi="Segoe UI" w:cstheme="minorHAnsi"/>
          <w:b/>
          <w:color w:val="318843"/>
          <w:sz w:val="20"/>
          <w:szCs w:val="19"/>
          <w:lang w:val="en-US"/>
        </w:rPr>
      </w:pPr>
      <w:r w:rsidRPr="00E64AF9">
        <w:rPr>
          <w:rFonts w:cstheme="minorHAnsi"/>
          <w:sz w:val="20"/>
          <w:szCs w:val="20"/>
        </w:rPr>
        <w:t xml:space="preserve">The </w:t>
      </w:r>
      <w:r>
        <w:rPr>
          <w:rFonts w:cstheme="minorHAnsi"/>
          <w:sz w:val="20"/>
          <w:szCs w:val="20"/>
        </w:rPr>
        <w:t>Action Plan</w:t>
      </w:r>
      <w:r w:rsidRPr="00E64AF9">
        <w:rPr>
          <w:rFonts w:cstheme="minorHAnsi"/>
          <w:sz w:val="20"/>
          <w:szCs w:val="20"/>
        </w:rPr>
        <w:t xml:space="preserve"> aligns with the National Aboriginal and Torres Strait Islander Heath and Implementation Plans 2013-2023, the National Framework for Health Services for Aboriginal and Torres Strait Islander Children and Families 2016 and the National Cultural Respect Framework for Aboriginal and Torres Strait Islander Health 2016-2026. This </w:t>
      </w:r>
      <w:r>
        <w:rPr>
          <w:rFonts w:cstheme="minorHAnsi"/>
          <w:sz w:val="20"/>
          <w:szCs w:val="20"/>
        </w:rPr>
        <w:t>Action Plan</w:t>
      </w:r>
      <w:r w:rsidRPr="00E64AF9">
        <w:rPr>
          <w:rFonts w:cstheme="minorHAnsi"/>
          <w:sz w:val="20"/>
          <w:szCs w:val="20"/>
        </w:rPr>
        <w:t xml:space="preserve"> also acknowledges the Australian Government’s commitment to Closing the Gap.</w:t>
      </w:r>
      <w:r w:rsidRPr="00E64AF9">
        <w:rPr>
          <w:rFonts w:cstheme="minorHAnsi"/>
          <w:sz w:val="20"/>
          <w:szCs w:val="20"/>
          <w:vertAlign w:val="superscript"/>
        </w:rPr>
        <w:endnoteReference w:id="70"/>
      </w:r>
      <w:r w:rsidR="00314AA3">
        <w:rPr>
          <w:rFonts w:ascii="Segoe UI" w:eastAsiaTheme="minorHAnsi" w:hAnsi="Segoe UI" w:cstheme="minorHAnsi"/>
          <w:b/>
          <w:color w:val="318843"/>
          <w:sz w:val="20"/>
          <w:szCs w:val="19"/>
          <w:lang w:val="en-US"/>
        </w:rPr>
        <w:br w:type="page"/>
      </w:r>
    </w:p>
    <w:p w14:paraId="22805011" w14:textId="77777777" w:rsidR="00AE0D7C" w:rsidRPr="00314AA3" w:rsidRDefault="00314AA3" w:rsidP="00314AA3">
      <w:pPr>
        <w:pStyle w:val="Heading4"/>
        <w:rPr>
          <w:rFonts w:eastAsiaTheme="minorHAnsi"/>
          <w:szCs w:val="24"/>
          <w:lang w:val="en-US"/>
        </w:rPr>
      </w:pPr>
      <w:r>
        <w:rPr>
          <w:rFonts w:eastAsiaTheme="minorHAnsi"/>
          <w:szCs w:val="24"/>
          <w:lang w:val="en-US"/>
        </w:rPr>
        <w:t>We need to work together…</w:t>
      </w:r>
    </w:p>
    <w:p w14:paraId="2F8C6023" w14:textId="3118ACF4" w:rsidR="00AE0D7C" w:rsidRDefault="00AE0D7C" w:rsidP="00AE0D7C">
      <w:pPr>
        <w:rPr>
          <w:rFonts w:cstheme="minorHAnsi"/>
          <w:sz w:val="20"/>
          <w:szCs w:val="20"/>
        </w:rPr>
      </w:pPr>
      <w:r>
        <w:rPr>
          <w:rFonts w:cstheme="minorHAnsi"/>
          <w:sz w:val="20"/>
          <w:szCs w:val="20"/>
        </w:rPr>
        <w:t>Families, parents and care</w:t>
      </w:r>
      <w:r w:rsidR="005417A9">
        <w:rPr>
          <w:rFonts w:cstheme="minorHAnsi"/>
          <w:sz w:val="20"/>
          <w:szCs w:val="20"/>
        </w:rPr>
        <w:t>givers</w:t>
      </w:r>
      <w:r>
        <w:rPr>
          <w:rFonts w:cstheme="minorHAnsi"/>
          <w:sz w:val="20"/>
          <w:szCs w:val="20"/>
        </w:rPr>
        <w:t xml:space="preserve"> are the most powerful influence on a child’s life and development. However, there is a broader role and responsibility for all of us to foster and sustain the conditions in which </w:t>
      </w:r>
      <w:r w:rsidR="00A03070">
        <w:rPr>
          <w:rFonts w:cstheme="minorHAnsi"/>
          <w:sz w:val="20"/>
          <w:szCs w:val="20"/>
        </w:rPr>
        <w:t xml:space="preserve">families and </w:t>
      </w:r>
      <w:r>
        <w:rPr>
          <w:rFonts w:cstheme="minorHAnsi"/>
          <w:sz w:val="20"/>
          <w:szCs w:val="20"/>
        </w:rPr>
        <w:t xml:space="preserve">children </w:t>
      </w:r>
      <w:r w:rsidR="00A03070">
        <w:rPr>
          <w:rFonts w:cstheme="minorHAnsi"/>
          <w:sz w:val="20"/>
          <w:szCs w:val="20"/>
        </w:rPr>
        <w:t>are</w:t>
      </w:r>
      <w:r>
        <w:rPr>
          <w:rFonts w:cstheme="minorHAnsi"/>
          <w:sz w:val="20"/>
          <w:szCs w:val="20"/>
        </w:rPr>
        <w:t xml:space="preserve"> thriving. </w:t>
      </w:r>
      <w:r w:rsidR="00EC6A2A">
        <w:rPr>
          <w:rFonts w:cstheme="minorHAnsi"/>
          <w:sz w:val="20"/>
          <w:szCs w:val="20"/>
        </w:rPr>
        <w:t>This responsibility extends from the family to the wider community, business and non-government organisations, academia, the media, and all levels of government.</w:t>
      </w:r>
      <w:r w:rsidR="00EC6A2A">
        <w:rPr>
          <w:rStyle w:val="EndnoteReference"/>
          <w:rFonts w:cstheme="minorHAnsi"/>
          <w:sz w:val="20"/>
          <w:szCs w:val="20"/>
        </w:rPr>
        <w:endnoteReference w:id="71"/>
      </w:r>
    </w:p>
    <w:p w14:paraId="3750EEE4" w14:textId="77777777" w:rsidR="004814D0" w:rsidRDefault="00EC6A2A" w:rsidP="004814D0">
      <w:pPr>
        <w:rPr>
          <w:rFonts w:cstheme="minorHAnsi"/>
          <w:sz w:val="20"/>
          <w:szCs w:val="20"/>
        </w:rPr>
      </w:pPr>
      <w:r>
        <w:rPr>
          <w:rFonts w:cstheme="minorHAnsi"/>
          <w:sz w:val="20"/>
          <w:szCs w:val="20"/>
        </w:rPr>
        <w:t>Efforts to enhance the health and wellbeing of children and young people will be most effective when there is cohesive and coordinat</w:t>
      </w:r>
      <w:r w:rsidR="00A03070">
        <w:rPr>
          <w:rFonts w:cstheme="minorHAnsi"/>
          <w:sz w:val="20"/>
          <w:szCs w:val="20"/>
        </w:rPr>
        <w:t>ed purpose and</w:t>
      </w:r>
      <w:r>
        <w:rPr>
          <w:rFonts w:cstheme="minorHAnsi"/>
          <w:sz w:val="20"/>
          <w:szCs w:val="20"/>
        </w:rPr>
        <w:t xml:space="preserve"> action</w:t>
      </w:r>
      <w:r w:rsidR="00A03070">
        <w:rPr>
          <w:rFonts w:cstheme="minorHAnsi"/>
          <w:sz w:val="20"/>
          <w:szCs w:val="20"/>
        </w:rPr>
        <w:t xml:space="preserve"> undertaken by all the partners involved in nurturing and developing a child. This includes</w:t>
      </w:r>
      <w:r w:rsidR="00764501">
        <w:rPr>
          <w:rFonts w:cstheme="minorHAnsi"/>
          <w:sz w:val="20"/>
          <w:szCs w:val="20"/>
        </w:rPr>
        <w:t xml:space="preserve"> </w:t>
      </w:r>
      <w:r w:rsidR="00A03070">
        <w:rPr>
          <w:rFonts w:cstheme="minorHAnsi"/>
          <w:sz w:val="20"/>
          <w:szCs w:val="20"/>
        </w:rPr>
        <w:t xml:space="preserve">governments, clinicians, program managers, community health organisations, policymakers, funders, peak bodies, non-government organisations and </w:t>
      </w:r>
      <w:r w:rsidR="00F97669">
        <w:rPr>
          <w:rFonts w:cstheme="minorHAnsi"/>
          <w:sz w:val="20"/>
          <w:szCs w:val="20"/>
        </w:rPr>
        <w:t>individuals</w:t>
      </w:r>
      <w:r w:rsidR="00A03070">
        <w:rPr>
          <w:rFonts w:cstheme="minorHAnsi"/>
          <w:sz w:val="20"/>
          <w:szCs w:val="20"/>
        </w:rPr>
        <w:t>.</w:t>
      </w:r>
      <w:r w:rsidR="00314AA3">
        <w:rPr>
          <w:rFonts w:cstheme="minorHAnsi"/>
          <w:sz w:val="20"/>
          <w:szCs w:val="20"/>
        </w:rPr>
        <w:t xml:space="preserve"> </w:t>
      </w:r>
      <w:r w:rsidR="004814D0">
        <w:rPr>
          <w:rFonts w:cstheme="minorHAnsi"/>
          <w:sz w:val="20"/>
          <w:szCs w:val="20"/>
        </w:rPr>
        <w:t>Developing a shared vision underpinned by a clear set of common goals, priorities and implementation activities to focus efforts and foster collaborative, joined-up partnerships is therefore pivotal.</w:t>
      </w:r>
      <w:r w:rsidR="004814D0">
        <w:rPr>
          <w:rStyle w:val="EndnoteReference"/>
          <w:rFonts w:cstheme="minorHAnsi"/>
          <w:sz w:val="20"/>
          <w:szCs w:val="20"/>
        </w:rPr>
        <w:endnoteReference w:id="72"/>
      </w:r>
    </w:p>
    <w:p w14:paraId="36E961F1" w14:textId="77777777" w:rsidR="003749A1" w:rsidRDefault="003749A1" w:rsidP="00AE0D7C">
      <w:pPr>
        <w:rPr>
          <w:rFonts w:cstheme="minorHAnsi"/>
          <w:sz w:val="20"/>
          <w:szCs w:val="20"/>
        </w:rPr>
      </w:pPr>
      <w:r>
        <w:rPr>
          <w:rFonts w:cstheme="minorHAnsi"/>
          <w:sz w:val="20"/>
          <w:szCs w:val="20"/>
        </w:rPr>
        <w:t xml:space="preserve">Presently it is </w:t>
      </w:r>
      <w:r w:rsidR="002A16E2">
        <w:rPr>
          <w:rFonts w:cstheme="minorHAnsi"/>
          <w:sz w:val="20"/>
          <w:szCs w:val="20"/>
        </w:rPr>
        <w:t>challenging</w:t>
      </w:r>
      <w:r>
        <w:rPr>
          <w:rFonts w:cstheme="minorHAnsi"/>
          <w:sz w:val="20"/>
          <w:szCs w:val="20"/>
        </w:rPr>
        <w:t xml:space="preserve"> to assess the effectiveness </w:t>
      </w:r>
      <w:r w:rsidR="00EC6A1D">
        <w:rPr>
          <w:rFonts w:cstheme="minorHAnsi"/>
          <w:sz w:val="20"/>
          <w:szCs w:val="20"/>
        </w:rPr>
        <w:t xml:space="preserve">and quality </w:t>
      </w:r>
      <w:r>
        <w:rPr>
          <w:rFonts w:cstheme="minorHAnsi"/>
          <w:sz w:val="20"/>
          <w:szCs w:val="20"/>
        </w:rPr>
        <w:t xml:space="preserve">of </w:t>
      </w:r>
      <w:r w:rsidR="002A16E2">
        <w:rPr>
          <w:rFonts w:cstheme="minorHAnsi"/>
          <w:sz w:val="20"/>
          <w:szCs w:val="20"/>
        </w:rPr>
        <w:t xml:space="preserve">child and family </w:t>
      </w:r>
      <w:r>
        <w:rPr>
          <w:rFonts w:cstheme="minorHAnsi"/>
          <w:sz w:val="20"/>
          <w:szCs w:val="20"/>
        </w:rPr>
        <w:t>service systems in addressing the health of children and young people. There is no doubt that much is being done and many strategies, programs and interventions are making a difference for many children and young people. However, are these all pulling in the same direction, complementing one another and building a holistic, evidence-informed system of service and support?</w:t>
      </w:r>
      <w:r w:rsidR="002A16E2">
        <w:rPr>
          <w:rFonts w:cstheme="minorHAnsi"/>
          <w:sz w:val="20"/>
          <w:szCs w:val="20"/>
        </w:rPr>
        <w:t xml:space="preserve"> Reviews suggest probably not, and that </w:t>
      </w:r>
      <w:r w:rsidR="00403E6E">
        <w:rPr>
          <w:rFonts w:cstheme="minorHAnsi"/>
          <w:sz w:val="20"/>
          <w:szCs w:val="20"/>
        </w:rPr>
        <w:t xml:space="preserve">– though challenging – </w:t>
      </w:r>
      <w:r w:rsidR="002A16E2">
        <w:rPr>
          <w:rFonts w:cstheme="minorHAnsi"/>
          <w:sz w:val="20"/>
          <w:szCs w:val="20"/>
        </w:rPr>
        <w:t>more could be done to reach a more collaborative and cohesive state.</w:t>
      </w:r>
      <w:r w:rsidR="002A16E2">
        <w:rPr>
          <w:rStyle w:val="EndnoteReference"/>
          <w:rFonts w:cstheme="minorHAnsi"/>
          <w:sz w:val="20"/>
          <w:szCs w:val="20"/>
        </w:rPr>
        <w:endnoteReference w:id="73"/>
      </w:r>
    </w:p>
    <w:p w14:paraId="325F2E79" w14:textId="77777777" w:rsidR="002A16E2" w:rsidRDefault="0061544D" w:rsidP="00AE0D7C">
      <w:pPr>
        <w:rPr>
          <w:rFonts w:cstheme="minorHAnsi"/>
          <w:sz w:val="20"/>
          <w:szCs w:val="20"/>
        </w:rPr>
      </w:pPr>
      <w:r>
        <w:rPr>
          <w:rFonts w:cstheme="minorHAnsi"/>
          <w:sz w:val="20"/>
          <w:szCs w:val="20"/>
        </w:rPr>
        <w:t xml:space="preserve">The role of research, evaluation, data and practice translation is particularly important to support a more </w:t>
      </w:r>
      <w:r w:rsidR="004814D0">
        <w:rPr>
          <w:rFonts w:cstheme="minorHAnsi"/>
          <w:sz w:val="20"/>
          <w:szCs w:val="20"/>
        </w:rPr>
        <w:t>effective</w:t>
      </w:r>
      <w:r w:rsidR="00EC6A1D">
        <w:rPr>
          <w:rFonts w:cstheme="minorHAnsi"/>
          <w:sz w:val="20"/>
          <w:szCs w:val="20"/>
        </w:rPr>
        <w:t xml:space="preserve">, </w:t>
      </w:r>
      <w:r w:rsidR="004D5309">
        <w:rPr>
          <w:rFonts w:cstheme="minorHAnsi"/>
          <w:sz w:val="20"/>
          <w:szCs w:val="20"/>
        </w:rPr>
        <w:t>efficient</w:t>
      </w:r>
      <w:r w:rsidR="00EC6A1D">
        <w:rPr>
          <w:rFonts w:cstheme="minorHAnsi"/>
          <w:sz w:val="20"/>
          <w:szCs w:val="20"/>
        </w:rPr>
        <w:t xml:space="preserve"> and quality-driven</w:t>
      </w:r>
      <w:r>
        <w:rPr>
          <w:rFonts w:cstheme="minorHAnsi"/>
          <w:sz w:val="20"/>
          <w:szCs w:val="20"/>
        </w:rPr>
        <w:t xml:space="preserve"> </w:t>
      </w:r>
      <w:r w:rsidR="004814D0">
        <w:rPr>
          <w:rFonts w:cstheme="minorHAnsi"/>
          <w:sz w:val="20"/>
          <w:szCs w:val="20"/>
        </w:rPr>
        <w:t xml:space="preserve">system </w:t>
      </w:r>
      <w:r w:rsidR="00EC6A1D">
        <w:rPr>
          <w:rFonts w:cstheme="minorHAnsi"/>
          <w:sz w:val="20"/>
          <w:szCs w:val="20"/>
        </w:rPr>
        <w:t>for</w:t>
      </w:r>
      <w:r w:rsidR="004814D0">
        <w:rPr>
          <w:rFonts w:cstheme="minorHAnsi"/>
          <w:sz w:val="20"/>
          <w:szCs w:val="20"/>
        </w:rPr>
        <w:t xml:space="preserve"> child and youth health</w:t>
      </w:r>
      <w:r>
        <w:rPr>
          <w:rFonts w:cstheme="minorHAnsi"/>
          <w:sz w:val="20"/>
          <w:szCs w:val="20"/>
        </w:rPr>
        <w:t xml:space="preserve">. The development of an intelligent </w:t>
      </w:r>
      <w:r w:rsidR="004D5309">
        <w:rPr>
          <w:rFonts w:cstheme="minorHAnsi"/>
          <w:sz w:val="20"/>
          <w:szCs w:val="20"/>
        </w:rPr>
        <w:t xml:space="preserve">learning </w:t>
      </w:r>
      <w:r>
        <w:rPr>
          <w:rFonts w:cstheme="minorHAnsi"/>
          <w:sz w:val="20"/>
          <w:szCs w:val="20"/>
        </w:rPr>
        <w:t>system, drawing on and measuring common outcomes, embedding a data-driven approach, improving capture and use of data, and building data analysis capacity</w:t>
      </w:r>
      <w:r w:rsidR="004D5309">
        <w:rPr>
          <w:rFonts w:cstheme="minorHAnsi"/>
          <w:sz w:val="20"/>
          <w:szCs w:val="20"/>
        </w:rPr>
        <w:t xml:space="preserve"> would be valuable in this regard</w:t>
      </w:r>
      <w:r>
        <w:rPr>
          <w:rFonts w:cstheme="minorHAnsi"/>
          <w:sz w:val="20"/>
          <w:szCs w:val="20"/>
        </w:rPr>
        <w:t>. Establishing a shared and consistent practice model</w:t>
      </w:r>
      <w:r w:rsidR="004D5309">
        <w:rPr>
          <w:rFonts w:cstheme="minorHAnsi"/>
          <w:sz w:val="20"/>
          <w:szCs w:val="20"/>
        </w:rPr>
        <w:t>, identifying and building on existing good practice and evidence-based interventions is also an important feature to improve collective efficiency of service systems.</w:t>
      </w:r>
      <w:r w:rsidR="004D5309">
        <w:rPr>
          <w:rStyle w:val="EndnoteReference"/>
          <w:rFonts w:cstheme="minorHAnsi"/>
          <w:sz w:val="20"/>
          <w:szCs w:val="20"/>
        </w:rPr>
        <w:endnoteReference w:id="74"/>
      </w:r>
      <w:r w:rsidR="004D5309">
        <w:rPr>
          <w:rFonts w:cstheme="minorHAnsi"/>
          <w:sz w:val="20"/>
          <w:szCs w:val="20"/>
        </w:rPr>
        <w:t xml:space="preserve"> </w:t>
      </w:r>
      <w:r w:rsidR="004814D0">
        <w:rPr>
          <w:rStyle w:val="EndnoteReference"/>
          <w:rFonts w:cstheme="minorHAnsi"/>
          <w:sz w:val="20"/>
          <w:szCs w:val="20"/>
        </w:rPr>
        <w:endnoteReference w:id="75"/>
      </w:r>
    </w:p>
    <w:p w14:paraId="08869C38" w14:textId="77777777" w:rsidR="00C51E05" w:rsidRDefault="00C51E05">
      <w:pPr>
        <w:spacing w:before="0" w:after="160" w:line="259" w:lineRule="auto"/>
        <w:rPr>
          <w:rFonts w:ascii="Segoe UI" w:hAnsi="Segoe UI"/>
          <w:b/>
          <w:color w:val="227439"/>
          <w:sz w:val="32"/>
          <w:szCs w:val="19"/>
          <w:lang w:eastAsia="en-AU"/>
        </w:rPr>
      </w:pPr>
      <w:r>
        <w:br w:type="page"/>
      </w:r>
    </w:p>
    <w:p w14:paraId="2F23D607" w14:textId="77777777" w:rsidR="00A865C0" w:rsidRDefault="00A865C0" w:rsidP="008C7A63">
      <w:pPr>
        <w:pStyle w:val="Heading1"/>
      </w:pPr>
      <w:bookmarkStart w:id="20" w:name="_Toc5282303"/>
      <w:r w:rsidRPr="00E31FC0">
        <w:t>Priorit</w:t>
      </w:r>
      <w:r w:rsidR="00411BEE" w:rsidRPr="00E31FC0">
        <w:t xml:space="preserve">y </w:t>
      </w:r>
      <w:r w:rsidR="000B6478" w:rsidRPr="00E31FC0">
        <w:t>areas</w:t>
      </w:r>
      <w:bookmarkEnd w:id="20"/>
    </w:p>
    <w:p w14:paraId="0CD6A18A" w14:textId="77777777" w:rsidR="00F80588" w:rsidRDefault="00F80588" w:rsidP="00F80588">
      <w:pPr>
        <w:rPr>
          <w:rFonts w:cstheme="minorHAnsi"/>
          <w:sz w:val="20"/>
          <w:szCs w:val="19"/>
        </w:rPr>
      </w:pPr>
      <w:bookmarkStart w:id="21" w:name="_Toc450547"/>
      <w:r>
        <w:rPr>
          <w:rFonts w:cstheme="minorHAnsi"/>
          <w:sz w:val="20"/>
          <w:szCs w:val="19"/>
        </w:rPr>
        <w:t>Public c</w:t>
      </w:r>
      <w:r w:rsidRPr="00294B2F">
        <w:rPr>
          <w:rFonts w:cstheme="minorHAnsi"/>
          <w:sz w:val="20"/>
          <w:szCs w:val="19"/>
        </w:rPr>
        <w:t xml:space="preserve">onsultation, </w:t>
      </w:r>
      <w:r w:rsidR="00D63C54">
        <w:rPr>
          <w:rFonts w:cstheme="minorHAnsi"/>
          <w:sz w:val="20"/>
          <w:szCs w:val="19"/>
        </w:rPr>
        <w:t>consultation with experts in a range of</w:t>
      </w:r>
      <w:r w:rsidR="00216E34">
        <w:rPr>
          <w:rFonts w:cstheme="minorHAnsi"/>
          <w:sz w:val="20"/>
          <w:szCs w:val="19"/>
        </w:rPr>
        <w:t xml:space="preserve"> child health and wellbeing </w:t>
      </w:r>
      <w:r w:rsidR="00D63C54">
        <w:rPr>
          <w:rFonts w:cstheme="minorHAnsi"/>
          <w:sz w:val="20"/>
          <w:szCs w:val="19"/>
        </w:rPr>
        <w:t xml:space="preserve">fields, </w:t>
      </w:r>
      <w:r w:rsidR="00216E34">
        <w:rPr>
          <w:rFonts w:cstheme="minorHAnsi"/>
          <w:sz w:val="20"/>
          <w:szCs w:val="19"/>
        </w:rPr>
        <w:t>review of available evidence</w:t>
      </w:r>
      <w:r w:rsidRPr="00294B2F">
        <w:rPr>
          <w:rFonts w:cstheme="minorHAnsi"/>
          <w:sz w:val="20"/>
          <w:szCs w:val="19"/>
        </w:rPr>
        <w:t xml:space="preserve"> and analysis </w:t>
      </w:r>
      <w:r>
        <w:rPr>
          <w:rFonts w:cstheme="minorHAnsi"/>
          <w:sz w:val="20"/>
          <w:szCs w:val="19"/>
        </w:rPr>
        <w:t>has been</w:t>
      </w:r>
      <w:r w:rsidRPr="00294B2F">
        <w:rPr>
          <w:rFonts w:cstheme="minorHAnsi"/>
          <w:sz w:val="20"/>
          <w:szCs w:val="19"/>
        </w:rPr>
        <w:t xml:space="preserve"> undertaken </w:t>
      </w:r>
      <w:r>
        <w:rPr>
          <w:rFonts w:cstheme="minorHAnsi"/>
          <w:sz w:val="20"/>
          <w:szCs w:val="19"/>
        </w:rPr>
        <w:t xml:space="preserve">to </w:t>
      </w:r>
      <w:r w:rsidR="002B2B97">
        <w:rPr>
          <w:rFonts w:cstheme="minorHAnsi"/>
          <w:sz w:val="20"/>
          <w:szCs w:val="19"/>
        </w:rPr>
        <w:t>establish</w:t>
      </w:r>
      <w:r>
        <w:rPr>
          <w:rFonts w:cstheme="minorHAnsi"/>
          <w:sz w:val="20"/>
          <w:szCs w:val="19"/>
        </w:rPr>
        <w:t xml:space="preserve"> </w:t>
      </w:r>
      <w:r w:rsidRPr="00F80588">
        <w:rPr>
          <w:rFonts w:cstheme="minorHAnsi"/>
          <w:color w:val="1C8243"/>
          <w:sz w:val="20"/>
          <w:szCs w:val="19"/>
        </w:rPr>
        <w:t>five key priority areas</w:t>
      </w:r>
      <w:r>
        <w:rPr>
          <w:rFonts w:cstheme="minorHAnsi"/>
          <w:sz w:val="20"/>
          <w:szCs w:val="19"/>
        </w:rPr>
        <w:t xml:space="preserve"> which can make headway on ensuring that all Australia’s children and young people are healthy, safe and thriving. </w:t>
      </w:r>
    </w:p>
    <w:p w14:paraId="20FFDA31" w14:textId="66343F6C" w:rsidR="00F80588" w:rsidRDefault="00F80588" w:rsidP="00F80588">
      <w:pPr>
        <w:rPr>
          <w:rFonts w:cstheme="minorHAnsi"/>
          <w:sz w:val="20"/>
          <w:szCs w:val="19"/>
        </w:rPr>
      </w:pPr>
      <w:r>
        <w:rPr>
          <w:rFonts w:cstheme="minorHAnsi"/>
          <w:sz w:val="20"/>
          <w:szCs w:val="19"/>
        </w:rPr>
        <w:t xml:space="preserve">The priority areas reflect evidence about where we can best focus </w:t>
      </w:r>
      <w:r w:rsidR="00E31FC0">
        <w:rPr>
          <w:rFonts w:cstheme="minorHAnsi"/>
          <w:sz w:val="20"/>
          <w:szCs w:val="19"/>
        </w:rPr>
        <w:t>our attention</w:t>
      </w:r>
      <w:r>
        <w:rPr>
          <w:rFonts w:cstheme="minorHAnsi"/>
          <w:sz w:val="20"/>
          <w:szCs w:val="19"/>
        </w:rPr>
        <w:t xml:space="preserve"> to make a difference on the determinants, risk, and protective factors shaping </w:t>
      </w:r>
      <w:r w:rsidR="00E31FC0">
        <w:rPr>
          <w:rFonts w:cstheme="minorHAnsi"/>
          <w:sz w:val="20"/>
          <w:szCs w:val="19"/>
        </w:rPr>
        <w:t xml:space="preserve">and supporting </w:t>
      </w:r>
      <w:r>
        <w:rPr>
          <w:rFonts w:cstheme="minorHAnsi"/>
          <w:sz w:val="20"/>
          <w:szCs w:val="19"/>
        </w:rPr>
        <w:t xml:space="preserve">child and youth health. </w:t>
      </w:r>
      <w:r w:rsidRPr="00E64AF9">
        <w:rPr>
          <w:rFonts w:cstheme="minorHAnsi"/>
          <w:sz w:val="20"/>
          <w:szCs w:val="19"/>
        </w:rPr>
        <w:t xml:space="preserve">Each of these priority areas contributes towards the overall purpose of the Action Plan and together will deliver a multifaceted approach </w:t>
      </w:r>
      <w:r w:rsidR="00455BE8">
        <w:rPr>
          <w:rFonts w:cstheme="minorHAnsi"/>
          <w:sz w:val="20"/>
          <w:szCs w:val="19"/>
        </w:rPr>
        <w:t>to provide</w:t>
      </w:r>
      <w:r w:rsidRPr="00E64AF9">
        <w:rPr>
          <w:rFonts w:cstheme="minorHAnsi"/>
          <w:sz w:val="20"/>
          <w:szCs w:val="19"/>
        </w:rPr>
        <w:t xml:space="preserve"> equitable healthcare and improved health and wellbeing outcomes. </w:t>
      </w:r>
    </w:p>
    <w:p w14:paraId="7D71FEA7" w14:textId="19BFEA60" w:rsidR="0063337B" w:rsidRDefault="00D75EDE" w:rsidP="00F80588">
      <w:pPr>
        <w:rPr>
          <w:rFonts w:cstheme="minorHAnsi"/>
          <w:sz w:val="20"/>
          <w:szCs w:val="19"/>
        </w:rPr>
      </w:pPr>
      <w:r>
        <w:rPr>
          <w:rFonts w:ascii="Segoe UI" w:hAnsi="Segoe UI"/>
          <w:b/>
          <w:noProof/>
          <w:color w:val="FFFFFF" w:themeColor="background1"/>
          <w:sz w:val="18"/>
          <w:szCs w:val="18"/>
          <w:lang w:val="en-AU" w:eastAsia="en-AU"/>
        </w:rPr>
        <w:drawing>
          <wp:inline distT="0" distB="0" distL="0" distR="0" wp14:anchorId="728F2CA7" wp14:editId="6D7D988D">
            <wp:extent cx="5930925" cy="1439545"/>
            <wp:effectExtent l="0" t="0" r="0" b="8255"/>
            <wp:docPr id="33" name="Picture 33" descr="5 key priority areas are: improving health equity across populations; empowering parents to maximise healthy development; tackling mental health and risky behaviours; addressing chronic conditions and preventive health; and strengthening the workforce." title="5 Key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B Key priority areas.png"/>
                    <pic:cNvPicPr/>
                  </pic:nvPicPr>
                  <pic:blipFill rotWithShape="1">
                    <a:blip r:embed="rId28">
                      <a:extLst>
                        <a:ext uri="{28A0092B-C50C-407E-A947-70E740481C1C}">
                          <a14:useLocalDpi xmlns:a14="http://schemas.microsoft.com/office/drawing/2010/main" val="0"/>
                        </a:ext>
                      </a:extLst>
                    </a:blip>
                    <a:srcRect l="1737" r="1330"/>
                    <a:stretch/>
                  </pic:blipFill>
                  <pic:spPr bwMode="auto">
                    <a:xfrm>
                      <a:off x="0" y="0"/>
                      <a:ext cx="5932800" cy="1440000"/>
                    </a:xfrm>
                    <a:prstGeom prst="rect">
                      <a:avLst/>
                    </a:prstGeom>
                    <a:ln>
                      <a:noFill/>
                    </a:ln>
                    <a:extLst>
                      <a:ext uri="{53640926-AAD7-44D8-BBD7-CCE9431645EC}">
                        <a14:shadowObscured xmlns:a14="http://schemas.microsoft.com/office/drawing/2010/main"/>
                      </a:ext>
                    </a:extLst>
                  </pic:spPr>
                </pic:pic>
              </a:graphicData>
            </a:graphic>
          </wp:inline>
        </w:drawing>
      </w:r>
    </w:p>
    <w:p w14:paraId="0202B9BE" w14:textId="2CA4BA33" w:rsidR="00F80588" w:rsidRDefault="00E31FC0" w:rsidP="00F80588">
      <w:pPr>
        <w:rPr>
          <w:rFonts w:cstheme="minorHAnsi"/>
          <w:sz w:val="20"/>
          <w:szCs w:val="19"/>
        </w:rPr>
      </w:pPr>
      <w:r>
        <w:rPr>
          <w:rFonts w:cstheme="minorHAnsi"/>
          <w:sz w:val="20"/>
          <w:szCs w:val="19"/>
        </w:rPr>
        <w:t xml:space="preserve">Within these priority areas a series of key actions have been </w:t>
      </w:r>
      <w:r w:rsidR="00EF714C">
        <w:rPr>
          <w:rFonts w:cstheme="minorHAnsi"/>
          <w:sz w:val="20"/>
          <w:szCs w:val="19"/>
        </w:rPr>
        <w:t>identified</w:t>
      </w:r>
      <w:r>
        <w:rPr>
          <w:rFonts w:cstheme="minorHAnsi"/>
          <w:sz w:val="20"/>
          <w:szCs w:val="19"/>
        </w:rPr>
        <w:t xml:space="preserve"> to drive efforts, along with a number of approaches and activities that can be </w:t>
      </w:r>
      <w:r w:rsidR="00455BE8">
        <w:rPr>
          <w:rFonts w:cstheme="minorHAnsi"/>
          <w:sz w:val="20"/>
          <w:szCs w:val="19"/>
        </w:rPr>
        <w:t>implemented to</w:t>
      </w:r>
      <w:r>
        <w:rPr>
          <w:rFonts w:cstheme="minorHAnsi"/>
          <w:sz w:val="20"/>
          <w:szCs w:val="19"/>
        </w:rPr>
        <w:t xml:space="preserve"> support each action. Several of these align with actions identified within other national frameworks addressing health and wellbeing among priority populations and in areas of health which affect children and young </w:t>
      </w:r>
      <w:r w:rsidRPr="004947EC">
        <w:rPr>
          <w:rFonts w:cstheme="minorHAnsi"/>
          <w:sz w:val="20"/>
          <w:szCs w:val="19"/>
        </w:rPr>
        <w:t xml:space="preserve">people (Appendix </w:t>
      </w:r>
      <w:r w:rsidR="00D526CB" w:rsidRPr="004947EC">
        <w:rPr>
          <w:rFonts w:cstheme="minorHAnsi"/>
          <w:sz w:val="20"/>
          <w:szCs w:val="19"/>
        </w:rPr>
        <w:t>A</w:t>
      </w:r>
      <w:r w:rsidRPr="004947EC">
        <w:rPr>
          <w:rFonts w:cstheme="minorHAnsi"/>
          <w:sz w:val="20"/>
          <w:szCs w:val="19"/>
        </w:rPr>
        <w:t>).</w:t>
      </w:r>
      <w:r>
        <w:rPr>
          <w:rFonts w:cstheme="minorHAnsi"/>
          <w:sz w:val="20"/>
          <w:szCs w:val="19"/>
        </w:rPr>
        <w:t xml:space="preserve"> </w:t>
      </w:r>
    </w:p>
    <w:p w14:paraId="3D9C6E76" w14:textId="77777777" w:rsidR="00F80588" w:rsidRPr="00E64AF9" w:rsidRDefault="00F80588" w:rsidP="00F80588">
      <w:pPr>
        <w:rPr>
          <w:rFonts w:cstheme="minorHAnsi"/>
          <w:sz w:val="20"/>
          <w:szCs w:val="19"/>
        </w:rPr>
      </w:pPr>
      <w:r w:rsidRPr="00E64AF9">
        <w:rPr>
          <w:rFonts w:cstheme="minorHAnsi"/>
          <w:sz w:val="20"/>
          <w:szCs w:val="19"/>
        </w:rPr>
        <w:t xml:space="preserve">The </w:t>
      </w:r>
      <w:r w:rsidR="006C5EB2">
        <w:rPr>
          <w:rFonts w:cstheme="minorHAnsi"/>
          <w:sz w:val="20"/>
          <w:szCs w:val="19"/>
        </w:rPr>
        <w:t xml:space="preserve">five </w:t>
      </w:r>
      <w:r w:rsidRPr="00E64AF9">
        <w:rPr>
          <w:rFonts w:cstheme="minorHAnsi"/>
          <w:sz w:val="20"/>
          <w:szCs w:val="19"/>
        </w:rPr>
        <w:t xml:space="preserve">priority areas are inter-related and are of equal importance. Many of the health inequities that exist, and many of the conditions that present in priority populations, can only be addressed if significant progress is made across all of the priority areas. Attention must be paid to all </w:t>
      </w:r>
      <w:r w:rsidR="00E31FC0">
        <w:rPr>
          <w:rFonts w:cstheme="minorHAnsi"/>
          <w:sz w:val="20"/>
          <w:szCs w:val="19"/>
        </w:rPr>
        <w:t>five</w:t>
      </w:r>
      <w:r>
        <w:rPr>
          <w:rFonts w:cstheme="minorHAnsi"/>
          <w:sz w:val="20"/>
          <w:szCs w:val="19"/>
        </w:rPr>
        <w:t xml:space="preserve"> areas</w:t>
      </w:r>
      <w:r w:rsidRPr="00E64AF9">
        <w:rPr>
          <w:rFonts w:cstheme="minorHAnsi"/>
          <w:sz w:val="20"/>
          <w:szCs w:val="19"/>
        </w:rPr>
        <w:t xml:space="preserve"> in order to achieve real progress</w:t>
      </w:r>
      <w:r w:rsidR="00455BE8">
        <w:rPr>
          <w:rFonts w:cstheme="minorHAnsi"/>
          <w:sz w:val="20"/>
          <w:szCs w:val="19"/>
        </w:rPr>
        <w:t>.</w:t>
      </w:r>
    </w:p>
    <w:p w14:paraId="354686CD" w14:textId="77777777" w:rsidR="00F80588" w:rsidRDefault="00F80588" w:rsidP="00F80588">
      <w:pPr>
        <w:rPr>
          <w:rFonts w:cstheme="minorHAnsi"/>
          <w:sz w:val="20"/>
          <w:szCs w:val="19"/>
        </w:rPr>
      </w:pPr>
      <w:r w:rsidRPr="00E64AF9">
        <w:rPr>
          <w:rFonts w:cstheme="minorHAnsi"/>
          <w:sz w:val="20"/>
          <w:szCs w:val="19"/>
        </w:rPr>
        <w:t>Importantly</w:t>
      </w:r>
      <w:r w:rsidR="00455BE8">
        <w:rPr>
          <w:rFonts w:cstheme="minorHAnsi"/>
          <w:sz w:val="20"/>
          <w:szCs w:val="19"/>
        </w:rPr>
        <w:t>,</w:t>
      </w:r>
      <w:r w:rsidRPr="00E64AF9">
        <w:rPr>
          <w:rFonts w:cstheme="minorHAnsi"/>
          <w:sz w:val="20"/>
          <w:szCs w:val="19"/>
        </w:rPr>
        <w:t xml:space="preserve"> however, the implementation of actions</w:t>
      </w:r>
      <w:r>
        <w:rPr>
          <w:rFonts w:cstheme="minorHAnsi"/>
          <w:sz w:val="20"/>
          <w:szCs w:val="19"/>
        </w:rPr>
        <w:t xml:space="preserve"> and activities</w:t>
      </w:r>
      <w:r w:rsidRPr="00E64AF9">
        <w:rPr>
          <w:rFonts w:cstheme="minorHAnsi"/>
          <w:sz w:val="20"/>
          <w:szCs w:val="19"/>
        </w:rPr>
        <w:t xml:space="preserve"> </w:t>
      </w:r>
      <w:r>
        <w:rPr>
          <w:rFonts w:cstheme="minorHAnsi"/>
          <w:sz w:val="20"/>
          <w:szCs w:val="19"/>
        </w:rPr>
        <w:t xml:space="preserve">related to these areas </w:t>
      </w:r>
      <w:r w:rsidRPr="00E64AF9">
        <w:rPr>
          <w:rFonts w:cstheme="minorHAnsi"/>
          <w:sz w:val="20"/>
          <w:szCs w:val="19"/>
        </w:rPr>
        <w:t>must be</w:t>
      </w:r>
      <w:r w:rsidR="00455BE8">
        <w:rPr>
          <w:rFonts w:cstheme="minorHAnsi"/>
          <w:sz w:val="20"/>
          <w:szCs w:val="19"/>
        </w:rPr>
        <w:t xml:space="preserve"> </w:t>
      </w:r>
      <w:r w:rsidRPr="00E64AF9">
        <w:rPr>
          <w:rFonts w:cstheme="minorHAnsi"/>
          <w:sz w:val="20"/>
          <w:szCs w:val="19"/>
        </w:rPr>
        <w:t>coordinated</w:t>
      </w:r>
      <w:r w:rsidR="00455BE8">
        <w:rPr>
          <w:rFonts w:cstheme="minorHAnsi"/>
          <w:sz w:val="20"/>
          <w:szCs w:val="19"/>
        </w:rPr>
        <w:t>, prioritised</w:t>
      </w:r>
      <w:r w:rsidR="00E31FC0">
        <w:rPr>
          <w:rFonts w:cstheme="minorHAnsi"/>
          <w:sz w:val="20"/>
          <w:szCs w:val="19"/>
        </w:rPr>
        <w:t xml:space="preserve"> and periodically reviewed across the life of the Action Plan</w:t>
      </w:r>
      <w:r w:rsidRPr="00E64AF9">
        <w:rPr>
          <w:rFonts w:cstheme="minorHAnsi"/>
          <w:sz w:val="20"/>
          <w:szCs w:val="19"/>
        </w:rPr>
        <w:t xml:space="preserve"> to ensure that priority populations are adequately and appropriately targeted, increases in demand for services are able to be met, and all services are truly universal.</w:t>
      </w:r>
    </w:p>
    <w:p w14:paraId="6DAE4076" w14:textId="77777777" w:rsidR="00DB1F46" w:rsidRDefault="00DB1F46" w:rsidP="00E31FC0">
      <w:pPr>
        <w:pStyle w:val="Heading4"/>
        <w:rPr>
          <w:rFonts w:eastAsiaTheme="minorHAnsi"/>
          <w:szCs w:val="24"/>
          <w:lang w:val="en-US"/>
        </w:rPr>
      </w:pPr>
      <w:r>
        <w:rPr>
          <w:rFonts w:eastAsiaTheme="minorHAnsi"/>
          <w:szCs w:val="24"/>
          <w:lang w:val="en-US"/>
        </w:rPr>
        <w:t>Guiding principles</w:t>
      </w:r>
    </w:p>
    <w:p w14:paraId="50EBCE7A" w14:textId="77777777" w:rsidR="00DB1F46" w:rsidRDefault="00DB1F46" w:rsidP="00DB1F46">
      <w:pPr>
        <w:rPr>
          <w:rFonts w:cstheme="minorHAnsi"/>
          <w:sz w:val="20"/>
          <w:szCs w:val="19"/>
        </w:rPr>
      </w:pPr>
      <w:r>
        <w:rPr>
          <w:rFonts w:cstheme="minorHAnsi"/>
          <w:sz w:val="20"/>
          <w:szCs w:val="19"/>
        </w:rPr>
        <w:t xml:space="preserve">The priority areas, actions and activities identified in the Action Plan have been guided by five key principles identified previously in </w:t>
      </w:r>
      <w:r w:rsidRPr="00DB1F46">
        <w:rPr>
          <w:rFonts w:cstheme="minorHAnsi"/>
          <w:i/>
          <w:sz w:val="20"/>
          <w:szCs w:val="19"/>
        </w:rPr>
        <w:t>Healthy, Safe and Thriving</w:t>
      </w:r>
      <w:r>
        <w:rPr>
          <w:rFonts w:cstheme="minorHAnsi"/>
          <w:sz w:val="20"/>
          <w:szCs w:val="19"/>
        </w:rPr>
        <w:t xml:space="preserve">. </w:t>
      </w:r>
      <w:r w:rsidR="00B8386F">
        <w:rPr>
          <w:rFonts w:cstheme="minorHAnsi"/>
          <w:sz w:val="20"/>
          <w:szCs w:val="19"/>
        </w:rPr>
        <w:t>That is:</w:t>
      </w:r>
    </w:p>
    <w:p w14:paraId="015CEF79" w14:textId="77777777" w:rsidR="00DB1F46" w:rsidRDefault="00B8386F" w:rsidP="00DB1F46">
      <w:pPr>
        <w:pStyle w:val="ListParagraph"/>
        <w:numPr>
          <w:ilvl w:val="0"/>
          <w:numId w:val="23"/>
        </w:numPr>
        <w:rPr>
          <w:rFonts w:cstheme="minorHAnsi"/>
          <w:sz w:val="20"/>
          <w:szCs w:val="19"/>
        </w:rPr>
      </w:pPr>
      <w:r>
        <w:rPr>
          <w:rFonts w:cstheme="minorHAnsi"/>
          <w:sz w:val="20"/>
          <w:szCs w:val="19"/>
        </w:rPr>
        <w:t xml:space="preserve">Recognising </w:t>
      </w:r>
      <w:r w:rsidRPr="00B8386F">
        <w:rPr>
          <w:rFonts w:cstheme="minorHAnsi"/>
          <w:color w:val="1C8243"/>
          <w:sz w:val="20"/>
          <w:szCs w:val="19"/>
        </w:rPr>
        <w:t>prevention and early intervention</w:t>
      </w:r>
      <w:r>
        <w:rPr>
          <w:rFonts w:cstheme="minorHAnsi"/>
          <w:sz w:val="20"/>
          <w:szCs w:val="19"/>
        </w:rPr>
        <w:t xml:space="preserve"> as best practice for achieving optimal health outcomes;</w:t>
      </w:r>
    </w:p>
    <w:p w14:paraId="655B9D91" w14:textId="77777777" w:rsidR="00B8386F" w:rsidRDefault="00B8386F" w:rsidP="00DB1F46">
      <w:pPr>
        <w:pStyle w:val="ListParagraph"/>
        <w:numPr>
          <w:ilvl w:val="0"/>
          <w:numId w:val="23"/>
        </w:numPr>
        <w:rPr>
          <w:rFonts w:cstheme="minorHAnsi"/>
          <w:sz w:val="20"/>
          <w:szCs w:val="19"/>
        </w:rPr>
      </w:pPr>
      <w:r>
        <w:rPr>
          <w:rFonts w:cstheme="minorHAnsi"/>
          <w:sz w:val="20"/>
          <w:szCs w:val="19"/>
        </w:rPr>
        <w:t xml:space="preserve">Considering </w:t>
      </w:r>
      <w:r w:rsidRPr="00B8386F">
        <w:rPr>
          <w:rFonts w:cstheme="minorHAnsi"/>
          <w:color w:val="1C8243"/>
          <w:sz w:val="20"/>
          <w:szCs w:val="19"/>
        </w:rPr>
        <w:t>strengths-based approaches</w:t>
      </w:r>
      <w:r>
        <w:rPr>
          <w:rFonts w:cstheme="minorHAnsi"/>
          <w:sz w:val="20"/>
          <w:szCs w:val="19"/>
        </w:rPr>
        <w:t xml:space="preserve"> to child and youth development;</w:t>
      </w:r>
    </w:p>
    <w:p w14:paraId="06B8AEC1" w14:textId="77777777" w:rsidR="00B8386F" w:rsidRDefault="00B8386F" w:rsidP="00DB1F46">
      <w:pPr>
        <w:pStyle w:val="ListParagraph"/>
        <w:numPr>
          <w:ilvl w:val="0"/>
          <w:numId w:val="23"/>
        </w:numPr>
        <w:rPr>
          <w:rFonts w:cstheme="minorHAnsi"/>
          <w:sz w:val="20"/>
          <w:szCs w:val="19"/>
        </w:rPr>
      </w:pPr>
      <w:r>
        <w:rPr>
          <w:rFonts w:cstheme="minorHAnsi"/>
          <w:sz w:val="20"/>
          <w:szCs w:val="19"/>
        </w:rPr>
        <w:t xml:space="preserve">Taking into account the context and </w:t>
      </w:r>
      <w:r w:rsidRPr="00B8386F">
        <w:rPr>
          <w:rFonts w:cstheme="minorHAnsi"/>
          <w:color w:val="1C8243"/>
          <w:sz w:val="20"/>
          <w:szCs w:val="19"/>
        </w:rPr>
        <w:t>environment</w:t>
      </w:r>
      <w:r>
        <w:rPr>
          <w:rFonts w:cstheme="minorHAnsi"/>
          <w:sz w:val="20"/>
          <w:szCs w:val="19"/>
        </w:rPr>
        <w:t xml:space="preserve"> in which children and young people grow up;</w:t>
      </w:r>
    </w:p>
    <w:p w14:paraId="7614D057" w14:textId="77777777" w:rsidR="00B8386F" w:rsidRDefault="00B8386F" w:rsidP="00DB1F46">
      <w:pPr>
        <w:pStyle w:val="ListParagraph"/>
        <w:numPr>
          <w:ilvl w:val="0"/>
          <w:numId w:val="23"/>
        </w:numPr>
        <w:rPr>
          <w:rFonts w:cstheme="minorHAnsi"/>
          <w:sz w:val="20"/>
          <w:szCs w:val="19"/>
        </w:rPr>
      </w:pPr>
      <w:r>
        <w:rPr>
          <w:rFonts w:cstheme="minorHAnsi"/>
          <w:sz w:val="20"/>
          <w:szCs w:val="19"/>
        </w:rPr>
        <w:t xml:space="preserve">Being guided by principles of </w:t>
      </w:r>
      <w:r w:rsidRPr="00B8386F">
        <w:rPr>
          <w:rFonts w:cstheme="minorHAnsi"/>
          <w:color w:val="1C8243"/>
          <w:sz w:val="20"/>
          <w:szCs w:val="19"/>
        </w:rPr>
        <w:t>health equity</w:t>
      </w:r>
      <w:r>
        <w:rPr>
          <w:rFonts w:cstheme="minorHAnsi"/>
          <w:sz w:val="20"/>
          <w:szCs w:val="19"/>
        </w:rPr>
        <w:t xml:space="preserve"> to ensure all Australian young people can be healthy, safe and thriving; and</w:t>
      </w:r>
    </w:p>
    <w:p w14:paraId="17899C95" w14:textId="77777777" w:rsidR="00B8386F" w:rsidRDefault="00B8386F" w:rsidP="00DB1F46">
      <w:pPr>
        <w:pStyle w:val="ListParagraph"/>
        <w:numPr>
          <w:ilvl w:val="0"/>
          <w:numId w:val="23"/>
        </w:numPr>
        <w:rPr>
          <w:rFonts w:cstheme="minorHAnsi"/>
          <w:sz w:val="20"/>
          <w:szCs w:val="19"/>
        </w:rPr>
      </w:pPr>
      <w:r>
        <w:rPr>
          <w:rFonts w:cstheme="minorHAnsi"/>
          <w:sz w:val="20"/>
          <w:szCs w:val="19"/>
        </w:rPr>
        <w:t xml:space="preserve">Applying a lens of </w:t>
      </w:r>
      <w:r w:rsidRPr="00B8386F">
        <w:rPr>
          <w:rFonts w:cstheme="minorHAnsi"/>
          <w:color w:val="1C8243"/>
          <w:sz w:val="20"/>
          <w:szCs w:val="19"/>
        </w:rPr>
        <w:t>proportionate universalism</w:t>
      </w:r>
      <w:r>
        <w:rPr>
          <w:rFonts w:cstheme="minorHAnsi"/>
          <w:sz w:val="20"/>
          <w:szCs w:val="19"/>
        </w:rPr>
        <w:t xml:space="preserve"> to actions and activities, so that it reflects universal </w:t>
      </w:r>
      <w:r w:rsidR="008517C5">
        <w:rPr>
          <w:rFonts w:cstheme="minorHAnsi"/>
          <w:sz w:val="20"/>
          <w:szCs w:val="19"/>
        </w:rPr>
        <w:t xml:space="preserve">health </w:t>
      </w:r>
      <w:r>
        <w:rPr>
          <w:rFonts w:cstheme="minorHAnsi"/>
          <w:sz w:val="20"/>
          <w:szCs w:val="19"/>
        </w:rPr>
        <w:t>provision but i</w:t>
      </w:r>
      <w:r w:rsidR="008B3CE4">
        <w:rPr>
          <w:rFonts w:cstheme="minorHAnsi"/>
          <w:sz w:val="20"/>
          <w:szCs w:val="19"/>
        </w:rPr>
        <w:t>s</w:t>
      </w:r>
      <w:r>
        <w:rPr>
          <w:rFonts w:cstheme="minorHAnsi"/>
          <w:sz w:val="20"/>
          <w:szCs w:val="19"/>
        </w:rPr>
        <w:t xml:space="preserve"> also proportionate to need.</w:t>
      </w:r>
      <w:r>
        <w:rPr>
          <w:rStyle w:val="EndnoteReference"/>
          <w:rFonts w:cstheme="minorHAnsi"/>
          <w:sz w:val="20"/>
          <w:szCs w:val="19"/>
        </w:rPr>
        <w:endnoteReference w:id="76"/>
      </w:r>
    </w:p>
    <w:p w14:paraId="1548C717" w14:textId="77777777" w:rsidR="008517C5" w:rsidRDefault="008517C5">
      <w:pPr>
        <w:spacing w:before="0" w:after="160" w:line="259" w:lineRule="auto"/>
        <w:rPr>
          <w:rFonts w:ascii="Segoe UI Semibold" w:hAnsi="Segoe UI Semibold"/>
          <w:b/>
          <w:color w:val="288843"/>
          <w:sz w:val="28"/>
          <w:szCs w:val="19"/>
          <w:lang w:eastAsia="en-AU"/>
        </w:rPr>
      </w:pPr>
      <w:r>
        <w:br w:type="page"/>
      </w:r>
    </w:p>
    <w:p w14:paraId="240A715C" w14:textId="77777777" w:rsidR="003330B2" w:rsidRDefault="00C51E05" w:rsidP="00FE45ED">
      <w:pPr>
        <w:pStyle w:val="Heading2"/>
      </w:pPr>
      <w:bookmarkStart w:id="22" w:name="_Toc5282304"/>
      <w:r>
        <w:t xml:space="preserve">Priority </w:t>
      </w:r>
      <w:r w:rsidR="00A43239">
        <w:t xml:space="preserve">Area </w:t>
      </w:r>
      <w:r>
        <w:t>1:</w:t>
      </w:r>
      <w:r w:rsidR="00A43239">
        <w:t xml:space="preserve"> </w:t>
      </w:r>
      <w:r w:rsidR="003330B2">
        <w:t xml:space="preserve">Improving </w:t>
      </w:r>
      <w:r w:rsidR="00C6648D">
        <w:t xml:space="preserve">health </w:t>
      </w:r>
      <w:r w:rsidR="003330B2">
        <w:t>equity across populations</w:t>
      </w:r>
      <w:bookmarkEnd w:id="22"/>
    </w:p>
    <w:p w14:paraId="3FAB8C25" w14:textId="77777777" w:rsidR="006C7FF8" w:rsidRPr="00B00788" w:rsidRDefault="003A7B15" w:rsidP="006C7FF8">
      <w:pPr>
        <w:rPr>
          <w:rFonts w:cstheme="minorHAnsi"/>
          <w:sz w:val="20"/>
          <w:szCs w:val="19"/>
        </w:rPr>
      </w:pPr>
      <w:r>
        <w:rPr>
          <w:rFonts w:cstheme="minorHAnsi"/>
          <w:sz w:val="20"/>
          <w:szCs w:val="19"/>
        </w:rPr>
        <w:t>All children and young people, no matter where they live or who they are, should have the same opportunities to live a healthy life.</w:t>
      </w:r>
      <w:r w:rsidR="00740669">
        <w:rPr>
          <w:rFonts w:cstheme="minorHAnsi"/>
          <w:sz w:val="20"/>
          <w:szCs w:val="19"/>
        </w:rPr>
        <w:t xml:space="preserve"> W</w:t>
      </w:r>
      <w:r w:rsidR="00567729">
        <w:rPr>
          <w:rFonts w:cstheme="minorHAnsi"/>
          <w:sz w:val="20"/>
          <w:szCs w:val="19"/>
        </w:rPr>
        <w:t>e must continue to evolve strategies and actions to reduce health inequity</w:t>
      </w:r>
      <w:r w:rsidR="00CA17F4">
        <w:rPr>
          <w:rFonts w:cstheme="minorHAnsi"/>
          <w:sz w:val="20"/>
          <w:szCs w:val="19"/>
        </w:rPr>
        <w:t xml:space="preserve"> and lift health outcomes for all</w:t>
      </w:r>
      <w:r w:rsidR="00567729">
        <w:rPr>
          <w:rFonts w:cstheme="minorHAnsi"/>
          <w:sz w:val="20"/>
          <w:szCs w:val="19"/>
        </w:rPr>
        <w:t xml:space="preserve">, with </w:t>
      </w:r>
      <w:r w:rsidR="00CA17F4">
        <w:rPr>
          <w:rFonts w:cstheme="minorHAnsi"/>
          <w:sz w:val="20"/>
          <w:szCs w:val="19"/>
        </w:rPr>
        <w:t>increased</w:t>
      </w:r>
      <w:r w:rsidR="00567729">
        <w:rPr>
          <w:rFonts w:cstheme="minorHAnsi"/>
          <w:sz w:val="20"/>
          <w:szCs w:val="19"/>
        </w:rPr>
        <w:t xml:space="preserve"> focus on the priority populations who are not faring as well.</w:t>
      </w:r>
    </w:p>
    <w:p w14:paraId="332C4A59" w14:textId="77777777" w:rsidR="00B00788" w:rsidRDefault="00B00788" w:rsidP="00B00788">
      <w:pPr>
        <w:pStyle w:val="Heading4"/>
      </w:pPr>
      <w:r>
        <w:t>Why is this a priority?</w:t>
      </w:r>
    </w:p>
    <w:p w14:paraId="452D092E" w14:textId="77777777" w:rsidR="006671DE" w:rsidRDefault="006C7FF8" w:rsidP="006C7FF8">
      <w:pPr>
        <w:rPr>
          <w:rFonts w:cstheme="minorHAnsi"/>
          <w:sz w:val="20"/>
          <w:szCs w:val="19"/>
        </w:rPr>
      </w:pPr>
      <w:r>
        <w:rPr>
          <w:rFonts w:cstheme="minorHAnsi"/>
          <w:sz w:val="20"/>
          <w:szCs w:val="19"/>
        </w:rPr>
        <w:t>I</w:t>
      </w:r>
      <w:r w:rsidRPr="00B00788">
        <w:rPr>
          <w:rFonts w:cstheme="minorHAnsi"/>
          <w:sz w:val="20"/>
          <w:szCs w:val="19"/>
        </w:rPr>
        <w:t xml:space="preserve">ndicators </w:t>
      </w:r>
      <w:r>
        <w:rPr>
          <w:rFonts w:cstheme="minorHAnsi"/>
          <w:sz w:val="20"/>
          <w:szCs w:val="19"/>
        </w:rPr>
        <w:t xml:space="preserve">demonstrate considerable disparity in health outcomes for children and young people across Australia, with particular populations </w:t>
      </w:r>
      <w:r w:rsidR="00567729">
        <w:rPr>
          <w:rFonts w:cstheme="minorHAnsi"/>
          <w:sz w:val="20"/>
          <w:szCs w:val="19"/>
        </w:rPr>
        <w:t>at greater risk</w:t>
      </w:r>
      <w:r w:rsidR="007509D7">
        <w:rPr>
          <w:rFonts w:cstheme="minorHAnsi"/>
          <w:sz w:val="20"/>
          <w:szCs w:val="19"/>
        </w:rPr>
        <w:t>.</w:t>
      </w:r>
      <w:r w:rsidR="006671DE">
        <w:rPr>
          <w:rFonts w:cstheme="minorHAnsi"/>
          <w:sz w:val="20"/>
          <w:szCs w:val="19"/>
        </w:rPr>
        <w:t xml:space="preserve"> Health i</w:t>
      </w:r>
      <w:r>
        <w:rPr>
          <w:rFonts w:cstheme="minorHAnsi"/>
          <w:sz w:val="20"/>
          <w:szCs w:val="19"/>
        </w:rPr>
        <w:t>nequity stems</w:t>
      </w:r>
      <w:r w:rsidR="007509D7">
        <w:rPr>
          <w:rFonts w:cstheme="minorHAnsi"/>
          <w:sz w:val="20"/>
          <w:szCs w:val="19"/>
        </w:rPr>
        <w:t xml:space="preserve"> in large part </w:t>
      </w:r>
      <w:r w:rsidR="00EF714C">
        <w:rPr>
          <w:rFonts w:cstheme="minorHAnsi"/>
          <w:sz w:val="20"/>
          <w:szCs w:val="19"/>
        </w:rPr>
        <w:t>from</w:t>
      </w:r>
      <w:r w:rsidR="007509D7">
        <w:rPr>
          <w:rFonts w:cstheme="minorHAnsi"/>
          <w:sz w:val="20"/>
          <w:szCs w:val="19"/>
        </w:rPr>
        <w:t xml:space="preserve"> </w:t>
      </w:r>
      <w:r>
        <w:rPr>
          <w:rFonts w:cstheme="minorHAnsi"/>
          <w:sz w:val="20"/>
          <w:szCs w:val="19"/>
        </w:rPr>
        <w:t xml:space="preserve">a series of </w:t>
      </w:r>
      <w:r w:rsidRPr="00C6648D">
        <w:rPr>
          <w:rFonts w:cstheme="minorHAnsi"/>
          <w:color w:val="1C8243"/>
          <w:sz w:val="20"/>
          <w:szCs w:val="19"/>
        </w:rPr>
        <w:t>social and other determinants</w:t>
      </w:r>
      <w:r>
        <w:rPr>
          <w:rFonts w:cstheme="minorHAnsi"/>
          <w:sz w:val="20"/>
          <w:szCs w:val="19"/>
        </w:rPr>
        <w:t xml:space="preserve">, such as location, socio-economic status, housing, parental education, and access to resources. </w:t>
      </w:r>
      <w:r w:rsidR="006671DE">
        <w:rPr>
          <w:rFonts w:cstheme="minorHAnsi"/>
          <w:sz w:val="20"/>
          <w:szCs w:val="19"/>
        </w:rPr>
        <w:t>Many of these are co-related and children and young people are often exposed to multiple determinants which compound their inequity.</w:t>
      </w:r>
      <w:r w:rsidR="006671DE" w:rsidRPr="006671DE">
        <w:rPr>
          <w:rStyle w:val="EndnoteReference"/>
          <w:rFonts w:cstheme="minorHAnsi"/>
          <w:sz w:val="20"/>
          <w:szCs w:val="19"/>
        </w:rPr>
        <w:t xml:space="preserve"> </w:t>
      </w:r>
      <w:r w:rsidR="006671DE">
        <w:rPr>
          <w:rStyle w:val="EndnoteReference"/>
          <w:rFonts w:cstheme="minorHAnsi"/>
          <w:sz w:val="20"/>
          <w:szCs w:val="19"/>
        </w:rPr>
        <w:endnoteReference w:id="77"/>
      </w:r>
      <w:r w:rsidR="006671DE">
        <w:rPr>
          <w:rFonts w:cstheme="minorHAnsi"/>
          <w:sz w:val="20"/>
          <w:szCs w:val="19"/>
        </w:rPr>
        <w:t xml:space="preserve"> </w:t>
      </w:r>
      <w:r w:rsidR="006671DE">
        <w:rPr>
          <w:rStyle w:val="EndnoteReference"/>
          <w:rFonts w:cstheme="minorHAnsi"/>
          <w:sz w:val="20"/>
          <w:szCs w:val="19"/>
        </w:rPr>
        <w:endnoteReference w:id="78"/>
      </w:r>
      <w:r w:rsidR="006279E0">
        <w:rPr>
          <w:rFonts w:cstheme="minorHAnsi"/>
          <w:sz w:val="20"/>
          <w:szCs w:val="19"/>
        </w:rPr>
        <w:t xml:space="preserve"> </w:t>
      </w:r>
      <w:r w:rsidR="006279E0">
        <w:rPr>
          <w:rStyle w:val="EndnoteReference"/>
          <w:rFonts w:cstheme="minorHAnsi"/>
          <w:sz w:val="20"/>
          <w:szCs w:val="19"/>
        </w:rPr>
        <w:endnoteReference w:id="79"/>
      </w:r>
    </w:p>
    <w:p w14:paraId="6BC6032C" w14:textId="77777777" w:rsidR="00121604" w:rsidRDefault="006671DE" w:rsidP="006671DE">
      <w:pPr>
        <w:rPr>
          <w:rFonts w:cstheme="minorHAnsi"/>
          <w:sz w:val="20"/>
          <w:szCs w:val="19"/>
        </w:rPr>
      </w:pPr>
      <w:r>
        <w:rPr>
          <w:rFonts w:cstheme="minorHAnsi"/>
          <w:sz w:val="20"/>
          <w:szCs w:val="19"/>
        </w:rPr>
        <w:t xml:space="preserve">Inequity in health outcomes often runs parallel with </w:t>
      </w:r>
      <w:r w:rsidR="00C6648D" w:rsidRPr="00C6648D">
        <w:rPr>
          <w:rFonts w:cstheme="minorHAnsi"/>
          <w:color w:val="1C8243"/>
          <w:sz w:val="20"/>
          <w:szCs w:val="19"/>
        </w:rPr>
        <w:t xml:space="preserve">inequitable infrastructure and access </w:t>
      </w:r>
      <w:r w:rsidR="00740669">
        <w:rPr>
          <w:rFonts w:cstheme="minorHAnsi"/>
          <w:color w:val="1C8243"/>
          <w:sz w:val="20"/>
          <w:szCs w:val="19"/>
        </w:rPr>
        <w:t>to</w:t>
      </w:r>
      <w:r w:rsidR="00C6648D" w:rsidRPr="00C6648D">
        <w:rPr>
          <w:rFonts w:cstheme="minorHAnsi"/>
          <w:color w:val="1C8243"/>
          <w:sz w:val="20"/>
          <w:szCs w:val="19"/>
        </w:rPr>
        <w:t xml:space="preserve"> health services and interventions</w:t>
      </w:r>
      <w:r w:rsidR="00C6648D">
        <w:rPr>
          <w:rFonts w:cstheme="minorHAnsi"/>
          <w:sz w:val="20"/>
          <w:szCs w:val="19"/>
        </w:rPr>
        <w:t xml:space="preserve">. </w:t>
      </w:r>
      <w:r w:rsidR="004A620E">
        <w:rPr>
          <w:rFonts w:cstheme="minorHAnsi"/>
          <w:sz w:val="20"/>
          <w:szCs w:val="19"/>
        </w:rPr>
        <w:t xml:space="preserve">This means that </w:t>
      </w:r>
      <w:r w:rsidR="004A620E" w:rsidRPr="004A620E">
        <w:rPr>
          <w:rFonts w:cstheme="minorHAnsi"/>
          <w:sz w:val="20"/>
          <w:szCs w:val="19"/>
        </w:rPr>
        <w:t>those who are most in need of services are often the least likely to access them.</w:t>
      </w:r>
      <w:r w:rsidR="004A620E">
        <w:rPr>
          <w:rStyle w:val="EndnoteReference"/>
          <w:rFonts w:cstheme="minorHAnsi"/>
          <w:sz w:val="20"/>
          <w:szCs w:val="19"/>
        </w:rPr>
        <w:endnoteReference w:id="80"/>
      </w:r>
      <w:r w:rsidR="004A620E">
        <w:rPr>
          <w:rFonts w:cstheme="minorHAnsi"/>
          <w:sz w:val="20"/>
          <w:szCs w:val="19"/>
        </w:rPr>
        <w:t xml:space="preserve"> </w:t>
      </w:r>
    </w:p>
    <w:p w14:paraId="2674AA8B" w14:textId="77777777" w:rsidR="00121604" w:rsidRDefault="00E12D85" w:rsidP="006671DE">
      <w:pPr>
        <w:rPr>
          <w:rFonts w:cstheme="minorHAnsi"/>
          <w:sz w:val="20"/>
          <w:szCs w:val="19"/>
        </w:rPr>
      </w:pPr>
      <w:r>
        <w:rPr>
          <w:rFonts w:cstheme="minorHAnsi"/>
          <w:sz w:val="20"/>
          <w:szCs w:val="19"/>
        </w:rPr>
        <w:t>One of the reasons for this relates to availability of services</w:t>
      </w:r>
      <w:r w:rsidR="00E62474">
        <w:rPr>
          <w:rFonts w:cstheme="minorHAnsi"/>
          <w:sz w:val="20"/>
          <w:szCs w:val="19"/>
        </w:rPr>
        <w:t xml:space="preserve"> for certain priority populations</w:t>
      </w:r>
      <w:r>
        <w:rPr>
          <w:rFonts w:cstheme="minorHAnsi"/>
          <w:sz w:val="20"/>
          <w:szCs w:val="19"/>
        </w:rPr>
        <w:t xml:space="preserve">. </w:t>
      </w:r>
      <w:r w:rsidR="00C6648D">
        <w:rPr>
          <w:rFonts w:cstheme="minorHAnsi"/>
          <w:sz w:val="20"/>
          <w:szCs w:val="19"/>
        </w:rPr>
        <w:t xml:space="preserve">For instance, </w:t>
      </w:r>
      <w:r w:rsidR="006671DE">
        <w:rPr>
          <w:rFonts w:cstheme="minorHAnsi"/>
          <w:sz w:val="20"/>
          <w:szCs w:val="19"/>
        </w:rPr>
        <w:t xml:space="preserve">children and young people in </w:t>
      </w:r>
      <w:r w:rsidR="004A620E">
        <w:rPr>
          <w:rFonts w:cstheme="minorHAnsi"/>
          <w:sz w:val="20"/>
          <w:szCs w:val="19"/>
        </w:rPr>
        <w:t>rural</w:t>
      </w:r>
      <w:r w:rsidR="006671DE">
        <w:rPr>
          <w:rFonts w:cstheme="minorHAnsi"/>
          <w:sz w:val="20"/>
          <w:szCs w:val="19"/>
        </w:rPr>
        <w:t xml:space="preserve"> and remote </w:t>
      </w:r>
      <w:r w:rsidR="004A620E">
        <w:rPr>
          <w:rFonts w:cstheme="minorHAnsi"/>
          <w:sz w:val="20"/>
          <w:szCs w:val="19"/>
        </w:rPr>
        <w:t>Australia</w:t>
      </w:r>
      <w:r w:rsidR="006671DE">
        <w:rPr>
          <w:rFonts w:cstheme="minorHAnsi"/>
          <w:sz w:val="20"/>
          <w:szCs w:val="19"/>
        </w:rPr>
        <w:t xml:space="preserve"> </w:t>
      </w:r>
      <w:r w:rsidR="00C6648D">
        <w:rPr>
          <w:rFonts w:cstheme="minorHAnsi"/>
          <w:sz w:val="20"/>
          <w:szCs w:val="19"/>
        </w:rPr>
        <w:t xml:space="preserve">(who are also more likely to be living in poverty, be Indigenous, and in single parent households) </w:t>
      </w:r>
      <w:r w:rsidR="004A620E">
        <w:rPr>
          <w:rFonts w:cstheme="minorHAnsi"/>
          <w:sz w:val="20"/>
          <w:szCs w:val="19"/>
        </w:rPr>
        <w:t xml:space="preserve">live in areas </w:t>
      </w:r>
      <w:r w:rsidR="006671DE">
        <w:rPr>
          <w:rFonts w:cstheme="minorHAnsi"/>
          <w:sz w:val="20"/>
          <w:szCs w:val="19"/>
        </w:rPr>
        <w:t>with a lower proportion of health professionals per head of population, particularly limiting access and choice of specialist early childhood intervention services, allied health care, dental care, and mental health support. Consequently, they can face significant travel time and cost to access services that are not locally available.</w:t>
      </w:r>
      <w:r w:rsidR="006671DE">
        <w:rPr>
          <w:rStyle w:val="EndnoteReference"/>
          <w:rFonts w:cstheme="minorHAnsi"/>
          <w:sz w:val="20"/>
          <w:szCs w:val="19"/>
        </w:rPr>
        <w:endnoteReference w:id="81"/>
      </w:r>
      <w:r w:rsidR="006671DE">
        <w:rPr>
          <w:rFonts w:cstheme="minorHAnsi"/>
          <w:sz w:val="20"/>
          <w:szCs w:val="19"/>
        </w:rPr>
        <w:t xml:space="preserve"> </w:t>
      </w:r>
      <w:r w:rsidR="006671DE">
        <w:rPr>
          <w:rStyle w:val="EndnoteReference"/>
          <w:rFonts w:cstheme="minorHAnsi"/>
          <w:sz w:val="20"/>
          <w:szCs w:val="19"/>
        </w:rPr>
        <w:endnoteReference w:id="82"/>
      </w:r>
      <w:r w:rsidR="006671DE">
        <w:rPr>
          <w:rFonts w:cstheme="minorHAnsi"/>
          <w:sz w:val="20"/>
          <w:szCs w:val="19"/>
        </w:rPr>
        <w:t xml:space="preserve"> </w:t>
      </w:r>
      <w:r w:rsidR="006671DE" w:rsidRPr="00E704B2">
        <w:rPr>
          <w:rStyle w:val="EndnoteReference"/>
          <w:rFonts w:cstheme="minorHAnsi"/>
          <w:sz w:val="20"/>
          <w:szCs w:val="19"/>
        </w:rPr>
        <w:endnoteReference w:id="83"/>
      </w:r>
      <w:r w:rsidR="006671DE">
        <w:rPr>
          <w:rFonts w:cstheme="minorHAnsi"/>
          <w:sz w:val="20"/>
          <w:szCs w:val="19"/>
        </w:rPr>
        <w:t xml:space="preserve"> </w:t>
      </w:r>
    </w:p>
    <w:p w14:paraId="64BF5E33" w14:textId="77777777" w:rsidR="00121604" w:rsidRDefault="00121604" w:rsidP="006671DE">
      <w:pPr>
        <w:rPr>
          <w:rFonts w:cstheme="minorHAnsi"/>
          <w:sz w:val="20"/>
          <w:szCs w:val="19"/>
        </w:rPr>
      </w:pPr>
      <w:r>
        <w:rPr>
          <w:rFonts w:cstheme="minorHAnsi"/>
          <w:sz w:val="20"/>
          <w:szCs w:val="19"/>
        </w:rPr>
        <w:t>Beyond availability, o</w:t>
      </w:r>
      <w:r w:rsidR="004A620E">
        <w:rPr>
          <w:rFonts w:cstheme="minorHAnsi"/>
          <w:sz w:val="20"/>
          <w:szCs w:val="19"/>
        </w:rPr>
        <w:t xml:space="preserve">ther </w:t>
      </w:r>
      <w:r>
        <w:rPr>
          <w:rFonts w:cstheme="minorHAnsi"/>
          <w:sz w:val="20"/>
          <w:szCs w:val="19"/>
        </w:rPr>
        <w:t xml:space="preserve">intrinsic </w:t>
      </w:r>
      <w:r w:rsidR="004A620E">
        <w:rPr>
          <w:rFonts w:cstheme="minorHAnsi"/>
          <w:sz w:val="20"/>
          <w:szCs w:val="19"/>
        </w:rPr>
        <w:t>barriers to access</w:t>
      </w:r>
      <w:r>
        <w:rPr>
          <w:rFonts w:cstheme="minorHAnsi"/>
          <w:sz w:val="20"/>
          <w:szCs w:val="19"/>
        </w:rPr>
        <w:t xml:space="preserve"> of services and support </w:t>
      </w:r>
      <w:r w:rsidR="004A620E">
        <w:rPr>
          <w:rFonts w:cstheme="minorHAnsi"/>
          <w:sz w:val="20"/>
          <w:szCs w:val="19"/>
        </w:rPr>
        <w:t>among such populations</w:t>
      </w:r>
      <w:r w:rsidR="00E62474">
        <w:rPr>
          <w:rFonts w:cstheme="minorHAnsi"/>
          <w:sz w:val="20"/>
          <w:szCs w:val="19"/>
        </w:rPr>
        <w:t xml:space="preserve"> are apparent. These</w:t>
      </w:r>
      <w:r w:rsidR="004A620E">
        <w:rPr>
          <w:rFonts w:cstheme="minorHAnsi"/>
          <w:sz w:val="20"/>
          <w:szCs w:val="19"/>
        </w:rPr>
        <w:t xml:space="preserve"> </w:t>
      </w:r>
      <w:r>
        <w:rPr>
          <w:rFonts w:cstheme="minorHAnsi"/>
          <w:sz w:val="20"/>
          <w:szCs w:val="19"/>
        </w:rPr>
        <w:t xml:space="preserve">stem from </w:t>
      </w:r>
      <w:r w:rsidR="00E62474">
        <w:rPr>
          <w:rFonts w:cstheme="minorHAnsi"/>
          <w:sz w:val="20"/>
          <w:szCs w:val="19"/>
        </w:rPr>
        <w:t>individual and community</w:t>
      </w:r>
      <w:r>
        <w:rPr>
          <w:rFonts w:cstheme="minorHAnsi"/>
          <w:sz w:val="20"/>
          <w:szCs w:val="19"/>
        </w:rPr>
        <w:t xml:space="preserve"> self-efficacy, norms</w:t>
      </w:r>
      <w:r w:rsidR="00E12D85">
        <w:rPr>
          <w:rFonts w:cstheme="minorHAnsi"/>
          <w:sz w:val="20"/>
          <w:szCs w:val="19"/>
        </w:rPr>
        <w:t>,</w:t>
      </w:r>
      <w:r>
        <w:rPr>
          <w:rFonts w:cstheme="minorHAnsi"/>
          <w:sz w:val="20"/>
          <w:szCs w:val="19"/>
        </w:rPr>
        <w:t xml:space="preserve"> and beliefs, including health literacy, stigma associat</w:t>
      </w:r>
      <w:r w:rsidR="006757FF">
        <w:rPr>
          <w:rFonts w:cstheme="minorHAnsi"/>
          <w:sz w:val="20"/>
          <w:szCs w:val="19"/>
        </w:rPr>
        <w:t>ed</w:t>
      </w:r>
      <w:r>
        <w:rPr>
          <w:rFonts w:cstheme="minorHAnsi"/>
          <w:sz w:val="20"/>
          <w:szCs w:val="19"/>
        </w:rPr>
        <w:t xml:space="preserve"> with certain conditions and accessing services, and cultural disconnect.</w:t>
      </w:r>
      <w:r w:rsidR="00E12D85">
        <w:rPr>
          <w:rStyle w:val="EndnoteReference"/>
          <w:rFonts w:cstheme="minorHAnsi"/>
          <w:sz w:val="20"/>
          <w:szCs w:val="19"/>
        </w:rPr>
        <w:endnoteReference w:id="84"/>
      </w:r>
      <w:r>
        <w:rPr>
          <w:rFonts w:cstheme="minorHAnsi"/>
          <w:sz w:val="20"/>
          <w:szCs w:val="19"/>
        </w:rPr>
        <w:t xml:space="preserve"> </w:t>
      </w:r>
      <w:r w:rsidR="00E12D85">
        <w:rPr>
          <w:rStyle w:val="EndnoteReference"/>
          <w:rFonts w:cstheme="minorHAnsi"/>
          <w:sz w:val="20"/>
          <w:szCs w:val="19"/>
        </w:rPr>
        <w:endnoteReference w:id="85"/>
      </w:r>
      <w:r w:rsidR="00E12D85">
        <w:rPr>
          <w:rFonts w:cstheme="minorHAnsi"/>
          <w:sz w:val="20"/>
          <w:szCs w:val="19"/>
        </w:rPr>
        <w:t xml:space="preserve"> </w:t>
      </w:r>
      <w:r w:rsidR="00E12D85">
        <w:rPr>
          <w:rStyle w:val="EndnoteReference"/>
          <w:rFonts w:cstheme="minorHAnsi"/>
          <w:sz w:val="20"/>
          <w:szCs w:val="19"/>
        </w:rPr>
        <w:endnoteReference w:id="86"/>
      </w:r>
    </w:p>
    <w:p w14:paraId="1C8DC437" w14:textId="77777777" w:rsidR="00C6648D" w:rsidRDefault="00C6648D" w:rsidP="00C6648D">
      <w:pPr>
        <w:pStyle w:val="Heading4"/>
      </w:pPr>
      <w:r>
        <w:t>What can be done?</w:t>
      </w:r>
    </w:p>
    <w:p w14:paraId="05AD24DC" w14:textId="77777777" w:rsidR="003A7B15" w:rsidRDefault="00C6648D" w:rsidP="006C7FF8">
      <w:pPr>
        <w:rPr>
          <w:rFonts w:cstheme="minorHAnsi"/>
          <w:sz w:val="20"/>
          <w:szCs w:val="19"/>
        </w:rPr>
      </w:pPr>
      <w:r>
        <w:rPr>
          <w:rFonts w:cstheme="minorHAnsi"/>
          <w:sz w:val="20"/>
          <w:szCs w:val="19"/>
        </w:rPr>
        <w:t xml:space="preserve">It is recognised that the complex and intersecting </w:t>
      </w:r>
      <w:r w:rsidR="003A7B15">
        <w:rPr>
          <w:rFonts w:cstheme="minorHAnsi"/>
          <w:sz w:val="20"/>
          <w:szCs w:val="19"/>
        </w:rPr>
        <w:t>factors</w:t>
      </w:r>
      <w:r w:rsidRPr="006671DE">
        <w:rPr>
          <w:rFonts w:cstheme="minorHAnsi"/>
          <w:sz w:val="20"/>
          <w:szCs w:val="19"/>
        </w:rPr>
        <w:t xml:space="preserve"> associated with</w:t>
      </w:r>
      <w:r>
        <w:rPr>
          <w:rFonts w:cstheme="minorHAnsi"/>
          <w:sz w:val="20"/>
          <w:szCs w:val="19"/>
        </w:rPr>
        <w:t xml:space="preserve"> inequitable health outcomes </w:t>
      </w:r>
      <w:r w:rsidR="003A7B15">
        <w:rPr>
          <w:rFonts w:cstheme="minorHAnsi"/>
          <w:sz w:val="20"/>
          <w:szCs w:val="19"/>
        </w:rPr>
        <w:t xml:space="preserve">reach across multiple domains and addressing these will never be </w:t>
      </w:r>
      <w:r w:rsidRPr="006671DE">
        <w:rPr>
          <w:rFonts w:cstheme="minorHAnsi"/>
          <w:sz w:val="20"/>
          <w:szCs w:val="19"/>
        </w:rPr>
        <w:t xml:space="preserve">achieved by the health system in isolation. </w:t>
      </w:r>
      <w:r w:rsidR="003A7B15">
        <w:rPr>
          <w:rFonts w:cstheme="minorHAnsi"/>
          <w:sz w:val="20"/>
          <w:szCs w:val="19"/>
        </w:rPr>
        <w:t>As noted elsewhere, s</w:t>
      </w:r>
      <w:r w:rsidRPr="006671DE">
        <w:rPr>
          <w:rFonts w:cstheme="minorHAnsi"/>
          <w:sz w:val="20"/>
          <w:szCs w:val="19"/>
        </w:rPr>
        <w:t>ystemic responses are required</w:t>
      </w:r>
      <w:r w:rsidR="003A7B15">
        <w:rPr>
          <w:rFonts w:cstheme="minorHAnsi"/>
          <w:sz w:val="20"/>
          <w:szCs w:val="19"/>
        </w:rPr>
        <w:t xml:space="preserve"> across communities and governments to address these multifaceted determinants of health among priority populations.</w:t>
      </w:r>
      <w:r w:rsidR="003A7B15">
        <w:rPr>
          <w:rStyle w:val="EndnoteReference"/>
          <w:rFonts w:cstheme="minorHAnsi"/>
          <w:sz w:val="20"/>
          <w:szCs w:val="19"/>
        </w:rPr>
        <w:endnoteReference w:id="87"/>
      </w:r>
      <w:r w:rsidR="003A7B15">
        <w:rPr>
          <w:rFonts w:cstheme="minorHAnsi"/>
          <w:sz w:val="20"/>
          <w:szCs w:val="19"/>
        </w:rPr>
        <w:t xml:space="preserve"> </w:t>
      </w:r>
      <w:r w:rsidR="006279E0">
        <w:rPr>
          <w:rStyle w:val="EndnoteReference"/>
          <w:rFonts w:cstheme="minorHAnsi"/>
          <w:sz w:val="20"/>
          <w:szCs w:val="19"/>
        </w:rPr>
        <w:endnoteReference w:id="88"/>
      </w:r>
    </w:p>
    <w:p w14:paraId="05BAC3D4" w14:textId="77777777" w:rsidR="00A15BA5" w:rsidRDefault="001509EE" w:rsidP="006C7FF8">
      <w:pPr>
        <w:rPr>
          <w:rFonts w:cstheme="minorHAnsi"/>
          <w:sz w:val="20"/>
          <w:szCs w:val="19"/>
        </w:rPr>
      </w:pPr>
      <w:r>
        <w:rPr>
          <w:rFonts w:cstheme="minorHAnsi"/>
          <w:sz w:val="20"/>
          <w:szCs w:val="19"/>
        </w:rPr>
        <w:t>A</w:t>
      </w:r>
      <w:r w:rsidR="00567729">
        <w:rPr>
          <w:rFonts w:cstheme="minorHAnsi"/>
          <w:sz w:val="20"/>
          <w:szCs w:val="19"/>
        </w:rPr>
        <w:t xml:space="preserve"> number of national </w:t>
      </w:r>
      <w:r>
        <w:rPr>
          <w:rFonts w:cstheme="minorHAnsi"/>
          <w:sz w:val="20"/>
          <w:szCs w:val="19"/>
        </w:rPr>
        <w:t>frameworks</w:t>
      </w:r>
      <w:r w:rsidR="00567729">
        <w:rPr>
          <w:rFonts w:cstheme="minorHAnsi"/>
          <w:sz w:val="20"/>
          <w:szCs w:val="19"/>
        </w:rPr>
        <w:t xml:space="preserve"> have been instigated </w:t>
      </w:r>
      <w:r w:rsidR="006279E0">
        <w:rPr>
          <w:rFonts w:cstheme="minorHAnsi"/>
          <w:sz w:val="20"/>
          <w:szCs w:val="19"/>
        </w:rPr>
        <w:t>to address</w:t>
      </w:r>
      <w:r>
        <w:rPr>
          <w:rFonts w:cstheme="minorHAnsi"/>
          <w:sz w:val="20"/>
          <w:szCs w:val="19"/>
        </w:rPr>
        <w:t xml:space="preserve"> health</w:t>
      </w:r>
      <w:r w:rsidR="006279E0">
        <w:rPr>
          <w:rFonts w:cstheme="minorHAnsi"/>
          <w:sz w:val="20"/>
          <w:szCs w:val="19"/>
        </w:rPr>
        <w:t xml:space="preserve"> gaps within </w:t>
      </w:r>
      <w:r>
        <w:rPr>
          <w:rFonts w:cstheme="minorHAnsi"/>
          <w:sz w:val="20"/>
          <w:szCs w:val="19"/>
        </w:rPr>
        <w:t>specific priority</w:t>
      </w:r>
      <w:r w:rsidR="006279E0">
        <w:rPr>
          <w:rFonts w:cstheme="minorHAnsi"/>
          <w:sz w:val="20"/>
          <w:szCs w:val="19"/>
        </w:rPr>
        <w:t xml:space="preserve"> populations. This includes </w:t>
      </w:r>
      <w:r w:rsidR="006279E0" w:rsidRPr="004947EC">
        <w:rPr>
          <w:rFonts w:cstheme="minorHAnsi"/>
          <w:sz w:val="20"/>
          <w:szCs w:val="19"/>
        </w:rPr>
        <w:t>the</w:t>
      </w:r>
      <w:r w:rsidR="006279E0" w:rsidRPr="004947EC">
        <w:rPr>
          <w:rFonts w:cstheme="minorHAnsi"/>
          <w:i/>
          <w:sz w:val="20"/>
          <w:szCs w:val="19"/>
        </w:rPr>
        <w:t xml:space="preserve"> National Aboriginal and Torres Strait Islander Health Plan 2013-2023</w:t>
      </w:r>
      <w:r w:rsidR="006279E0" w:rsidRPr="004947EC">
        <w:rPr>
          <w:rFonts w:cstheme="minorHAnsi"/>
          <w:sz w:val="20"/>
          <w:szCs w:val="19"/>
        </w:rPr>
        <w:t xml:space="preserve">, </w:t>
      </w:r>
      <w:r w:rsidR="006279E0" w:rsidRPr="004947EC">
        <w:rPr>
          <w:rFonts w:cstheme="minorHAnsi"/>
          <w:i/>
          <w:sz w:val="20"/>
          <w:szCs w:val="19"/>
        </w:rPr>
        <w:t>National Framework for Health Services for Aboriginal and Torres Strait Islander Children and Families</w:t>
      </w:r>
      <w:r w:rsidR="006279E0" w:rsidRPr="004947EC">
        <w:rPr>
          <w:rFonts w:cstheme="minorHAnsi"/>
          <w:sz w:val="20"/>
          <w:szCs w:val="19"/>
        </w:rPr>
        <w:t xml:space="preserve">, </w:t>
      </w:r>
      <w:r w:rsidR="00E12FF4" w:rsidRPr="004947EC">
        <w:rPr>
          <w:rFonts w:cstheme="minorHAnsi"/>
          <w:i/>
          <w:sz w:val="20"/>
          <w:szCs w:val="19"/>
        </w:rPr>
        <w:t>National Framework for Protecting Australia’s Children 2009-2020</w:t>
      </w:r>
      <w:r w:rsidR="00E12FF4" w:rsidRPr="004947EC">
        <w:rPr>
          <w:rFonts w:cstheme="minorHAnsi"/>
          <w:sz w:val="20"/>
          <w:szCs w:val="19"/>
        </w:rPr>
        <w:t xml:space="preserve">, </w:t>
      </w:r>
      <w:r w:rsidR="00E12FF4" w:rsidRPr="004947EC">
        <w:rPr>
          <w:rFonts w:cstheme="minorHAnsi"/>
          <w:i/>
          <w:sz w:val="20"/>
          <w:szCs w:val="19"/>
        </w:rPr>
        <w:t>National Strategic Framework for Rural and Remote Health</w:t>
      </w:r>
      <w:r w:rsidR="00E12FF4" w:rsidRPr="004947EC">
        <w:rPr>
          <w:rFonts w:cstheme="minorHAnsi"/>
          <w:sz w:val="20"/>
          <w:szCs w:val="19"/>
        </w:rPr>
        <w:t xml:space="preserve">, and the </w:t>
      </w:r>
      <w:r w:rsidR="00E12FF4" w:rsidRPr="004947EC">
        <w:rPr>
          <w:rFonts w:cstheme="minorHAnsi"/>
          <w:i/>
          <w:sz w:val="20"/>
          <w:szCs w:val="19"/>
        </w:rPr>
        <w:t>2010–2020 National Disability Strategy</w:t>
      </w:r>
      <w:r w:rsidR="00E12FF4" w:rsidRPr="004947EC">
        <w:rPr>
          <w:rFonts w:cstheme="minorHAnsi"/>
          <w:sz w:val="20"/>
          <w:szCs w:val="19"/>
        </w:rPr>
        <w:t xml:space="preserve">. </w:t>
      </w:r>
      <w:r w:rsidRPr="004947EC">
        <w:rPr>
          <w:rFonts w:cstheme="minorHAnsi"/>
          <w:sz w:val="20"/>
          <w:szCs w:val="19"/>
        </w:rPr>
        <w:t>Multiple</w:t>
      </w:r>
      <w:r w:rsidR="00E12FF4">
        <w:rPr>
          <w:rFonts w:cstheme="minorHAnsi"/>
          <w:sz w:val="20"/>
          <w:szCs w:val="19"/>
        </w:rPr>
        <w:t xml:space="preserve"> priority areas and actions within these</w:t>
      </w:r>
      <w:r>
        <w:rPr>
          <w:rFonts w:cstheme="minorHAnsi"/>
          <w:sz w:val="20"/>
          <w:szCs w:val="19"/>
        </w:rPr>
        <w:t xml:space="preserve"> frameworks are targeted at improving health outcomes and </w:t>
      </w:r>
      <w:r w:rsidR="00851CAF">
        <w:rPr>
          <w:rFonts w:cstheme="minorHAnsi"/>
          <w:sz w:val="20"/>
          <w:szCs w:val="19"/>
        </w:rPr>
        <w:t xml:space="preserve">service </w:t>
      </w:r>
      <w:r>
        <w:rPr>
          <w:rFonts w:cstheme="minorHAnsi"/>
          <w:sz w:val="20"/>
          <w:szCs w:val="19"/>
        </w:rPr>
        <w:t>access for children and young people, as well as tackling the social determinants underpinning inequity</w:t>
      </w:r>
      <w:r w:rsidR="00A15BA5">
        <w:rPr>
          <w:rFonts w:cstheme="minorHAnsi"/>
          <w:sz w:val="20"/>
          <w:szCs w:val="19"/>
        </w:rPr>
        <w:t>.</w:t>
      </w:r>
    </w:p>
    <w:p w14:paraId="0968124A" w14:textId="4276A0B9" w:rsidR="00A15BA5" w:rsidRPr="002D1792" w:rsidRDefault="00A15BA5" w:rsidP="006C7FF8">
      <w:pPr>
        <w:rPr>
          <w:rFonts w:cstheme="minorHAnsi"/>
          <w:sz w:val="20"/>
          <w:szCs w:val="19"/>
        </w:rPr>
      </w:pPr>
      <w:r w:rsidRPr="002D1792">
        <w:rPr>
          <w:rFonts w:cstheme="minorHAnsi"/>
          <w:sz w:val="20"/>
          <w:szCs w:val="19"/>
        </w:rPr>
        <w:t>In addition to the above frameworks, there are also numerous health programs</w:t>
      </w:r>
      <w:r w:rsidR="00D72C3D" w:rsidRPr="002D1792">
        <w:rPr>
          <w:rFonts w:cstheme="minorHAnsi"/>
          <w:sz w:val="20"/>
          <w:szCs w:val="19"/>
        </w:rPr>
        <w:t xml:space="preserve"> in Australia</w:t>
      </w:r>
      <w:r w:rsidRPr="002D1792">
        <w:rPr>
          <w:rFonts w:cstheme="minorHAnsi"/>
          <w:sz w:val="20"/>
          <w:szCs w:val="19"/>
        </w:rPr>
        <w:t xml:space="preserve"> </w:t>
      </w:r>
      <w:r w:rsidR="00D72C3D" w:rsidRPr="002D1792">
        <w:rPr>
          <w:rFonts w:cstheme="minorHAnsi"/>
          <w:sz w:val="20"/>
          <w:szCs w:val="19"/>
        </w:rPr>
        <w:t xml:space="preserve">targeted at improving health outcomes for children and young people – </w:t>
      </w:r>
      <w:r w:rsidR="00C77F19" w:rsidRPr="002D1792">
        <w:rPr>
          <w:rFonts w:cstheme="minorHAnsi"/>
          <w:sz w:val="20"/>
          <w:szCs w:val="19"/>
        </w:rPr>
        <w:t xml:space="preserve">e.g. </w:t>
      </w:r>
      <w:r w:rsidR="00D72C3D" w:rsidRPr="002D1792">
        <w:rPr>
          <w:rFonts w:cstheme="minorHAnsi"/>
          <w:sz w:val="20"/>
          <w:szCs w:val="19"/>
        </w:rPr>
        <w:t>the National Immunisation Program, the Child Dental Benefits Schedule</w:t>
      </w:r>
      <w:r w:rsidR="00C77F19" w:rsidRPr="002D1792">
        <w:rPr>
          <w:rFonts w:cstheme="minorHAnsi"/>
          <w:sz w:val="20"/>
          <w:szCs w:val="19"/>
        </w:rPr>
        <w:t xml:space="preserve">. </w:t>
      </w:r>
      <w:r w:rsidR="00D72C3D" w:rsidRPr="002D1792">
        <w:rPr>
          <w:rFonts w:cstheme="minorHAnsi"/>
          <w:sz w:val="20"/>
          <w:szCs w:val="19"/>
        </w:rPr>
        <w:t xml:space="preserve">Uptake of these programs within </w:t>
      </w:r>
      <w:r w:rsidRPr="002D1792">
        <w:rPr>
          <w:rFonts w:cstheme="minorHAnsi"/>
          <w:sz w:val="20"/>
          <w:szCs w:val="19"/>
        </w:rPr>
        <w:t>priority</w:t>
      </w:r>
      <w:r w:rsidR="00D72C3D" w:rsidRPr="002D1792">
        <w:rPr>
          <w:rFonts w:cstheme="minorHAnsi"/>
          <w:sz w:val="20"/>
          <w:szCs w:val="19"/>
        </w:rPr>
        <w:t xml:space="preserve"> and disadvantaged</w:t>
      </w:r>
      <w:r w:rsidRPr="002D1792">
        <w:rPr>
          <w:rFonts w:cstheme="minorHAnsi"/>
          <w:sz w:val="20"/>
          <w:szCs w:val="19"/>
        </w:rPr>
        <w:t xml:space="preserve"> populations is</w:t>
      </w:r>
      <w:r w:rsidR="00D72C3D" w:rsidRPr="002D1792">
        <w:rPr>
          <w:rFonts w:cstheme="minorHAnsi"/>
          <w:sz w:val="20"/>
          <w:szCs w:val="19"/>
        </w:rPr>
        <w:t xml:space="preserve"> often</w:t>
      </w:r>
      <w:r w:rsidRPr="002D1792">
        <w:rPr>
          <w:rFonts w:cstheme="minorHAnsi"/>
          <w:sz w:val="20"/>
          <w:szCs w:val="19"/>
        </w:rPr>
        <w:t xml:space="preserve"> lower than </w:t>
      </w:r>
      <w:r w:rsidR="00D72C3D" w:rsidRPr="002D1792">
        <w:rPr>
          <w:rFonts w:cstheme="minorHAnsi"/>
          <w:sz w:val="20"/>
          <w:szCs w:val="19"/>
        </w:rPr>
        <w:t>for the general population – the result of barriers such as access issues and lower health literacy. Focusing effort to increase the uptake of these existing programs within priority populations, and if fact all populations, will go some way to providing for enhanced and more equitable health outcomes.</w:t>
      </w:r>
    </w:p>
    <w:p w14:paraId="6886079C" w14:textId="663FBC47" w:rsidR="00082296" w:rsidRDefault="001509EE" w:rsidP="006C7FF8">
      <w:pPr>
        <w:rPr>
          <w:rFonts w:cstheme="minorHAnsi"/>
          <w:sz w:val="20"/>
          <w:szCs w:val="19"/>
        </w:rPr>
      </w:pPr>
      <w:r>
        <w:rPr>
          <w:rFonts w:cstheme="minorHAnsi"/>
          <w:sz w:val="20"/>
          <w:szCs w:val="19"/>
        </w:rPr>
        <w:t>The priority actions outlined below reflect</w:t>
      </w:r>
      <w:r w:rsidR="00082296">
        <w:rPr>
          <w:rFonts w:cstheme="minorHAnsi"/>
          <w:sz w:val="20"/>
          <w:szCs w:val="19"/>
        </w:rPr>
        <w:t xml:space="preserve"> strategies that cut across different priority populations and offer means by which </w:t>
      </w:r>
      <w:r w:rsidR="004A620E">
        <w:rPr>
          <w:rFonts w:cstheme="minorHAnsi"/>
          <w:sz w:val="20"/>
          <w:szCs w:val="19"/>
        </w:rPr>
        <w:t xml:space="preserve">health </w:t>
      </w:r>
      <w:r w:rsidR="00082296">
        <w:rPr>
          <w:rFonts w:cstheme="minorHAnsi"/>
          <w:sz w:val="20"/>
          <w:szCs w:val="19"/>
        </w:rPr>
        <w:t xml:space="preserve">equity can be improved for </w:t>
      </w:r>
      <w:r w:rsidR="004A620E">
        <w:rPr>
          <w:rFonts w:cstheme="minorHAnsi"/>
          <w:sz w:val="20"/>
          <w:szCs w:val="19"/>
        </w:rPr>
        <w:t>many of these groups</w:t>
      </w:r>
      <w:r w:rsidR="00082296">
        <w:rPr>
          <w:rFonts w:cstheme="minorHAnsi"/>
          <w:sz w:val="20"/>
          <w:szCs w:val="19"/>
        </w:rPr>
        <w:t>. This includes</w:t>
      </w:r>
      <w:r w:rsidR="00E62474">
        <w:rPr>
          <w:rFonts w:cstheme="minorHAnsi"/>
          <w:sz w:val="20"/>
          <w:szCs w:val="19"/>
        </w:rPr>
        <w:t xml:space="preserve"> </w:t>
      </w:r>
      <w:r w:rsidR="00806A5B">
        <w:rPr>
          <w:rFonts w:cstheme="minorHAnsi"/>
          <w:sz w:val="20"/>
          <w:szCs w:val="19"/>
        </w:rPr>
        <w:t>approaches</w:t>
      </w:r>
      <w:r w:rsidR="00E62474">
        <w:rPr>
          <w:rFonts w:cstheme="minorHAnsi"/>
          <w:sz w:val="20"/>
          <w:szCs w:val="19"/>
        </w:rPr>
        <w:t xml:space="preserve"> which:</w:t>
      </w:r>
    </w:p>
    <w:p w14:paraId="78DEDD43" w14:textId="77777777" w:rsidR="00806A5B" w:rsidRDefault="00E62474" w:rsidP="00506ED6">
      <w:pPr>
        <w:pStyle w:val="ListParagraph"/>
        <w:numPr>
          <w:ilvl w:val="0"/>
          <w:numId w:val="23"/>
        </w:numPr>
        <w:ind w:left="426" w:hanging="284"/>
        <w:rPr>
          <w:rFonts w:cstheme="minorHAnsi"/>
          <w:sz w:val="20"/>
          <w:szCs w:val="19"/>
        </w:rPr>
      </w:pPr>
      <w:r>
        <w:rPr>
          <w:rFonts w:cstheme="minorHAnsi"/>
          <w:sz w:val="20"/>
          <w:szCs w:val="19"/>
        </w:rPr>
        <w:t xml:space="preserve">Consider the role of </w:t>
      </w:r>
      <w:r w:rsidR="00A36034">
        <w:rPr>
          <w:rFonts w:cstheme="minorHAnsi"/>
          <w:color w:val="1C8243"/>
          <w:sz w:val="20"/>
          <w:szCs w:val="19"/>
        </w:rPr>
        <w:t>integrated</w:t>
      </w:r>
      <w:r w:rsidRPr="00A36034">
        <w:rPr>
          <w:rFonts w:cstheme="minorHAnsi"/>
          <w:color w:val="1C8243"/>
          <w:sz w:val="20"/>
          <w:szCs w:val="19"/>
        </w:rPr>
        <w:t xml:space="preserve">, </w:t>
      </w:r>
      <w:r w:rsidR="00806A5B">
        <w:rPr>
          <w:rFonts w:cstheme="minorHAnsi"/>
          <w:color w:val="1C8243"/>
          <w:sz w:val="20"/>
          <w:szCs w:val="19"/>
        </w:rPr>
        <w:t>user</w:t>
      </w:r>
      <w:r w:rsidRPr="00A36034">
        <w:rPr>
          <w:rFonts w:cstheme="minorHAnsi"/>
          <w:color w:val="1C8243"/>
          <w:sz w:val="20"/>
          <w:szCs w:val="19"/>
        </w:rPr>
        <w:t xml:space="preserve">-centred models of health service delivery </w:t>
      </w:r>
      <w:r>
        <w:rPr>
          <w:rFonts w:cstheme="minorHAnsi"/>
          <w:sz w:val="20"/>
          <w:szCs w:val="19"/>
        </w:rPr>
        <w:t>for children, young people and their families</w:t>
      </w:r>
      <w:r w:rsidR="00806A5B">
        <w:rPr>
          <w:rFonts w:cstheme="minorHAnsi"/>
          <w:sz w:val="20"/>
          <w:szCs w:val="19"/>
        </w:rPr>
        <w:t xml:space="preserve"> as a means to enhance access and service touchpoints</w:t>
      </w:r>
      <w:r w:rsidR="00E16EDB">
        <w:rPr>
          <w:rFonts w:cstheme="minorHAnsi"/>
          <w:sz w:val="20"/>
          <w:szCs w:val="19"/>
        </w:rPr>
        <w:t>,</w:t>
      </w:r>
      <w:r w:rsidR="00806A5B">
        <w:rPr>
          <w:rFonts w:cstheme="minorHAnsi"/>
          <w:sz w:val="20"/>
          <w:szCs w:val="19"/>
        </w:rPr>
        <w:t xml:space="preserve"> and </w:t>
      </w:r>
      <w:r w:rsidR="00E16EDB">
        <w:rPr>
          <w:rFonts w:cstheme="minorHAnsi"/>
          <w:sz w:val="20"/>
          <w:szCs w:val="19"/>
        </w:rPr>
        <w:t xml:space="preserve">to </w:t>
      </w:r>
      <w:r w:rsidR="00806A5B">
        <w:rPr>
          <w:rFonts w:cstheme="minorHAnsi"/>
          <w:sz w:val="20"/>
          <w:szCs w:val="19"/>
        </w:rPr>
        <w:t xml:space="preserve">optimise engagement </w:t>
      </w:r>
      <w:r w:rsidR="00E16EDB">
        <w:rPr>
          <w:rFonts w:cstheme="minorHAnsi"/>
          <w:sz w:val="20"/>
          <w:szCs w:val="19"/>
        </w:rPr>
        <w:t xml:space="preserve">and ‘buy in’ </w:t>
      </w:r>
      <w:r w:rsidR="00806A5B">
        <w:rPr>
          <w:rFonts w:cstheme="minorHAnsi"/>
          <w:sz w:val="20"/>
          <w:szCs w:val="19"/>
        </w:rPr>
        <w:t>from target populations</w:t>
      </w:r>
      <w:r w:rsidR="002D779B">
        <w:rPr>
          <w:rFonts w:cstheme="minorHAnsi"/>
          <w:sz w:val="20"/>
          <w:szCs w:val="19"/>
        </w:rPr>
        <w:t>.</w:t>
      </w:r>
      <w:r w:rsidR="00B75672">
        <w:rPr>
          <w:rFonts w:cstheme="minorHAnsi"/>
          <w:sz w:val="20"/>
          <w:szCs w:val="19"/>
        </w:rPr>
        <w:t xml:space="preserve"> </w:t>
      </w:r>
      <w:r w:rsidR="006757FF">
        <w:rPr>
          <w:rStyle w:val="EndnoteReference"/>
          <w:rFonts w:cstheme="minorHAnsi"/>
          <w:sz w:val="20"/>
          <w:szCs w:val="19"/>
        </w:rPr>
        <w:endnoteReference w:id="89"/>
      </w:r>
      <w:r w:rsidR="00806A5B">
        <w:rPr>
          <w:rFonts w:cstheme="minorHAnsi"/>
          <w:sz w:val="20"/>
          <w:szCs w:val="19"/>
        </w:rPr>
        <w:t xml:space="preserve"> </w:t>
      </w:r>
      <w:r w:rsidR="00FF5ED4">
        <w:rPr>
          <w:rStyle w:val="EndnoteReference"/>
          <w:rFonts w:cstheme="minorHAnsi"/>
          <w:sz w:val="20"/>
          <w:szCs w:val="19"/>
        </w:rPr>
        <w:endnoteReference w:id="90"/>
      </w:r>
    </w:p>
    <w:p w14:paraId="18DB3B45" w14:textId="77777777" w:rsidR="00806A5B" w:rsidRPr="00B218E4" w:rsidRDefault="00350147" w:rsidP="00506ED6">
      <w:pPr>
        <w:pStyle w:val="ListParagraph"/>
        <w:numPr>
          <w:ilvl w:val="0"/>
          <w:numId w:val="23"/>
        </w:numPr>
        <w:ind w:left="426" w:hanging="284"/>
        <w:rPr>
          <w:rFonts w:cstheme="minorHAnsi"/>
          <w:sz w:val="20"/>
          <w:szCs w:val="19"/>
        </w:rPr>
      </w:pPr>
      <w:r>
        <w:rPr>
          <w:rFonts w:cstheme="minorHAnsi"/>
          <w:sz w:val="20"/>
          <w:szCs w:val="19"/>
        </w:rPr>
        <w:t>Further</w:t>
      </w:r>
      <w:r w:rsidR="006757FF">
        <w:rPr>
          <w:rFonts w:cstheme="minorHAnsi"/>
          <w:sz w:val="20"/>
          <w:szCs w:val="19"/>
        </w:rPr>
        <w:t xml:space="preserve"> evaluate and identify effective practice implementation for</w:t>
      </w:r>
      <w:r w:rsidR="009F6A70">
        <w:rPr>
          <w:rFonts w:cstheme="minorHAnsi"/>
          <w:sz w:val="20"/>
          <w:szCs w:val="19"/>
        </w:rPr>
        <w:t xml:space="preserve"> </w:t>
      </w:r>
      <w:r w:rsidR="009F6A70" w:rsidRPr="009F6A70">
        <w:rPr>
          <w:rFonts w:cstheme="minorHAnsi"/>
          <w:color w:val="1C8243"/>
          <w:sz w:val="20"/>
          <w:szCs w:val="19"/>
        </w:rPr>
        <w:t>place-based and community-led initiatives</w:t>
      </w:r>
      <w:r w:rsidR="009F6A70">
        <w:rPr>
          <w:rFonts w:cstheme="minorHAnsi"/>
          <w:sz w:val="20"/>
          <w:szCs w:val="19"/>
        </w:rPr>
        <w:t xml:space="preserve"> to tackle </w:t>
      </w:r>
      <w:r w:rsidR="00806A5B">
        <w:rPr>
          <w:rFonts w:cstheme="minorHAnsi"/>
          <w:sz w:val="20"/>
          <w:szCs w:val="19"/>
        </w:rPr>
        <w:t xml:space="preserve">the </w:t>
      </w:r>
      <w:r w:rsidR="009F6A70">
        <w:rPr>
          <w:rFonts w:cstheme="minorHAnsi"/>
          <w:sz w:val="20"/>
          <w:szCs w:val="19"/>
        </w:rPr>
        <w:t>social determinants of health</w:t>
      </w:r>
      <w:r w:rsidR="00806A5B">
        <w:rPr>
          <w:rFonts w:cstheme="minorHAnsi"/>
          <w:sz w:val="20"/>
          <w:szCs w:val="19"/>
        </w:rPr>
        <w:t xml:space="preserve"> underpinning inequity, drawing on </w:t>
      </w:r>
      <w:r w:rsidR="006757FF">
        <w:rPr>
          <w:rFonts w:cstheme="minorHAnsi"/>
          <w:sz w:val="20"/>
          <w:szCs w:val="19"/>
        </w:rPr>
        <w:t>promising</w:t>
      </w:r>
      <w:r w:rsidR="00E16EDB">
        <w:rPr>
          <w:rFonts w:cstheme="minorHAnsi"/>
          <w:sz w:val="20"/>
          <w:szCs w:val="19"/>
        </w:rPr>
        <w:t xml:space="preserve"> </w:t>
      </w:r>
      <w:r w:rsidR="00806A5B">
        <w:rPr>
          <w:rFonts w:cstheme="minorHAnsi"/>
          <w:sz w:val="20"/>
          <w:szCs w:val="19"/>
        </w:rPr>
        <w:t>outcomes emerging from a number of trials and initiatives</w:t>
      </w:r>
      <w:r w:rsidR="00E16EDB">
        <w:rPr>
          <w:rFonts w:cstheme="minorHAnsi"/>
          <w:sz w:val="20"/>
          <w:szCs w:val="19"/>
        </w:rPr>
        <w:t xml:space="preserve"> that have been</w:t>
      </w:r>
      <w:r w:rsidR="00806A5B">
        <w:rPr>
          <w:rFonts w:cstheme="minorHAnsi"/>
          <w:sz w:val="20"/>
          <w:szCs w:val="19"/>
        </w:rPr>
        <w:t xml:space="preserve"> rolled out in Australia</w:t>
      </w:r>
      <w:r w:rsidR="002D779B">
        <w:rPr>
          <w:rFonts w:cstheme="minorHAnsi"/>
          <w:sz w:val="20"/>
          <w:szCs w:val="19"/>
        </w:rPr>
        <w:t>.</w:t>
      </w:r>
      <w:r w:rsidR="00B75672" w:rsidRPr="00B75672">
        <w:rPr>
          <w:rStyle w:val="EndnoteReference"/>
          <w:rFonts w:cstheme="minorHAnsi"/>
          <w:sz w:val="20"/>
          <w:szCs w:val="19"/>
        </w:rPr>
        <w:t xml:space="preserve"> </w:t>
      </w:r>
      <w:r w:rsidR="00B75672">
        <w:rPr>
          <w:rStyle w:val="EndnoteReference"/>
          <w:rFonts w:cstheme="minorHAnsi"/>
          <w:sz w:val="20"/>
          <w:szCs w:val="19"/>
        </w:rPr>
        <w:endnoteReference w:id="91"/>
      </w:r>
      <w:r w:rsidR="00B75672">
        <w:rPr>
          <w:rFonts w:cstheme="minorHAnsi"/>
          <w:sz w:val="20"/>
          <w:szCs w:val="19"/>
        </w:rPr>
        <w:t xml:space="preserve"> </w:t>
      </w:r>
      <w:r w:rsidR="00D94589">
        <w:rPr>
          <w:rStyle w:val="EndnoteReference"/>
          <w:rFonts w:cstheme="minorHAnsi"/>
          <w:sz w:val="20"/>
          <w:szCs w:val="19"/>
        </w:rPr>
        <w:endnoteReference w:id="92"/>
      </w:r>
      <w:r w:rsidR="00806A5B">
        <w:rPr>
          <w:rFonts w:cstheme="minorHAnsi"/>
          <w:sz w:val="20"/>
          <w:szCs w:val="19"/>
        </w:rPr>
        <w:t xml:space="preserve"> </w:t>
      </w:r>
    </w:p>
    <w:p w14:paraId="2D7D7725" w14:textId="77777777" w:rsidR="00A36034" w:rsidRDefault="00A36034" w:rsidP="00506ED6">
      <w:pPr>
        <w:pStyle w:val="ListParagraph"/>
        <w:numPr>
          <w:ilvl w:val="0"/>
          <w:numId w:val="23"/>
        </w:numPr>
        <w:ind w:left="426" w:hanging="284"/>
        <w:rPr>
          <w:rFonts w:cstheme="minorHAnsi"/>
          <w:sz w:val="20"/>
          <w:szCs w:val="19"/>
        </w:rPr>
      </w:pPr>
      <w:r>
        <w:rPr>
          <w:rFonts w:cstheme="minorHAnsi"/>
          <w:sz w:val="20"/>
          <w:szCs w:val="19"/>
        </w:rPr>
        <w:t xml:space="preserve">Explore ongoing innovations in technology – </w:t>
      </w:r>
      <w:r w:rsidR="00B75672">
        <w:rPr>
          <w:rFonts w:cstheme="minorHAnsi"/>
          <w:sz w:val="20"/>
          <w:szCs w:val="19"/>
        </w:rPr>
        <w:t xml:space="preserve">and the </w:t>
      </w:r>
      <w:r w:rsidR="006C7618">
        <w:rPr>
          <w:rFonts w:cstheme="minorHAnsi"/>
          <w:sz w:val="20"/>
          <w:szCs w:val="19"/>
        </w:rPr>
        <w:t xml:space="preserve">growing </w:t>
      </w:r>
      <w:r w:rsidR="00B75672">
        <w:rPr>
          <w:rFonts w:cstheme="minorHAnsi"/>
          <w:sz w:val="20"/>
          <w:szCs w:val="19"/>
        </w:rPr>
        <w:t>role of</w:t>
      </w:r>
      <w:r>
        <w:rPr>
          <w:rFonts w:cstheme="minorHAnsi"/>
          <w:sz w:val="20"/>
          <w:szCs w:val="19"/>
        </w:rPr>
        <w:t xml:space="preserve"> </w:t>
      </w:r>
      <w:r w:rsidRPr="00A36034">
        <w:rPr>
          <w:rFonts w:cstheme="minorHAnsi"/>
          <w:color w:val="1C8243"/>
          <w:sz w:val="20"/>
          <w:szCs w:val="19"/>
        </w:rPr>
        <w:t xml:space="preserve">telehealth </w:t>
      </w:r>
      <w:r>
        <w:rPr>
          <w:rFonts w:cstheme="minorHAnsi"/>
          <w:sz w:val="20"/>
          <w:szCs w:val="19"/>
        </w:rPr>
        <w:t>–</w:t>
      </w:r>
      <w:r w:rsidR="009F6A70">
        <w:rPr>
          <w:rFonts w:cstheme="minorHAnsi"/>
          <w:sz w:val="20"/>
          <w:szCs w:val="19"/>
        </w:rPr>
        <w:t xml:space="preserve"> </w:t>
      </w:r>
      <w:r>
        <w:rPr>
          <w:rFonts w:cstheme="minorHAnsi"/>
          <w:sz w:val="20"/>
          <w:szCs w:val="19"/>
        </w:rPr>
        <w:t>to boost access to health services for children and young people across Australia</w:t>
      </w:r>
      <w:r w:rsidR="002D779B">
        <w:rPr>
          <w:rFonts w:cstheme="minorHAnsi"/>
          <w:sz w:val="20"/>
          <w:szCs w:val="19"/>
        </w:rPr>
        <w:t>.</w:t>
      </w:r>
      <w:r w:rsidR="00B75672">
        <w:rPr>
          <w:rFonts w:cstheme="minorHAnsi"/>
          <w:sz w:val="20"/>
          <w:szCs w:val="19"/>
        </w:rPr>
        <w:t xml:space="preserve"> </w:t>
      </w:r>
      <w:r w:rsidR="00B75672">
        <w:rPr>
          <w:rStyle w:val="EndnoteReference"/>
          <w:rFonts w:cstheme="minorHAnsi"/>
          <w:sz w:val="20"/>
          <w:szCs w:val="19"/>
        </w:rPr>
        <w:endnoteReference w:id="93"/>
      </w:r>
      <w:r w:rsidR="00B75672">
        <w:rPr>
          <w:rFonts w:cstheme="minorHAnsi"/>
          <w:sz w:val="20"/>
          <w:szCs w:val="19"/>
        </w:rPr>
        <w:t xml:space="preserve"> </w:t>
      </w:r>
      <w:r w:rsidR="00B75672">
        <w:rPr>
          <w:rStyle w:val="EndnoteReference"/>
          <w:rFonts w:cstheme="minorHAnsi"/>
          <w:sz w:val="20"/>
          <w:szCs w:val="19"/>
        </w:rPr>
        <w:endnoteReference w:id="94"/>
      </w:r>
    </w:p>
    <w:p w14:paraId="41509F4E" w14:textId="77777777" w:rsidR="00A36034" w:rsidRDefault="00A36034" w:rsidP="00506ED6">
      <w:pPr>
        <w:pStyle w:val="ListParagraph"/>
        <w:numPr>
          <w:ilvl w:val="0"/>
          <w:numId w:val="23"/>
        </w:numPr>
        <w:ind w:left="426" w:hanging="284"/>
        <w:rPr>
          <w:rFonts w:cstheme="minorHAnsi"/>
          <w:sz w:val="20"/>
          <w:szCs w:val="19"/>
        </w:rPr>
      </w:pPr>
      <w:r>
        <w:rPr>
          <w:rFonts w:cstheme="minorHAnsi"/>
          <w:sz w:val="20"/>
          <w:szCs w:val="19"/>
        </w:rPr>
        <w:t xml:space="preserve">Promote </w:t>
      </w:r>
      <w:r w:rsidRPr="009F6A70">
        <w:rPr>
          <w:rFonts w:cstheme="minorHAnsi"/>
          <w:color w:val="1C8243"/>
          <w:sz w:val="20"/>
          <w:szCs w:val="19"/>
        </w:rPr>
        <w:t>health literacy</w:t>
      </w:r>
      <w:r>
        <w:rPr>
          <w:rFonts w:cstheme="minorHAnsi"/>
          <w:sz w:val="20"/>
          <w:szCs w:val="19"/>
        </w:rPr>
        <w:t xml:space="preserve"> and </w:t>
      </w:r>
      <w:r w:rsidRPr="009F6A70">
        <w:rPr>
          <w:rFonts w:cstheme="minorHAnsi"/>
          <w:color w:val="1C8243"/>
          <w:sz w:val="20"/>
          <w:szCs w:val="19"/>
        </w:rPr>
        <w:t>health-seeking behaviours</w:t>
      </w:r>
      <w:r w:rsidR="009F6A70">
        <w:rPr>
          <w:rFonts w:cstheme="minorHAnsi"/>
          <w:color w:val="1C8243"/>
          <w:sz w:val="20"/>
          <w:szCs w:val="19"/>
        </w:rPr>
        <w:t xml:space="preserve"> </w:t>
      </w:r>
      <w:r w:rsidR="009F6A70" w:rsidRPr="009F6A70">
        <w:rPr>
          <w:rFonts w:cstheme="minorHAnsi"/>
          <w:sz w:val="20"/>
          <w:szCs w:val="19"/>
        </w:rPr>
        <w:t>among children and young people</w:t>
      </w:r>
      <w:r w:rsidR="00B75672">
        <w:rPr>
          <w:rFonts w:cstheme="minorHAnsi"/>
          <w:sz w:val="20"/>
          <w:szCs w:val="19"/>
        </w:rPr>
        <w:t xml:space="preserve"> to help close the gap in inequity</w:t>
      </w:r>
      <w:r w:rsidR="002D779B">
        <w:rPr>
          <w:rFonts w:cstheme="minorHAnsi"/>
          <w:sz w:val="20"/>
          <w:szCs w:val="19"/>
        </w:rPr>
        <w:t>.</w:t>
      </w:r>
      <w:r w:rsidR="00B75672">
        <w:rPr>
          <w:rStyle w:val="EndnoteReference"/>
          <w:rFonts w:cstheme="minorHAnsi"/>
          <w:sz w:val="20"/>
          <w:szCs w:val="19"/>
        </w:rPr>
        <w:endnoteReference w:id="95"/>
      </w:r>
    </w:p>
    <w:p w14:paraId="4CFC5D82" w14:textId="77777777" w:rsidR="00A36034" w:rsidRPr="00E62474" w:rsidRDefault="00740669" w:rsidP="00506ED6">
      <w:pPr>
        <w:pStyle w:val="ListParagraph"/>
        <w:numPr>
          <w:ilvl w:val="0"/>
          <w:numId w:val="23"/>
        </w:numPr>
        <w:ind w:left="426" w:hanging="284"/>
        <w:rPr>
          <w:rFonts w:cstheme="minorHAnsi"/>
          <w:sz w:val="20"/>
          <w:szCs w:val="19"/>
        </w:rPr>
      </w:pPr>
      <w:r>
        <w:rPr>
          <w:rFonts w:cstheme="minorHAnsi"/>
          <w:sz w:val="20"/>
          <w:szCs w:val="19"/>
        </w:rPr>
        <w:t>Strengthen</w:t>
      </w:r>
      <w:r w:rsidR="00A36034">
        <w:rPr>
          <w:rFonts w:cstheme="minorHAnsi"/>
          <w:sz w:val="20"/>
          <w:szCs w:val="19"/>
        </w:rPr>
        <w:t xml:space="preserve"> the </w:t>
      </w:r>
      <w:r w:rsidR="00A36034" w:rsidRPr="009F6A70">
        <w:rPr>
          <w:rFonts w:cstheme="minorHAnsi"/>
          <w:color w:val="1C8243"/>
          <w:sz w:val="20"/>
          <w:szCs w:val="19"/>
        </w:rPr>
        <w:t xml:space="preserve">evidence base </w:t>
      </w:r>
      <w:r w:rsidR="00A36034">
        <w:rPr>
          <w:rFonts w:cstheme="minorHAnsi"/>
          <w:sz w:val="20"/>
          <w:szCs w:val="19"/>
        </w:rPr>
        <w:t xml:space="preserve">for </w:t>
      </w:r>
      <w:r w:rsidR="009F6A70">
        <w:rPr>
          <w:rFonts w:cstheme="minorHAnsi"/>
          <w:sz w:val="20"/>
          <w:szCs w:val="19"/>
        </w:rPr>
        <w:t>identifying inequity and delivering effective</w:t>
      </w:r>
      <w:r w:rsidR="00EC6A1D">
        <w:rPr>
          <w:rFonts w:cstheme="minorHAnsi"/>
          <w:sz w:val="20"/>
          <w:szCs w:val="19"/>
        </w:rPr>
        <w:t>, quality</w:t>
      </w:r>
      <w:r w:rsidR="009F6A70">
        <w:rPr>
          <w:rFonts w:cstheme="minorHAnsi"/>
          <w:sz w:val="20"/>
          <w:szCs w:val="19"/>
        </w:rPr>
        <w:t xml:space="preserve"> interventions targeted at priority populations</w:t>
      </w:r>
      <w:r>
        <w:rPr>
          <w:rFonts w:cstheme="minorHAnsi"/>
          <w:sz w:val="20"/>
          <w:szCs w:val="19"/>
        </w:rPr>
        <w:t>.</w:t>
      </w:r>
      <w:r>
        <w:rPr>
          <w:rStyle w:val="EndnoteReference"/>
          <w:rFonts w:cstheme="minorHAnsi"/>
          <w:sz w:val="20"/>
          <w:szCs w:val="19"/>
        </w:rPr>
        <w:endnoteReference w:id="96"/>
      </w:r>
      <w:r w:rsidR="00A36034">
        <w:rPr>
          <w:rFonts w:cstheme="minorHAnsi"/>
          <w:sz w:val="20"/>
          <w:szCs w:val="19"/>
        </w:rPr>
        <w:t xml:space="preserve"> </w:t>
      </w:r>
      <w:r w:rsidR="001E581C">
        <w:rPr>
          <w:rStyle w:val="EndnoteReference"/>
          <w:rFonts w:cstheme="minorHAnsi"/>
          <w:sz w:val="20"/>
          <w:szCs w:val="19"/>
        </w:rPr>
        <w:endnoteReference w:id="97"/>
      </w:r>
    </w:p>
    <w:tbl>
      <w:tblPr>
        <w:tblStyle w:val="TableGrid"/>
        <w:tblW w:w="5000" w:type="pct"/>
        <w:tblBorders>
          <w:top w:val="single" w:sz="4" w:space="0" w:color="318843"/>
          <w:left w:val="none" w:sz="0" w:space="0" w:color="auto"/>
          <w:bottom w:val="single" w:sz="4" w:space="0" w:color="318843"/>
          <w:right w:val="none" w:sz="0" w:space="0" w:color="auto"/>
          <w:insideH w:val="none" w:sz="0" w:space="0" w:color="auto"/>
          <w:insideV w:val="none" w:sz="0" w:space="0" w:color="auto"/>
        </w:tblBorders>
        <w:tblLook w:val="04A0" w:firstRow="1" w:lastRow="0" w:firstColumn="1" w:lastColumn="0" w:noHBand="0" w:noVBand="1"/>
        <w:tblCaption w:val="Priority Area 1 - Actions to improve health equity across populations"/>
        <w:tblDescription w:val="The table describes actions to: (1) strengthen and improve access to universal health services; (2) expand telehealth GP, specialist and counselling services; (3) enhancing health literacy and health-seeking behaviours; (4) improving the evidence base to better target strategies; (5) embedding child and youth health development as a key goal within any future frameworks for priority populations; and (5) promoting programs that address health issues and disparities."/>
      </w:tblPr>
      <w:tblGrid>
        <w:gridCol w:w="2610"/>
        <w:gridCol w:w="7245"/>
      </w:tblGrid>
      <w:tr w:rsidR="00CC575A" w:rsidRPr="002D61C6" w14:paraId="7A7931AE" w14:textId="77777777" w:rsidTr="0099159A">
        <w:trPr>
          <w:tblHeader/>
        </w:trPr>
        <w:tc>
          <w:tcPr>
            <w:tcW w:w="1324" w:type="pct"/>
            <w:tcBorders>
              <w:top w:val="single" w:sz="4" w:space="0" w:color="318843"/>
              <w:bottom w:val="single" w:sz="4" w:space="0" w:color="318843"/>
            </w:tcBorders>
            <w:shd w:val="clear" w:color="auto" w:fill="auto"/>
          </w:tcPr>
          <w:p w14:paraId="089C2CD5" w14:textId="77777777" w:rsidR="00CC575A" w:rsidRPr="00CC575A" w:rsidRDefault="00CC575A" w:rsidP="00CC575A">
            <w:pPr>
              <w:rPr>
                <w:rFonts w:cstheme="minorHAnsi"/>
                <w:b/>
                <w:sz w:val="20"/>
                <w:szCs w:val="19"/>
              </w:rPr>
            </w:pPr>
            <w:r w:rsidRPr="00CC575A">
              <w:rPr>
                <w:rFonts w:cstheme="minorHAnsi"/>
                <w:b/>
                <w:sz w:val="20"/>
                <w:szCs w:val="19"/>
              </w:rPr>
              <w:t>Action</w:t>
            </w:r>
          </w:p>
        </w:tc>
        <w:tc>
          <w:tcPr>
            <w:tcW w:w="3676" w:type="pct"/>
            <w:tcBorders>
              <w:top w:val="single" w:sz="4" w:space="0" w:color="318843"/>
              <w:bottom w:val="single" w:sz="4" w:space="0" w:color="318843"/>
            </w:tcBorders>
            <w:shd w:val="clear" w:color="auto" w:fill="auto"/>
          </w:tcPr>
          <w:p w14:paraId="6A708A5E" w14:textId="77777777" w:rsidR="00CC575A" w:rsidRPr="00CC575A" w:rsidRDefault="00CC575A" w:rsidP="00CC575A">
            <w:pPr>
              <w:rPr>
                <w:rFonts w:cstheme="minorHAnsi"/>
                <w:b/>
                <w:sz w:val="20"/>
                <w:szCs w:val="19"/>
              </w:rPr>
            </w:pPr>
            <w:r w:rsidRPr="00CC575A">
              <w:rPr>
                <w:rFonts w:cstheme="minorHAnsi"/>
                <w:b/>
                <w:sz w:val="20"/>
                <w:szCs w:val="19"/>
              </w:rPr>
              <w:t>Detail</w:t>
            </w:r>
          </w:p>
        </w:tc>
      </w:tr>
      <w:tr w:rsidR="00CC575A" w:rsidRPr="002D61C6" w14:paraId="037F216F" w14:textId="77777777" w:rsidTr="0099159A">
        <w:tc>
          <w:tcPr>
            <w:tcW w:w="1324" w:type="pct"/>
            <w:tcBorders>
              <w:top w:val="single" w:sz="4" w:space="0" w:color="318843"/>
              <w:bottom w:val="single" w:sz="4" w:space="0" w:color="318843"/>
            </w:tcBorders>
            <w:shd w:val="clear" w:color="auto" w:fill="auto"/>
          </w:tcPr>
          <w:p w14:paraId="1673D1E1" w14:textId="77777777" w:rsidR="00CC575A" w:rsidRPr="00CC575A" w:rsidRDefault="00CC575A" w:rsidP="00CC575A">
            <w:pPr>
              <w:spacing w:before="60"/>
              <w:rPr>
                <w:rFonts w:cstheme="minorHAnsi"/>
                <w:b/>
                <w:color w:val="1C8243"/>
                <w:sz w:val="20"/>
                <w:szCs w:val="19"/>
              </w:rPr>
            </w:pPr>
            <w:r w:rsidRPr="00CC575A">
              <w:rPr>
                <w:rFonts w:cstheme="minorHAnsi"/>
                <w:b/>
                <w:color w:val="1C8243"/>
                <w:sz w:val="20"/>
                <w:szCs w:val="19"/>
              </w:rPr>
              <w:t xml:space="preserve">Strengthen </w:t>
            </w:r>
            <w:r w:rsidR="005D4738">
              <w:rPr>
                <w:rFonts w:cstheme="minorHAnsi"/>
                <w:b/>
                <w:color w:val="1C8243"/>
                <w:sz w:val="20"/>
                <w:szCs w:val="19"/>
              </w:rPr>
              <w:t xml:space="preserve">universal </w:t>
            </w:r>
            <w:r w:rsidRPr="00CC575A">
              <w:rPr>
                <w:rFonts w:cstheme="minorHAnsi"/>
                <w:b/>
                <w:color w:val="1C8243"/>
                <w:sz w:val="20"/>
                <w:szCs w:val="19"/>
              </w:rPr>
              <w:t>health service accessibility and reach with a focus on integrated, child and family-centred models of care</w:t>
            </w:r>
          </w:p>
        </w:tc>
        <w:tc>
          <w:tcPr>
            <w:tcW w:w="3676" w:type="pct"/>
            <w:tcBorders>
              <w:top w:val="single" w:sz="4" w:space="0" w:color="318843"/>
              <w:bottom w:val="single" w:sz="4" w:space="0" w:color="318843"/>
            </w:tcBorders>
            <w:shd w:val="clear" w:color="auto" w:fill="auto"/>
          </w:tcPr>
          <w:p w14:paraId="74476D57"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Advocate principles of patient-centred care for children and young people, respecting the perspectives of children and young people in the co-design and evaluation of services which affect them</w:t>
            </w:r>
          </w:p>
          <w:p w14:paraId="733AA32E"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 xml:space="preserve">Develop strategies for proactive inclusion to boost engagement with different priority populations who often face additional barriers to accessing health services </w:t>
            </w:r>
          </w:p>
          <w:p w14:paraId="2B93103A"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Trial flexible and emerging innovative components of health service and program delivery, evaluating their impact on engagement with target audiences (e.g. appointment times, co-location, transportation to services)</w:t>
            </w:r>
          </w:p>
          <w:p w14:paraId="43E245EE"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Foster safe services and service environments, including access to cultural competence training and strategies for program deliverers, service providers and other professionals delivering services and interventions for children and young people</w:t>
            </w:r>
          </w:p>
          <w:p w14:paraId="5AA19287" w14:textId="77777777" w:rsidR="00CC575A" w:rsidRPr="000C3EAF" w:rsidRDefault="00CC575A" w:rsidP="000C3EAF">
            <w:pPr>
              <w:pStyle w:val="ListParagraph"/>
              <w:numPr>
                <w:ilvl w:val="0"/>
                <w:numId w:val="39"/>
              </w:numPr>
              <w:spacing w:before="60" w:after="60"/>
              <w:ind w:left="323" w:hanging="323"/>
              <w:contextualSpacing w:val="0"/>
              <w:rPr>
                <w:sz w:val="20"/>
                <w:szCs w:val="20"/>
              </w:rPr>
            </w:pPr>
            <w:r w:rsidRPr="00CC575A">
              <w:rPr>
                <w:sz w:val="20"/>
                <w:szCs w:val="20"/>
              </w:rPr>
              <w:t>Assess and evaluate the provision and reach of Child and Family Centres – including Indigenous Child and Family Centres –</w:t>
            </w:r>
            <w:r w:rsidR="000C3EAF">
              <w:rPr>
                <w:sz w:val="20"/>
                <w:szCs w:val="20"/>
              </w:rPr>
              <w:t xml:space="preserve"> </w:t>
            </w:r>
            <w:r w:rsidRPr="00CC575A">
              <w:rPr>
                <w:sz w:val="20"/>
                <w:szCs w:val="20"/>
              </w:rPr>
              <w:t>to identify and address unmet need, especially in areas of greatest socioeconomic disadvantage</w:t>
            </w:r>
          </w:p>
        </w:tc>
      </w:tr>
      <w:tr w:rsidR="00CC575A" w:rsidRPr="002D61C6" w14:paraId="490A9143" w14:textId="77777777" w:rsidTr="0099159A">
        <w:tc>
          <w:tcPr>
            <w:tcW w:w="1324" w:type="pct"/>
            <w:tcBorders>
              <w:top w:val="single" w:sz="4" w:space="0" w:color="318843"/>
              <w:bottom w:val="single" w:sz="4" w:space="0" w:color="318843"/>
            </w:tcBorders>
            <w:shd w:val="clear" w:color="auto" w:fill="auto"/>
          </w:tcPr>
          <w:p w14:paraId="39F7458E" w14:textId="77777777" w:rsidR="00CC575A" w:rsidRPr="00CC575A" w:rsidRDefault="00CC575A" w:rsidP="00CC575A">
            <w:pPr>
              <w:spacing w:before="60"/>
              <w:rPr>
                <w:rFonts w:cstheme="minorHAnsi"/>
                <w:b/>
                <w:color w:val="1C8243"/>
                <w:sz w:val="20"/>
                <w:szCs w:val="19"/>
              </w:rPr>
            </w:pPr>
            <w:r w:rsidRPr="00CC575A">
              <w:rPr>
                <w:rFonts w:cstheme="minorHAnsi"/>
                <w:b/>
                <w:color w:val="1C8243"/>
                <w:sz w:val="20"/>
                <w:szCs w:val="19"/>
              </w:rPr>
              <w:t>Expand telehealth GP, specialist and counselling services to improve access for all Australia’s children and young people</w:t>
            </w:r>
          </w:p>
        </w:tc>
        <w:tc>
          <w:tcPr>
            <w:tcW w:w="3676" w:type="pct"/>
            <w:tcBorders>
              <w:top w:val="single" w:sz="4" w:space="0" w:color="318843"/>
              <w:bottom w:val="single" w:sz="4" w:space="0" w:color="318843"/>
            </w:tcBorders>
            <w:shd w:val="clear" w:color="auto" w:fill="auto"/>
          </w:tcPr>
          <w:p w14:paraId="5E342B3B"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Expand the Better Access initiative, which provides video-conferenced mental health services to people in regional, rural and remote areas</w:t>
            </w:r>
          </w:p>
          <w:p w14:paraId="126B5DB0"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 xml:space="preserve">Include children and young people in the test bed pilots of the </w:t>
            </w:r>
            <w:r w:rsidRPr="008B3CE4">
              <w:rPr>
                <w:i/>
                <w:sz w:val="20"/>
                <w:szCs w:val="20"/>
              </w:rPr>
              <w:t>National Digital Health Strategy</w:t>
            </w:r>
            <w:r w:rsidRPr="00CC575A">
              <w:rPr>
                <w:sz w:val="20"/>
                <w:szCs w:val="20"/>
              </w:rPr>
              <w:t xml:space="preserve"> where appropriate, e.g. chronic disease management, telehealth</w:t>
            </w:r>
            <w:r w:rsidRPr="00CC575A">
              <w:rPr>
                <w:sz w:val="20"/>
                <w:szCs w:val="20"/>
                <w:vertAlign w:val="superscript"/>
              </w:rPr>
              <w:endnoteReference w:id="98"/>
            </w:r>
          </w:p>
          <w:p w14:paraId="3BF5E7F4"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rPr>
              <w:t>Support states and territories in evaluating telehealth services through the telehealth test bed, addressing barriers and committing to embed telehealth into clinical practice, particularly in regional, rural and remote areas</w:t>
            </w:r>
          </w:p>
          <w:p w14:paraId="63D04C43" w14:textId="77777777" w:rsidR="00CC575A" w:rsidRPr="00CC575A" w:rsidRDefault="00CC575A" w:rsidP="00CC575A">
            <w:pPr>
              <w:pStyle w:val="ListParagraph"/>
              <w:numPr>
                <w:ilvl w:val="0"/>
                <w:numId w:val="39"/>
              </w:numPr>
              <w:spacing w:before="60" w:after="60"/>
              <w:ind w:left="323" w:hanging="323"/>
              <w:contextualSpacing w:val="0"/>
              <w:rPr>
                <w:sz w:val="20"/>
                <w:szCs w:val="20"/>
              </w:rPr>
            </w:pPr>
            <w:r w:rsidRPr="00CC575A">
              <w:rPr>
                <w:sz w:val="20"/>
                <w:szCs w:val="20"/>
                <w:lang w:val="en-GB"/>
              </w:rPr>
              <w:t>Develop consistent national standards for telehealth services focusing on children and young people</w:t>
            </w:r>
          </w:p>
        </w:tc>
      </w:tr>
      <w:tr w:rsidR="00CC575A" w:rsidRPr="002D61C6" w14:paraId="54DCC16C" w14:textId="77777777" w:rsidTr="006E262C">
        <w:tc>
          <w:tcPr>
            <w:tcW w:w="1324" w:type="pct"/>
            <w:tcBorders>
              <w:top w:val="single" w:sz="4" w:space="0" w:color="318843"/>
              <w:bottom w:val="single" w:sz="4" w:space="0" w:color="318843"/>
            </w:tcBorders>
            <w:shd w:val="clear" w:color="auto" w:fill="auto"/>
          </w:tcPr>
          <w:p w14:paraId="2EBD7610" w14:textId="77777777" w:rsidR="00CC575A" w:rsidRPr="002D1792" w:rsidRDefault="00CC575A" w:rsidP="00CC575A">
            <w:pPr>
              <w:spacing w:before="60"/>
              <w:rPr>
                <w:rFonts w:cstheme="minorHAnsi"/>
                <w:b/>
                <w:color w:val="1C8243"/>
                <w:sz w:val="20"/>
                <w:szCs w:val="19"/>
              </w:rPr>
            </w:pPr>
            <w:r w:rsidRPr="002D1792">
              <w:rPr>
                <w:rFonts w:cstheme="minorHAnsi"/>
                <w:b/>
                <w:color w:val="1C8243"/>
                <w:sz w:val="20"/>
                <w:szCs w:val="19"/>
              </w:rPr>
              <w:t>Enhance health literacy and health-seeking behaviours through universal and targeted mechanisms</w:t>
            </w:r>
          </w:p>
        </w:tc>
        <w:tc>
          <w:tcPr>
            <w:tcW w:w="3676" w:type="pct"/>
            <w:tcBorders>
              <w:top w:val="single" w:sz="4" w:space="0" w:color="318843"/>
              <w:bottom w:val="single" w:sz="4" w:space="0" w:color="318843"/>
            </w:tcBorders>
            <w:shd w:val="clear" w:color="auto" w:fill="auto"/>
          </w:tcPr>
          <w:p w14:paraId="35671ABB" w14:textId="77777777" w:rsidR="00CC575A" w:rsidRPr="002D1792" w:rsidRDefault="00CC575A" w:rsidP="00CC575A">
            <w:pPr>
              <w:pStyle w:val="ListParagraph"/>
              <w:numPr>
                <w:ilvl w:val="0"/>
                <w:numId w:val="39"/>
              </w:numPr>
              <w:spacing w:before="60" w:after="60"/>
              <w:ind w:left="323" w:hanging="323"/>
              <w:contextualSpacing w:val="0"/>
              <w:rPr>
                <w:sz w:val="20"/>
                <w:szCs w:val="20"/>
              </w:rPr>
            </w:pPr>
            <w:r w:rsidRPr="002D1792">
              <w:rPr>
                <w:sz w:val="20"/>
                <w:szCs w:val="20"/>
              </w:rPr>
              <w:t xml:space="preserve">Incorporate co-design and engagement of children and young people in development of approaches, tools, and communications promoting health literacy and health-seeking behaviours </w:t>
            </w:r>
          </w:p>
          <w:p w14:paraId="4F794662" w14:textId="3F6DBB0D" w:rsidR="00CC575A" w:rsidRPr="002D1792" w:rsidRDefault="00CC575A" w:rsidP="00CC575A">
            <w:pPr>
              <w:pStyle w:val="ListParagraph"/>
              <w:numPr>
                <w:ilvl w:val="0"/>
                <w:numId w:val="39"/>
              </w:numPr>
              <w:spacing w:before="60" w:after="60"/>
              <w:ind w:left="323" w:hanging="323"/>
              <w:contextualSpacing w:val="0"/>
              <w:rPr>
                <w:sz w:val="20"/>
                <w:szCs w:val="20"/>
              </w:rPr>
            </w:pPr>
            <w:r w:rsidRPr="002D1792">
              <w:rPr>
                <w:sz w:val="20"/>
                <w:szCs w:val="20"/>
              </w:rPr>
              <w:t xml:space="preserve">Continue delivering health promotion campaigns </w:t>
            </w:r>
            <w:r w:rsidR="006E262C" w:rsidRPr="002D1792">
              <w:rPr>
                <w:sz w:val="20"/>
                <w:szCs w:val="20"/>
              </w:rPr>
              <w:t>to build</w:t>
            </w:r>
            <w:r w:rsidRPr="002D1792">
              <w:rPr>
                <w:sz w:val="20"/>
                <w:szCs w:val="20"/>
              </w:rPr>
              <w:t xml:space="preserve"> health literacy and health-seeking behaviours</w:t>
            </w:r>
            <w:r w:rsidR="006E262C" w:rsidRPr="002D1792">
              <w:rPr>
                <w:sz w:val="20"/>
                <w:szCs w:val="20"/>
              </w:rPr>
              <w:t>, ensuring they</w:t>
            </w:r>
            <w:r w:rsidRPr="002D1792">
              <w:rPr>
                <w:sz w:val="20"/>
                <w:szCs w:val="20"/>
              </w:rPr>
              <w:t xml:space="preserve"> are targeted and tailored for children and young people at different stages through the life course </w:t>
            </w:r>
          </w:p>
          <w:p w14:paraId="7A8DFE41" w14:textId="77777777" w:rsidR="00CC575A" w:rsidRPr="002D1792" w:rsidRDefault="00CC575A" w:rsidP="00CC575A">
            <w:pPr>
              <w:pStyle w:val="ListParagraph"/>
              <w:numPr>
                <w:ilvl w:val="0"/>
                <w:numId w:val="39"/>
              </w:numPr>
              <w:spacing w:before="60" w:after="60"/>
              <w:ind w:left="323" w:hanging="323"/>
              <w:contextualSpacing w:val="0"/>
              <w:rPr>
                <w:sz w:val="20"/>
                <w:szCs w:val="20"/>
              </w:rPr>
            </w:pPr>
            <w:r w:rsidRPr="002D1792">
              <w:rPr>
                <w:sz w:val="20"/>
                <w:szCs w:val="20"/>
              </w:rPr>
              <w:t xml:space="preserve">Target health literacy interventions at priority populations, taking into account background, culture, language, communication behaviours and learning styles  </w:t>
            </w:r>
          </w:p>
          <w:p w14:paraId="34600FF4" w14:textId="77777777" w:rsidR="00CC575A" w:rsidRPr="002D1792" w:rsidRDefault="00CC575A" w:rsidP="00CC575A">
            <w:pPr>
              <w:pStyle w:val="ListParagraph"/>
              <w:numPr>
                <w:ilvl w:val="0"/>
                <w:numId w:val="39"/>
              </w:numPr>
              <w:spacing w:before="60" w:after="60"/>
              <w:ind w:left="323" w:hanging="323"/>
              <w:contextualSpacing w:val="0"/>
              <w:rPr>
                <w:sz w:val="20"/>
                <w:szCs w:val="20"/>
              </w:rPr>
            </w:pPr>
            <w:r w:rsidRPr="002D1792">
              <w:rPr>
                <w:sz w:val="20"/>
                <w:szCs w:val="20"/>
              </w:rPr>
              <w:t>Embed a consistent translation standard for all health information developed for people for whom English is a second language</w:t>
            </w:r>
          </w:p>
          <w:p w14:paraId="6450E5B8" w14:textId="77777777" w:rsidR="00CC575A" w:rsidRPr="002D1792" w:rsidRDefault="00CC575A" w:rsidP="00CC575A">
            <w:pPr>
              <w:pStyle w:val="ListParagraph"/>
              <w:numPr>
                <w:ilvl w:val="0"/>
                <w:numId w:val="39"/>
              </w:numPr>
              <w:spacing w:before="60" w:after="60"/>
              <w:ind w:left="323" w:hanging="323"/>
              <w:contextualSpacing w:val="0"/>
              <w:rPr>
                <w:sz w:val="20"/>
                <w:szCs w:val="20"/>
              </w:rPr>
            </w:pPr>
            <w:r w:rsidRPr="002D1792">
              <w:rPr>
                <w:sz w:val="20"/>
                <w:szCs w:val="20"/>
              </w:rPr>
              <w:t>Build on and trial innovative ways to provide education about health within migrant and refugee programs, building awareness and efficacy relating to local healthcare system</w:t>
            </w:r>
            <w:r w:rsidR="006E262C" w:rsidRPr="002D1792">
              <w:rPr>
                <w:sz w:val="20"/>
                <w:szCs w:val="20"/>
              </w:rPr>
              <w:t>s</w:t>
            </w:r>
            <w:r w:rsidRPr="002D1792">
              <w:rPr>
                <w:sz w:val="20"/>
                <w:szCs w:val="20"/>
              </w:rPr>
              <w:t xml:space="preserve"> and services available, e.g. health service</w:t>
            </w:r>
            <w:r w:rsidRPr="002D1792">
              <w:rPr>
                <w:bCs/>
                <w:sz w:val="20"/>
                <w:szCs w:val="20"/>
              </w:rPr>
              <w:t xml:space="preserve"> tours for refugees and migrants</w:t>
            </w:r>
            <w:r w:rsidRPr="002D1792">
              <w:rPr>
                <w:sz w:val="20"/>
                <w:szCs w:val="20"/>
              </w:rPr>
              <w:t xml:space="preserve">  </w:t>
            </w:r>
          </w:p>
          <w:p w14:paraId="16E24730" w14:textId="77777777" w:rsidR="00CC575A" w:rsidRPr="002D1792" w:rsidRDefault="006E262C" w:rsidP="00CC575A">
            <w:pPr>
              <w:pStyle w:val="ListParagraph"/>
              <w:numPr>
                <w:ilvl w:val="0"/>
                <w:numId w:val="39"/>
              </w:numPr>
              <w:spacing w:before="60" w:after="60"/>
              <w:ind w:left="323" w:hanging="323"/>
              <w:contextualSpacing w:val="0"/>
              <w:rPr>
                <w:sz w:val="20"/>
                <w:szCs w:val="20"/>
              </w:rPr>
            </w:pPr>
            <w:r w:rsidRPr="002D1792">
              <w:rPr>
                <w:sz w:val="20"/>
                <w:szCs w:val="20"/>
                <w:lang w:val="en-GB"/>
              </w:rPr>
              <w:t>Assess</w:t>
            </w:r>
            <w:r w:rsidR="00CC575A" w:rsidRPr="002D1792">
              <w:rPr>
                <w:sz w:val="20"/>
                <w:szCs w:val="20"/>
                <w:lang w:val="en-GB"/>
              </w:rPr>
              <w:t xml:space="preserve"> current approaches and trial additional strategies and resources to support school-based health literacy education</w:t>
            </w:r>
          </w:p>
          <w:p w14:paraId="0E89BB22" w14:textId="7DF4140E" w:rsidR="006B2002" w:rsidRPr="002D1792" w:rsidRDefault="00D400D0" w:rsidP="0063337B">
            <w:pPr>
              <w:pStyle w:val="ListParagraph"/>
              <w:numPr>
                <w:ilvl w:val="0"/>
                <w:numId w:val="39"/>
              </w:numPr>
              <w:spacing w:before="60" w:after="60"/>
              <w:ind w:left="323" w:hanging="323"/>
              <w:contextualSpacing w:val="0"/>
              <w:rPr>
                <w:sz w:val="20"/>
                <w:szCs w:val="20"/>
              </w:rPr>
            </w:pPr>
            <w:r w:rsidRPr="002D1792">
              <w:rPr>
                <w:sz w:val="20"/>
                <w:szCs w:val="20"/>
                <w:lang w:val="en-GB"/>
              </w:rPr>
              <w:t>Engage</w:t>
            </w:r>
            <w:r w:rsidR="006B2002" w:rsidRPr="002D1792">
              <w:rPr>
                <w:sz w:val="20"/>
                <w:szCs w:val="20"/>
                <w:lang w:val="en-GB"/>
              </w:rPr>
              <w:t xml:space="preserve"> </w:t>
            </w:r>
            <w:r w:rsidRPr="002D1792">
              <w:rPr>
                <w:sz w:val="20"/>
                <w:szCs w:val="20"/>
                <w:lang w:val="en-GB"/>
              </w:rPr>
              <w:t>with parents and caregivers</w:t>
            </w:r>
            <w:r w:rsidR="006B2002" w:rsidRPr="002D1792">
              <w:rPr>
                <w:sz w:val="20"/>
                <w:szCs w:val="20"/>
                <w:lang w:val="en-GB"/>
              </w:rPr>
              <w:t xml:space="preserve"> to</w:t>
            </w:r>
            <w:r w:rsidR="0063337B" w:rsidRPr="002D1792">
              <w:rPr>
                <w:sz w:val="20"/>
                <w:szCs w:val="20"/>
                <w:lang w:val="en-GB"/>
              </w:rPr>
              <w:t xml:space="preserve"> build </w:t>
            </w:r>
            <w:r w:rsidR="00315C7E" w:rsidRPr="002D1792">
              <w:rPr>
                <w:sz w:val="20"/>
                <w:szCs w:val="20"/>
                <w:lang w:val="en-GB"/>
              </w:rPr>
              <w:t xml:space="preserve">health literacy </w:t>
            </w:r>
            <w:r w:rsidR="0063337B" w:rsidRPr="002D1792">
              <w:rPr>
                <w:sz w:val="20"/>
                <w:szCs w:val="20"/>
                <w:lang w:val="en-GB"/>
              </w:rPr>
              <w:t>–</w:t>
            </w:r>
            <w:r w:rsidR="00315C7E" w:rsidRPr="002D1792">
              <w:rPr>
                <w:sz w:val="20"/>
                <w:szCs w:val="20"/>
                <w:lang w:val="en-GB"/>
              </w:rPr>
              <w:t xml:space="preserve"> </w:t>
            </w:r>
            <w:r w:rsidR="0063337B" w:rsidRPr="002D1792">
              <w:rPr>
                <w:sz w:val="20"/>
                <w:szCs w:val="20"/>
                <w:lang w:val="en-GB"/>
              </w:rPr>
              <w:t>to ensure</w:t>
            </w:r>
            <w:r w:rsidR="00315C7E" w:rsidRPr="002D1792">
              <w:rPr>
                <w:sz w:val="20"/>
                <w:szCs w:val="20"/>
                <w:lang w:val="en-GB"/>
              </w:rPr>
              <w:t xml:space="preserve"> that that they are</w:t>
            </w:r>
            <w:r w:rsidR="006B2002" w:rsidRPr="002D1792">
              <w:rPr>
                <w:sz w:val="20"/>
                <w:szCs w:val="20"/>
                <w:lang w:val="en-GB"/>
              </w:rPr>
              <w:t xml:space="preserve"> motivated and capable of accessing, understanding and </w:t>
            </w:r>
            <w:r w:rsidR="0063337B" w:rsidRPr="002D1792">
              <w:rPr>
                <w:sz w:val="20"/>
                <w:szCs w:val="20"/>
                <w:lang w:val="en-GB"/>
              </w:rPr>
              <w:t>using</w:t>
            </w:r>
            <w:r w:rsidR="00315C7E" w:rsidRPr="002D1792">
              <w:rPr>
                <w:sz w:val="20"/>
                <w:szCs w:val="20"/>
                <w:lang w:val="en-GB"/>
              </w:rPr>
              <w:t xml:space="preserve"> </w:t>
            </w:r>
            <w:r w:rsidR="0063337B" w:rsidRPr="002D1792">
              <w:rPr>
                <w:sz w:val="20"/>
                <w:szCs w:val="20"/>
                <w:lang w:val="en-GB"/>
              </w:rPr>
              <w:t xml:space="preserve">accurate </w:t>
            </w:r>
            <w:r w:rsidR="00315C7E" w:rsidRPr="002D1792">
              <w:rPr>
                <w:sz w:val="20"/>
                <w:szCs w:val="20"/>
                <w:lang w:val="en-GB"/>
              </w:rPr>
              <w:t xml:space="preserve">health </w:t>
            </w:r>
            <w:r w:rsidR="006B2002" w:rsidRPr="002D1792">
              <w:rPr>
                <w:sz w:val="20"/>
                <w:szCs w:val="20"/>
                <w:lang w:val="en-GB"/>
              </w:rPr>
              <w:t>information</w:t>
            </w:r>
            <w:r w:rsidR="00315C7E" w:rsidRPr="002D1792">
              <w:rPr>
                <w:sz w:val="20"/>
                <w:szCs w:val="20"/>
                <w:lang w:val="en-GB"/>
              </w:rPr>
              <w:t xml:space="preserve"> for the benefit of their children</w:t>
            </w:r>
          </w:p>
        </w:tc>
      </w:tr>
      <w:tr w:rsidR="006E262C" w:rsidRPr="002D61C6" w14:paraId="3A279B1D" w14:textId="77777777" w:rsidTr="006E262C">
        <w:tc>
          <w:tcPr>
            <w:tcW w:w="1324" w:type="pct"/>
            <w:tcBorders>
              <w:top w:val="single" w:sz="4" w:space="0" w:color="318843"/>
              <w:bottom w:val="single" w:sz="4" w:space="0" w:color="318843"/>
            </w:tcBorders>
            <w:shd w:val="clear" w:color="auto" w:fill="auto"/>
          </w:tcPr>
          <w:p w14:paraId="33F51D4F" w14:textId="77777777" w:rsidR="006E262C" w:rsidRPr="002D1792" w:rsidRDefault="006E262C" w:rsidP="00CC575A">
            <w:pPr>
              <w:spacing w:before="60"/>
              <w:rPr>
                <w:rFonts w:cstheme="minorHAnsi"/>
                <w:b/>
                <w:color w:val="1C8243"/>
                <w:sz w:val="20"/>
                <w:szCs w:val="19"/>
              </w:rPr>
            </w:pPr>
            <w:r w:rsidRPr="002D1792">
              <w:rPr>
                <w:rFonts w:cstheme="minorHAnsi"/>
                <w:b/>
                <w:color w:val="1C8243"/>
                <w:sz w:val="20"/>
                <w:szCs w:val="19"/>
              </w:rPr>
              <w:t>Improve the evidence base to better target need and efficacy of interventions</w:t>
            </w:r>
          </w:p>
        </w:tc>
        <w:tc>
          <w:tcPr>
            <w:tcW w:w="3676" w:type="pct"/>
            <w:tcBorders>
              <w:top w:val="single" w:sz="4" w:space="0" w:color="318843"/>
              <w:bottom w:val="single" w:sz="4" w:space="0" w:color="318843"/>
            </w:tcBorders>
            <w:shd w:val="clear" w:color="auto" w:fill="auto"/>
          </w:tcPr>
          <w:p w14:paraId="5D7227B4" w14:textId="77777777" w:rsidR="006E262C" w:rsidRPr="002D1792" w:rsidRDefault="006E262C" w:rsidP="006E262C">
            <w:pPr>
              <w:pStyle w:val="ListParagraph"/>
              <w:numPr>
                <w:ilvl w:val="0"/>
                <w:numId w:val="39"/>
              </w:numPr>
              <w:spacing w:before="60" w:after="60"/>
              <w:ind w:left="323" w:hanging="323"/>
              <w:contextualSpacing w:val="0"/>
              <w:rPr>
                <w:sz w:val="20"/>
                <w:szCs w:val="20"/>
              </w:rPr>
            </w:pPr>
            <w:r w:rsidRPr="002D1792">
              <w:rPr>
                <w:sz w:val="20"/>
                <w:szCs w:val="20"/>
              </w:rPr>
              <w:t xml:space="preserve">Assess effective approaches and strategies to engage priority populations in research and consultation so that they are not underrepresented </w:t>
            </w:r>
          </w:p>
          <w:p w14:paraId="7F6A1395" w14:textId="77777777" w:rsidR="006E262C" w:rsidRPr="002D1792" w:rsidRDefault="006E262C" w:rsidP="006E262C">
            <w:pPr>
              <w:pStyle w:val="ListParagraph"/>
              <w:numPr>
                <w:ilvl w:val="0"/>
                <w:numId w:val="39"/>
              </w:numPr>
              <w:spacing w:before="60" w:after="60"/>
              <w:ind w:left="323" w:hanging="323"/>
              <w:contextualSpacing w:val="0"/>
              <w:rPr>
                <w:sz w:val="20"/>
                <w:szCs w:val="20"/>
              </w:rPr>
            </w:pPr>
            <w:r w:rsidRPr="002D1792">
              <w:rPr>
                <w:sz w:val="20"/>
                <w:szCs w:val="20"/>
              </w:rPr>
              <w:t>Refine current national data collections and health collection mechanisms to capture consistent health equity measures at a locali</w:t>
            </w:r>
            <w:r w:rsidR="001D00BF" w:rsidRPr="002D1792">
              <w:rPr>
                <w:sz w:val="20"/>
                <w:szCs w:val="20"/>
              </w:rPr>
              <w:t>s</w:t>
            </w:r>
            <w:r w:rsidRPr="002D1792">
              <w:rPr>
                <w:sz w:val="20"/>
                <w:szCs w:val="20"/>
              </w:rPr>
              <w:t>ed, community level and for priority populations</w:t>
            </w:r>
          </w:p>
          <w:p w14:paraId="237E2A40" w14:textId="77777777" w:rsidR="006E262C" w:rsidRPr="002D1792" w:rsidRDefault="006E262C" w:rsidP="006E262C">
            <w:pPr>
              <w:pStyle w:val="ListParagraph"/>
              <w:numPr>
                <w:ilvl w:val="0"/>
                <w:numId w:val="39"/>
              </w:numPr>
              <w:spacing w:before="60" w:after="60"/>
              <w:ind w:left="323" w:hanging="323"/>
              <w:contextualSpacing w:val="0"/>
              <w:rPr>
                <w:sz w:val="20"/>
                <w:szCs w:val="20"/>
              </w:rPr>
            </w:pPr>
            <w:r w:rsidRPr="002D1792">
              <w:rPr>
                <w:sz w:val="20"/>
                <w:szCs w:val="20"/>
                <w:lang w:val="en-GB"/>
              </w:rPr>
              <w:t>Build research activities to increase the evaluation of programs and interventions targeted at priority populations, with a particular emphasis on improving the evidence base for programs targeted at Aboriginal and Torres Strait Islander children and young people</w:t>
            </w:r>
          </w:p>
        </w:tc>
      </w:tr>
      <w:tr w:rsidR="006E262C" w:rsidRPr="002D61C6" w14:paraId="611E8F65" w14:textId="77777777" w:rsidTr="00315C7E">
        <w:tc>
          <w:tcPr>
            <w:tcW w:w="1324" w:type="pct"/>
            <w:tcBorders>
              <w:top w:val="single" w:sz="4" w:space="0" w:color="318843"/>
              <w:bottom w:val="single" w:sz="4" w:space="0" w:color="318843"/>
            </w:tcBorders>
            <w:shd w:val="clear" w:color="auto" w:fill="auto"/>
          </w:tcPr>
          <w:p w14:paraId="1C76746A" w14:textId="0D476543" w:rsidR="006E262C" w:rsidRPr="002D1792" w:rsidRDefault="006E262C" w:rsidP="0063337B">
            <w:pPr>
              <w:spacing w:before="60"/>
              <w:rPr>
                <w:rFonts w:cstheme="minorHAnsi"/>
                <w:b/>
                <w:color w:val="1C8243"/>
                <w:sz w:val="20"/>
                <w:szCs w:val="19"/>
              </w:rPr>
            </w:pPr>
            <w:r w:rsidRPr="002D1792">
              <w:rPr>
                <w:rFonts w:cstheme="minorHAnsi"/>
                <w:b/>
                <w:color w:val="1C8243"/>
                <w:sz w:val="20"/>
                <w:szCs w:val="19"/>
              </w:rPr>
              <w:t>Embed and develop related activities in accordance with frameworks developed for priority populations</w:t>
            </w:r>
          </w:p>
        </w:tc>
        <w:tc>
          <w:tcPr>
            <w:tcW w:w="3676" w:type="pct"/>
            <w:tcBorders>
              <w:top w:val="single" w:sz="4" w:space="0" w:color="318843"/>
              <w:bottom w:val="single" w:sz="4" w:space="0" w:color="318843"/>
            </w:tcBorders>
            <w:shd w:val="clear" w:color="auto" w:fill="auto"/>
          </w:tcPr>
          <w:p w14:paraId="075CC7ED" w14:textId="77777777" w:rsidR="006E262C" w:rsidRPr="002D1792" w:rsidRDefault="006E262C" w:rsidP="006E262C">
            <w:pPr>
              <w:pStyle w:val="ListParagraph"/>
              <w:numPr>
                <w:ilvl w:val="0"/>
                <w:numId w:val="39"/>
              </w:numPr>
              <w:spacing w:before="60" w:after="60"/>
              <w:ind w:left="323" w:hanging="323"/>
              <w:contextualSpacing w:val="0"/>
              <w:rPr>
                <w:sz w:val="20"/>
                <w:szCs w:val="20"/>
              </w:rPr>
            </w:pPr>
            <w:r w:rsidRPr="002D1792">
              <w:rPr>
                <w:sz w:val="20"/>
                <w:szCs w:val="20"/>
              </w:rPr>
              <w:t>Develop and implement future activities which align to current frameworks for priority populations, including strategies for Aboriginal and Torres Strait Islander Australians</w:t>
            </w:r>
          </w:p>
          <w:p w14:paraId="0D6E722B" w14:textId="3DA9CC7E" w:rsidR="006E262C" w:rsidRPr="002D1792" w:rsidRDefault="006E262C" w:rsidP="0063337B">
            <w:pPr>
              <w:pStyle w:val="ListParagraph"/>
              <w:numPr>
                <w:ilvl w:val="0"/>
                <w:numId w:val="39"/>
              </w:numPr>
              <w:spacing w:before="60" w:after="60"/>
              <w:ind w:left="323" w:hanging="323"/>
              <w:contextualSpacing w:val="0"/>
              <w:rPr>
                <w:sz w:val="20"/>
                <w:szCs w:val="20"/>
              </w:rPr>
            </w:pPr>
            <w:r w:rsidRPr="002D1792">
              <w:rPr>
                <w:sz w:val="20"/>
                <w:szCs w:val="20"/>
                <w:lang w:val="en-GB"/>
              </w:rPr>
              <w:t>Embed child and youth health and development as a key goal with supported actions within any future fra</w:t>
            </w:r>
            <w:r w:rsidR="0063337B" w:rsidRPr="002D1792">
              <w:rPr>
                <w:sz w:val="20"/>
                <w:szCs w:val="20"/>
                <w:lang w:val="en-GB"/>
              </w:rPr>
              <w:t>meworks</w:t>
            </w:r>
            <w:r w:rsidRPr="002D1792">
              <w:rPr>
                <w:sz w:val="20"/>
                <w:szCs w:val="20"/>
                <w:lang w:val="en-GB"/>
              </w:rPr>
              <w:t xml:space="preserve"> for priority populations</w:t>
            </w:r>
          </w:p>
        </w:tc>
      </w:tr>
      <w:tr w:rsidR="00D400D0" w:rsidRPr="002D61C6" w14:paraId="25C60C21" w14:textId="77777777" w:rsidTr="00CC575A">
        <w:tc>
          <w:tcPr>
            <w:tcW w:w="1324" w:type="pct"/>
            <w:tcBorders>
              <w:top w:val="single" w:sz="4" w:space="0" w:color="318843"/>
            </w:tcBorders>
            <w:shd w:val="clear" w:color="auto" w:fill="auto"/>
          </w:tcPr>
          <w:p w14:paraId="4600B9A8" w14:textId="7B8F03DD" w:rsidR="00D400D0" w:rsidRPr="002D1792" w:rsidRDefault="00D400D0" w:rsidP="00CC575A">
            <w:pPr>
              <w:spacing w:before="60"/>
              <w:rPr>
                <w:rFonts w:cstheme="minorHAnsi"/>
                <w:b/>
                <w:color w:val="1C8243"/>
                <w:sz w:val="20"/>
                <w:szCs w:val="19"/>
              </w:rPr>
            </w:pPr>
            <w:r w:rsidRPr="002D1792">
              <w:rPr>
                <w:rFonts w:cstheme="minorHAnsi"/>
                <w:b/>
                <w:color w:val="1C8243"/>
                <w:sz w:val="20"/>
                <w:szCs w:val="19"/>
              </w:rPr>
              <w:t>Promote and increase uptake of programs and initiatives directed at the health of child</w:t>
            </w:r>
            <w:r w:rsidR="00CA4CD8" w:rsidRPr="002D1792">
              <w:rPr>
                <w:rFonts w:cstheme="minorHAnsi"/>
                <w:b/>
                <w:color w:val="1C8243"/>
                <w:sz w:val="20"/>
                <w:szCs w:val="19"/>
              </w:rPr>
              <w:t>ren</w:t>
            </w:r>
            <w:r w:rsidRPr="002D1792">
              <w:rPr>
                <w:rFonts w:cstheme="minorHAnsi"/>
                <w:b/>
                <w:color w:val="1C8243"/>
                <w:sz w:val="20"/>
                <w:szCs w:val="19"/>
              </w:rPr>
              <w:t xml:space="preserve"> and young people</w:t>
            </w:r>
          </w:p>
        </w:tc>
        <w:tc>
          <w:tcPr>
            <w:tcW w:w="3676" w:type="pct"/>
            <w:tcBorders>
              <w:top w:val="single" w:sz="4" w:space="0" w:color="318843"/>
            </w:tcBorders>
            <w:shd w:val="clear" w:color="auto" w:fill="auto"/>
          </w:tcPr>
          <w:p w14:paraId="5EBA1AC7" w14:textId="39FAE4D5" w:rsidR="00D400D0" w:rsidRPr="002D1792" w:rsidRDefault="00CA4CD8" w:rsidP="006E262C">
            <w:pPr>
              <w:pStyle w:val="ListParagraph"/>
              <w:numPr>
                <w:ilvl w:val="0"/>
                <w:numId w:val="39"/>
              </w:numPr>
              <w:spacing w:before="60" w:after="60"/>
              <w:ind w:left="323" w:hanging="323"/>
              <w:contextualSpacing w:val="0"/>
              <w:rPr>
                <w:sz w:val="20"/>
                <w:szCs w:val="20"/>
              </w:rPr>
            </w:pPr>
            <w:r w:rsidRPr="002D1792">
              <w:rPr>
                <w:sz w:val="20"/>
                <w:szCs w:val="20"/>
              </w:rPr>
              <w:t xml:space="preserve">Raise awareness, </w:t>
            </w:r>
            <w:r w:rsidR="003E5949" w:rsidRPr="002D1792">
              <w:rPr>
                <w:sz w:val="20"/>
                <w:szCs w:val="20"/>
              </w:rPr>
              <w:t>and subsequently the uptake of</w:t>
            </w:r>
            <w:r w:rsidR="00A15BA5" w:rsidRPr="002D1792">
              <w:rPr>
                <w:sz w:val="20"/>
                <w:szCs w:val="20"/>
              </w:rPr>
              <w:t>,</w:t>
            </w:r>
            <w:r w:rsidR="003E5949" w:rsidRPr="002D1792">
              <w:rPr>
                <w:sz w:val="20"/>
                <w:szCs w:val="20"/>
              </w:rPr>
              <w:t xml:space="preserve"> </w:t>
            </w:r>
            <w:r w:rsidRPr="002D1792">
              <w:rPr>
                <w:sz w:val="20"/>
                <w:szCs w:val="20"/>
              </w:rPr>
              <w:t xml:space="preserve">existing </w:t>
            </w:r>
            <w:r w:rsidR="0069461E" w:rsidRPr="002D1792">
              <w:rPr>
                <w:sz w:val="20"/>
                <w:szCs w:val="20"/>
              </w:rPr>
              <w:t xml:space="preserve">evidence-based </w:t>
            </w:r>
            <w:r w:rsidRPr="002D1792">
              <w:rPr>
                <w:sz w:val="20"/>
                <w:szCs w:val="20"/>
              </w:rPr>
              <w:t xml:space="preserve">health programs </w:t>
            </w:r>
            <w:r w:rsidR="00A15BA5" w:rsidRPr="002D1792">
              <w:rPr>
                <w:sz w:val="20"/>
                <w:szCs w:val="20"/>
              </w:rPr>
              <w:t xml:space="preserve">that provide for optimal health, e.g. </w:t>
            </w:r>
            <w:r w:rsidR="003E5949" w:rsidRPr="002D1792">
              <w:rPr>
                <w:sz w:val="20"/>
                <w:szCs w:val="20"/>
              </w:rPr>
              <w:t>the</w:t>
            </w:r>
            <w:r w:rsidR="00A15BA5" w:rsidRPr="002D1792">
              <w:rPr>
                <w:sz w:val="20"/>
                <w:szCs w:val="20"/>
              </w:rPr>
              <w:t xml:space="preserve"> National Immunisation Program</w:t>
            </w:r>
          </w:p>
          <w:p w14:paraId="0A9BD08E" w14:textId="6FF08518" w:rsidR="0069461E" w:rsidRPr="002D1792" w:rsidRDefault="003E5949" w:rsidP="0069461E">
            <w:pPr>
              <w:pStyle w:val="ListParagraph"/>
              <w:numPr>
                <w:ilvl w:val="0"/>
                <w:numId w:val="39"/>
              </w:numPr>
              <w:spacing w:before="60" w:after="60"/>
              <w:ind w:left="323" w:hanging="323"/>
              <w:contextualSpacing w:val="0"/>
              <w:rPr>
                <w:sz w:val="20"/>
                <w:szCs w:val="20"/>
              </w:rPr>
            </w:pPr>
            <w:r w:rsidRPr="002D1792">
              <w:rPr>
                <w:sz w:val="20"/>
                <w:szCs w:val="20"/>
              </w:rPr>
              <w:t>Raise awareness and use of existing e</w:t>
            </w:r>
            <w:r w:rsidR="00D400D0" w:rsidRPr="002D1792">
              <w:rPr>
                <w:sz w:val="20"/>
                <w:szCs w:val="20"/>
              </w:rPr>
              <w:t>ducation</w:t>
            </w:r>
            <w:r w:rsidRPr="002D1792">
              <w:rPr>
                <w:sz w:val="20"/>
                <w:szCs w:val="20"/>
              </w:rPr>
              <w:t xml:space="preserve"> tools and resources that support optimal health for children and young people – e.</w:t>
            </w:r>
            <w:r w:rsidR="0063337B" w:rsidRPr="002D1792">
              <w:rPr>
                <w:sz w:val="20"/>
                <w:szCs w:val="20"/>
              </w:rPr>
              <w:t xml:space="preserve">g. </w:t>
            </w:r>
            <w:r w:rsidR="0069461E" w:rsidRPr="002D1792">
              <w:rPr>
                <w:sz w:val="20"/>
                <w:szCs w:val="20"/>
              </w:rPr>
              <w:t xml:space="preserve">Australian Dietary Guidelines, Australia’s physical activity guidelines, Get Up and Grow, drug and alcohol resources and the </w:t>
            </w:r>
            <w:r w:rsidR="0069461E" w:rsidRPr="002D1792">
              <w:rPr>
                <w:i/>
                <w:sz w:val="20"/>
                <w:szCs w:val="20"/>
              </w:rPr>
              <w:t xml:space="preserve">Raising Children </w:t>
            </w:r>
            <w:r w:rsidR="00A15BA5" w:rsidRPr="002D1792">
              <w:rPr>
                <w:sz w:val="20"/>
                <w:szCs w:val="20"/>
              </w:rPr>
              <w:t>website</w:t>
            </w:r>
          </w:p>
          <w:p w14:paraId="2C5BF25E" w14:textId="6DD7C787" w:rsidR="00A15BA5" w:rsidRPr="002D1792" w:rsidRDefault="00A15BA5" w:rsidP="0069461E">
            <w:pPr>
              <w:pStyle w:val="ListParagraph"/>
              <w:numPr>
                <w:ilvl w:val="0"/>
                <w:numId w:val="39"/>
              </w:numPr>
              <w:spacing w:before="60" w:after="60"/>
              <w:ind w:left="323" w:hanging="323"/>
              <w:contextualSpacing w:val="0"/>
              <w:rPr>
                <w:sz w:val="20"/>
                <w:szCs w:val="20"/>
              </w:rPr>
            </w:pPr>
            <w:r w:rsidRPr="002D1792">
              <w:rPr>
                <w:sz w:val="20"/>
                <w:szCs w:val="20"/>
              </w:rPr>
              <w:t>Assess the potential to build targeted and culturally appropriate components into existing population-wide programs, e.g. for refugee and migrant populations, Aboriginal and Torres Strait Islanders</w:t>
            </w:r>
          </w:p>
          <w:p w14:paraId="2A90C935" w14:textId="5AAEF4F9" w:rsidR="00D400D0" w:rsidRPr="002D1792" w:rsidRDefault="0069461E" w:rsidP="0069461E">
            <w:pPr>
              <w:pStyle w:val="ListParagraph"/>
              <w:numPr>
                <w:ilvl w:val="0"/>
                <w:numId w:val="39"/>
              </w:numPr>
              <w:spacing w:before="60" w:after="60"/>
              <w:ind w:left="323" w:hanging="323"/>
              <w:contextualSpacing w:val="0"/>
              <w:rPr>
                <w:sz w:val="20"/>
                <w:szCs w:val="20"/>
              </w:rPr>
            </w:pPr>
            <w:r w:rsidRPr="002D1792">
              <w:rPr>
                <w:sz w:val="20"/>
                <w:szCs w:val="20"/>
              </w:rPr>
              <w:t xml:space="preserve">Identify and scale-up effective programs and resources that address health issues and disparities that present in </w:t>
            </w:r>
            <w:r w:rsidR="00A15BA5" w:rsidRPr="002D1792">
              <w:rPr>
                <w:sz w:val="20"/>
                <w:szCs w:val="20"/>
              </w:rPr>
              <w:t>priority population groups</w:t>
            </w:r>
          </w:p>
          <w:p w14:paraId="24DF4E28" w14:textId="23517B51" w:rsidR="0069461E" w:rsidRPr="002D1792" w:rsidRDefault="0069461E" w:rsidP="00A15BA5">
            <w:pPr>
              <w:pStyle w:val="ListParagraph"/>
              <w:numPr>
                <w:ilvl w:val="0"/>
                <w:numId w:val="39"/>
              </w:numPr>
              <w:spacing w:before="60" w:after="60"/>
              <w:ind w:left="323" w:hanging="323"/>
              <w:contextualSpacing w:val="0"/>
              <w:rPr>
                <w:sz w:val="20"/>
                <w:szCs w:val="20"/>
              </w:rPr>
            </w:pPr>
            <w:r w:rsidRPr="002D1792">
              <w:rPr>
                <w:sz w:val="20"/>
                <w:szCs w:val="20"/>
                <w:lang w:val="en-GB"/>
              </w:rPr>
              <w:t xml:space="preserve">Review the impact of current, local, place-based and co-designed </w:t>
            </w:r>
            <w:r w:rsidR="00A15BA5" w:rsidRPr="002D1792">
              <w:rPr>
                <w:sz w:val="20"/>
                <w:szCs w:val="20"/>
                <w:lang w:val="en-GB"/>
              </w:rPr>
              <w:t>initiatives</w:t>
            </w:r>
            <w:r w:rsidRPr="002D1792">
              <w:rPr>
                <w:sz w:val="20"/>
                <w:szCs w:val="20"/>
                <w:lang w:val="en-GB"/>
              </w:rPr>
              <w:t xml:space="preserve"> and assess options to scale </w:t>
            </w:r>
            <w:r w:rsidR="00A15BA5" w:rsidRPr="002D1792">
              <w:rPr>
                <w:sz w:val="20"/>
                <w:szCs w:val="20"/>
                <w:lang w:val="en-GB"/>
              </w:rPr>
              <w:t>up high-impact programs to a</w:t>
            </w:r>
            <w:r w:rsidRPr="002D1792">
              <w:rPr>
                <w:sz w:val="20"/>
                <w:szCs w:val="20"/>
                <w:lang w:val="en-GB"/>
              </w:rPr>
              <w:t xml:space="preserve"> national level</w:t>
            </w:r>
          </w:p>
        </w:tc>
      </w:tr>
    </w:tbl>
    <w:p w14:paraId="3D3AD952" w14:textId="77777777" w:rsidR="00772BF1" w:rsidRDefault="00772BF1" w:rsidP="00FE45ED">
      <w:pPr>
        <w:pStyle w:val="Heading2"/>
      </w:pPr>
      <w:bookmarkStart w:id="23" w:name="_Toc5282305"/>
      <w:bookmarkStart w:id="24" w:name="_Hlk4829474"/>
    </w:p>
    <w:p w14:paraId="19977909" w14:textId="77777777" w:rsidR="00772BF1" w:rsidRDefault="00772BF1">
      <w:pPr>
        <w:spacing w:before="0" w:after="160" w:line="259" w:lineRule="auto"/>
        <w:rPr>
          <w:rFonts w:ascii="Segoe UI Semibold" w:hAnsi="Segoe UI Semibold"/>
          <w:b/>
          <w:color w:val="288843"/>
          <w:sz w:val="28"/>
          <w:szCs w:val="19"/>
          <w:lang w:eastAsia="en-AU"/>
        </w:rPr>
      </w:pPr>
      <w:r>
        <w:br w:type="page"/>
      </w:r>
    </w:p>
    <w:p w14:paraId="5357FDF0" w14:textId="15AFF004" w:rsidR="003330B2" w:rsidRDefault="003330B2" w:rsidP="00FE45ED">
      <w:pPr>
        <w:pStyle w:val="Heading2"/>
      </w:pPr>
      <w:r>
        <w:t>Priority Area 2: Empowering parents</w:t>
      </w:r>
      <w:r w:rsidR="0056691A">
        <w:t xml:space="preserve"> and caregivers</w:t>
      </w:r>
      <w:r>
        <w:t xml:space="preserve"> to maximise healthy development</w:t>
      </w:r>
      <w:bookmarkEnd w:id="23"/>
    </w:p>
    <w:bookmarkEnd w:id="24"/>
    <w:p w14:paraId="71B5C809" w14:textId="6D62BF78" w:rsidR="004E6087" w:rsidRDefault="004A5E4D" w:rsidP="004E6087">
      <w:pPr>
        <w:rPr>
          <w:rFonts w:cstheme="minorHAnsi"/>
          <w:sz w:val="20"/>
          <w:szCs w:val="19"/>
        </w:rPr>
      </w:pPr>
      <w:r>
        <w:rPr>
          <w:rFonts w:cstheme="minorHAnsi"/>
          <w:sz w:val="20"/>
          <w:szCs w:val="19"/>
        </w:rPr>
        <w:t>T</w:t>
      </w:r>
      <w:r w:rsidR="004E6087">
        <w:rPr>
          <w:rFonts w:cstheme="minorHAnsi"/>
          <w:sz w:val="20"/>
          <w:szCs w:val="19"/>
        </w:rPr>
        <w:t>he significant influence parents</w:t>
      </w:r>
      <w:r w:rsidR="005417A9">
        <w:rPr>
          <w:rFonts w:cstheme="minorHAnsi"/>
          <w:sz w:val="20"/>
          <w:szCs w:val="19"/>
        </w:rPr>
        <w:t xml:space="preserve"> and caregivers</w:t>
      </w:r>
      <w:r w:rsidR="004E6087">
        <w:rPr>
          <w:rFonts w:cstheme="minorHAnsi"/>
          <w:sz w:val="20"/>
          <w:szCs w:val="19"/>
        </w:rPr>
        <w:t xml:space="preserve"> have on multiple child health outcomes </w:t>
      </w:r>
      <w:r>
        <w:rPr>
          <w:rFonts w:cstheme="minorHAnsi"/>
          <w:sz w:val="20"/>
          <w:szCs w:val="19"/>
        </w:rPr>
        <w:t xml:space="preserve">means </w:t>
      </w:r>
      <w:r w:rsidR="004E6087">
        <w:rPr>
          <w:rFonts w:cstheme="minorHAnsi"/>
          <w:sz w:val="20"/>
          <w:szCs w:val="19"/>
        </w:rPr>
        <w:t>there is</w:t>
      </w:r>
      <w:r>
        <w:rPr>
          <w:rFonts w:cstheme="minorHAnsi"/>
          <w:sz w:val="20"/>
          <w:szCs w:val="19"/>
        </w:rPr>
        <w:t xml:space="preserve"> a big</w:t>
      </w:r>
      <w:r w:rsidR="004E6087">
        <w:rPr>
          <w:rFonts w:cstheme="minorHAnsi"/>
          <w:sz w:val="20"/>
          <w:szCs w:val="19"/>
        </w:rPr>
        <w:t xml:space="preserve"> opportunity to engender greater equity by enhancing both universal and targeted parenting support interventions.</w:t>
      </w:r>
    </w:p>
    <w:p w14:paraId="65C7F807" w14:textId="77777777" w:rsidR="004E6087" w:rsidRDefault="004E6087" w:rsidP="004E6087">
      <w:pPr>
        <w:pStyle w:val="Heading4"/>
      </w:pPr>
      <w:r>
        <w:t>Why is this a priority?</w:t>
      </w:r>
    </w:p>
    <w:p w14:paraId="43832100" w14:textId="77777777" w:rsidR="004E6087" w:rsidRDefault="004E6087" w:rsidP="004E6087">
      <w:pPr>
        <w:rPr>
          <w:rFonts w:cstheme="minorHAnsi"/>
          <w:sz w:val="20"/>
          <w:szCs w:val="19"/>
        </w:rPr>
      </w:pPr>
      <w:r>
        <w:rPr>
          <w:rFonts w:cstheme="minorHAnsi"/>
          <w:sz w:val="20"/>
          <w:szCs w:val="19"/>
        </w:rPr>
        <w:t>The healthy development of children and young people is directly related to the nature and quality of parenting.</w:t>
      </w:r>
      <w:r>
        <w:rPr>
          <w:rStyle w:val="EndnoteReference"/>
          <w:rFonts w:cstheme="minorHAnsi"/>
          <w:sz w:val="20"/>
          <w:szCs w:val="19"/>
        </w:rPr>
        <w:endnoteReference w:id="99"/>
      </w:r>
      <w:r>
        <w:rPr>
          <w:rFonts w:cstheme="minorHAnsi"/>
          <w:sz w:val="20"/>
          <w:szCs w:val="19"/>
        </w:rPr>
        <w:t xml:space="preserve"> Effective parenting support interventions offer a mechanism to improve both immediate and long term child outcomes, especially during the antenatal and early childhood period.</w:t>
      </w:r>
      <w:r w:rsidRPr="00CD630F">
        <w:rPr>
          <w:rStyle w:val="EndnoteReference"/>
          <w:rFonts w:cstheme="minorHAnsi"/>
          <w:sz w:val="20"/>
          <w:szCs w:val="19"/>
        </w:rPr>
        <w:t xml:space="preserve"> </w:t>
      </w:r>
      <w:r>
        <w:rPr>
          <w:rStyle w:val="EndnoteReference"/>
          <w:rFonts w:cstheme="minorHAnsi"/>
          <w:sz w:val="20"/>
          <w:szCs w:val="19"/>
        </w:rPr>
        <w:endnoteReference w:id="100"/>
      </w:r>
      <w:r>
        <w:rPr>
          <w:rFonts w:cstheme="minorHAnsi"/>
          <w:sz w:val="20"/>
          <w:szCs w:val="19"/>
        </w:rPr>
        <w:t xml:space="preserve"> While strengthening </w:t>
      </w:r>
      <w:r w:rsidRPr="004A5E4D">
        <w:rPr>
          <w:rFonts w:cstheme="minorHAnsi"/>
          <w:sz w:val="20"/>
          <w:szCs w:val="19"/>
        </w:rPr>
        <w:t xml:space="preserve">parenting as a protective factor </w:t>
      </w:r>
      <w:r>
        <w:rPr>
          <w:rFonts w:cstheme="minorHAnsi"/>
          <w:sz w:val="20"/>
          <w:szCs w:val="19"/>
        </w:rPr>
        <w:t xml:space="preserve">among all families is valuable, </w:t>
      </w:r>
      <w:r w:rsidRPr="006D1600">
        <w:rPr>
          <w:rFonts w:cstheme="minorHAnsi"/>
          <w:sz w:val="20"/>
          <w:szCs w:val="19"/>
        </w:rPr>
        <w:t xml:space="preserve">support targeted at those </w:t>
      </w:r>
      <w:r w:rsidR="0079033B">
        <w:rPr>
          <w:rFonts w:cstheme="minorHAnsi"/>
          <w:sz w:val="20"/>
          <w:szCs w:val="19"/>
        </w:rPr>
        <w:t>experiencing disadvantage</w:t>
      </w:r>
      <w:r w:rsidRPr="006D1600">
        <w:rPr>
          <w:rFonts w:cstheme="minorHAnsi"/>
          <w:sz w:val="20"/>
          <w:szCs w:val="19"/>
        </w:rPr>
        <w:t xml:space="preserve"> can reduce the impact of social and environmental risk factors </w:t>
      </w:r>
      <w:r>
        <w:rPr>
          <w:rFonts w:cstheme="minorHAnsi"/>
          <w:sz w:val="20"/>
          <w:szCs w:val="19"/>
        </w:rPr>
        <w:t>– including poverty – on child health.</w:t>
      </w:r>
      <w:r>
        <w:rPr>
          <w:rStyle w:val="EndnoteReference"/>
          <w:rFonts w:cstheme="minorHAnsi"/>
          <w:sz w:val="20"/>
          <w:szCs w:val="19"/>
        </w:rPr>
        <w:endnoteReference w:id="101"/>
      </w:r>
      <w:r>
        <w:rPr>
          <w:rFonts w:cstheme="minorHAnsi"/>
          <w:sz w:val="20"/>
          <w:szCs w:val="19"/>
        </w:rPr>
        <w:t xml:space="preserve"> </w:t>
      </w:r>
    </w:p>
    <w:p w14:paraId="1895CB87" w14:textId="77777777" w:rsidR="00B96970" w:rsidRDefault="004E6087" w:rsidP="004E6087">
      <w:pPr>
        <w:rPr>
          <w:rFonts w:cstheme="minorHAnsi"/>
          <w:sz w:val="20"/>
          <w:szCs w:val="19"/>
        </w:rPr>
      </w:pPr>
      <w:r>
        <w:rPr>
          <w:rFonts w:cstheme="minorHAnsi"/>
          <w:sz w:val="20"/>
          <w:szCs w:val="19"/>
        </w:rPr>
        <w:t xml:space="preserve">There is a strong, cumulative relationship between the number of </w:t>
      </w:r>
      <w:r w:rsidRPr="004A5E4D">
        <w:rPr>
          <w:rFonts w:cstheme="minorHAnsi"/>
          <w:sz w:val="20"/>
          <w:szCs w:val="19"/>
        </w:rPr>
        <w:t xml:space="preserve">adverse events </w:t>
      </w:r>
      <w:r w:rsidRPr="0072045C">
        <w:rPr>
          <w:rFonts w:cstheme="minorHAnsi"/>
          <w:sz w:val="20"/>
          <w:szCs w:val="19"/>
        </w:rPr>
        <w:t>and</w:t>
      </w:r>
      <w:r w:rsidRPr="004A5E4D">
        <w:rPr>
          <w:rFonts w:cstheme="minorHAnsi"/>
          <w:sz w:val="20"/>
          <w:szCs w:val="19"/>
        </w:rPr>
        <w:t xml:space="preserve"> levels of toxic stress</w:t>
      </w:r>
      <w:r w:rsidRPr="0072045C">
        <w:rPr>
          <w:rFonts w:cstheme="minorHAnsi"/>
          <w:color w:val="1C8243"/>
          <w:sz w:val="20"/>
          <w:szCs w:val="19"/>
        </w:rPr>
        <w:t xml:space="preserve"> </w:t>
      </w:r>
      <w:r>
        <w:rPr>
          <w:rFonts w:cstheme="minorHAnsi"/>
          <w:sz w:val="20"/>
          <w:szCs w:val="19"/>
        </w:rPr>
        <w:t>experienced in childhood with health risks in adulthood.</w:t>
      </w:r>
      <w:r>
        <w:rPr>
          <w:rStyle w:val="EndnoteReference"/>
          <w:rFonts w:cstheme="minorHAnsi"/>
          <w:sz w:val="20"/>
          <w:szCs w:val="19"/>
        </w:rPr>
        <w:endnoteReference w:id="102"/>
      </w:r>
      <w:r>
        <w:rPr>
          <w:rFonts w:cstheme="minorHAnsi"/>
          <w:sz w:val="20"/>
          <w:szCs w:val="19"/>
        </w:rPr>
        <w:t xml:space="preserve"> Hostile parenting is an especially potent predictor of negative outcomes, with parental warmth, consistency and self-efficacy also proving influential.</w:t>
      </w:r>
      <w:r>
        <w:rPr>
          <w:rStyle w:val="EndnoteReference"/>
          <w:rFonts w:cstheme="minorHAnsi"/>
          <w:sz w:val="20"/>
          <w:szCs w:val="19"/>
        </w:rPr>
        <w:endnoteReference w:id="103"/>
      </w:r>
      <w:r>
        <w:rPr>
          <w:rFonts w:cstheme="minorHAnsi"/>
          <w:sz w:val="20"/>
          <w:szCs w:val="19"/>
        </w:rPr>
        <w:t xml:space="preserve"> </w:t>
      </w:r>
    </w:p>
    <w:p w14:paraId="45ADBB4E" w14:textId="77777777" w:rsidR="0072045C" w:rsidRDefault="004E6087" w:rsidP="004E6087">
      <w:pPr>
        <w:rPr>
          <w:rFonts w:cstheme="minorHAnsi"/>
          <w:sz w:val="20"/>
          <w:szCs w:val="19"/>
        </w:rPr>
      </w:pPr>
      <w:r w:rsidRPr="00134DEF">
        <w:rPr>
          <w:rFonts w:cstheme="minorHAnsi"/>
          <w:sz w:val="20"/>
          <w:szCs w:val="19"/>
        </w:rPr>
        <w:t xml:space="preserve">While </w:t>
      </w:r>
      <w:r>
        <w:rPr>
          <w:rFonts w:cstheme="minorHAnsi"/>
          <w:sz w:val="20"/>
          <w:szCs w:val="19"/>
        </w:rPr>
        <w:t xml:space="preserve">current </w:t>
      </w:r>
      <w:r w:rsidRPr="00134DEF">
        <w:rPr>
          <w:rFonts w:cstheme="minorHAnsi"/>
          <w:sz w:val="20"/>
          <w:szCs w:val="19"/>
        </w:rPr>
        <w:t>measures of parenting are varied</w:t>
      </w:r>
      <w:r>
        <w:rPr>
          <w:rFonts w:cstheme="minorHAnsi"/>
          <w:sz w:val="20"/>
          <w:szCs w:val="19"/>
        </w:rPr>
        <w:t>, a number of indicators highlight the need for further actions to support positive parenting practices and foster a supportive family environment.</w:t>
      </w:r>
      <w:r w:rsidR="0072045C">
        <w:rPr>
          <w:rFonts w:cstheme="minorHAnsi"/>
          <w:sz w:val="20"/>
          <w:szCs w:val="19"/>
        </w:rPr>
        <w:t xml:space="preserve"> At the most critical end of the scale, </w:t>
      </w:r>
      <w:r w:rsidR="0072045C" w:rsidRPr="0072045C">
        <w:rPr>
          <w:rFonts w:cstheme="minorHAnsi"/>
          <w:sz w:val="20"/>
          <w:szCs w:val="19"/>
        </w:rPr>
        <w:t>rates of</w:t>
      </w:r>
      <w:r w:rsidR="0072045C" w:rsidRPr="0072045C">
        <w:rPr>
          <w:rFonts w:cstheme="minorHAnsi"/>
          <w:color w:val="1C8243"/>
          <w:sz w:val="20"/>
          <w:szCs w:val="19"/>
        </w:rPr>
        <w:t xml:space="preserve"> child abuse and neglect </w:t>
      </w:r>
      <w:r w:rsidR="0072045C">
        <w:rPr>
          <w:rFonts w:cstheme="minorHAnsi"/>
          <w:sz w:val="20"/>
          <w:szCs w:val="19"/>
        </w:rPr>
        <w:t>in Australia have been rising in recent years, with Indigenous children over-represented in these statistics.</w:t>
      </w:r>
      <w:r w:rsidR="0072045C">
        <w:rPr>
          <w:rStyle w:val="EndnoteReference"/>
          <w:rFonts w:cstheme="minorHAnsi"/>
          <w:sz w:val="20"/>
          <w:szCs w:val="19"/>
        </w:rPr>
        <w:endnoteReference w:id="104"/>
      </w:r>
      <w:r w:rsidR="0072045C">
        <w:rPr>
          <w:rFonts w:cstheme="minorHAnsi"/>
          <w:sz w:val="20"/>
          <w:szCs w:val="19"/>
        </w:rPr>
        <w:t xml:space="preserve"> Meanwhile, harsh or other </w:t>
      </w:r>
      <w:r w:rsidR="0072045C" w:rsidRPr="0072045C">
        <w:rPr>
          <w:rFonts w:cstheme="minorHAnsi"/>
          <w:color w:val="1C8243"/>
          <w:sz w:val="20"/>
          <w:szCs w:val="19"/>
        </w:rPr>
        <w:t xml:space="preserve">negative parenting practices </w:t>
      </w:r>
      <w:r w:rsidR="0072045C">
        <w:rPr>
          <w:rFonts w:cstheme="minorHAnsi"/>
          <w:sz w:val="20"/>
          <w:szCs w:val="19"/>
        </w:rPr>
        <w:t>– such as smacking, being too critical or too impatient with children – appear reasonably commonplace.</w:t>
      </w:r>
      <w:r w:rsidR="0072045C" w:rsidRPr="0072045C">
        <w:rPr>
          <w:rStyle w:val="EndnoteReference"/>
          <w:rFonts w:cstheme="minorHAnsi"/>
          <w:sz w:val="20"/>
          <w:szCs w:val="19"/>
        </w:rPr>
        <w:t xml:space="preserve"> </w:t>
      </w:r>
      <w:r w:rsidR="0072045C">
        <w:rPr>
          <w:rStyle w:val="EndnoteReference"/>
          <w:rFonts w:cstheme="minorHAnsi"/>
          <w:sz w:val="20"/>
          <w:szCs w:val="19"/>
        </w:rPr>
        <w:endnoteReference w:id="105"/>
      </w:r>
      <w:r w:rsidR="0072045C">
        <w:rPr>
          <w:rFonts w:cstheme="minorHAnsi"/>
          <w:sz w:val="20"/>
          <w:szCs w:val="19"/>
        </w:rPr>
        <w:t xml:space="preserve"> </w:t>
      </w:r>
    </w:p>
    <w:p w14:paraId="34F78131" w14:textId="77777777" w:rsidR="004C0CE9" w:rsidRDefault="0072045C" w:rsidP="004E6087">
      <w:pPr>
        <w:rPr>
          <w:rFonts w:cstheme="minorHAnsi"/>
          <w:sz w:val="20"/>
          <w:szCs w:val="19"/>
        </w:rPr>
      </w:pPr>
      <w:r>
        <w:rPr>
          <w:rFonts w:cstheme="minorHAnsi"/>
          <w:sz w:val="20"/>
          <w:szCs w:val="19"/>
        </w:rPr>
        <w:t xml:space="preserve">Known </w:t>
      </w:r>
      <w:r w:rsidRPr="004C0CE9">
        <w:rPr>
          <w:rFonts w:cstheme="minorHAnsi"/>
          <w:color w:val="1C8243"/>
          <w:sz w:val="20"/>
          <w:szCs w:val="19"/>
        </w:rPr>
        <w:t xml:space="preserve">risk factors in the </w:t>
      </w:r>
      <w:r w:rsidR="004C0CE9" w:rsidRPr="004C0CE9">
        <w:rPr>
          <w:rFonts w:cstheme="minorHAnsi"/>
          <w:color w:val="1C8243"/>
          <w:sz w:val="20"/>
          <w:szCs w:val="19"/>
        </w:rPr>
        <w:t>perinatal</w:t>
      </w:r>
      <w:r w:rsidRPr="004C0CE9">
        <w:rPr>
          <w:rFonts w:cstheme="minorHAnsi"/>
          <w:color w:val="1C8243"/>
          <w:sz w:val="20"/>
          <w:szCs w:val="19"/>
        </w:rPr>
        <w:t xml:space="preserve"> period </w:t>
      </w:r>
      <w:r>
        <w:rPr>
          <w:rFonts w:cstheme="minorHAnsi"/>
          <w:sz w:val="20"/>
          <w:szCs w:val="19"/>
        </w:rPr>
        <w:t xml:space="preserve">which have a strong impact on child development </w:t>
      </w:r>
      <w:r w:rsidR="004C0CE9">
        <w:rPr>
          <w:rFonts w:cstheme="minorHAnsi"/>
          <w:sz w:val="20"/>
          <w:szCs w:val="19"/>
        </w:rPr>
        <w:t xml:space="preserve">and </w:t>
      </w:r>
      <w:r>
        <w:rPr>
          <w:rFonts w:cstheme="minorHAnsi"/>
          <w:sz w:val="20"/>
          <w:szCs w:val="19"/>
        </w:rPr>
        <w:t>health outcomes</w:t>
      </w:r>
      <w:r w:rsidR="004C0CE9">
        <w:rPr>
          <w:rFonts w:cstheme="minorHAnsi"/>
          <w:sz w:val="20"/>
          <w:szCs w:val="19"/>
        </w:rPr>
        <w:t xml:space="preserve"> are also a cause for concern. One in five mothers of children under two years are diagnosed with depression, while exclusive breastfeeding falls short of recommend guidelines for many mothers.</w:t>
      </w:r>
      <w:r w:rsidR="004C0CE9" w:rsidRPr="004C0CE9">
        <w:rPr>
          <w:rStyle w:val="EndnoteReference"/>
          <w:rFonts w:cstheme="minorHAnsi"/>
          <w:sz w:val="20"/>
          <w:szCs w:val="19"/>
        </w:rPr>
        <w:t xml:space="preserve"> </w:t>
      </w:r>
      <w:r w:rsidR="004C0CE9">
        <w:rPr>
          <w:rStyle w:val="EndnoteReference"/>
          <w:rFonts w:cstheme="minorHAnsi"/>
          <w:sz w:val="20"/>
          <w:szCs w:val="19"/>
        </w:rPr>
        <w:endnoteReference w:id="106"/>
      </w:r>
      <w:r w:rsidR="004C0CE9">
        <w:rPr>
          <w:rFonts w:cstheme="minorHAnsi"/>
          <w:sz w:val="20"/>
          <w:szCs w:val="19"/>
        </w:rPr>
        <w:t xml:space="preserve"> </w:t>
      </w:r>
      <w:r w:rsidR="004C0CE9">
        <w:rPr>
          <w:rStyle w:val="EndnoteReference"/>
          <w:rFonts w:cstheme="minorHAnsi"/>
          <w:sz w:val="20"/>
          <w:szCs w:val="19"/>
        </w:rPr>
        <w:endnoteReference w:id="107"/>
      </w:r>
      <w:r w:rsidR="004C0CE9" w:rsidRPr="00745409">
        <w:rPr>
          <w:rStyle w:val="EndnoteReference"/>
          <w:rFonts w:cstheme="minorHAnsi"/>
          <w:sz w:val="20"/>
          <w:szCs w:val="19"/>
        </w:rPr>
        <w:t xml:space="preserve"> </w:t>
      </w:r>
      <w:r w:rsidR="004C0CE9">
        <w:rPr>
          <w:rStyle w:val="EndnoteReference"/>
          <w:rFonts w:cstheme="minorHAnsi"/>
          <w:sz w:val="20"/>
          <w:szCs w:val="19"/>
        </w:rPr>
        <w:endnoteReference w:id="108"/>
      </w:r>
    </w:p>
    <w:p w14:paraId="1624172F" w14:textId="77777777" w:rsidR="0072045C" w:rsidRDefault="004C0CE9" w:rsidP="004E6087">
      <w:pPr>
        <w:rPr>
          <w:rFonts w:cstheme="minorHAnsi"/>
          <w:sz w:val="20"/>
          <w:szCs w:val="19"/>
        </w:rPr>
      </w:pPr>
      <w:r>
        <w:rPr>
          <w:rFonts w:cstheme="minorHAnsi"/>
          <w:sz w:val="20"/>
          <w:szCs w:val="19"/>
        </w:rPr>
        <w:t xml:space="preserve">While much emphasis has understandably – in light of </w:t>
      </w:r>
      <w:r w:rsidR="004C4A67">
        <w:rPr>
          <w:rFonts w:cstheme="minorHAnsi"/>
          <w:sz w:val="20"/>
          <w:szCs w:val="19"/>
        </w:rPr>
        <w:t xml:space="preserve">the </w:t>
      </w:r>
      <w:r>
        <w:rPr>
          <w:rFonts w:cstheme="minorHAnsi"/>
          <w:sz w:val="20"/>
          <w:szCs w:val="19"/>
        </w:rPr>
        <w:t xml:space="preserve">evidence – been placed on parenting in the early years and the vital role of mothers during this </w:t>
      </w:r>
      <w:r w:rsidR="00D12568">
        <w:rPr>
          <w:rFonts w:cstheme="minorHAnsi"/>
          <w:sz w:val="20"/>
          <w:szCs w:val="19"/>
        </w:rPr>
        <w:t>period</w:t>
      </w:r>
      <w:r>
        <w:rPr>
          <w:rFonts w:cstheme="minorHAnsi"/>
          <w:sz w:val="20"/>
          <w:szCs w:val="19"/>
        </w:rPr>
        <w:t>, there is more to suggest we need to broaden our focus on parenting support across the life stage</w:t>
      </w:r>
      <w:r w:rsidR="004A5E4D">
        <w:rPr>
          <w:rFonts w:cstheme="minorHAnsi"/>
          <w:sz w:val="20"/>
          <w:szCs w:val="19"/>
        </w:rPr>
        <w:t xml:space="preserve">, especially in </w:t>
      </w:r>
      <w:r w:rsidR="004A5E4D" w:rsidRPr="004A5E4D">
        <w:rPr>
          <w:rFonts w:cstheme="minorHAnsi"/>
          <w:color w:val="1C8243"/>
          <w:sz w:val="20"/>
          <w:szCs w:val="19"/>
        </w:rPr>
        <w:t>adolescence</w:t>
      </w:r>
      <w:r w:rsidR="004A5E4D">
        <w:rPr>
          <w:rFonts w:cstheme="minorHAnsi"/>
          <w:sz w:val="20"/>
          <w:szCs w:val="19"/>
        </w:rPr>
        <w:t xml:space="preserve"> where parent efficacy dips.</w:t>
      </w:r>
      <w:r w:rsidR="004A5E4D">
        <w:rPr>
          <w:rStyle w:val="EndnoteReference"/>
          <w:rFonts w:cstheme="minorHAnsi"/>
          <w:sz w:val="20"/>
          <w:szCs w:val="19"/>
        </w:rPr>
        <w:endnoteReference w:id="109"/>
      </w:r>
      <w:r w:rsidR="004A5E4D">
        <w:rPr>
          <w:rFonts w:cstheme="minorHAnsi"/>
          <w:sz w:val="20"/>
          <w:szCs w:val="19"/>
        </w:rPr>
        <w:t xml:space="preserve"> </w:t>
      </w:r>
      <w:r w:rsidR="004A5E4D">
        <w:rPr>
          <w:rStyle w:val="EndnoteReference"/>
          <w:rFonts w:cstheme="minorHAnsi"/>
          <w:sz w:val="20"/>
          <w:szCs w:val="19"/>
        </w:rPr>
        <w:endnoteReference w:id="110"/>
      </w:r>
      <w:r w:rsidR="004A5E4D">
        <w:rPr>
          <w:rFonts w:cstheme="minorHAnsi"/>
          <w:sz w:val="20"/>
          <w:szCs w:val="19"/>
        </w:rPr>
        <w:t xml:space="preserve"> We also need to </w:t>
      </w:r>
      <w:r w:rsidR="004C4A67">
        <w:rPr>
          <w:rFonts w:cstheme="minorHAnsi"/>
          <w:sz w:val="20"/>
          <w:szCs w:val="19"/>
        </w:rPr>
        <w:t>strengthen</w:t>
      </w:r>
      <w:r w:rsidR="004A5E4D">
        <w:rPr>
          <w:rFonts w:cstheme="minorHAnsi"/>
          <w:sz w:val="20"/>
          <w:szCs w:val="19"/>
        </w:rPr>
        <w:t xml:space="preserve"> emphasis on supporting the role of </w:t>
      </w:r>
      <w:r w:rsidR="004A5E4D" w:rsidRPr="004A5E4D">
        <w:rPr>
          <w:rFonts w:cstheme="minorHAnsi"/>
          <w:color w:val="1C8243"/>
          <w:sz w:val="20"/>
          <w:szCs w:val="19"/>
        </w:rPr>
        <w:t xml:space="preserve">fathers </w:t>
      </w:r>
      <w:r w:rsidR="004A5E4D">
        <w:rPr>
          <w:rFonts w:cstheme="minorHAnsi"/>
          <w:sz w:val="20"/>
          <w:szCs w:val="19"/>
        </w:rPr>
        <w:t>as a protective factor</w:t>
      </w:r>
      <w:r w:rsidR="00D12568">
        <w:rPr>
          <w:rFonts w:cstheme="minorHAnsi"/>
          <w:sz w:val="20"/>
          <w:szCs w:val="19"/>
        </w:rPr>
        <w:t xml:space="preserve"> in their child’s life</w:t>
      </w:r>
      <w:r w:rsidR="004A5E4D">
        <w:rPr>
          <w:rFonts w:cstheme="minorHAnsi"/>
          <w:sz w:val="20"/>
          <w:szCs w:val="19"/>
        </w:rPr>
        <w:t>.</w:t>
      </w:r>
      <w:r w:rsidR="004A5E4D" w:rsidRPr="004A5E4D">
        <w:rPr>
          <w:rStyle w:val="EndnoteReference"/>
          <w:rFonts w:cstheme="minorHAnsi"/>
          <w:sz w:val="20"/>
          <w:szCs w:val="19"/>
        </w:rPr>
        <w:t xml:space="preserve"> </w:t>
      </w:r>
      <w:r w:rsidR="004A5E4D">
        <w:rPr>
          <w:rStyle w:val="EndnoteReference"/>
          <w:rFonts w:cstheme="minorHAnsi"/>
          <w:sz w:val="20"/>
          <w:szCs w:val="19"/>
        </w:rPr>
        <w:endnoteReference w:id="111"/>
      </w:r>
      <w:r w:rsidR="004A5E4D">
        <w:rPr>
          <w:rFonts w:cstheme="minorHAnsi"/>
          <w:sz w:val="20"/>
          <w:szCs w:val="19"/>
        </w:rPr>
        <w:t xml:space="preserve"> </w:t>
      </w:r>
      <w:r w:rsidR="004A5E4D">
        <w:rPr>
          <w:rStyle w:val="EndnoteReference"/>
          <w:rFonts w:cstheme="minorHAnsi"/>
          <w:sz w:val="20"/>
          <w:szCs w:val="19"/>
        </w:rPr>
        <w:endnoteReference w:id="112"/>
      </w:r>
    </w:p>
    <w:p w14:paraId="019A2C83" w14:textId="77777777" w:rsidR="004C0CE9" w:rsidRDefault="004C0CE9" w:rsidP="004C0CE9">
      <w:pPr>
        <w:pStyle w:val="Heading4"/>
      </w:pPr>
      <w:r>
        <w:t>What can be done?</w:t>
      </w:r>
    </w:p>
    <w:p w14:paraId="12AA472E" w14:textId="77777777" w:rsidR="00EE7652" w:rsidRPr="004947EC" w:rsidRDefault="00EE7652" w:rsidP="00EE7652">
      <w:pPr>
        <w:rPr>
          <w:rFonts w:cstheme="minorHAnsi"/>
          <w:sz w:val="20"/>
          <w:szCs w:val="19"/>
        </w:rPr>
      </w:pPr>
      <w:r>
        <w:rPr>
          <w:rFonts w:cstheme="minorHAnsi"/>
          <w:sz w:val="20"/>
          <w:szCs w:val="19"/>
        </w:rPr>
        <w:t xml:space="preserve">Several </w:t>
      </w:r>
      <w:r w:rsidRPr="004947EC">
        <w:rPr>
          <w:rFonts w:cstheme="minorHAnsi"/>
          <w:sz w:val="20"/>
          <w:szCs w:val="19"/>
        </w:rPr>
        <w:t xml:space="preserve">frameworks have been developed which address key aspects of parenting which influence child health outcomes. These focus on both maternal health and parenting behaviours in the early years. For instance, the </w:t>
      </w:r>
      <w:r w:rsidR="005D4738">
        <w:rPr>
          <w:rFonts w:cstheme="minorHAnsi"/>
          <w:i/>
          <w:sz w:val="20"/>
          <w:szCs w:val="19"/>
        </w:rPr>
        <w:t xml:space="preserve">National </w:t>
      </w:r>
      <w:r w:rsidRPr="004947EC">
        <w:rPr>
          <w:rFonts w:cstheme="minorHAnsi"/>
          <w:i/>
          <w:sz w:val="20"/>
          <w:szCs w:val="19"/>
        </w:rPr>
        <w:t>Women’s Health Strategy 2020-2030</w:t>
      </w:r>
      <w:r w:rsidRPr="004947EC">
        <w:rPr>
          <w:rFonts w:cstheme="minorHAnsi"/>
          <w:sz w:val="20"/>
          <w:szCs w:val="19"/>
        </w:rPr>
        <w:t xml:space="preserve"> includes actions to promote good preconception health, access available screening options, support breastfeeding practices, and improve access to mental health support throughout preconception and perinatal stages. The</w:t>
      </w:r>
      <w:r w:rsidR="005D4738">
        <w:rPr>
          <w:rFonts w:cstheme="minorHAnsi"/>
          <w:sz w:val="20"/>
          <w:szCs w:val="19"/>
        </w:rPr>
        <w:t xml:space="preserve"> </w:t>
      </w:r>
      <w:r w:rsidR="00B93CE9">
        <w:rPr>
          <w:rFonts w:cstheme="minorHAnsi"/>
          <w:i/>
          <w:sz w:val="20"/>
          <w:szCs w:val="19"/>
        </w:rPr>
        <w:t xml:space="preserve">Australian </w:t>
      </w:r>
      <w:r w:rsidR="005D4738">
        <w:rPr>
          <w:rFonts w:cstheme="minorHAnsi"/>
          <w:i/>
          <w:sz w:val="20"/>
          <w:szCs w:val="19"/>
        </w:rPr>
        <w:t>National</w:t>
      </w:r>
      <w:r w:rsidRPr="004947EC">
        <w:rPr>
          <w:rFonts w:cstheme="minorHAnsi"/>
          <w:sz w:val="20"/>
          <w:szCs w:val="19"/>
        </w:rPr>
        <w:t xml:space="preserve"> </w:t>
      </w:r>
      <w:r w:rsidRPr="004947EC">
        <w:rPr>
          <w:rFonts w:cstheme="minorHAnsi"/>
          <w:i/>
          <w:sz w:val="20"/>
          <w:szCs w:val="19"/>
        </w:rPr>
        <w:t>Breastfeeding Strategy</w:t>
      </w:r>
      <w:r w:rsidR="00B93CE9">
        <w:rPr>
          <w:rFonts w:cstheme="minorHAnsi"/>
          <w:i/>
          <w:sz w:val="20"/>
          <w:szCs w:val="19"/>
        </w:rPr>
        <w:t>: 2019 and Beyond</w:t>
      </w:r>
      <w:r w:rsidRPr="004947EC">
        <w:rPr>
          <w:rFonts w:cstheme="minorHAnsi"/>
          <w:sz w:val="20"/>
          <w:szCs w:val="19"/>
        </w:rPr>
        <w:t xml:space="preserve"> and</w:t>
      </w:r>
      <w:r w:rsidR="005D4738">
        <w:rPr>
          <w:rFonts w:cstheme="minorHAnsi"/>
          <w:sz w:val="20"/>
          <w:szCs w:val="19"/>
        </w:rPr>
        <w:t xml:space="preserve"> the</w:t>
      </w:r>
      <w:r w:rsidRPr="004947EC">
        <w:rPr>
          <w:rFonts w:cstheme="minorHAnsi"/>
          <w:sz w:val="20"/>
          <w:szCs w:val="19"/>
        </w:rPr>
        <w:t xml:space="preserve"> </w:t>
      </w:r>
      <w:r w:rsidRPr="004947EC">
        <w:rPr>
          <w:rFonts w:cstheme="minorHAnsi"/>
          <w:i/>
          <w:sz w:val="20"/>
          <w:szCs w:val="19"/>
        </w:rPr>
        <w:t xml:space="preserve">Fetal Alcohol Spectrum Disorder (FASD) Strategic Action Plan </w:t>
      </w:r>
      <w:r w:rsidR="005D4738">
        <w:rPr>
          <w:rFonts w:cstheme="minorHAnsi"/>
          <w:sz w:val="20"/>
          <w:szCs w:val="19"/>
        </w:rPr>
        <w:t>also</w:t>
      </w:r>
      <w:r w:rsidRPr="004947EC">
        <w:rPr>
          <w:rFonts w:cstheme="minorHAnsi"/>
          <w:sz w:val="20"/>
          <w:szCs w:val="19"/>
        </w:rPr>
        <w:t xml:space="preserve"> support and promote these aspects of maternal health and parenting. </w:t>
      </w:r>
    </w:p>
    <w:p w14:paraId="29795BEC" w14:textId="77777777" w:rsidR="00EE7652" w:rsidRPr="00CD7697" w:rsidRDefault="00EE7652" w:rsidP="00EE7652">
      <w:pPr>
        <w:rPr>
          <w:rFonts w:cstheme="minorHAnsi"/>
          <w:sz w:val="20"/>
          <w:szCs w:val="19"/>
        </w:rPr>
      </w:pPr>
      <w:r w:rsidRPr="004947EC">
        <w:rPr>
          <w:rFonts w:cstheme="minorHAnsi"/>
          <w:i/>
          <w:sz w:val="20"/>
          <w:szCs w:val="19"/>
        </w:rPr>
        <w:t>The National Early Childhood Development Strategy (NECDS) Investing in the Early Years</w:t>
      </w:r>
      <w:r w:rsidRPr="004947EC">
        <w:rPr>
          <w:rFonts w:cstheme="minorHAnsi"/>
          <w:sz w:val="20"/>
          <w:szCs w:val="19"/>
        </w:rPr>
        <w:t xml:space="preserve"> was endorsed by the Council of Australian Governments (COAG) on 2 July 2009. The Strategy identified early childhood development outcomes and a vision that</w:t>
      </w:r>
      <w:r w:rsidRPr="004947EC">
        <w:rPr>
          <w:rFonts w:cstheme="minorHAnsi"/>
          <w:i/>
          <w:sz w:val="20"/>
          <w:szCs w:val="19"/>
        </w:rPr>
        <w:t xml:space="preserve"> “By 2020 all children have the best start</w:t>
      </w:r>
      <w:r>
        <w:rPr>
          <w:rFonts w:cstheme="minorHAnsi"/>
          <w:i/>
          <w:sz w:val="20"/>
          <w:szCs w:val="19"/>
        </w:rPr>
        <w:t xml:space="preserve"> </w:t>
      </w:r>
      <w:r w:rsidRPr="0093592D">
        <w:rPr>
          <w:rFonts w:cstheme="minorHAnsi"/>
          <w:i/>
          <w:sz w:val="20"/>
          <w:szCs w:val="19"/>
        </w:rPr>
        <w:t>in</w:t>
      </w:r>
      <w:r>
        <w:rPr>
          <w:rFonts w:cstheme="minorHAnsi"/>
          <w:i/>
          <w:sz w:val="20"/>
          <w:szCs w:val="19"/>
        </w:rPr>
        <w:t xml:space="preserve"> </w:t>
      </w:r>
      <w:r w:rsidRPr="0093592D">
        <w:rPr>
          <w:rFonts w:cstheme="minorHAnsi"/>
          <w:i/>
          <w:sz w:val="20"/>
          <w:szCs w:val="19"/>
        </w:rPr>
        <w:t>life</w:t>
      </w:r>
      <w:r>
        <w:rPr>
          <w:rFonts w:cstheme="minorHAnsi"/>
          <w:i/>
          <w:sz w:val="20"/>
          <w:szCs w:val="19"/>
        </w:rPr>
        <w:t xml:space="preserve"> </w:t>
      </w:r>
      <w:r w:rsidRPr="0093592D">
        <w:rPr>
          <w:rFonts w:cstheme="minorHAnsi"/>
          <w:i/>
          <w:sz w:val="20"/>
          <w:szCs w:val="19"/>
        </w:rPr>
        <w:t>to</w:t>
      </w:r>
      <w:r>
        <w:rPr>
          <w:rFonts w:cstheme="minorHAnsi"/>
          <w:i/>
          <w:sz w:val="20"/>
          <w:szCs w:val="19"/>
        </w:rPr>
        <w:t xml:space="preserve"> </w:t>
      </w:r>
      <w:r w:rsidRPr="0093592D">
        <w:rPr>
          <w:rFonts w:cstheme="minorHAnsi"/>
          <w:i/>
          <w:sz w:val="20"/>
          <w:szCs w:val="19"/>
        </w:rPr>
        <w:t>create a better future for themselves and for the nation”</w:t>
      </w:r>
      <w:r>
        <w:rPr>
          <w:rFonts w:cstheme="minorHAnsi"/>
          <w:i/>
          <w:sz w:val="20"/>
          <w:szCs w:val="19"/>
        </w:rPr>
        <w:t xml:space="preserve">. </w:t>
      </w:r>
      <w:r w:rsidRPr="00CD7697">
        <w:rPr>
          <w:rFonts w:cstheme="minorHAnsi"/>
          <w:sz w:val="20"/>
          <w:szCs w:val="19"/>
        </w:rPr>
        <w:t xml:space="preserve">The strategy sought to engage families in the early years story and </w:t>
      </w:r>
      <w:r w:rsidR="003377FD">
        <w:rPr>
          <w:rFonts w:cstheme="minorHAnsi"/>
          <w:sz w:val="20"/>
          <w:szCs w:val="19"/>
        </w:rPr>
        <w:t>build a cohesive, co-ordinated early child development system in Australia.</w:t>
      </w:r>
      <w:r w:rsidR="004C4A67">
        <w:rPr>
          <w:rFonts w:cstheme="minorHAnsi"/>
          <w:sz w:val="20"/>
          <w:szCs w:val="19"/>
        </w:rPr>
        <w:t xml:space="preserve"> Nearing the end of its current life, it is </w:t>
      </w:r>
      <w:r w:rsidR="003377FD">
        <w:rPr>
          <w:rFonts w:cstheme="minorHAnsi"/>
          <w:sz w:val="20"/>
          <w:szCs w:val="19"/>
        </w:rPr>
        <w:t xml:space="preserve">now </w:t>
      </w:r>
      <w:r w:rsidR="004C4A67">
        <w:rPr>
          <w:rFonts w:cstheme="minorHAnsi"/>
          <w:sz w:val="20"/>
          <w:szCs w:val="19"/>
        </w:rPr>
        <w:t xml:space="preserve">a </w:t>
      </w:r>
      <w:r w:rsidR="003377FD">
        <w:rPr>
          <w:rFonts w:cstheme="minorHAnsi"/>
          <w:sz w:val="20"/>
          <w:szCs w:val="19"/>
        </w:rPr>
        <w:t>key juncture</w:t>
      </w:r>
      <w:r w:rsidR="00725808">
        <w:rPr>
          <w:rFonts w:cstheme="minorHAnsi"/>
          <w:sz w:val="20"/>
          <w:szCs w:val="19"/>
        </w:rPr>
        <w:t xml:space="preserve"> to evaluate progress of the strategy and plan future priorities and actions to further </w:t>
      </w:r>
      <w:r w:rsidR="003377FD">
        <w:rPr>
          <w:rFonts w:cstheme="minorHAnsi"/>
          <w:sz w:val="20"/>
          <w:szCs w:val="19"/>
        </w:rPr>
        <w:t>advance</w:t>
      </w:r>
      <w:r w:rsidR="00725808">
        <w:rPr>
          <w:rFonts w:cstheme="minorHAnsi"/>
          <w:sz w:val="20"/>
          <w:szCs w:val="19"/>
        </w:rPr>
        <w:t xml:space="preserve"> this influential period of child development.</w:t>
      </w:r>
      <w:r w:rsidR="00725808">
        <w:rPr>
          <w:rStyle w:val="EndnoteReference"/>
          <w:rFonts w:cstheme="minorHAnsi"/>
          <w:sz w:val="20"/>
          <w:szCs w:val="19"/>
        </w:rPr>
        <w:endnoteReference w:id="113"/>
      </w:r>
    </w:p>
    <w:p w14:paraId="2FC83228" w14:textId="77777777" w:rsidR="00EE7652" w:rsidRPr="00776B82" w:rsidRDefault="00725808" w:rsidP="00EE7652">
      <w:pPr>
        <w:rPr>
          <w:rFonts w:cstheme="minorHAnsi"/>
          <w:sz w:val="20"/>
          <w:szCs w:val="19"/>
        </w:rPr>
      </w:pPr>
      <w:r>
        <w:rPr>
          <w:rFonts w:cstheme="minorHAnsi"/>
          <w:sz w:val="20"/>
          <w:szCs w:val="19"/>
        </w:rPr>
        <w:t>The p</w:t>
      </w:r>
      <w:r w:rsidR="00EE7652" w:rsidRPr="00776B82">
        <w:rPr>
          <w:rFonts w:cstheme="minorHAnsi"/>
          <w:sz w:val="20"/>
          <w:szCs w:val="19"/>
        </w:rPr>
        <w:t>riorities identified for this Action Plan</w:t>
      </w:r>
      <w:r>
        <w:rPr>
          <w:rFonts w:cstheme="minorHAnsi"/>
          <w:sz w:val="20"/>
          <w:szCs w:val="19"/>
        </w:rPr>
        <w:t xml:space="preserve"> draw on these frameworks and </w:t>
      </w:r>
      <w:r w:rsidR="003377FD">
        <w:rPr>
          <w:rFonts w:cstheme="minorHAnsi"/>
          <w:sz w:val="20"/>
          <w:szCs w:val="19"/>
        </w:rPr>
        <w:t xml:space="preserve">the </w:t>
      </w:r>
      <w:r>
        <w:rPr>
          <w:rFonts w:cstheme="minorHAnsi"/>
          <w:sz w:val="20"/>
          <w:szCs w:val="19"/>
        </w:rPr>
        <w:t xml:space="preserve">progress made, </w:t>
      </w:r>
      <w:r w:rsidR="00393AB5">
        <w:rPr>
          <w:rFonts w:cstheme="minorHAnsi"/>
          <w:sz w:val="20"/>
          <w:szCs w:val="19"/>
        </w:rPr>
        <w:t>taking into account</w:t>
      </w:r>
      <w:r w:rsidR="00EE7652" w:rsidRPr="00776B82">
        <w:rPr>
          <w:rFonts w:cstheme="minorHAnsi"/>
          <w:sz w:val="20"/>
          <w:szCs w:val="19"/>
        </w:rPr>
        <w:t xml:space="preserve"> key evidence and current gaps in parenting support</w:t>
      </w:r>
      <w:r w:rsidR="00393AB5">
        <w:rPr>
          <w:rFonts w:cstheme="minorHAnsi"/>
          <w:sz w:val="20"/>
          <w:szCs w:val="19"/>
        </w:rPr>
        <w:t>. They emphasise:</w:t>
      </w:r>
    </w:p>
    <w:p w14:paraId="2E38FA51" w14:textId="4C6F2C2D" w:rsidR="006E262C" w:rsidRDefault="004C4A67" w:rsidP="00506ED6">
      <w:pPr>
        <w:pStyle w:val="ListParagraph"/>
        <w:numPr>
          <w:ilvl w:val="0"/>
          <w:numId w:val="23"/>
        </w:numPr>
        <w:ind w:left="426" w:hanging="284"/>
        <w:rPr>
          <w:rFonts w:cstheme="minorHAnsi"/>
          <w:sz w:val="20"/>
          <w:szCs w:val="19"/>
        </w:rPr>
      </w:pPr>
      <w:r w:rsidRPr="00725808">
        <w:rPr>
          <w:rFonts w:cstheme="minorHAnsi"/>
          <w:sz w:val="20"/>
          <w:szCs w:val="19"/>
        </w:rPr>
        <w:t>T</w:t>
      </w:r>
      <w:r w:rsidR="00EE7652" w:rsidRPr="00725808">
        <w:rPr>
          <w:rFonts w:cstheme="minorHAnsi"/>
          <w:sz w:val="20"/>
          <w:szCs w:val="19"/>
        </w:rPr>
        <w:t xml:space="preserve">he significance of the </w:t>
      </w:r>
      <w:r w:rsidR="00EE7652" w:rsidRPr="00725808">
        <w:rPr>
          <w:rFonts w:asciiTheme="minorHAnsi" w:eastAsia="Times New Roman" w:hAnsiTheme="minorHAnsi" w:cstheme="minorHAnsi"/>
          <w:color w:val="1C8243"/>
          <w:sz w:val="20"/>
          <w:szCs w:val="19"/>
          <w:lang w:val="en-GB"/>
        </w:rPr>
        <w:t>early years of development</w:t>
      </w:r>
      <w:r w:rsidR="00EE7652" w:rsidRPr="00725808">
        <w:rPr>
          <w:rFonts w:cstheme="minorHAnsi"/>
          <w:sz w:val="20"/>
          <w:szCs w:val="19"/>
        </w:rPr>
        <w:t xml:space="preserve"> and the challenges for parents</w:t>
      </w:r>
      <w:r w:rsidR="001D382E">
        <w:rPr>
          <w:rFonts w:cstheme="minorHAnsi"/>
          <w:sz w:val="20"/>
          <w:szCs w:val="19"/>
        </w:rPr>
        <w:t>, caregivers</w:t>
      </w:r>
      <w:r w:rsidR="00EE7652" w:rsidRPr="00725808">
        <w:rPr>
          <w:rFonts w:cstheme="minorHAnsi"/>
          <w:sz w:val="20"/>
          <w:szCs w:val="19"/>
        </w:rPr>
        <w:t xml:space="preserve"> and families who need to be suppor</w:t>
      </w:r>
      <w:r w:rsidR="00DD4037">
        <w:rPr>
          <w:rFonts w:cstheme="minorHAnsi"/>
          <w:sz w:val="20"/>
          <w:szCs w:val="19"/>
        </w:rPr>
        <w:t>ted, particularly in the first 2</w:t>
      </w:r>
      <w:r w:rsidR="00EE7652" w:rsidRPr="00725808">
        <w:rPr>
          <w:rFonts w:cstheme="minorHAnsi"/>
          <w:sz w:val="20"/>
          <w:szCs w:val="19"/>
        </w:rPr>
        <w:t>000 days of a child life, in order for children to reach their full potential. Increased parent engagement in child development and learning from birth is critical.</w:t>
      </w:r>
      <w:r w:rsidR="00C267B7">
        <w:rPr>
          <w:rStyle w:val="EndnoteReference"/>
          <w:rFonts w:cstheme="minorHAnsi"/>
          <w:sz w:val="20"/>
          <w:szCs w:val="19"/>
        </w:rPr>
        <w:endnoteReference w:id="114"/>
      </w:r>
    </w:p>
    <w:p w14:paraId="5AE7C616" w14:textId="77777777" w:rsidR="00EE7652" w:rsidRDefault="008432EE" w:rsidP="00506ED6">
      <w:pPr>
        <w:pStyle w:val="ListParagraph"/>
        <w:numPr>
          <w:ilvl w:val="0"/>
          <w:numId w:val="23"/>
        </w:numPr>
        <w:ind w:left="426" w:hanging="284"/>
        <w:rPr>
          <w:rFonts w:cstheme="minorHAnsi"/>
          <w:sz w:val="20"/>
          <w:szCs w:val="19"/>
        </w:rPr>
      </w:pPr>
      <w:r>
        <w:rPr>
          <w:rFonts w:cstheme="minorHAnsi"/>
          <w:sz w:val="20"/>
          <w:szCs w:val="19"/>
        </w:rPr>
        <w:t>The adoption of p</w:t>
      </w:r>
      <w:r w:rsidR="00EE7652" w:rsidRPr="00725808">
        <w:rPr>
          <w:rFonts w:cstheme="minorHAnsi"/>
          <w:sz w:val="20"/>
          <w:szCs w:val="19"/>
        </w:rPr>
        <w:t xml:space="preserve">roven models of care including </w:t>
      </w:r>
      <w:r w:rsidR="00EE7652" w:rsidRPr="00725808">
        <w:rPr>
          <w:rFonts w:asciiTheme="minorHAnsi" w:eastAsia="Times New Roman" w:hAnsiTheme="minorHAnsi" w:cstheme="minorHAnsi"/>
          <w:color w:val="1C8243"/>
          <w:sz w:val="20"/>
          <w:szCs w:val="19"/>
          <w:lang w:val="en-GB"/>
        </w:rPr>
        <w:t>sustained home-visiting and community midwifery</w:t>
      </w:r>
      <w:r w:rsidR="00EE7652" w:rsidRPr="00725808">
        <w:rPr>
          <w:rFonts w:cstheme="minorHAnsi"/>
          <w:sz w:val="20"/>
          <w:szCs w:val="19"/>
        </w:rPr>
        <w:t>. Continuity of care</w:t>
      </w:r>
      <w:r w:rsidR="00725808">
        <w:rPr>
          <w:rFonts w:cstheme="minorHAnsi"/>
          <w:sz w:val="20"/>
          <w:szCs w:val="19"/>
        </w:rPr>
        <w:t xml:space="preserve">r </w:t>
      </w:r>
      <w:r w:rsidR="00EE7652" w:rsidRPr="00725808">
        <w:rPr>
          <w:rFonts w:cstheme="minorHAnsi"/>
          <w:sz w:val="20"/>
          <w:szCs w:val="19"/>
        </w:rPr>
        <w:t>and care has been shown to reduce poor outcomes, particularly for marginal</w:t>
      </w:r>
      <w:r w:rsidR="004C4A67" w:rsidRPr="00725808">
        <w:rPr>
          <w:rFonts w:cstheme="minorHAnsi"/>
          <w:sz w:val="20"/>
          <w:szCs w:val="19"/>
        </w:rPr>
        <w:t>is</w:t>
      </w:r>
      <w:r w:rsidR="00EE7652" w:rsidRPr="00725808">
        <w:rPr>
          <w:rFonts w:cstheme="minorHAnsi"/>
          <w:sz w:val="20"/>
          <w:szCs w:val="19"/>
        </w:rPr>
        <w:t>ed women and disadvantaged families. However, access to services remains an issue.</w:t>
      </w:r>
      <w:r w:rsidR="00725808">
        <w:rPr>
          <w:rStyle w:val="EndnoteReference"/>
          <w:rFonts w:cstheme="minorHAnsi"/>
          <w:sz w:val="20"/>
          <w:szCs w:val="19"/>
        </w:rPr>
        <w:endnoteReference w:id="115"/>
      </w:r>
      <w:r w:rsidR="00EE7652" w:rsidRPr="00725808">
        <w:rPr>
          <w:rFonts w:cstheme="minorHAnsi"/>
          <w:sz w:val="20"/>
          <w:szCs w:val="19"/>
        </w:rPr>
        <w:t xml:space="preserve"> </w:t>
      </w:r>
      <w:r w:rsidR="001C161A">
        <w:rPr>
          <w:rStyle w:val="EndnoteReference"/>
          <w:rFonts w:cstheme="minorHAnsi"/>
          <w:sz w:val="20"/>
          <w:szCs w:val="19"/>
        </w:rPr>
        <w:endnoteReference w:id="116"/>
      </w:r>
      <w:r w:rsidR="00EE7652" w:rsidRPr="00725808">
        <w:rPr>
          <w:rFonts w:cstheme="minorHAnsi"/>
          <w:sz w:val="20"/>
          <w:szCs w:val="19"/>
        </w:rPr>
        <w:t xml:space="preserve"> </w:t>
      </w:r>
      <w:r w:rsidR="00A15664">
        <w:rPr>
          <w:rStyle w:val="EndnoteReference"/>
          <w:rFonts w:cstheme="minorHAnsi"/>
          <w:sz w:val="20"/>
          <w:szCs w:val="19"/>
        </w:rPr>
        <w:endnoteReference w:id="117"/>
      </w:r>
      <w:r w:rsidR="00A15664">
        <w:rPr>
          <w:rFonts w:cstheme="minorHAnsi"/>
          <w:sz w:val="20"/>
          <w:szCs w:val="19"/>
        </w:rPr>
        <w:t xml:space="preserve"> </w:t>
      </w:r>
      <w:r w:rsidR="00A15664">
        <w:rPr>
          <w:rStyle w:val="EndnoteReference"/>
          <w:rFonts w:cstheme="minorHAnsi"/>
          <w:sz w:val="20"/>
          <w:szCs w:val="19"/>
        </w:rPr>
        <w:endnoteReference w:id="118"/>
      </w:r>
      <w:r w:rsidR="00EE7652" w:rsidRPr="00725808">
        <w:rPr>
          <w:rFonts w:cstheme="minorHAnsi"/>
          <w:sz w:val="20"/>
          <w:szCs w:val="19"/>
        </w:rPr>
        <w:t xml:space="preserve"> </w:t>
      </w:r>
    </w:p>
    <w:p w14:paraId="08A71539" w14:textId="7744ACB1" w:rsidR="00C267B7" w:rsidRDefault="00C267B7" w:rsidP="00506ED6">
      <w:pPr>
        <w:pStyle w:val="ListParagraph"/>
        <w:numPr>
          <w:ilvl w:val="0"/>
          <w:numId w:val="23"/>
        </w:numPr>
        <w:ind w:left="426" w:hanging="284"/>
        <w:rPr>
          <w:rFonts w:cstheme="minorHAnsi"/>
          <w:sz w:val="20"/>
          <w:szCs w:val="19"/>
        </w:rPr>
      </w:pPr>
      <w:r w:rsidRPr="00393AB5">
        <w:rPr>
          <w:rFonts w:cstheme="minorHAnsi"/>
          <w:sz w:val="20"/>
          <w:szCs w:val="19"/>
        </w:rPr>
        <w:t xml:space="preserve">The need to continue </w:t>
      </w:r>
      <w:r w:rsidRPr="00393AB5">
        <w:rPr>
          <w:rFonts w:asciiTheme="minorHAnsi" w:eastAsia="Times New Roman" w:hAnsiTheme="minorHAnsi" w:cstheme="minorHAnsi"/>
          <w:color w:val="1C8243"/>
          <w:sz w:val="20"/>
          <w:szCs w:val="19"/>
          <w:lang w:val="en-GB"/>
        </w:rPr>
        <w:t>informing, promoting and engaging with parents</w:t>
      </w:r>
      <w:r w:rsidR="001D382E">
        <w:rPr>
          <w:rFonts w:asciiTheme="minorHAnsi" w:eastAsia="Times New Roman" w:hAnsiTheme="minorHAnsi" w:cstheme="minorHAnsi"/>
          <w:color w:val="1C8243"/>
          <w:sz w:val="20"/>
          <w:szCs w:val="19"/>
          <w:lang w:val="en-GB"/>
        </w:rPr>
        <w:t>, caregivers</w:t>
      </w:r>
      <w:r w:rsidRPr="00393AB5">
        <w:rPr>
          <w:rFonts w:cstheme="minorHAnsi"/>
          <w:sz w:val="20"/>
          <w:szCs w:val="19"/>
        </w:rPr>
        <w:t>, families and other</w:t>
      </w:r>
      <w:r w:rsidR="00393AB5" w:rsidRPr="00393AB5">
        <w:rPr>
          <w:rFonts w:cstheme="minorHAnsi"/>
          <w:sz w:val="20"/>
          <w:szCs w:val="19"/>
        </w:rPr>
        <w:t xml:space="preserve"> parties</w:t>
      </w:r>
      <w:r w:rsidRPr="00393AB5">
        <w:rPr>
          <w:rFonts w:cstheme="minorHAnsi"/>
          <w:sz w:val="20"/>
          <w:szCs w:val="19"/>
        </w:rPr>
        <w:t xml:space="preserve"> involved in a child’s life around the importance of the early years</w:t>
      </w:r>
      <w:r w:rsidR="008D6529">
        <w:rPr>
          <w:rFonts w:cstheme="minorHAnsi"/>
          <w:sz w:val="20"/>
          <w:szCs w:val="19"/>
        </w:rPr>
        <w:t xml:space="preserve"> and what can be done to support child development during this period</w:t>
      </w:r>
      <w:r w:rsidR="00393AB5" w:rsidRPr="00393AB5">
        <w:rPr>
          <w:rFonts w:cstheme="minorHAnsi"/>
          <w:sz w:val="20"/>
          <w:szCs w:val="19"/>
        </w:rPr>
        <w:t>.</w:t>
      </w:r>
      <w:r>
        <w:rPr>
          <w:rStyle w:val="EndnoteReference"/>
          <w:rFonts w:cstheme="minorHAnsi"/>
          <w:sz w:val="20"/>
          <w:szCs w:val="19"/>
        </w:rPr>
        <w:endnoteReference w:id="119"/>
      </w:r>
      <w:r w:rsidR="00B00CB3">
        <w:rPr>
          <w:rFonts w:cstheme="minorHAnsi"/>
          <w:sz w:val="20"/>
          <w:szCs w:val="19"/>
        </w:rPr>
        <w:t xml:space="preserve"> </w:t>
      </w:r>
      <w:r w:rsidR="00B00CB3">
        <w:rPr>
          <w:rStyle w:val="EndnoteReference"/>
          <w:rFonts w:cstheme="minorHAnsi"/>
          <w:sz w:val="20"/>
          <w:szCs w:val="19"/>
        </w:rPr>
        <w:endnoteReference w:id="120"/>
      </w:r>
    </w:p>
    <w:p w14:paraId="0CE5D1A0" w14:textId="77777777" w:rsidR="008D6529" w:rsidRDefault="008D6529" w:rsidP="00506ED6">
      <w:pPr>
        <w:pStyle w:val="ListParagraph"/>
        <w:numPr>
          <w:ilvl w:val="0"/>
          <w:numId w:val="23"/>
        </w:numPr>
        <w:ind w:left="426" w:hanging="284"/>
        <w:rPr>
          <w:rFonts w:cstheme="minorHAnsi"/>
          <w:sz w:val="20"/>
          <w:szCs w:val="19"/>
        </w:rPr>
      </w:pPr>
      <w:r>
        <w:rPr>
          <w:rFonts w:cstheme="minorHAnsi"/>
          <w:sz w:val="20"/>
          <w:szCs w:val="19"/>
        </w:rPr>
        <w:t xml:space="preserve">Opportunities to </w:t>
      </w:r>
      <w:r w:rsidRPr="00B01DBE">
        <w:rPr>
          <w:rFonts w:asciiTheme="minorHAnsi" w:eastAsia="Times New Roman" w:hAnsiTheme="minorHAnsi" w:cstheme="minorHAnsi"/>
          <w:color w:val="1C8243"/>
          <w:sz w:val="20"/>
          <w:szCs w:val="19"/>
          <w:lang w:val="en-GB"/>
        </w:rPr>
        <w:t>build parent knowledge and efficacy during the middle years and adolescence</w:t>
      </w:r>
      <w:r>
        <w:rPr>
          <w:rFonts w:cstheme="minorHAnsi"/>
          <w:sz w:val="20"/>
          <w:szCs w:val="19"/>
        </w:rPr>
        <w:t xml:space="preserve">, given this tends to be a less-resourced </w:t>
      </w:r>
      <w:r w:rsidR="00B01DBE">
        <w:rPr>
          <w:rFonts w:cstheme="minorHAnsi"/>
          <w:sz w:val="20"/>
          <w:szCs w:val="19"/>
        </w:rPr>
        <w:t>area</w:t>
      </w:r>
      <w:r>
        <w:rPr>
          <w:rFonts w:cstheme="minorHAnsi"/>
          <w:sz w:val="20"/>
          <w:szCs w:val="19"/>
        </w:rPr>
        <w:t xml:space="preserve"> compared to the early and preschool years</w:t>
      </w:r>
      <w:r w:rsidR="00B01DBE">
        <w:rPr>
          <w:rFonts w:cstheme="minorHAnsi"/>
          <w:sz w:val="20"/>
          <w:szCs w:val="19"/>
        </w:rPr>
        <w:t xml:space="preserve"> and can be an influential period of transition when protective parenting factors make a difference</w:t>
      </w:r>
      <w:r>
        <w:rPr>
          <w:rFonts w:cstheme="minorHAnsi"/>
          <w:sz w:val="20"/>
          <w:szCs w:val="19"/>
        </w:rPr>
        <w:t>.</w:t>
      </w:r>
      <w:r>
        <w:rPr>
          <w:rStyle w:val="EndnoteReference"/>
          <w:rFonts w:cstheme="minorHAnsi"/>
          <w:sz w:val="20"/>
          <w:szCs w:val="19"/>
        </w:rPr>
        <w:endnoteReference w:id="121"/>
      </w:r>
      <w:r w:rsidR="00B01DBE">
        <w:rPr>
          <w:rFonts w:cstheme="minorHAnsi"/>
          <w:sz w:val="20"/>
          <w:szCs w:val="19"/>
        </w:rPr>
        <w:t xml:space="preserve"> </w:t>
      </w:r>
      <w:r w:rsidR="00B01DBE">
        <w:rPr>
          <w:rStyle w:val="EndnoteReference"/>
          <w:rFonts w:cstheme="minorHAnsi"/>
          <w:sz w:val="20"/>
          <w:szCs w:val="20"/>
        </w:rPr>
        <w:endnoteReference w:id="122"/>
      </w:r>
    </w:p>
    <w:p w14:paraId="67A79727" w14:textId="77777777" w:rsidR="00B01DBE" w:rsidRPr="0089204F" w:rsidRDefault="00B01DBE" w:rsidP="00506ED6">
      <w:pPr>
        <w:pStyle w:val="ListParagraph"/>
        <w:numPr>
          <w:ilvl w:val="0"/>
          <w:numId w:val="23"/>
        </w:numPr>
        <w:ind w:left="426" w:hanging="284"/>
        <w:rPr>
          <w:rFonts w:cstheme="minorHAnsi"/>
          <w:sz w:val="20"/>
          <w:szCs w:val="19"/>
        </w:rPr>
      </w:pPr>
      <w:r w:rsidRPr="0089204F">
        <w:rPr>
          <w:rFonts w:cstheme="minorHAnsi"/>
          <w:sz w:val="20"/>
          <w:szCs w:val="19"/>
        </w:rPr>
        <w:t xml:space="preserve">Increasing </w:t>
      </w:r>
      <w:r w:rsidRPr="0089204F">
        <w:rPr>
          <w:rFonts w:asciiTheme="minorHAnsi" w:eastAsia="Times New Roman" w:hAnsiTheme="minorHAnsi" w:cstheme="minorHAnsi"/>
          <w:color w:val="1C8243"/>
          <w:sz w:val="20"/>
          <w:szCs w:val="19"/>
          <w:lang w:val="en-GB"/>
        </w:rPr>
        <w:t>focus on the importance and role that</w:t>
      </w:r>
      <w:r w:rsidRPr="0089204F">
        <w:rPr>
          <w:rFonts w:cstheme="minorHAnsi"/>
          <w:sz w:val="20"/>
          <w:szCs w:val="19"/>
        </w:rPr>
        <w:t xml:space="preserve"> </w:t>
      </w:r>
      <w:r w:rsidRPr="0089204F">
        <w:rPr>
          <w:rFonts w:asciiTheme="minorHAnsi" w:eastAsia="Times New Roman" w:hAnsiTheme="minorHAnsi" w:cstheme="minorHAnsi"/>
          <w:color w:val="1C8243"/>
          <w:sz w:val="20"/>
          <w:szCs w:val="19"/>
          <w:lang w:val="en-GB"/>
        </w:rPr>
        <w:t>fathers</w:t>
      </w:r>
      <w:r w:rsidRPr="0089204F">
        <w:rPr>
          <w:rFonts w:cstheme="minorHAnsi"/>
          <w:sz w:val="20"/>
          <w:szCs w:val="19"/>
        </w:rPr>
        <w:t xml:space="preserve"> </w:t>
      </w:r>
      <w:r w:rsidRPr="0089204F">
        <w:rPr>
          <w:rFonts w:asciiTheme="minorHAnsi" w:eastAsia="Times New Roman" w:hAnsiTheme="minorHAnsi" w:cstheme="minorHAnsi"/>
          <w:color w:val="1C8243"/>
          <w:sz w:val="20"/>
          <w:szCs w:val="19"/>
          <w:lang w:val="en-GB"/>
        </w:rPr>
        <w:t>can play</w:t>
      </w:r>
      <w:r w:rsidRPr="0089204F">
        <w:rPr>
          <w:rFonts w:cstheme="minorHAnsi"/>
          <w:sz w:val="20"/>
          <w:szCs w:val="19"/>
        </w:rPr>
        <w:t>, especially since fathers can feel excluded from programs and services and are less likely to ask for help.</w:t>
      </w:r>
      <w:r w:rsidRPr="0089204F">
        <w:rPr>
          <w:rStyle w:val="EndnoteReference"/>
          <w:rFonts w:cstheme="minorHAnsi"/>
          <w:sz w:val="20"/>
          <w:szCs w:val="19"/>
        </w:rPr>
        <w:endnoteReference w:id="123"/>
      </w:r>
      <w:r w:rsidRPr="0089204F">
        <w:rPr>
          <w:rFonts w:cstheme="minorHAnsi"/>
          <w:sz w:val="20"/>
          <w:szCs w:val="19"/>
        </w:rPr>
        <w:t xml:space="preserve"> </w:t>
      </w:r>
      <w:r w:rsidRPr="0089204F">
        <w:rPr>
          <w:rStyle w:val="EndnoteReference"/>
          <w:rFonts w:cstheme="minorHAnsi"/>
          <w:sz w:val="20"/>
          <w:szCs w:val="19"/>
        </w:rPr>
        <w:endnoteReference w:id="124"/>
      </w:r>
      <w:r w:rsidRPr="0089204F">
        <w:rPr>
          <w:rFonts w:cstheme="minorHAnsi"/>
          <w:sz w:val="20"/>
          <w:szCs w:val="19"/>
        </w:rPr>
        <w:t xml:space="preserve"> </w:t>
      </w:r>
    </w:p>
    <w:p w14:paraId="235E9D91" w14:textId="109C1899" w:rsidR="00581CA0" w:rsidRPr="0089204F" w:rsidRDefault="00B01DBE" w:rsidP="00506ED6">
      <w:pPr>
        <w:pStyle w:val="ListParagraph"/>
        <w:numPr>
          <w:ilvl w:val="0"/>
          <w:numId w:val="23"/>
        </w:numPr>
        <w:ind w:left="426" w:hanging="284"/>
        <w:rPr>
          <w:rFonts w:cstheme="minorHAnsi"/>
          <w:sz w:val="20"/>
          <w:szCs w:val="19"/>
        </w:rPr>
      </w:pPr>
      <w:r w:rsidRPr="0089204F">
        <w:rPr>
          <w:rFonts w:cstheme="minorHAnsi"/>
          <w:sz w:val="20"/>
          <w:szCs w:val="19"/>
        </w:rPr>
        <w:t>Approaches to harmonise</w:t>
      </w:r>
      <w:r w:rsidR="00804300" w:rsidRPr="0089204F">
        <w:rPr>
          <w:rFonts w:cstheme="minorHAnsi"/>
          <w:sz w:val="20"/>
          <w:szCs w:val="19"/>
        </w:rPr>
        <w:t xml:space="preserve"> and more widely promote</w:t>
      </w:r>
      <w:r w:rsidRPr="0089204F">
        <w:rPr>
          <w:rFonts w:cstheme="minorHAnsi"/>
          <w:sz w:val="20"/>
          <w:szCs w:val="19"/>
        </w:rPr>
        <w:t xml:space="preserve"> </w:t>
      </w:r>
      <w:r w:rsidRPr="0089204F">
        <w:rPr>
          <w:rFonts w:asciiTheme="minorHAnsi" w:eastAsia="Times New Roman" w:hAnsiTheme="minorHAnsi" w:cstheme="minorHAnsi"/>
          <w:color w:val="1C8243"/>
          <w:sz w:val="20"/>
          <w:szCs w:val="19"/>
          <w:lang w:val="en-GB"/>
        </w:rPr>
        <w:t xml:space="preserve">parenting education </w:t>
      </w:r>
      <w:r w:rsidR="00804300" w:rsidRPr="0089204F">
        <w:rPr>
          <w:rFonts w:asciiTheme="minorHAnsi" w:eastAsia="Times New Roman" w:hAnsiTheme="minorHAnsi" w:cstheme="minorHAnsi"/>
          <w:color w:val="1C8243"/>
          <w:sz w:val="20"/>
          <w:szCs w:val="19"/>
          <w:lang w:val="en-GB"/>
        </w:rPr>
        <w:t>resources</w:t>
      </w:r>
      <w:r w:rsidR="00804300" w:rsidRPr="0089204F">
        <w:rPr>
          <w:rFonts w:cstheme="minorHAnsi"/>
          <w:sz w:val="20"/>
          <w:szCs w:val="19"/>
        </w:rPr>
        <w:t xml:space="preserve">, taking into account </w:t>
      </w:r>
      <w:r w:rsidR="00581CA0" w:rsidRPr="0089204F">
        <w:rPr>
          <w:rFonts w:cstheme="minorHAnsi"/>
          <w:sz w:val="20"/>
          <w:szCs w:val="19"/>
        </w:rPr>
        <w:t xml:space="preserve">the </w:t>
      </w:r>
      <w:r w:rsidR="005E4565" w:rsidRPr="0089204F">
        <w:rPr>
          <w:rFonts w:cstheme="minorHAnsi"/>
          <w:sz w:val="20"/>
          <w:szCs w:val="19"/>
        </w:rPr>
        <w:t xml:space="preserve">increased </w:t>
      </w:r>
      <w:r w:rsidR="00581CA0" w:rsidRPr="0089204F">
        <w:rPr>
          <w:rFonts w:cstheme="minorHAnsi"/>
          <w:sz w:val="20"/>
          <w:szCs w:val="19"/>
        </w:rPr>
        <w:t xml:space="preserve">efficacy of </w:t>
      </w:r>
      <w:r w:rsidR="00804300" w:rsidRPr="0089204F">
        <w:rPr>
          <w:rFonts w:cstheme="minorHAnsi"/>
          <w:sz w:val="20"/>
          <w:szCs w:val="19"/>
        </w:rPr>
        <w:t xml:space="preserve">strategies </w:t>
      </w:r>
      <w:r w:rsidR="00581CA0" w:rsidRPr="0089204F">
        <w:rPr>
          <w:rFonts w:cstheme="minorHAnsi"/>
          <w:sz w:val="20"/>
          <w:szCs w:val="19"/>
        </w:rPr>
        <w:t>which</w:t>
      </w:r>
      <w:r w:rsidR="00804300" w:rsidRPr="0089204F">
        <w:rPr>
          <w:rFonts w:cstheme="minorHAnsi"/>
          <w:sz w:val="20"/>
          <w:szCs w:val="19"/>
        </w:rPr>
        <w:t xml:space="preserve"> reframe conversations and dialogue with parents </w:t>
      </w:r>
      <w:r w:rsidR="001D382E">
        <w:rPr>
          <w:rFonts w:cstheme="minorHAnsi"/>
          <w:sz w:val="20"/>
          <w:szCs w:val="19"/>
        </w:rPr>
        <w:t xml:space="preserve">and caregivers </w:t>
      </w:r>
      <w:r w:rsidR="00804300" w:rsidRPr="0089204F">
        <w:rPr>
          <w:rFonts w:cstheme="minorHAnsi"/>
          <w:sz w:val="20"/>
          <w:szCs w:val="19"/>
        </w:rPr>
        <w:t xml:space="preserve">so that </w:t>
      </w:r>
      <w:r w:rsidR="005E4565" w:rsidRPr="0089204F">
        <w:rPr>
          <w:rFonts w:cstheme="minorHAnsi"/>
          <w:sz w:val="20"/>
          <w:szCs w:val="19"/>
        </w:rPr>
        <w:t>this</w:t>
      </w:r>
      <w:r w:rsidR="00804300" w:rsidRPr="0089204F">
        <w:rPr>
          <w:rFonts w:cstheme="minorHAnsi"/>
          <w:sz w:val="20"/>
          <w:szCs w:val="19"/>
        </w:rPr>
        <w:t xml:space="preserve"> </w:t>
      </w:r>
      <w:r w:rsidR="005E4565" w:rsidRPr="0089204F">
        <w:rPr>
          <w:rFonts w:cstheme="minorHAnsi"/>
          <w:sz w:val="20"/>
          <w:szCs w:val="19"/>
        </w:rPr>
        <w:t xml:space="preserve">moves away from discussion of the science to </w:t>
      </w:r>
      <w:r w:rsidR="00804300" w:rsidRPr="0089204F">
        <w:rPr>
          <w:rFonts w:cstheme="minorHAnsi"/>
          <w:sz w:val="20"/>
          <w:szCs w:val="19"/>
        </w:rPr>
        <w:t>emphasise child outcomes.</w:t>
      </w:r>
      <w:r w:rsidR="005E4565" w:rsidRPr="0089204F">
        <w:rPr>
          <w:rStyle w:val="EndnoteReference"/>
          <w:rFonts w:cstheme="minorHAnsi"/>
          <w:sz w:val="20"/>
          <w:szCs w:val="19"/>
        </w:rPr>
        <w:endnoteReference w:id="125"/>
      </w:r>
    </w:p>
    <w:p w14:paraId="7FCF9AD0" w14:textId="09B157AD" w:rsidR="00B01DBE" w:rsidRDefault="00581CA0" w:rsidP="00506ED6">
      <w:pPr>
        <w:pStyle w:val="ListParagraph"/>
        <w:numPr>
          <w:ilvl w:val="0"/>
          <w:numId w:val="23"/>
        </w:numPr>
        <w:ind w:left="426" w:hanging="284"/>
        <w:rPr>
          <w:rFonts w:cstheme="minorHAnsi"/>
          <w:sz w:val="20"/>
          <w:szCs w:val="19"/>
        </w:rPr>
      </w:pPr>
      <w:r>
        <w:rPr>
          <w:rFonts w:cstheme="minorHAnsi"/>
          <w:sz w:val="20"/>
          <w:szCs w:val="19"/>
        </w:rPr>
        <w:t xml:space="preserve">A need to </w:t>
      </w:r>
      <w:r w:rsidRPr="00581CA0">
        <w:rPr>
          <w:rFonts w:asciiTheme="minorHAnsi" w:eastAsia="Times New Roman" w:hAnsiTheme="minorHAnsi" w:cstheme="minorHAnsi"/>
          <w:color w:val="1C8243"/>
          <w:sz w:val="20"/>
          <w:szCs w:val="19"/>
          <w:lang w:val="en-GB"/>
        </w:rPr>
        <w:t>strengthen our knowledge</w:t>
      </w:r>
      <w:r w:rsidR="00955153">
        <w:rPr>
          <w:rFonts w:asciiTheme="minorHAnsi" w:eastAsia="Times New Roman" w:hAnsiTheme="minorHAnsi" w:cstheme="minorHAnsi"/>
          <w:color w:val="1C8243"/>
          <w:sz w:val="20"/>
          <w:szCs w:val="19"/>
          <w:lang w:val="en-GB"/>
        </w:rPr>
        <w:t xml:space="preserve"> and intelligence regarding</w:t>
      </w:r>
      <w:r w:rsidRPr="00581CA0">
        <w:rPr>
          <w:rFonts w:asciiTheme="minorHAnsi" w:eastAsia="Times New Roman" w:hAnsiTheme="minorHAnsi" w:cstheme="minorHAnsi"/>
          <w:color w:val="1C8243"/>
          <w:sz w:val="20"/>
          <w:szCs w:val="19"/>
          <w:lang w:val="en-GB"/>
        </w:rPr>
        <w:t xml:space="preserve"> </w:t>
      </w:r>
      <w:r>
        <w:rPr>
          <w:rFonts w:asciiTheme="minorHAnsi" w:eastAsia="Times New Roman" w:hAnsiTheme="minorHAnsi" w:cstheme="minorHAnsi"/>
          <w:color w:val="1C8243"/>
          <w:sz w:val="20"/>
          <w:szCs w:val="19"/>
          <w:lang w:val="en-GB"/>
        </w:rPr>
        <w:t xml:space="preserve">contemporary </w:t>
      </w:r>
      <w:r w:rsidRPr="00581CA0">
        <w:rPr>
          <w:rFonts w:asciiTheme="minorHAnsi" w:eastAsia="Times New Roman" w:hAnsiTheme="minorHAnsi" w:cstheme="minorHAnsi"/>
          <w:color w:val="1C8243"/>
          <w:sz w:val="20"/>
          <w:szCs w:val="19"/>
          <w:lang w:val="en-GB"/>
        </w:rPr>
        <w:t>parenting</w:t>
      </w:r>
      <w:r w:rsidR="001D382E">
        <w:rPr>
          <w:rFonts w:asciiTheme="minorHAnsi" w:eastAsia="Times New Roman" w:hAnsiTheme="minorHAnsi" w:cstheme="minorHAnsi"/>
          <w:color w:val="1C8243"/>
          <w:sz w:val="20"/>
          <w:szCs w:val="19"/>
          <w:lang w:val="en-GB"/>
        </w:rPr>
        <w:t xml:space="preserve"> and caregiving</w:t>
      </w:r>
      <w:r w:rsidRPr="00581CA0">
        <w:rPr>
          <w:rFonts w:asciiTheme="minorHAnsi" w:eastAsia="Times New Roman" w:hAnsiTheme="minorHAnsi" w:cstheme="minorHAnsi"/>
          <w:color w:val="1C8243"/>
          <w:sz w:val="20"/>
          <w:szCs w:val="19"/>
          <w:lang w:val="en-GB"/>
        </w:rPr>
        <w:t xml:space="preserve"> </w:t>
      </w:r>
      <w:r w:rsidRPr="00955153">
        <w:rPr>
          <w:rFonts w:asciiTheme="minorHAnsi" w:eastAsia="Times New Roman" w:hAnsiTheme="minorHAnsi" w:cstheme="minorHAnsi"/>
          <w:color w:val="1C8243"/>
          <w:sz w:val="20"/>
          <w:szCs w:val="19"/>
          <w:lang w:val="en-GB"/>
        </w:rPr>
        <w:t>attitudes, experiences and practices</w:t>
      </w:r>
      <w:r>
        <w:rPr>
          <w:rFonts w:cstheme="minorHAnsi"/>
          <w:sz w:val="20"/>
          <w:szCs w:val="19"/>
        </w:rPr>
        <w:t>, including further development of consistent measures and recording mechanisms to track this over time.</w:t>
      </w:r>
      <w:r>
        <w:rPr>
          <w:rStyle w:val="EndnoteReference"/>
          <w:rFonts w:cstheme="minorHAnsi"/>
          <w:sz w:val="20"/>
          <w:szCs w:val="19"/>
        </w:rPr>
        <w:endnoteReference w:id="126"/>
      </w:r>
    </w:p>
    <w:p w14:paraId="5A732748" w14:textId="77777777" w:rsidR="00EE7652" w:rsidRDefault="00EE7652" w:rsidP="00EE7652">
      <w:pPr>
        <w:pStyle w:val="ListParagraph"/>
        <w:rPr>
          <w:rFonts w:cstheme="minorHAnsi"/>
          <w:sz w:val="20"/>
          <w:szCs w:val="19"/>
          <w:highlight w:val="yellow"/>
        </w:rPr>
      </w:pPr>
    </w:p>
    <w:tbl>
      <w:tblPr>
        <w:tblStyle w:val="TableGrid"/>
        <w:tblW w:w="5000" w:type="pct"/>
        <w:tblBorders>
          <w:top w:val="single" w:sz="4" w:space="0" w:color="318843"/>
          <w:left w:val="none" w:sz="0" w:space="0" w:color="auto"/>
          <w:bottom w:val="single" w:sz="4" w:space="0" w:color="318843"/>
          <w:right w:val="none" w:sz="0" w:space="0" w:color="auto"/>
          <w:insideH w:val="none" w:sz="0" w:space="0" w:color="auto"/>
          <w:insideV w:val="none" w:sz="0" w:space="0" w:color="auto"/>
        </w:tblBorders>
        <w:tblLook w:val="04A0" w:firstRow="1" w:lastRow="0" w:firstColumn="1" w:lastColumn="0" w:noHBand="0" w:noVBand="1"/>
        <w:tblCaption w:val="Priority Area 2 - Actions to empower parents and caregivers to maximise healthy development"/>
        <w:tblDescription w:val="This table describes actions to: (1) increase roll out of proven home-based initiatives supporting parents in the antenatal and perinatal stages, especially among priority populations; (2) continue to explore ways to better engage families in the early years of child development; (3) enhance and promote resources to support parenting in the middle and adolescent years; (4) increase opportunities to support fathers; (5) harmonise and promote parenting educaiton and information with a focus on child outcomes; (6) improve intelligence capturing up-to-date data relating to parenting needs and experiences; and (7) embed and align relevant activities in accordance with current and future frameworks developed to support parent health and parenting practice."/>
      </w:tblPr>
      <w:tblGrid>
        <w:gridCol w:w="2610"/>
        <w:gridCol w:w="7245"/>
      </w:tblGrid>
      <w:tr w:rsidR="006E262C" w:rsidRPr="00CC575A" w14:paraId="41A28DF6" w14:textId="77777777" w:rsidTr="00D72F29">
        <w:trPr>
          <w:tblHeader/>
        </w:trPr>
        <w:tc>
          <w:tcPr>
            <w:tcW w:w="1324" w:type="pct"/>
            <w:tcBorders>
              <w:top w:val="single" w:sz="4" w:space="0" w:color="318843"/>
              <w:bottom w:val="single" w:sz="4" w:space="0" w:color="318843"/>
            </w:tcBorders>
            <w:shd w:val="clear" w:color="auto" w:fill="auto"/>
          </w:tcPr>
          <w:p w14:paraId="0EB6C99B" w14:textId="77777777" w:rsidR="006E262C" w:rsidRPr="00CC575A" w:rsidRDefault="006E262C" w:rsidP="00DB1F46">
            <w:pPr>
              <w:rPr>
                <w:rFonts w:cstheme="minorHAnsi"/>
                <w:b/>
                <w:sz w:val="20"/>
                <w:szCs w:val="19"/>
              </w:rPr>
            </w:pPr>
            <w:r w:rsidRPr="00CC575A">
              <w:rPr>
                <w:rFonts w:cstheme="minorHAnsi"/>
                <w:b/>
                <w:sz w:val="20"/>
                <w:szCs w:val="19"/>
              </w:rPr>
              <w:t>Action</w:t>
            </w:r>
          </w:p>
        </w:tc>
        <w:tc>
          <w:tcPr>
            <w:tcW w:w="3676" w:type="pct"/>
            <w:tcBorders>
              <w:top w:val="single" w:sz="4" w:space="0" w:color="318843"/>
              <w:bottom w:val="single" w:sz="4" w:space="0" w:color="318843"/>
            </w:tcBorders>
            <w:shd w:val="clear" w:color="auto" w:fill="auto"/>
          </w:tcPr>
          <w:p w14:paraId="1560E79F" w14:textId="77777777" w:rsidR="006E262C" w:rsidRPr="00CC575A" w:rsidRDefault="006E262C" w:rsidP="00DB1F46">
            <w:pPr>
              <w:rPr>
                <w:rFonts w:cstheme="minorHAnsi"/>
                <w:b/>
                <w:sz w:val="20"/>
                <w:szCs w:val="19"/>
              </w:rPr>
            </w:pPr>
            <w:r w:rsidRPr="00CC575A">
              <w:rPr>
                <w:rFonts w:cstheme="minorHAnsi"/>
                <w:b/>
                <w:sz w:val="20"/>
                <w:szCs w:val="19"/>
              </w:rPr>
              <w:t>Detail</w:t>
            </w:r>
          </w:p>
        </w:tc>
      </w:tr>
      <w:tr w:rsidR="006E262C" w:rsidRPr="00CC575A" w14:paraId="16113623" w14:textId="77777777" w:rsidTr="00DB1F46">
        <w:tc>
          <w:tcPr>
            <w:tcW w:w="1324" w:type="pct"/>
            <w:tcBorders>
              <w:top w:val="single" w:sz="4" w:space="0" w:color="318843"/>
              <w:bottom w:val="single" w:sz="4" w:space="0" w:color="318843"/>
            </w:tcBorders>
            <w:shd w:val="clear" w:color="auto" w:fill="auto"/>
          </w:tcPr>
          <w:p w14:paraId="142CEFFC" w14:textId="77777777" w:rsidR="006E262C" w:rsidRPr="006E262C" w:rsidRDefault="006E262C" w:rsidP="006E262C">
            <w:pPr>
              <w:spacing w:before="60"/>
              <w:rPr>
                <w:rFonts w:cstheme="minorHAnsi"/>
                <w:b/>
                <w:color w:val="1C8243"/>
                <w:sz w:val="20"/>
                <w:szCs w:val="19"/>
              </w:rPr>
            </w:pPr>
            <w:r w:rsidRPr="006E262C">
              <w:rPr>
                <w:rFonts w:cstheme="minorHAnsi"/>
                <w:b/>
                <w:color w:val="1C8243"/>
                <w:sz w:val="20"/>
                <w:szCs w:val="19"/>
              </w:rPr>
              <w:t xml:space="preserve">Increase roll out of proven home-based initiatives supporting parents in the antenatal and perinatal stage, especially among priority populations </w:t>
            </w:r>
          </w:p>
          <w:p w14:paraId="1AFF5351" w14:textId="77777777" w:rsidR="006E262C" w:rsidRPr="00CC575A" w:rsidRDefault="006E262C" w:rsidP="00DB1F46">
            <w:pPr>
              <w:spacing w:before="60"/>
              <w:rPr>
                <w:rFonts w:cstheme="minorHAnsi"/>
                <w:b/>
                <w:color w:val="1C8243"/>
                <w:sz w:val="20"/>
                <w:szCs w:val="19"/>
              </w:rPr>
            </w:pPr>
          </w:p>
        </w:tc>
        <w:tc>
          <w:tcPr>
            <w:tcW w:w="3676" w:type="pct"/>
            <w:tcBorders>
              <w:top w:val="single" w:sz="4" w:space="0" w:color="318843"/>
              <w:bottom w:val="single" w:sz="4" w:space="0" w:color="318843"/>
            </w:tcBorders>
            <w:shd w:val="clear" w:color="auto" w:fill="auto"/>
          </w:tcPr>
          <w:p w14:paraId="502C09D1"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Continue to support proven programs of sustained nurse home visiting, commencing antenatally and with a focus on marginalised women, including young mothers</w:t>
            </w:r>
          </w:p>
          <w:p w14:paraId="44816407"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Support and promote continuity of midwifery care to improve outcomes for women and their infants, and consider the options for extending midwifery practice from preconception to early years, with appropriate educational opportunities for midwives</w:t>
            </w:r>
          </w:p>
          <w:p w14:paraId="32E736DD"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Explore the potential of innovative models of midwifery antenatal care for families experiencing or at-risk of disadvantage (e.g. </w:t>
            </w:r>
            <w:r w:rsidRPr="006E262C">
              <w:rPr>
                <w:i/>
                <w:sz w:val="20"/>
                <w:szCs w:val="20"/>
              </w:rPr>
              <w:t>Malabar Midwives</w:t>
            </w:r>
            <w:r w:rsidRPr="006E262C">
              <w:rPr>
                <w:sz w:val="20"/>
                <w:szCs w:val="20"/>
              </w:rPr>
              <w:t>, which provides a continuum of care well-supported across midwife, child and family health nurse and Aboriginal Worker</w:t>
            </w:r>
            <w:r w:rsidR="00AE70B4">
              <w:rPr>
                <w:sz w:val="20"/>
                <w:szCs w:val="20"/>
              </w:rPr>
              <w:t>)</w:t>
            </w:r>
            <w:r w:rsidRPr="006E262C">
              <w:rPr>
                <w:sz w:val="20"/>
                <w:szCs w:val="20"/>
                <w:vertAlign w:val="superscript"/>
              </w:rPr>
              <w:endnoteReference w:id="127"/>
            </w:r>
            <w:r w:rsidRPr="006E262C">
              <w:rPr>
                <w:sz w:val="20"/>
                <w:szCs w:val="20"/>
              </w:rPr>
              <w:t xml:space="preserve">  </w:t>
            </w:r>
          </w:p>
          <w:p w14:paraId="6B307959"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Foster the implementation of evidence-based programs designed specifically for Australian contexts and for use in disadvantaged communities</w:t>
            </w:r>
          </w:p>
          <w:p w14:paraId="3DAC4CF5" w14:textId="77777777" w:rsidR="006E262C" w:rsidRPr="00CC575A" w:rsidRDefault="006E262C" w:rsidP="006E262C">
            <w:pPr>
              <w:pStyle w:val="ListParagraph"/>
              <w:numPr>
                <w:ilvl w:val="0"/>
                <w:numId w:val="39"/>
              </w:numPr>
              <w:spacing w:before="60" w:after="60"/>
              <w:ind w:left="323" w:hanging="323"/>
              <w:contextualSpacing w:val="0"/>
              <w:rPr>
                <w:sz w:val="18"/>
                <w:szCs w:val="18"/>
              </w:rPr>
            </w:pPr>
            <w:r w:rsidRPr="006E262C">
              <w:rPr>
                <w:sz w:val="20"/>
                <w:szCs w:val="20"/>
                <w:lang w:val="en-GB"/>
              </w:rPr>
              <w:t>Trial and evaluate adapted evidence-based programs, co-designed with communities, for use with Aboriginal and Torres Strait Islander families</w:t>
            </w:r>
          </w:p>
        </w:tc>
      </w:tr>
      <w:tr w:rsidR="006E262C" w:rsidRPr="00CC575A" w14:paraId="5234FC7E" w14:textId="77777777" w:rsidTr="00DB1F46">
        <w:tc>
          <w:tcPr>
            <w:tcW w:w="1324" w:type="pct"/>
            <w:tcBorders>
              <w:top w:val="single" w:sz="4" w:space="0" w:color="318843"/>
              <w:bottom w:val="single" w:sz="4" w:space="0" w:color="318843"/>
            </w:tcBorders>
            <w:shd w:val="clear" w:color="auto" w:fill="auto"/>
          </w:tcPr>
          <w:p w14:paraId="2D569C1B" w14:textId="77777777" w:rsidR="006E262C" w:rsidRPr="006E262C" w:rsidRDefault="006E262C" w:rsidP="006E262C">
            <w:pPr>
              <w:spacing w:before="60"/>
              <w:rPr>
                <w:rFonts w:cstheme="minorHAnsi"/>
                <w:b/>
                <w:color w:val="1C8243"/>
                <w:sz w:val="20"/>
                <w:szCs w:val="19"/>
              </w:rPr>
            </w:pPr>
            <w:r w:rsidRPr="006E262C">
              <w:rPr>
                <w:rFonts w:cstheme="minorHAnsi"/>
                <w:b/>
                <w:color w:val="1C8243"/>
                <w:sz w:val="20"/>
                <w:szCs w:val="19"/>
              </w:rPr>
              <w:t>Continue to explore ways of better engaging families in the early years of child development</w:t>
            </w:r>
          </w:p>
        </w:tc>
        <w:tc>
          <w:tcPr>
            <w:tcW w:w="3676" w:type="pct"/>
            <w:tcBorders>
              <w:top w:val="single" w:sz="4" w:space="0" w:color="318843"/>
              <w:bottom w:val="single" w:sz="4" w:space="0" w:color="318843"/>
            </w:tcBorders>
            <w:shd w:val="clear" w:color="auto" w:fill="auto"/>
          </w:tcPr>
          <w:p w14:paraId="6EAF84E8" w14:textId="1BE9BEC3"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Increase promotion of the significance of the early years of a child’s life and the role parents </w:t>
            </w:r>
            <w:r w:rsidR="001D382E">
              <w:rPr>
                <w:sz w:val="20"/>
                <w:szCs w:val="20"/>
              </w:rPr>
              <w:t xml:space="preserve">and caregivers </w:t>
            </w:r>
            <w:r w:rsidRPr="006E262C">
              <w:rPr>
                <w:sz w:val="20"/>
                <w:szCs w:val="20"/>
              </w:rPr>
              <w:t>can play in healthy child development, building on approaches taken to engage families in the early childhood story</w:t>
            </w:r>
          </w:p>
          <w:p w14:paraId="5E8AB4F6" w14:textId="7A71C5EA"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Consider implementing further social marketing approaches to influence the engageme</w:t>
            </w:r>
            <w:r w:rsidR="001D382E">
              <w:rPr>
                <w:sz w:val="20"/>
                <w:szCs w:val="20"/>
              </w:rPr>
              <w:t xml:space="preserve">nt of families and other caregivers </w:t>
            </w:r>
            <w:r w:rsidRPr="006E262C">
              <w:rPr>
                <w:sz w:val="20"/>
                <w:szCs w:val="20"/>
              </w:rPr>
              <w:t>in child development activities, with increased focus on the role of fathers</w:t>
            </w:r>
          </w:p>
          <w:p w14:paraId="0A4D24CD"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Facilitate promotion, education and practical guidance for parenting activities through service settings and other community touchpoints that take place during early childhood – e.g. maternal child health nurses, libraries, parents’ groups</w:t>
            </w:r>
          </w:p>
          <w:p w14:paraId="4C89815F"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lang w:val="en-GB"/>
              </w:rPr>
              <w:t>Engage culturally appropriate and targeted communication to emphasise the importance of parent engagement in the early years across different cohorts of the community</w:t>
            </w:r>
          </w:p>
        </w:tc>
      </w:tr>
      <w:tr w:rsidR="006E262C" w:rsidRPr="00CC575A" w14:paraId="5B94099F" w14:textId="77777777" w:rsidTr="00DB1F46">
        <w:tc>
          <w:tcPr>
            <w:tcW w:w="1324" w:type="pct"/>
            <w:tcBorders>
              <w:top w:val="single" w:sz="4" w:space="0" w:color="318843"/>
              <w:bottom w:val="single" w:sz="4" w:space="0" w:color="318843"/>
            </w:tcBorders>
            <w:shd w:val="clear" w:color="auto" w:fill="auto"/>
          </w:tcPr>
          <w:p w14:paraId="58C58733" w14:textId="77777777" w:rsidR="006E262C" w:rsidRPr="006E262C" w:rsidRDefault="006E262C" w:rsidP="006E262C">
            <w:pPr>
              <w:spacing w:before="60"/>
              <w:rPr>
                <w:rFonts w:cstheme="minorHAnsi"/>
                <w:b/>
                <w:color w:val="1C8243"/>
                <w:sz w:val="20"/>
                <w:szCs w:val="19"/>
              </w:rPr>
            </w:pPr>
            <w:r w:rsidRPr="006E262C">
              <w:rPr>
                <w:rFonts w:cstheme="minorHAnsi"/>
                <w:b/>
                <w:color w:val="1C8243"/>
                <w:sz w:val="20"/>
                <w:szCs w:val="19"/>
              </w:rPr>
              <w:t xml:space="preserve">Enhance and promote resources and mechanisms to support parenting in the middle years and adolescence </w:t>
            </w:r>
          </w:p>
          <w:p w14:paraId="2CE08519" w14:textId="77777777" w:rsidR="006E262C" w:rsidRPr="006E262C" w:rsidRDefault="006E262C" w:rsidP="006E262C">
            <w:pPr>
              <w:spacing w:before="60"/>
              <w:rPr>
                <w:rFonts w:cstheme="minorHAnsi"/>
                <w:b/>
                <w:color w:val="1C8243"/>
                <w:sz w:val="20"/>
                <w:szCs w:val="19"/>
              </w:rPr>
            </w:pPr>
          </w:p>
        </w:tc>
        <w:tc>
          <w:tcPr>
            <w:tcW w:w="3676" w:type="pct"/>
            <w:tcBorders>
              <w:top w:val="single" w:sz="4" w:space="0" w:color="318843"/>
              <w:bottom w:val="single" w:sz="4" w:space="0" w:color="318843"/>
            </w:tcBorders>
            <w:shd w:val="clear" w:color="auto" w:fill="auto"/>
          </w:tcPr>
          <w:p w14:paraId="3C5ED431"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Increase promotion and access to proven group parenting programs in the middle and adolescent years (e.g. </w:t>
            </w:r>
            <w:r w:rsidRPr="006E262C">
              <w:rPr>
                <w:i/>
                <w:sz w:val="20"/>
                <w:szCs w:val="20"/>
              </w:rPr>
              <w:t>Triple P</w:t>
            </w:r>
            <w:r w:rsidRPr="006E262C">
              <w:rPr>
                <w:sz w:val="20"/>
                <w:szCs w:val="20"/>
              </w:rPr>
              <w:t xml:space="preserve">, </w:t>
            </w:r>
            <w:r w:rsidRPr="006E262C">
              <w:rPr>
                <w:i/>
                <w:sz w:val="20"/>
                <w:szCs w:val="20"/>
              </w:rPr>
              <w:t>Incredible Years</w:t>
            </w:r>
            <w:r w:rsidRPr="006E262C">
              <w:rPr>
                <w:sz w:val="20"/>
                <w:szCs w:val="20"/>
              </w:rPr>
              <w:t xml:space="preserve">, </w:t>
            </w:r>
            <w:r w:rsidRPr="006E262C">
              <w:rPr>
                <w:i/>
                <w:sz w:val="20"/>
                <w:szCs w:val="20"/>
              </w:rPr>
              <w:t>NEWPIN</w:t>
            </w:r>
            <w:r w:rsidRPr="006E262C">
              <w:rPr>
                <w:sz w:val="20"/>
                <w:szCs w:val="20"/>
              </w:rPr>
              <w:t>)</w:t>
            </w:r>
          </w:p>
          <w:p w14:paraId="1CFF39EA"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Identify and strengthen evaluation of other promising and emerging parenting interventions in the middle and adolescent years  </w:t>
            </w:r>
          </w:p>
          <w:p w14:paraId="065D7EE2" w14:textId="6C6A5F48"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Work collaboratively w</w:t>
            </w:r>
            <w:r w:rsidR="001D382E">
              <w:rPr>
                <w:sz w:val="20"/>
                <w:szCs w:val="20"/>
              </w:rPr>
              <w:t xml:space="preserve">ith partners to foster </w:t>
            </w:r>
            <w:r w:rsidRPr="006E262C">
              <w:rPr>
                <w:sz w:val="20"/>
                <w:szCs w:val="20"/>
              </w:rPr>
              <w:t>engagement</w:t>
            </w:r>
            <w:r w:rsidR="001D382E">
              <w:rPr>
                <w:sz w:val="20"/>
                <w:szCs w:val="20"/>
              </w:rPr>
              <w:t xml:space="preserve"> of parents and caregivers</w:t>
            </w:r>
            <w:r w:rsidRPr="006E262C">
              <w:rPr>
                <w:sz w:val="20"/>
                <w:szCs w:val="20"/>
              </w:rPr>
              <w:t xml:space="preserve"> in learning</w:t>
            </w:r>
            <w:r w:rsidR="001D382E">
              <w:rPr>
                <w:sz w:val="20"/>
                <w:szCs w:val="20"/>
              </w:rPr>
              <w:t>,</w:t>
            </w:r>
            <w:r w:rsidRPr="006E262C">
              <w:rPr>
                <w:sz w:val="20"/>
                <w:szCs w:val="20"/>
              </w:rPr>
              <w:t xml:space="preserve"> schooling and supportive family relationships, </w:t>
            </w:r>
            <w:r>
              <w:rPr>
                <w:sz w:val="20"/>
                <w:szCs w:val="20"/>
              </w:rPr>
              <w:t>since this</w:t>
            </w:r>
            <w:r w:rsidRPr="006E262C">
              <w:rPr>
                <w:sz w:val="20"/>
                <w:szCs w:val="20"/>
              </w:rPr>
              <w:t xml:space="preserve"> can help prevent disengagement from school and negative health outcomes, particularly at key transition points such as starting high school</w:t>
            </w:r>
          </w:p>
          <w:p w14:paraId="4BD95268"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Promote awareness and guidance in areas of emerging</w:t>
            </w:r>
            <w:r>
              <w:rPr>
                <w:sz w:val="20"/>
                <w:szCs w:val="20"/>
              </w:rPr>
              <w:t xml:space="preserve"> parent</w:t>
            </w:r>
            <w:r w:rsidRPr="006E262C">
              <w:rPr>
                <w:sz w:val="20"/>
                <w:szCs w:val="20"/>
              </w:rPr>
              <w:t xml:space="preserve"> information need during adolescence, including resources and strategies covering preventive health, mental health, risky behaviours (alcohol, drugs etc), identity and sexuality, sexual health, relationships, online behaviours and screen time, and autonomy over health decisions</w:t>
            </w:r>
          </w:p>
          <w:p w14:paraId="6B3B435C"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lang w:val="en-GB"/>
              </w:rPr>
              <w:t>Provide ongoing parenting support for adolescents and young adults who are parents themselves</w:t>
            </w:r>
          </w:p>
        </w:tc>
      </w:tr>
      <w:tr w:rsidR="006E262C" w:rsidRPr="00CC575A" w14:paraId="5A675D20" w14:textId="77777777" w:rsidTr="00DB1F46">
        <w:tc>
          <w:tcPr>
            <w:tcW w:w="1324" w:type="pct"/>
            <w:tcBorders>
              <w:top w:val="single" w:sz="4" w:space="0" w:color="318843"/>
              <w:bottom w:val="single" w:sz="4" w:space="0" w:color="318843"/>
            </w:tcBorders>
            <w:shd w:val="clear" w:color="auto" w:fill="auto"/>
          </w:tcPr>
          <w:p w14:paraId="5941F380" w14:textId="77777777" w:rsidR="006E262C" w:rsidRPr="006E262C" w:rsidRDefault="006E262C" w:rsidP="006E262C">
            <w:pPr>
              <w:spacing w:before="60"/>
              <w:rPr>
                <w:rFonts w:cstheme="minorHAnsi"/>
                <w:b/>
                <w:color w:val="1C8243"/>
                <w:sz w:val="20"/>
                <w:szCs w:val="19"/>
              </w:rPr>
            </w:pPr>
            <w:r w:rsidRPr="006E262C">
              <w:rPr>
                <w:rFonts w:cstheme="minorHAnsi"/>
                <w:b/>
                <w:color w:val="1C8243"/>
                <w:sz w:val="20"/>
                <w:szCs w:val="19"/>
              </w:rPr>
              <w:t>Increase opportunities to support fathers with parenting strategies and practices</w:t>
            </w:r>
          </w:p>
        </w:tc>
        <w:tc>
          <w:tcPr>
            <w:tcW w:w="3676" w:type="pct"/>
            <w:tcBorders>
              <w:top w:val="single" w:sz="4" w:space="0" w:color="318843"/>
              <w:bottom w:val="single" w:sz="4" w:space="0" w:color="318843"/>
            </w:tcBorders>
            <w:shd w:val="clear" w:color="auto" w:fill="auto"/>
          </w:tcPr>
          <w:p w14:paraId="52274E11" w14:textId="77777777" w:rsidR="006E262C" w:rsidRPr="00615C1C" w:rsidRDefault="006E262C" w:rsidP="006E262C">
            <w:pPr>
              <w:pStyle w:val="ListParagraph"/>
              <w:numPr>
                <w:ilvl w:val="0"/>
                <w:numId w:val="39"/>
              </w:numPr>
              <w:spacing w:before="60" w:after="60"/>
              <w:ind w:left="323" w:hanging="323"/>
              <w:contextualSpacing w:val="0"/>
              <w:rPr>
                <w:sz w:val="20"/>
                <w:szCs w:val="20"/>
              </w:rPr>
            </w:pPr>
            <w:r w:rsidRPr="00615C1C">
              <w:rPr>
                <w:sz w:val="20"/>
                <w:szCs w:val="20"/>
              </w:rPr>
              <w:t xml:space="preserve">Support both maternal and paternal mental health in the early years, including extending </w:t>
            </w:r>
            <w:r w:rsidR="00615C1C" w:rsidRPr="00615C1C">
              <w:rPr>
                <w:sz w:val="20"/>
                <w:szCs w:val="20"/>
              </w:rPr>
              <w:t>the s</w:t>
            </w:r>
            <w:r w:rsidRPr="00615C1C">
              <w:rPr>
                <w:sz w:val="20"/>
                <w:szCs w:val="20"/>
              </w:rPr>
              <w:t>creen</w:t>
            </w:r>
            <w:r w:rsidR="00615C1C" w:rsidRPr="00615C1C">
              <w:rPr>
                <w:sz w:val="20"/>
                <w:szCs w:val="20"/>
              </w:rPr>
              <w:t>ing of</w:t>
            </w:r>
            <w:r w:rsidRPr="00615C1C">
              <w:rPr>
                <w:sz w:val="20"/>
                <w:szCs w:val="20"/>
              </w:rPr>
              <w:t xml:space="preserve"> fathers during the antenatal and postnatal periods</w:t>
            </w:r>
            <w:r w:rsidR="008818AA" w:rsidRPr="00615C1C">
              <w:rPr>
                <w:sz w:val="20"/>
                <w:szCs w:val="20"/>
              </w:rPr>
              <w:t>,</w:t>
            </w:r>
            <w:r w:rsidRPr="00615C1C">
              <w:rPr>
                <w:sz w:val="20"/>
                <w:szCs w:val="20"/>
              </w:rPr>
              <w:t xml:space="preserve"> together with other actions outlined in Priority Area 3</w:t>
            </w:r>
          </w:p>
          <w:p w14:paraId="48EAB07A"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Encourage awareness and increased use of father inclusive practices and communications models in community, family and child health services</w:t>
            </w:r>
          </w:p>
          <w:p w14:paraId="6E810B0A"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Encourage the participation of fathers in the design and implementation of parenting education and programs such as the model used for the program </w:t>
            </w:r>
            <w:r w:rsidRPr="006E262C">
              <w:rPr>
                <w:i/>
                <w:sz w:val="20"/>
                <w:szCs w:val="20"/>
              </w:rPr>
              <w:t>parentworks.org.au</w:t>
            </w:r>
            <w:r w:rsidRPr="006E262C">
              <w:rPr>
                <w:sz w:val="20"/>
                <w:szCs w:val="20"/>
              </w:rPr>
              <w:t xml:space="preserve"> </w:t>
            </w:r>
            <w:r w:rsidR="008818AA">
              <w:rPr>
                <w:rStyle w:val="EndnoteReference"/>
                <w:sz w:val="20"/>
                <w:szCs w:val="20"/>
              </w:rPr>
              <w:endnoteReference w:id="128"/>
            </w:r>
            <w:r w:rsidRPr="006E262C">
              <w:rPr>
                <w:sz w:val="20"/>
                <w:szCs w:val="20"/>
                <w:lang w:val="en-GB"/>
              </w:rPr>
              <w:t xml:space="preserve"> </w:t>
            </w:r>
          </w:p>
          <w:p w14:paraId="67916CDA"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Foster </w:t>
            </w:r>
            <w:r w:rsidR="005D4738">
              <w:rPr>
                <w:sz w:val="20"/>
                <w:szCs w:val="20"/>
              </w:rPr>
              <w:t xml:space="preserve">the </w:t>
            </w:r>
            <w:r w:rsidRPr="006E262C">
              <w:rPr>
                <w:sz w:val="20"/>
                <w:szCs w:val="20"/>
              </w:rPr>
              <w:t>further development of recognised programs</w:t>
            </w:r>
            <w:r w:rsidR="005D4738">
              <w:rPr>
                <w:sz w:val="20"/>
                <w:szCs w:val="20"/>
              </w:rPr>
              <w:t>,</w:t>
            </w:r>
            <w:r w:rsidRPr="006E262C">
              <w:rPr>
                <w:sz w:val="20"/>
                <w:szCs w:val="20"/>
              </w:rPr>
              <w:t xml:space="preserve"> </w:t>
            </w:r>
            <w:r w:rsidR="005D4738">
              <w:rPr>
                <w:sz w:val="20"/>
                <w:szCs w:val="20"/>
              </w:rPr>
              <w:t xml:space="preserve">that </w:t>
            </w:r>
            <w:r w:rsidRPr="006E262C">
              <w:rPr>
                <w:sz w:val="20"/>
                <w:szCs w:val="20"/>
              </w:rPr>
              <w:t>focus on fathers, for parenting education within Australian Indigenous communities</w:t>
            </w:r>
          </w:p>
          <w:p w14:paraId="5109C887"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 xml:space="preserve">Examine how existing channels such as the </w:t>
            </w:r>
            <w:r w:rsidRPr="006E262C">
              <w:rPr>
                <w:i/>
                <w:sz w:val="20"/>
                <w:szCs w:val="20"/>
              </w:rPr>
              <w:t>Raising Children Network</w:t>
            </w:r>
            <w:r w:rsidRPr="006E262C">
              <w:rPr>
                <w:sz w:val="20"/>
                <w:szCs w:val="20"/>
              </w:rPr>
              <w:t xml:space="preserve"> can be further developed to better engage fathers with online parenting information</w:t>
            </w:r>
          </w:p>
          <w:p w14:paraId="7F5EBB01"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rPr>
              <w:t>Build the evidence base for wider applications of proven approaches to better engaging and empowering fathers in parenting</w:t>
            </w:r>
          </w:p>
          <w:p w14:paraId="70391F01" w14:textId="77777777" w:rsidR="006E262C" w:rsidRPr="006E262C" w:rsidRDefault="006E262C" w:rsidP="006E262C">
            <w:pPr>
              <w:pStyle w:val="ListParagraph"/>
              <w:numPr>
                <w:ilvl w:val="0"/>
                <w:numId w:val="39"/>
              </w:numPr>
              <w:spacing w:before="60" w:after="60"/>
              <w:ind w:left="323" w:hanging="323"/>
              <w:contextualSpacing w:val="0"/>
              <w:rPr>
                <w:sz w:val="20"/>
                <w:szCs w:val="20"/>
              </w:rPr>
            </w:pPr>
            <w:r w:rsidRPr="006E262C">
              <w:rPr>
                <w:sz w:val="20"/>
                <w:szCs w:val="20"/>
                <w:lang w:val="en-GB"/>
              </w:rPr>
              <w:t>Continue to explore innovative ways to encourage positive help seeking behaviours of fathers</w:t>
            </w:r>
          </w:p>
        </w:tc>
      </w:tr>
      <w:tr w:rsidR="008818AA" w:rsidRPr="00CC575A" w14:paraId="62FE9069" w14:textId="77777777" w:rsidTr="00DB1F46">
        <w:tc>
          <w:tcPr>
            <w:tcW w:w="1324" w:type="pct"/>
            <w:tcBorders>
              <w:top w:val="single" w:sz="4" w:space="0" w:color="318843"/>
              <w:bottom w:val="single" w:sz="4" w:space="0" w:color="318843"/>
            </w:tcBorders>
            <w:shd w:val="clear" w:color="auto" w:fill="auto"/>
          </w:tcPr>
          <w:p w14:paraId="4A6C86E4" w14:textId="77777777" w:rsidR="008818AA" w:rsidRPr="006E262C" w:rsidRDefault="008818AA" w:rsidP="006E262C">
            <w:pPr>
              <w:spacing w:before="60"/>
              <w:rPr>
                <w:rFonts w:cstheme="minorHAnsi"/>
                <w:b/>
                <w:color w:val="1C8243"/>
                <w:sz w:val="20"/>
                <w:szCs w:val="19"/>
              </w:rPr>
            </w:pPr>
            <w:r w:rsidRPr="008818AA">
              <w:rPr>
                <w:rFonts w:cstheme="minorHAnsi"/>
                <w:b/>
                <w:color w:val="1C8243"/>
                <w:sz w:val="20"/>
                <w:szCs w:val="19"/>
              </w:rPr>
              <w:t>Harmonise and promote parenting education and information with a focus on child outcomes</w:t>
            </w:r>
          </w:p>
        </w:tc>
        <w:tc>
          <w:tcPr>
            <w:tcW w:w="3676" w:type="pct"/>
            <w:tcBorders>
              <w:top w:val="single" w:sz="4" w:space="0" w:color="318843"/>
              <w:bottom w:val="single" w:sz="4" w:space="0" w:color="318843"/>
            </w:tcBorders>
            <w:shd w:val="clear" w:color="auto" w:fill="auto"/>
          </w:tcPr>
          <w:p w14:paraId="407FB2BE"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 xml:space="preserve">Raise awareness of the </w:t>
            </w:r>
            <w:r w:rsidRPr="008818AA">
              <w:rPr>
                <w:i/>
                <w:sz w:val="20"/>
                <w:szCs w:val="20"/>
              </w:rPr>
              <w:t>Raising Children Network</w:t>
            </w:r>
            <w:r w:rsidRPr="008818AA">
              <w:rPr>
                <w:sz w:val="20"/>
                <w:szCs w:val="20"/>
              </w:rPr>
              <w:t xml:space="preserve"> as a </w:t>
            </w:r>
            <w:r w:rsidR="007031D3">
              <w:rPr>
                <w:sz w:val="20"/>
                <w:szCs w:val="20"/>
              </w:rPr>
              <w:t>s</w:t>
            </w:r>
            <w:r w:rsidRPr="008818AA">
              <w:rPr>
                <w:sz w:val="20"/>
                <w:szCs w:val="20"/>
              </w:rPr>
              <w:t>ource of evidenced-based information to help children develop</w:t>
            </w:r>
          </w:p>
          <w:p w14:paraId="7DF8FBA9"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Pr>
                <w:sz w:val="20"/>
                <w:szCs w:val="20"/>
              </w:rPr>
              <w:t>Promote</w:t>
            </w:r>
            <w:r w:rsidRPr="008818AA">
              <w:rPr>
                <w:sz w:val="20"/>
                <w:szCs w:val="20"/>
              </w:rPr>
              <w:t xml:space="preserve"> the </w:t>
            </w:r>
            <w:r w:rsidRPr="008818AA">
              <w:rPr>
                <w:i/>
                <w:sz w:val="20"/>
                <w:szCs w:val="20"/>
              </w:rPr>
              <w:t>Raising Children Network</w:t>
            </w:r>
            <w:r w:rsidRPr="008818AA">
              <w:rPr>
                <w:sz w:val="20"/>
                <w:szCs w:val="20"/>
              </w:rPr>
              <w:t xml:space="preserve"> </w:t>
            </w:r>
            <w:r>
              <w:rPr>
                <w:sz w:val="20"/>
                <w:szCs w:val="20"/>
              </w:rPr>
              <w:t>as</w:t>
            </w:r>
            <w:r w:rsidRPr="008818AA">
              <w:rPr>
                <w:sz w:val="20"/>
                <w:szCs w:val="20"/>
              </w:rPr>
              <w:t xml:space="preserve"> a ’go-to-site’ to be informed about and access practical parenting education and support activities in local communities</w:t>
            </w:r>
            <w:r>
              <w:rPr>
                <w:sz w:val="20"/>
                <w:szCs w:val="20"/>
              </w:rPr>
              <w:t>,</w:t>
            </w:r>
            <w:r w:rsidRPr="008818AA">
              <w:rPr>
                <w:sz w:val="20"/>
                <w:szCs w:val="20"/>
              </w:rPr>
              <w:t xml:space="preserve"> ranging from parent helplines, counselling and parenting education classes/groups</w:t>
            </w:r>
          </w:p>
          <w:p w14:paraId="53DB7E06"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Explore and trial online strategies for the provision of parenting support and information, such as a parenting app or social media strategies</w:t>
            </w:r>
          </w:p>
          <w:p w14:paraId="267EA14B" w14:textId="77777777" w:rsidR="008818AA" w:rsidRPr="006E262C" w:rsidRDefault="008818AA" w:rsidP="008818AA">
            <w:pPr>
              <w:pStyle w:val="ListParagraph"/>
              <w:numPr>
                <w:ilvl w:val="0"/>
                <w:numId w:val="39"/>
              </w:numPr>
              <w:spacing w:before="60" w:after="60"/>
              <w:ind w:left="323" w:hanging="323"/>
              <w:contextualSpacing w:val="0"/>
              <w:rPr>
                <w:sz w:val="20"/>
                <w:szCs w:val="20"/>
              </w:rPr>
            </w:pPr>
            <w:r w:rsidRPr="008818AA">
              <w:rPr>
                <w:sz w:val="20"/>
                <w:szCs w:val="20"/>
                <w:lang w:val="en-GB"/>
              </w:rPr>
              <w:t>Build on emerging developments in communications that begin to reframe conversations about parenting from a parenting effectiveness narrative to a child development master narrative</w:t>
            </w:r>
            <w:r w:rsidRPr="008818AA">
              <w:rPr>
                <w:sz w:val="20"/>
                <w:szCs w:val="20"/>
                <w:vertAlign w:val="superscript"/>
                <w:lang w:val="en-GB"/>
              </w:rPr>
              <w:endnoteReference w:id="129"/>
            </w:r>
            <w:r w:rsidRPr="008818AA">
              <w:rPr>
                <w:sz w:val="20"/>
                <w:szCs w:val="20"/>
                <w:lang w:val="en-GB"/>
              </w:rPr>
              <w:t xml:space="preserve">  </w:t>
            </w:r>
          </w:p>
        </w:tc>
      </w:tr>
      <w:tr w:rsidR="008818AA" w:rsidRPr="00CC575A" w14:paraId="592C66F4" w14:textId="77777777" w:rsidTr="00DB1F46">
        <w:tc>
          <w:tcPr>
            <w:tcW w:w="1324" w:type="pct"/>
            <w:tcBorders>
              <w:top w:val="single" w:sz="4" w:space="0" w:color="318843"/>
              <w:bottom w:val="single" w:sz="4" w:space="0" w:color="318843"/>
            </w:tcBorders>
            <w:shd w:val="clear" w:color="auto" w:fill="auto"/>
          </w:tcPr>
          <w:p w14:paraId="51FACB81" w14:textId="77777777" w:rsidR="008818AA" w:rsidRPr="008818AA" w:rsidRDefault="008818AA" w:rsidP="006E262C">
            <w:pPr>
              <w:spacing w:before="60"/>
              <w:rPr>
                <w:rFonts w:cstheme="minorHAnsi"/>
                <w:b/>
                <w:color w:val="1C8243"/>
                <w:sz w:val="20"/>
                <w:szCs w:val="19"/>
              </w:rPr>
            </w:pPr>
            <w:r w:rsidRPr="008818AA">
              <w:rPr>
                <w:rFonts w:cstheme="minorHAnsi"/>
                <w:b/>
                <w:color w:val="1C8243"/>
                <w:sz w:val="20"/>
                <w:szCs w:val="19"/>
              </w:rPr>
              <w:t>Improve intelligence capturing up-to-date data relating to parenting needs and experiences</w:t>
            </w:r>
          </w:p>
        </w:tc>
        <w:tc>
          <w:tcPr>
            <w:tcW w:w="3676" w:type="pct"/>
            <w:tcBorders>
              <w:top w:val="single" w:sz="4" w:space="0" w:color="318843"/>
              <w:bottom w:val="single" w:sz="4" w:space="0" w:color="318843"/>
            </w:tcBorders>
            <w:shd w:val="clear" w:color="auto" w:fill="auto"/>
          </w:tcPr>
          <w:p w14:paraId="1D5DF619"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Develop and agree on a consistent set of parenting measures for national data collection and develop an operational plan to implement research with parents to identify emerging needs and monitor change</w:t>
            </w:r>
          </w:p>
          <w:p w14:paraId="38B6D594" w14:textId="77777777" w:rsidR="008818AA" w:rsidRPr="008818AA" w:rsidRDefault="008818AA" w:rsidP="005D4738">
            <w:pPr>
              <w:pStyle w:val="ListParagraph"/>
              <w:numPr>
                <w:ilvl w:val="0"/>
                <w:numId w:val="39"/>
              </w:numPr>
              <w:spacing w:before="60" w:after="60"/>
              <w:ind w:left="323" w:hanging="323"/>
              <w:contextualSpacing w:val="0"/>
              <w:rPr>
                <w:sz w:val="20"/>
                <w:szCs w:val="20"/>
              </w:rPr>
            </w:pPr>
            <w:r w:rsidRPr="008818AA">
              <w:rPr>
                <w:sz w:val="20"/>
                <w:szCs w:val="20"/>
                <w:lang w:val="en-GB"/>
              </w:rPr>
              <w:t xml:space="preserve">Review aspects of </w:t>
            </w:r>
            <w:r w:rsidRPr="008818AA">
              <w:rPr>
                <w:i/>
                <w:sz w:val="20"/>
                <w:szCs w:val="20"/>
                <w:lang w:val="en-GB"/>
              </w:rPr>
              <w:t>the Parenting Today in Victoria</w:t>
            </w:r>
            <w:r w:rsidRPr="008818AA">
              <w:rPr>
                <w:sz w:val="20"/>
                <w:szCs w:val="20"/>
                <w:lang w:val="en-GB"/>
              </w:rPr>
              <w:t xml:space="preserve"> survey and assess options to scale this </w:t>
            </w:r>
            <w:r>
              <w:rPr>
                <w:sz w:val="20"/>
                <w:szCs w:val="20"/>
                <w:lang w:val="en-GB"/>
              </w:rPr>
              <w:t xml:space="preserve">– or other similar surveys – </w:t>
            </w:r>
            <w:r w:rsidRPr="008818AA">
              <w:rPr>
                <w:sz w:val="20"/>
                <w:szCs w:val="20"/>
                <w:lang w:val="en-GB"/>
              </w:rPr>
              <w:t xml:space="preserve">up to </w:t>
            </w:r>
            <w:r w:rsidR="005D4738">
              <w:rPr>
                <w:sz w:val="20"/>
                <w:szCs w:val="20"/>
                <w:lang w:val="en-GB"/>
              </w:rPr>
              <w:t>national level</w:t>
            </w:r>
            <w:r>
              <w:rPr>
                <w:rStyle w:val="EndnoteReference"/>
                <w:sz w:val="20"/>
                <w:szCs w:val="20"/>
                <w:lang w:val="en-GB"/>
              </w:rPr>
              <w:endnoteReference w:id="130"/>
            </w:r>
          </w:p>
        </w:tc>
      </w:tr>
      <w:tr w:rsidR="008818AA" w:rsidRPr="00CC575A" w14:paraId="43DAE0A2" w14:textId="77777777" w:rsidTr="00DB1F46">
        <w:tc>
          <w:tcPr>
            <w:tcW w:w="1324" w:type="pct"/>
            <w:tcBorders>
              <w:top w:val="single" w:sz="4" w:space="0" w:color="318843"/>
              <w:bottom w:val="single" w:sz="4" w:space="0" w:color="318843"/>
            </w:tcBorders>
            <w:shd w:val="clear" w:color="auto" w:fill="auto"/>
          </w:tcPr>
          <w:p w14:paraId="177696D4" w14:textId="77777777" w:rsidR="008818AA" w:rsidRPr="008818AA" w:rsidRDefault="008818AA" w:rsidP="006E262C">
            <w:pPr>
              <w:spacing w:before="60"/>
              <w:rPr>
                <w:rFonts w:cstheme="minorHAnsi"/>
                <w:b/>
                <w:color w:val="1C8243"/>
                <w:sz w:val="20"/>
                <w:szCs w:val="19"/>
              </w:rPr>
            </w:pPr>
            <w:r w:rsidRPr="008818AA">
              <w:rPr>
                <w:rFonts w:cstheme="minorHAnsi"/>
                <w:b/>
                <w:color w:val="1C8243"/>
                <w:sz w:val="20"/>
                <w:szCs w:val="19"/>
              </w:rPr>
              <w:t>Embed and align relevant activities in accordance with current and future frameworks developed to support parent health and parenting practice</w:t>
            </w:r>
          </w:p>
        </w:tc>
        <w:tc>
          <w:tcPr>
            <w:tcW w:w="3676" w:type="pct"/>
            <w:tcBorders>
              <w:top w:val="single" w:sz="4" w:space="0" w:color="318843"/>
              <w:bottom w:val="single" w:sz="4" w:space="0" w:color="318843"/>
            </w:tcBorders>
            <w:shd w:val="clear" w:color="auto" w:fill="auto"/>
          </w:tcPr>
          <w:p w14:paraId="3B8503FB"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 xml:space="preserve">Align and instigate approaches in accordance with the </w:t>
            </w:r>
            <w:r w:rsidRPr="008818AA">
              <w:rPr>
                <w:i/>
                <w:sz w:val="20"/>
                <w:szCs w:val="20"/>
              </w:rPr>
              <w:t>Australian National Breastfeeding Strategy</w:t>
            </w:r>
            <w:r w:rsidR="00B93CE9">
              <w:rPr>
                <w:i/>
                <w:sz w:val="20"/>
                <w:szCs w:val="20"/>
              </w:rPr>
              <w:t>: 2019 and Beyond</w:t>
            </w:r>
            <w:r w:rsidRPr="008818AA">
              <w:rPr>
                <w:sz w:val="20"/>
                <w:szCs w:val="20"/>
              </w:rPr>
              <w:t xml:space="preserve"> and the </w:t>
            </w:r>
            <w:r w:rsidRPr="008818AA">
              <w:rPr>
                <w:i/>
                <w:sz w:val="20"/>
                <w:szCs w:val="20"/>
              </w:rPr>
              <w:t>FASD Strategic Action Plan</w:t>
            </w:r>
          </w:p>
          <w:p w14:paraId="78F67A2A"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 xml:space="preserve">Implement recommendations emerging from the </w:t>
            </w:r>
            <w:r w:rsidRPr="008818AA">
              <w:rPr>
                <w:i/>
                <w:sz w:val="20"/>
                <w:szCs w:val="20"/>
              </w:rPr>
              <w:t>National Framework for Maternity Services</w:t>
            </w:r>
            <w:r w:rsidR="00972EE4">
              <w:rPr>
                <w:i/>
                <w:sz w:val="20"/>
                <w:szCs w:val="20"/>
              </w:rPr>
              <w:t xml:space="preserve">, </w:t>
            </w:r>
            <w:r w:rsidR="00972EE4">
              <w:rPr>
                <w:sz w:val="20"/>
                <w:szCs w:val="20"/>
              </w:rPr>
              <w:t>the</w:t>
            </w:r>
            <w:r w:rsidRPr="008818AA">
              <w:rPr>
                <w:sz w:val="20"/>
                <w:szCs w:val="20"/>
              </w:rPr>
              <w:t xml:space="preserve"> </w:t>
            </w:r>
            <w:r w:rsidR="005D4738">
              <w:rPr>
                <w:i/>
                <w:sz w:val="20"/>
                <w:szCs w:val="20"/>
              </w:rPr>
              <w:t>National</w:t>
            </w:r>
            <w:r w:rsidR="00972EE4">
              <w:rPr>
                <w:i/>
                <w:sz w:val="20"/>
                <w:szCs w:val="20"/>
              </w:rPr>
              <w:t xml:space="preserve"> </w:t>
            </w:r>
            <w:r w:rsidRPr="008818AA">
              <w:rPr>
                <w:i/>
                <w:sz w:val="20"/>
                <w:szCs w:val="20"/>
              </w:rPr>
              <w:t xml:space="preserve">Women’s </w:t>
            </w:r>
            <w:r w:rsidR="00972EE4">
              <w:rPr>
                <w:i/>
                <w:sz w:val="20"/>
                <w:szCs w:val="20"/>
              </w:rPr>
              <w:t xml:space="preserve">Health </w:t>
            </w:r>
            <w:r w:rsidRPr="008818AA">
              <w:rPr>
                <w:i/>
                <w:sz w:val="20"/>
                <w:szCs w:val="20"/>
              </w:rPr>
              <w:t>Strategy</w:t>
            </w:r>
            <w:r w:rsidR="00972EE4">
              <w:rPr>
                <w:i/>
                <w:sz w:val="20"/>
                <w:szCs w:val="20"/>
              </w:rPr>
              <w:t xml:space="preserve"> 2020-2030</w:t>
            </w:r>
            <w:r w:rsidR="00972EE4">
              <w:rPr>
                <w:sz w:val="20"/>
                <w:szCs w:val="20"/>
              </w:rPr>
              <w:t xml:space="preserve"> and </w:t>
            </w:r>
            <w:r w:rsidRPr="008818AA">
              <w:rPr>
                <w:sz w:val="20"/>
                <w:szCs w:val="20"/>
              </w:rPr>
              <w:t xml:space="preserve"> </w:t>
            </w:r>
            <w:r w:rsidR="00972EE4">
              <w:rPr>
                <w:i/>
                <w:sz w:val="20"/>
                <w:szCs w:val="20"/>
              </w:rPr>
              <w:t>National M</w:t>
            </w:r>
            <w:r w:rsidR="00972EE4" w:rsidRPr="008818AA">
              <w:rPr>
                <w:i/>
                <w:sz w:val="20"/>
                <w:szCs w:val="20"/>
              </w:rPr>
              <w:t xml:space="preserve">en’s </w:t>
            </w:r>
            <w:r w:rsidR="00972EE4">
              <w:rPr>
                <w:i/>
                <w:sz w:val="20"/>
                <w:szCs w:val="20"/>
              </w:rPr>
              <w:t xml:space="preserve">Health </w:t>
            </w:r>
            <w:r w:rsidR="00972EE4" w:rsidRPr="008818AA">
              <w:rPr>
                <w:i/>
                <w:sz w:val="20"/>
                <w:szCs w:val="20"/>
              </w:rPr>
              <w:t>Strategy</w:t>
            </w:r>
            <w:r w:rsidR="00972EE4">
              <w:rPr>
                <w:i/>
                <w:sz w:val="20"/>
                <w:szCs w:val="20"/>
              </w:rPr>
              <w:t xml:space="preserve"> 2020-2030,</w:t>
            </w:r>
            <w:r w:rsidR="00972EE4">
              <w:rPr>
                <w:sz w:val="20"/>
                <w:szCs w:val="20"/>
              </w:rPr>
              <w:t xml:space="preserve"> </w:t>
            </w:r>
            <w:r w:rsidRPr="008818AA">
              <w:rPr>
                <w:sz w:val="20"/>
                <w:szCs w:val="20"/>
              </w:rPr>
              <w:t xml:space="preserve">to support pre-pregnancy, antenatal and perinatal health </w:t>
            </w:r>
          </w:p>
          <w:p w14:paraId="22B99020"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lang w:val="en-GB"/>
              </w:rPr>
              <w:t>Embed child and youth health within any possible future national frameworks in relation to parenting</w:t>
            </w:r>
          </w:p>
        </w:tc>
      </w:tr>
    </w:tbl>
    <w:p w14:paraId="0E2782FE" w14:textId="77777777" w:rsidR="008818AA" w:rsidRDefault="008818AA">
      <w:pPr>
        <w:spacing w:before="0" w:after="160" w:line="259" w:lineRule="auto"/>
        <w:rPr>
          <w:rFonts w:ascii="Segoe UI Semibold" w:hAnsi="Segoe UI Semibold"/>
          <w:b/>
          <w:color w:val="288843"/>
          <w:sz w:val="28"/>
          <w:szCs w:val="19"/>
          <w:lang w:eastAsia="en-AU"/>
        </w:rPr>
      </w:pPr>
      <w:bookmarkStart w:id="25" w:name="_Hlk4829517"/>
      <w:r>
        <w:br w:type="page"/>
      </w:r>
    </w:p>
    <w:p w14:paraId="1CD8F1D7" w14:textId="77777777" w:rsidR="003330B2" w:rsidRDefault="003330B2" w:rsidP="00FE45ED">
      <w:pPr>
        <w:pStyle w:val="Heading2"/>
      </w:pPr>
      <w:bookmarkStart w:id="26" w:name="_Toc5282306"/>
      <w:r>
        <w:t xml:space="preserve">Priority Area 3: </w:t>
      </w:r>
      <w:r w:rsidR="00537B61">
        <w:t>Tackling</w:t>
      </w:r>
      <w:r>
        <w:t xml:space="preserve"> mental health and risky behaviours</w:t>
      </w:r>
      <w:bookmarkEnd w:id="26"/>
    </w:p>
    <w:bookmarkEnd w:id="25"/>
    <w:p w14:paraId="49C274FC" w14:textId="77777777" w:rsidR="004E6087" w:rsidRDefault="00C03B0E" w:rsidP="004E6087">
      <w:pPr>
        <w:rPr>
          <w:rFonts w:cstheme="minorHAnsi"/>
          <w:sz w:val="20"/>
          <w:szCs w:val="19"/>
        </w:rPr>
      </w:pPr>
      <w:r>
        <w:rPr>
          <w:rFonts w:cstheme="minorHAnsi"/>
          <w:sz w:val="20"/>
          <w:szCs w:val="19"/>
        </w:rPr>
        <w:t>The data tells us that mental health and risky behaviours</w:t>
      </w:r>
      <w:r w:rsidR="008A30EB">
        <w:rPr>
          <w:rFonts w:cstheme="minorHAnsi"/>
          <w:sz w:val="20"/>
          <w:szCs w:val="19"/>
        </w:rPr>
        <w:t xml:space="preserve"> are a prominent health concern for children and young people, requiring targeted prevention and intervention along the life stage.</w:t>
      </w:r>
      <w:r>
        <w:rPr>
          <w:rFonts w:cstheme="minorHAnsi"/>
          <w:sz w:val="20"/>
          <w:szCs w:val="19"/>
        </w:rPr>
        <w:t xml:space="preserve"> </w:t>
      </w:r>
    </w:p>
    <w:p w14:paraId="440EC402" w14:textId="77777777" w:rsidR="003D3687" w:rsidRDefault="003D3687" w:rsidP="003D3687">
      <w:pPr>
        <w:pStyle w:val="Heading4"/>
      </w:pPr>
      <w:r>
        <w:t>Why is this a priority?</w:t>
      </w:r>
    </w:p>
    <w:p w14:paraId="0582601D" w14:textId="77777777" w:rsidR="00B409BE" w:rsidRDefault="003D3687" w:rsidP="0020526E">
      <w:pPr>
        <w:rPr>
          <w:rFonts w:cstheme="minorHAnsi"/>
          <w:sz w:val="20"/>
          <w:szCs w:val="19"/>
        </w:rPr>
      </w:pPr>
      <w:r w:rsidRPr="003D3687">
        <w:rPr>
          <w:rFonts w:cstheme="minorHAnsi"/>
          <w:sz w:val="20"/>
          <w:szCs w:val="19"/>
        </w:rPr>
        <w:t xml:space="preserve">The mental health and wellbeing of our children </w:t>
      </w:r>
      <w:r w:rsidR="00635CD0">
        <w:rPr>
          <w:rFonts w:cstheme="minorHAnsi"/>
          <w:sz w:val="20"/>
          <w:szCs w:val="19"/>
        </w:rPr>
        <w:t xml:space="preserve">and young people </w:t>
      </w:r>
      <w:r w:rsidRPr="003D3687">
        <w:rPr>
          <w:rFonts w:cstheme="minorHAnsi"/>
          <w:sz w:val="20"/>
          <w:szCs w:val="19"/>
        </w:rPr>
        <w:t>is a</w:t>
      </w:r>
      <w:r>
        <w:rPr>
          <w:rFonts w:cstheme="minorHAnsi"/>
          <w:sz w:val="20"/>
          <w:szCs w:val="19"/>
        </w:rPr>
        <w:t xml:space="preserve"> </w:t>
      </w:r>
      <w:r w:rsidR="00B409BE">
        <w:rPr>
          <w:rFonts w:cstheme="minorHAnsi"/>
          <w:sz w:val="20"/>
          <w:szCs w:val="19"/>
        </w:rPr>
        <w:t>significant</w:t>
      </w:r>
      <w:r w:rsidR="00635CD0">
        <w:rPr>
          <w:rFonts w:cstheme="minorHAnsi"/>
          <w:sz w:val="20"/>
          <w:szCs w:val="19"/>
        </w:rPr>
        <w:t xml:space="preserve"> </w:t>
      </w:r>
      <w:r w:rsidRPr="003D3687">
        <w:rPr>
          <w:rFonts w:cstheme="minorHAnsi"/>
          <w:sz w:val="20"/>
          <w:szCs w:val="19"/>
        </w:rPr>
        <w:t>concern.</w:t>
      </w:r>
      <w:r w:rsidR="00635CD0">
        <w:rPr>
          <w:rFonts w:cstheme="minorHAnsi"/>
          <w:sz w:val="20"/>
          <w:szCs w:val="19"/>
        </w:rPr>
        <w:t xml:space="preserve"> Around </w:t>
      </w:r>
      <w:r w:rsidR="00635CD0" w:rsidRPr="00815291">
        <w:rPr>
          <w:rFonts w:cstheme="minorHAnsi"/>
          <w:color w:val="1C8243"/>
          <w:sz w:val="20"/>
          <w:szCs w:val="19"/>
        </w:rPr>
        <w:t xml:space="preserve">one in seven 4-17 year olds </w:t>
      </w:r>
      <w:r w:rsidR="00635CD0">
        <w:rPr>
          <w:rFonts w:cstheme="minorHAnsi"/>
          <w:sz w:val="20"/>
          <w:szCs w:val="19"/>
        </w:rPr>
        <w:t xml:space="preserve">are assessed to have a mental health condition, while </w:t>
      </w:r>
      <w:r w:rsidR="00B409BE">
        <w:rPr>
          <w:rFonts w:cstheme="minorHAnsi"/>
          <w:sz w:val="20"/>
          <w:szCs w:val="19"/>
        </w:rPr>
        <w:t>more than one in five young people between the ages of 15-19 meet criteria for having a probable serious mental illness.</w:t>
      </w:r>
      <w:r w:rsidR="00815291">
        <w:rPr>
          <w:rFonts w:cstheme="minorHAnsi"/>
          <w:sz w:val="20"/>
          <w:szCs w:val="19"/>
        </w:rPr>
        <w:t xml:space="preserve"> </w:t>
      </w:r>
      <w:r w:rsidR="00B409BE">
        <w:rPr>
          <w:rStyle w:val="EndnoteReference"/>
          <w:rFonts w:cstheme="minorHAnsi"/>
          <w:sz w:val="20"/>
          <w:szCs w:val="19"/>
        </w:rPr>
        <w:endnoteReference w:id="131"/>
      </w:r>
      <w:r w:rsidR="00B409BE">
        <w:rPr>
          <w:rFonts w:cstheme="minorHAnsi"/>
          <w:sz w:val="20"/>
          <w:szCs w:val="19"/>
        </w:rPr>
        <w:t xml:space="preserve"> </w:t>
      </w:r>
      <w:r w:rsidR="005D5CC5">
        <w:rPr>
          <w:rStyle w:val="EndnoteReference"/>
          <w:rFonts w:cstheme="minorHAnsi"/>
          <w:sz w:val="20"/>
          <w:szCs w:val="19"/>
        </w:rPr>
        <w:endnoteReference w:id="132"/>
      </w:r>
      <w:r w:rsidR="0020526E">
        <w:rPr>
          <w:rFonts w:cstheme="minorHAnsi"/>
          <w:sz w:val="20"/>
          <w:szCs w:val="19"/>
        </w:rPr>
        <w:t xml:space="preserve"> </w:t>
      </w:r>
    </w:p>
    <w:p w14:paraId="75ADF4C6" w14:textId="4CC611F4" w:rsidR="003D3687" w:rsidRDefault="00B409BE" w:rsidP="003D3687">
      <w:pPr>
        <w:rPr>
          <w:rFonts w:cstheme="minorHAnsi"/>
          <w:sz w:val="20"/>
          <w:szCs w:val="19"/>
        </w:rPr>
      </w:pPr>
      <w:r>
        <w:rPr>
          <w:rFonts w:cstheme="minorHAnsi"/>
          <w:sz w:val="20"/>
          <w:szCs w:val="19"/>
        </w:rPr>
        <w:t xml:space="preserve">Suicide among young Australians (15-24 years) is at its highest level for ten years and is the </w:t>
      </w:r>
      <w:r w:rsidRPr="00B409BE">
        <w:rPr>
          <w:rFonts w:cstheme="minorHAnsi"/>
          <w:color w:val="1C8243"/>
          <w:sz w:val="20"/>
          <w:szCs w:val="19"/>
        </w:rPr>
        <w:t xml:space="preserve">leading cause of death </w:t>
      </w:r>
      <w:r>
        <w:rPr>
          <w:rFonts w:cstheme="minorHAnsi"/>
          <w:sz w:val="20"/>
          <w:szCs w:val="19"/>
        </w:rPr>
        <w:t>for this age group.</w:t>
      </w:r>
      <w:r w:rsidR="005D5CC5">
        <w:rPr>
          <w:rStyle w:val="EndnoteReference"/>
          <w:rFonts w:cstheme="minorHAnsi"/>
          <w:sz w:val="20"/>
          <w:szCs w:val="19"/>
        </w:rPr>
        <w:endnoteReference w:id="133"/>
      </w:r>
      <w:r w:rsidR="003D3687" w:rsidRPr="003D3687">
        <w:rPr>
          <w:rFonts w:cstheme="minorHAnsi"/>
          <w:sz w:val="20"/>
          <w:szCs w:val="19"/>
        </w:rPr>
        <w:t xml:space="preserve"> </w:t>
      </w:r>
    </w:p>
    <w:p w14:paraId="2D9451A2" w14:textId="4EE0E433" w:rsidR="0015630B" w:rsidRDefault="0015630B" w:rsidP="0015630B">
      <w:pPr>
        <w:rPr>
          <w:rFonts w:cstheme="minorHAnsi"/>
          <w:sz w:val="20"/>
          <w:szCs w:val="19"/>
        </w:rPr>
      </w:pPr>
      <w:r>
        <w:rPr>
          <w:rFonts w:cstheme="minorHAnsi"/>
          <w:sz w:val="20"/>
          <w:szCs w:val="19"/>
        </w:rPr>
        <w:t xml:space="preserve">Mental health conditions among children and young people are </w:t>
      </w:r>
      <w:r w:rsidRPr="0020526E">
        <w:rPr>
          <w:rFonts w:cstheme="minorHAnsi"/>
          <w:sz w:val="20"/>
          <w:szCs w:val="19"/>
        </w:rPr>
        <w:t>closely related to</w:t>
      </w:r>
      <w:r w:rsidRPr="0020526E">
        <w:rPr>
          <w:rFonts w:cstheme="minorHAnsi"/>
          <w:color w:val="1C8243"/>
          <w:sz w:val="20"/>
          <w:szCs w:val="19"/>
        </w:rPr>
        <w:t xml:space="preserve"> social determinants </w:t>
      </w:r>
      <w:r>
        <w:rPr>
          <w:rFonts w:cstheme="minorHAnsi"/>
          <w:sz w:val="20"/>
          <w:szCs w:val="19"/>
        </w:rPr>
        <w:t>– with prevalence being higher among homeless young people, those in low income households, households in which parents</w:t>
      </w:r>
      <w:r w:rsidR="00B56A19">
        <w:rPr>
          <w:rFonts w:cstheme="minorHAnsi"/>
          <w:sz w:val="20"/>
          <w:szCs w:val="19"/>
        </w:rPr>
        <w:t xml:space="preserve"> or </w:t>
      </w:r>
      <w:r w:rsidR="0058563D">
        <w:rPr>
          <w:rFonts w:cstheme="minorHAnsi"/>
          <w:sz w:val="20"/>
          <w:szCs w:val="19"/>
        </w:rPr>
        <w:t>caregivers</w:t>
      </w:r>
      <w:r>
        <w:rPr>
          <w:rFonts w:cstheme="minorHAnsi"/>
          <w:sz w:val="20"/>
          <w:szCs w:val="19"/>
        </w:rPr>
        <w:t xml:space="preserve"> have lower educational attainment, are not in employment, and within sole parent, step or blended family households.</w:t>
      </w:r>
      <w:r>
        <w:rPr>
          <w:rStyle w:val="EndnoteReference"/>
          <w:rFonts w:cstheme="minorHAnsi"/>
          <w:sz w:val="20"/>
          <w:szCs w:val="19"/>
        </w:rPr>
        <w:endnoteReference w:id="134"/>
      </w:r>
      <w:r>
        <w:rPr>
          <w:rFonts w:cstheme="minorHAnsi"/>
          <w:sz w:val="20"/>
          <w:szCs w:val="19"/>
        </w:rPr>
        <w:t xml:space="preserve"> </w:t>
      </w:r>
      <w:r>
        <w:rPr>
          <w:rStyle w:val="EndnoteReference"/>
          <w:rFonts w:cstheme="minorHAnsi"/>
          <w:sz w:val="20"/>
          <w:szCs w:val="19"/>
        </w:rPr>
        <w:endnoteReference w:id="135"/>
      </w:r>
      <w:r>
        <w:rPr>
          <w:rFonts w:cstheme="minorHAnsi"/>
          <w:sz w:val="20"/>
          <w:szCs w:val="19"/>
        </w:rPr>
        <w:t xml:space="preserve"> The prevalence of mental health conditions is also significantly higher among </w:t>
      </w:r>
      <w:r w:rsidRPr="00521BB1">
        <w:rPr>
          <w:rFonts w:cstheme="minorHAnsi"/>
          <w:color w:val="1C8243"/>
          <w:sz w:val="20"/>
          <w:szCs w:val="19"/>
        </w:rPr>
        <w:t>LGBTI</w:t>
      </w:r>
      <w:r>
        <w:rPr>
          <w:rFonts w:cstheme="minorHAnsi"/>
          <w:color w:val="1C8243"/>
          <w:sz w:val="20"/>
          <w:szCs w:val="19"/>
        </w:rPr>
        <w:t>+</w:t>
      </w:r>
      <w:r w:rsidRPr="00521BB1">
        <w:rPr>
          <w:rFonts w:cstheme="minorHAnsi"/>
          <w:color w:val="1C8243"/>
          <w:sz w:val="20"/>
          <w:szCs w:val="19"/>
        </w:rPr>
        <w:t xml:space="preserve"> young people</w:t>
      </w:r>
      <w:r>
        <w:rPr>
          <w:rFonts w:cstheme="minorHAnsi"/>
          <w:sz w:val="20"/>
          <w:szCs w:val="19"/>
        </w:rPr>
        <w:t>, who are much more likely to have a high or very high level of psychological distress and higher rates of suicide or attempts to take their lives – t</w:t>
      </w:r>
      <w:r w:rsidRPr="00521BB1">
        <w:rPr>
          <w:rFonts w:cstheme="minorHAnsi"/>
          <w:sz w:val="20"/>
          <w:szCs w:val="19"/>
        </w:rPr>
        <w:t>he average age of a first suicide attempt is 16 years</w:t>
      </w:r>
      <w:r>
        <w:rPr>
          <w:rFonts w:cstheme="minorHAnsi"/>
          <w:sz w:val="20"/>
          <w:szCs w:val="19"/>
        </w:rPr>
        <w:t xml:space="preserve">, </w:t>
      </w:r>
      <w:r w:rsidRPr="00521BB1">
        <w:rPr>
          <w:rFonts w:cstheme="minorHAnsi"/>
          <w:sz w:val="20"/>
          <w:szCs w:val="19"/>
        </w:rPr>
        <w:t>often before ‘coming out’</w:t>
      </w:r>
      <w:r>
        <w:rPr>
          <w:rFonts w:cstheme="minorHAnsi"/>
          <w:sz w:val="20"/>
          <w:szCs w:val="19"/>
        </w:rPr>
        <w:t>.</w:t>
      </w:r>
      <w:r>
        <w:rPr>
          <w:rStyle w:val="EndnoteReference"/>
          <w:rFonts w:cstheme="minorHAnsi"/>
          <w:sz w:val="20"/>
          <w:szCs w:val="19"/>
        </w:rPr>
        <w:endnoteReference w:id="136"/>
      </w:r>
    </w:p>
    <w:p w14:paraId="2E0C7783" w14:textId="77777777" w:rsidR="00403E6E" w:rsidRDefault="005D5CC5" w:rsidP="003D3687">
      <w:pPr>
        <w:rPr>
          <w:rFonts w:cstheme="minorHAnsi"/>
          <w:sz w:val="20"/>
          <w:szCs w:val="19"/>
        </w:rPr>
      </w:pPr>
      <w:r>
        <w:rPr>
          <w:rFonts w:cstheme="minorHAnsi"/>
          <w:sz w:val="20"/>
          <w:szCs w:val="19"/>
        </w:rPr>
        <w:t xml:space="preserve">In light of </w:t>
      </w:r>
      <w:r w:rsidR="0015630B">
        <w:rPr>
          <w:rFonts w:cstheme="minorHAnsi"/>
          <w:sz w:val="20"/>
          <w:szCs w:val="19"/>
        </w:rPr>
        <w:t>such</w:t>
      </w:r>
      <w:r>
        <w:rPr>
          <w:rFonts w:cstheme="minorHAnsi"/>
          <w:sz w:val="20"/>
          <w:szCs w:val="19"/>
        </w:rPr>
        <w:t xml:space="preserve"> statistics, it is worrying that the needs of many children and young people with mental health conditions </w:t>
      </w:r>
      <w:r w:rsidR="00815291">
        <w:rPr>
          <w:rFonts w:cstheme="minorHAnsi"/>
          <w:sz w:val="20"/>
          <w:szCs w:val="19"/>
        </w:rPr>
        <w:t xml:space="preserve">are considered </w:t>
      </w:r>
      <w:r w:rsidR="0015630B">
        <w:rPr>
          <w:rFonts w:cstheme="minorHAnsi"/>
          <w:sz w:val="20"/>
          <w:szCs w:val="19"/>
        </w:rPr>
        <w:t xml:space="preserve">by them and their parents </w:t>
      </w:r>
      <w:r w:rsidR="00815291">
        <w:rPr>
          <w:rFonts w:cstheme="minorHAnsi"/>
          <w:sz w:val="20"/>
          <w:szCs w:val="19"/>
        </w:rPr>
        <w:t xml:space="preserve">to </w:t>
      </w:r>
      <w:r>
        <w:rPr>
          <w:rFonts w:cstheme="minorHAnsi"/>
          <w:sz w:val="20"/>
          <w:szCs w:val="19"/>
        </w:rPr>
        <w:t>go partially or fully unmet</w:t>
      </w:r>
      <w:r w:rsidR="00815291">
        <w:rPr>
          <w:rFonts w:cstheme="minorHAnsi"/>
          <w:sz w:val="20"/>
          <w:szCs w:val="19"/>
        </w:rPr>
        <w:t xml:space="preserve">. There are also considerable barriers to help-seeking and accessing support for children and young people themselves, largely a result of stigma and poor </w:t>
      </w:r>
      <w:r w:rsidR="00BE0424">
        <w:rPr>
          <w:rFonts w:cstheme="minorHAnsi"/>
          <w:sz w:val="20"/>
          <w:szCs w:val="19"/>
        </w:rPr>
        <w:t xml:space="preserve">mental </w:t>
      </w:r>
      <w:r w:rsidR="00815291">
        <w:rPr>
          <w:rFonts w:cstheme="minorHAnsi"/>
          <w:sz w:val="20"/>
          <w:szCs w:val="19"/>
        </w:rPr>
        <w:t>health literacy.</w:t>
      </w:r>
      <w:r w:rsidR="00815291" w:rsidRPr="0015630B">
        <w:rPr>
          <w:rStyle w:val="EndnoteReference"/>
          <w:rFonts w:cstheme="minorHAnsi"/>
          <w:sz w:val="20"/>
          <w:szCs w:val="19"/>
        </w:rPr>
        <w:endnoteReference w:id="137"/>
      </w:r>
      <w:r w:rsidR="00815291" w:rsidRPr="0015630B">
        <w:rPr>
          <w:rStyle w:val="EndnoteReference"/>
        </w:rPr>
        <w:t xml:space="preserve">  </w:t>
      </w:r>
    </w:p>
    <w:p w14:paraId="2F51B741" w14:textId="77777777" w:rsidR="00403E6E" w:rsidRPr="0015630B" w:rsidRDefault="00403E6E" w:rsidP="0015630B">
      <w:pPr>
        <w:rPr>
          <w:rFonts w:cstheme="minorHAnsi"/>
          <w:sz w:val="20"/>
          <w:szCs w:val="19"/>
        </w:rPr>
      </w:pPr>
      <w:r w:rsidRPr="0015630B">
        <w:rPr>
          <w:rFonts w:cstheme="minorHAnsi"/>
          <w:sz w:val="20"/>
          <w:szCs w:val="19"/>
        </w:rPr>
        <w:t>Access to mental health services for children and young people under 24 years of age is a critical issue given that three quarters of all lifetime mental health disorders emerge by the age of 24</w:t>
      </w:r>
      <w:r w:rsidR="0015630B">
        <w:rPr>
          <w:rFonts w:cstheme="minorHAnsi"/>
          <w:sz w:val="20"/>
          <w:szCs w:val="19"/>
        </w:rPr>
        <w:t>,</w:t>
      </w:r>
      <w:r w:rsidRPr="0015630B">
        <w:rPr>
          <w:rFonts w:cstheme="minorHAnsi"/>
          <w:sz w:val="20"/>
          <w:szCs w:val="19"/>
        </w:rPr>
        <w:t xml:space="preserve"> yet this age group is less likely to use services.  More needs to be done to address the barriers of community awareness, access and acceptability of services, as well as tailoring services to the diverse needs of various groups, ensuring support can “wrap around” these diverse needs, be</w:t>
      </w:r>
      <w:r w:rsidR="0015630B">
        <w:rPr>
          <w:rFonts w:cstheme="minorHAnsi"/>
          <w:sz w:val="20"/>
          <w:szCs w:val="19"/>
        </w:rPr>
        <w:t>ing</w:t>
      </w:r>
      <w:r w:rsidRPr="0015630B">
        <w:rPr>
          <w:rFonts w:cstheme="minorHAnsi"/>
          <w:sz w:val="20"/>
          <w:szCs w:val="19"/>
        </w:rPr>
        <w:t xml:space="preserve"> age appropriate as well as gender and culturally sensitive. This is particularly relevant in preventing the higher rates of suicides in priority </w:t>
      </w:r>
      <w:r w:rsidR="0015630B">
        <w:rPr>
          <w:rFonts w:cstheme="minorHAnsi"/>
          <w:sz w:val="20"/>
          <w:szCs w:val="19"/>
        </w:rPr>
        <w:t xml:space="preserve">populations. </w:t>
      </w:r>
      <w:r w:rsidRPr="0015630B">
        <w:rPr>
          <w:rStyle w:val="EndnoteReference"/>
          <w:rFonts w:cstheme="minorHAnsi"/>
          <w:sz w:val="20"/>
          <w:szCs w:val="19"/>
        </w:rPr>
        <w:endnoteReference w:id="138"/>
      </w:r>
    </w:p>
    <w:p w14:paraId="6CF00A35" w14:textId="77777777" w:rsidR="00BE0424" w:rsidRPr="00BE0424" w:rsidRDefault="00BE0424" w:rsidP="003D3687">
      <w:pPr>
        <w:rPr>
          <w:rFonts w:cstheme="minorHAnsi"/>
          <w:i/>
          <w:sz w:val="20"/>
          <w:szCs w:val="19"/>
        </w:rPr>
      </w:pPr>
      <w:r w:rsidRPr="00BE0424">
        <w:rPr>
          <w:rFonts w:ascii="Segoe UI Semibold" w:hAnsi="Segoe UI Semibold"/>
          <w:i/>
          <w:color w:val="227439"/>
          <w:sz w:val="20"/>
          <w:szCs w:val="19"/>
          <w:lang w:eastAsia="en-AU"/>
        </w:rPr>
        <w:t>Risky behaviours and experiences</w:t>
      </w:r>
    </w:p>
    <w:p w14:paraId="4FC48C0A" w14:textId="77777777" w:rsidR="00886FED" w:rsidRDefault="0020526E" w:rsidP="003D3687">
      <w:pPr>
        <w:rPr>
          <w:rFonts w:cstheme="minorHAnsi"/>
          <w:sz w:val="20"/>
          <w:szCs w:val="19"/>
        </w:rPr>
      </w:pPr>
      <w:r>
        <w:rPr>
          <w:rFonts w:cstheme="minorHAnsi"/>
          <w:sz w:val="20"/>
          <w:szCs w:val="19"/>
        </w:rPr>
        <w:t xml:space="preserve">There is a strong relationship between </w:t>
      </w:r>
      <w:r w:rsidR="004E0526">
        <w:rPr>
          <w:rFonts w:cstheme="minorHAnsi"/>
          <w:sz w:val="20"/>
          <w:szCs w:val="19"/>
        </w:rPr>
        <w:t>experience of</w:t>
      </w:r>
      <w:r w:rsidR="00521BB1">
        <w:rPr>
          <w:rFonts w:cstheme="minorHAnsi"/>
          <w:sz w:val="20"/>
          <w:szCs w:val="19"/>
        </w:rPr>
        <w:t xml:space="preserve"> </w:t>
      </w:r>
      <w:r>
        <w:rPr>
          <w:rFonts w:cstheme="minorHAnsi"/>
          <w:sz w:val="20"/>
          <w:szCs w:val="19"/>
        </w:rPr>
        <w:t xml:space="preserve">mental health conditions and </w:t>
      </w:r>
      <w:r w:rsidRPr="00886FED">
        <w:rPr>
          <w:rFonts w:cstheme="minorHAnsi"/>
          <w:color w:val="1C8243"/>
          <w:sz w:val="20"/>
          <w:szCs w:val="19"/>
        </w:rPr>
        <w:t>risky behaviours</w:t>
      </w:r>
      <w:r>
        <w:rPr>
          <w:rFonts w:cstheme="minorHAnsi"/>
          <w:sz w:val="20"/>
          <w:szCs w:val="19"/>
        </w:rPr>
        <w:t xml:space="preserve">, although </w:t>
      </w:r>
      <w:r w:rsidR="00886FED">
        <w:rPr>
          <w:rFonts w:cstheme="minorHAnsi"/>
          <w:sz w:val="20"/>
          <w:szCs w:val="19"/>
        </w:rPr>
        <w:t>one is not an inevitable outcome of the other.</w:t>
      </w:r>
      <w:r w:rsidR="00886FED" w:rsidRPr="00886FED">
        <w:rPr>
          <w:rStyle w:val="EndnoteReference"/>
          <w:rFonts w:cstheme="minorHAnsi"/>
          <w:sz w:val="20"/>
          <w:szCs w:val="19"/>
        </w:rPr>
        <w:t xml:space="preserve"> </w:t>
      </w:r>
      <w:r w:rsidR="00886FED">
        <w:rPr>
          <w:rStyle w:val="EndnoteReference"/>
          <w:rFonts w:cstheme="minorHAnsi"/>
          <w:sz w:val="20"/>
          <w:szCs w:val="19"/>
        </w:rPr>
        <w:endnoteReference w:id="139"/>
      </w:r>
      <w:r w:rsidR="00886FED">
        <w:rPr>
          <w:rFonts w:cstheme="minorHAnsi"/>
          <w:sz w:val="20"/>
          <w:szCs w:val="19"/>
        </w:rPr>
        <w:t xml:space="preserve"> All young people face specific risks in relation to alcohol, tobacco and other drug problems, with engagement in risky behaviours higher among young people than the broader population, and the adolescent brain more susceptible to damage from alcohol, tobacco, and other drug use.</w:t>
      </w:r>
      <w:r w:rsidR="00886FED">
        <w:rPr>
          <w:rStyle w:val="EndnoteReference"/>
          <w:rFonts w:cstheme="minorHAnsi"/>
          <w:sz w:val="20"/>
          <w:szCs w:val="19"/>
        </w:rPr>
        <w:endnoteReference w:id="140"/>
      </w:r>
      <w:r w:rsidR="00886FED">
        <w:rPr>
          <w:rFonts w:cstheme="minorHAnsi"/>
          <w:sz w:val="20"/>
          <w:szCs w:val="19"/>
        </w:rPr>
        <w:t xml:space="preserve"> Risky </w:t>
      </w:r>
      <w:r w:rsidR="00886FED" w:rsidRPr="00C03B0E">
        <w:rPr>
          <w:rFonts w:cstheme="minorHAnsi"/>
          <w:color w:val="1C8243"/>
          <w:sz w:val="20"/>
          <w:szCs w:val="19"/>
        </w:rPr>
        <w:t xml:space="preserve">sexual behaviours </w:t>
      </w:r>
      <w:r w:rsidR="00886FED">
        <w:rPr>
          <w:rFonts w:cstheme="minorHAnsi"/>
          <w:sz w:val="20"/>
          <w:szCs w:val="19"/>
        </w:rPr>
        <w:t xml:space="preserve">also </w:t>
      </w:r>
      <w:r w:rsidR="00C03B0E">
        <w:rPr>
          <w:rFonts w:cstheme="minorHAnsi"/>
          <w:sz w:val="20"/>
          <w:szCs w:val="19"/>
        </w:rPr>
        <w:t>emerge during adolescence, with more than one in ten 13-17 year olds engaging in sexual intercourse without using any method to prevent pregnancy or transmission of sexually transmitted diseases.</w:t>
      </w:r>
      <w:r w:rsidR="00C03B0E" w:rsidRPr="00C03B0E">
        <w:rPr>
          <w:rStyle w:val="EndnoteReference"/>
          <w:rFonts w:cstheme="minorHAnsi"/>
          <w:sz w:val="20"/>
          <w:szCs w:val="19"/>
        </w:rPr>
        <w:t xml:space="preserve"> </w:t>
      </w:r>
      <w:r w:rsidR="00C03B0E">
        <w:rPr>
          <w:rStyle w:val="EndnoteReference"/>
          <w:rFonts w:cstheme="minorHAnsi"/>
          <w:sz w:val="20"/>
          <w:szCs w:val="19"/>
        </w:rPr>
        <w:endnoteReference w:id="141"/>
      </w:r>
      <w:r w:rsidR="00C03B0E">
        <w:rPr>
          <w:rFonts w:cstheme="minorHAnsi"/>
          <w:sz w:val="20"/>
          <w:szCs w:val="19"/>
        </w:rPr>
        <w:t xml:space="preserve">  </w:t>
      </w:r>
    </w:p>
    <w:p w14:paraId="423D2DFB" w14:textId="77777777" w:rsidR="00815291" w:rsidRDefault="00886FED" w:rsidP="003D3687">
      <w:pPr>
        <w:rPr>
          <w:rFonts w:cstheme="minorHAnsi"/>
          <w:sz w:val="20"/>
          <w:szCs w:val="19"/>
        </w:rPr>
      </w:pPr>
      <w:r w:rsidRPr="00C03B0E">
        <w:rPr>
          <w:rFonts w:cstheme="minorHAnsi"/>
          <w:color w:val="1C8243"/>
          <w:sz w:val="20"/>
          <w:szCs w:val="19"/>
        </w:rPr>
        <w:t xml:space="preserve">Bullying </w:t>
      </w:r>
      <w:r w:rsidR="00C03B0E">
        <w:rPr>
          <w:rFonts w:cstheme="minorHAnsi"/>
          <w:sz w:val="20"/>
          <w:szCs w:val="19"/>
        </w:rPr>
        <w:t>represents another risk to emotional, social and mental wellbeing</w:t>
      </w:r>
      <w:r>
        <w:rPr>
          <w:rFonts w:cstheme="minorHAnsi"/>
          <w:sz w:val="20"/>
          <w:szCs w:val="19"/>
        </w:rPr>
        <w:t xml:space="preserve"> </w:t>
      </w:r>
      <w:r w:rsidR="00C03B0E">
        <w:rPr>
          <w:rFonts w:cstheme="minorHAnsi"/>
          <w:sz w:val="20"/>
          <w:szCs w:val="19"/>
        </w:rPr>
        <w:t xml:space="preserve">during childhood and adolescence and is a pervasive feature of life for many </w:t>
      </w:r>
      <w:r w:rsidR="008A30EB">
        <w:rPr>
          <w:rFonts w:cstheme="minorHAnsi"/>
          <w:sz w:val="20"/>
          <w:szCs w:val="19"/>
        </w:rPr>
        <w:t>young people</w:t>
      </w:r>
      <w:r w:rsidR="00C03B0E">
        <w:rPr>
          <w:rFonts w:cstheme="minorHAnsi"/>
          <w:sz w:val="20"/>
          <w:szCs w:val="19"/>
        </w:rPr>
        <w:t xml:space="preserve">. Around one in </w:t>
      </w:r>
      <w:r w:rsidR="008A30EB">
        <w:rPr>
          <w:rFonts w:cstheme="minorHAnsi"/>
          <w:sz w:val="20"/>
          <w:szCs w:val="19"/>
        </w:rPr>
        <w:t>three</w:t>
      </w:r>
      <w:r w:rsidR="00C03B0E">
        <w:rPr>
          <w:rFonts w:cstheme="minorHAnsi"/>
          <w:sz w:val="20"/>
          <w:szCs w:val="19"/>
        </w:rPr>
        <w:t xml:space="preserve"> young people aged 11-17 years report being bullied at least once </w:t>
      </w:r>
      <w:r w:rsidR="008A30EB">
        <w:rPr>
          <w:rFonts w:cstheme="minorHAnsi"/>
          <w:sz w:val="20"/>
          <w:szCs w:val="19"/>
        </w:rPr>
        <w:t>in the past few months.</w:t>
      </w:r>
      <w:r w:rsidR="008A30EB" w:rsidRPr="008A30EB">
        <w:rPr>
          <w:rStyle w:val="EndnoteReference"/>
          <w:rFonts w:cstheme="minorHAnsi"/>
          <w:sz w:val="20"/>
          <w:szCs w:val="19"/>
        </w:rPr>
        <w:t xml:space="preserve"> </w:t>
      </w:r>
      <w:r w:rsidR="008A30EB">
        <w:rPr>
          <w:rStyle w:val="EndnoteReference"/>
          <w:rFonts w:cstheme="minorHAnsi"/>
          <w:sz w:val="20"/>
          <w:szCs w:val="19"/>
        </w:rPr>
        <w:endnoteReference w:id="142"/>
      </w:r>
      <w:r w:rsidR="008A30EB">
        <w:t xml:space="preserve"> </w:t>
      </w:r>
      <w:r w:rsidR="008A30EB" w:rsidRPr="008A30EB">
        <w:rPr>
          <w:rFonts w:cstheme="minorHAnsi"/>
          <w:sz w:val="20"/>
          <w:szCs w:val="19"/>
        </w:rPr>
        <w:t>Bey</w:t>
      </w:r>
      <w:r w:rsidR="008A30EB">
        <w:rPr>
          <w:rFonts w:cstheme="minorHAnsi"/>
          <w:sz w:val="20"/>
          <w:szCs w:val="19"/>
        </w:rPr>
        <w:t xml:space="preserve">ond this, eSafety </w:t>
      </w:r>
      <w:r w:rsidR="00BE0424">
        <w:rPr>
          <w:rFonts w:cstheme="minorHAnsi"/>
          <w:sz w:val="20"/>
          <w:szCs w:val="19"/>
        </w:rPr>
        <w:t>constitutes</w:t>
      </w:r>
      <w:r w:rsidR="008A30EB">
        <w:rPr>
          <w:rFonts w:cstheme="minorHAnsi"/>
          <w:sz w:val="20"/>
          <w:szCs w:val="19"/>
        </w:rPr>
        <w:t xml:space="preserve"> a rapidly evolving challenge, with estimates suggesting around one in five young people aged under 18 experience online bullying in any one year.</w:t>
      </w:r>
      <w:r w:rsidR="008A30EB">
        <w:rPr>
          <w:rStyle w:val="EndnoteReference"/>
          <w:rFonts w:cstheme="minorHAnsi"/>
          <w:sz w:val="20"/>
          <w:szCs w:val="19"/>
        </w:rPr>
        <w:endnoteReference w:id="143"/>
      </w:r>
      <w:r w:rsidR="008A30EB">
        <w:rPr>
          <w:rFonts w:cstheme="minorHAnsi"/>
          <w:sz w:val="20"/>
          <w:szCs w:val="19"/>
        </w:rPr>
        <w:t xml:space="preserve"> </w:t>
      </w:r>
    </w:p>
    <w:p w14:paraId="4019C190" w14:textId="77777777" w:rsidR="00886FED" w:rsidRDefault="00886FED" w:rsidP="00886FED">
      <w:pPr>
        <w:pStyle w:val="Heading4"/>
      </w:pPr>
      <w:r>
        <w:t>What can be done?</w:t>
      </w:r>
    </w:p>
    <w:p w14:paraId="372380D0" w14:textId="77777777" w:rsidR="00851CAF" w:rsidRDefault="002A79DE" w:rsidP="008A30EB">
      <w:pPr>
        <w:rPr>
          <w:rFonts w:cstheme="minorHAnsi"/>
          <w:sz w:val="20"/>
          <w:szCs w:val="19"/>
        </w:rPr>
      </w:pPr>
      <w:r>
        <w:rPr>
          <w:rFonts w:cstheme="minorHAnsi"/>
          <w:sz w:val="20"/>
          <w:szCs w:val="19"/>
        </w:rPr>
        <w:t>Many</w:t>
      </w:r>
      <w:r w:rsidR="00851CAF">
        <w:rPr>
          <w:rFonts w:cstheme="minorHAnsi"/>
          <w:sz w:val="20"/>
          <w:szCs w:val="19"/>
        </w:rPr>
        <w:t xml:space="preserve"> </w:t>
      </w:r>
      <w:r w:rsidR="008A30EB" w:rsidRPr="008A30EB">
        <w:rPr>
          <w:rFonts w:cstheme="minorHAnsi"/>
          <w:sz w:val="20"/>
          <w:szCs w:val="19"/>
        </w:rPr>
        <w:t>mental health</w:t>
      </w:r>
      <w:r w:rsidR="00851CAF">
        <w:rPr>
          <w:rFonts w:cstheme="minorHAnsi"/>
          <w:sz w:val="20"/>
          <w:szCs w:val="19"/>
        </w:rPr>
        <w:t xml:space="preserve"> conditions</w:t>
      </w:r>
      <w:r w:rsidR="008A30EB" w:rsidRPr="008A30EB">
        <w:rPr>
          <w:rFonts w:cstheme="minorHAnsi"/>
          <w:sz w:val="20"/>
          <w:szCs w:val="19"/>
        </w:rPr>
        <w:t xml:space="preserve"> and risky behaviours </w:t>
      </w:r>
      <w:r w:rsidR="00A93CAA">
        <w:rPr>
          <w:rFonts w:cstheme="minorHAnsi"/>
          <w:sz w:val="20"/>
          <w:szCs w:val="19"/>
        </w:rPr>
        <w:t>can be moderated through a focus on prevention and early intervention</w:t>
      </w:r>
      <w:r w:rsidR="00851CAF">
        <w:rPr>
          <w:rFonts w:cstheme="minorHAnsi"/>
          <w:sz w:val="20"/>
          <w:szCs w:val="19"/>
        </w:rPr>
        <w:t xml:space="preserve">. This </w:t>
      </w:r>
      <w:r w:rsidR="00851CAF" w:rsidRPr="00A04655">
        <w:rPr>
          <w:rFonts w:cstheme="minorHAnsi"/>
          <w:sz w:val="20"/>
          <w:szCs w:val="19"/>
        </w:rPr>
        <w:t>includes tackling the risk factors associated with their onset</w:t>
      </w:r>
      <w:r w:rsidRPr="00A04655">
        <w:rPr>
          <w:rFonts w:cstheme="minorHAnsi"/>
          <w:sz w:val="20"/>
          <w:szCs w:val="19"/>
        </w:rPr>
        <w:t xml:space="preserve"> and prevalence, early identification and intervention, and health promotion and education strategies to raise awareness, understanding and support.</w:t>
      </w:r>
      <w:r w:rsidRPr="00A04655">
        <w:rPr>
          <w:rStyle w:val="EndnoteReference"/>
          <w:rFonts w:cstheme="minorHAnsi"/>
          <w:sz w:val="20"/>
          <w:szCs w:val="19"/>
        </w:rPr>
        <w:endnoteReference w:id="144"/>
      </w:r>
      <w:r w:rsidRPr="00A04655">
        <w:rPr>
          <w:rFonts w:cstheme="minorHAnsi"/>
          <w:sz w:val="20"/>
          <w:szCs w:val="19"/>
        </w:rPr>
        <w:t xml:space="preserve"> </w:t>
      </w:r>
      <w:r w:rsidRPr="00A04655">
        <w:rPr>
          <w:rStyle w:val="EndnoteReference"/>
          <w:rFonts w:cstheme="minorHAnsi"/>
          <w:sz w:val="20"/>
          <w:szCs w:val="19"/>
        </w:rPr>
        <w:endnoteReference w:id="145"/>
      </w:r>
      <w:r w:rsidRPr="00A04655">
        <w:rPr>
          <w:rFonts w:cstheme="minorHAnsi"/>
          <w:sz w:val="20"/>
          <w:szCs w:val="19"/>
        </w:rPr>
        <w:t xml:space="preserve"> The </w:t>
      </w:r>
      <w:r w:rsidRPr="00A04655">
        <w:rPr>
          <w:rFonts w:cstheme="minorHAnsi"/>
          <w:i/>
          <w:sz w:val="20"/>
          <w:szCs w:val="19"/>
        </w:rPr>
        <w:t>Roadmap for National Mental Health Reform 2012–2022</w:t>
      </w:r>
      <w:r w:rsidR="007C6CE3" w:rsidRPr="00A04655">
        <w:rPr>
          <w:rFonts w:cstheme="minorHAnsi"/>
          <w:sz w:val="20"/>
          <w:szCs w:val="19"/>
        </w:rPr>
        <w:t xml:space="preserve">, </w:t>
      </w:r>
      <w:r w:rsidR="00806057" w:rsidRPr="00A04655">
        <w:rPr>
          <w:rFonts w:cstheme="minorHAnsi"/>
          <w:i/>
          <w:sz w:val="20"/>
          <w:szCs w:val="19"/>
        </w:rPr>
        <w:t>National Drug Strategy 2017-2026</w:t>
      </w:r>
      <w:r w:rsidR="007C6CE3" w:rsidRPr="00A04655">
        <w:rPr>
          <w:rFonts w:cstheme="minorHAnsi"/>
          <w:sz w:val="20"/>
          <w:szCs w:val="19"/>
        </w:rPr>
        <w:t xml:space="preserve">, and </w:t>
      </w:r>
      <w:r w:rsidR="007C6CE3" w:rsidRPr="00A04655">
        <w:rPr>
          <w:rFonts w:cstheme="minorHAnsi"/>
          <w:i/>
          <w:sz w:val="20"/>
          <w:szCs w:val="19"/>
        </w:rPr>
        <w:t>National Alcohol Strategy 2018-2026</w:t>
      </w:r>
      <w:r w:rsidR="00806057" w:rsidRPr="00A04655">
        <w:rPr>
          <w:rFonts w:cstheme="minorHAnsi"/>
          <w:sz w:val="20"/>
          <w:szCs w:val="19"/>
        </w:rPr>
        <w:t xml:space="preserve"> provide structure for such approaches and ongoing initiatives to tackle mental health and risky behaviours, including among children and young people. </w:t>
      </w:r>
      <w:r w:rsidR="00F472B2" w:rsidRPr="00A04655">
        <w:rPr>
          <w:rFonts w:cstheme="minorHAnsi"/>
          <w:sz w:val="20"/>
          <w:szCs w:val="19"/>
        </w:rPr>
        <w:t>T</w:t>
      </w:r>
      <w:r w:rsidR="003E07F5" w:rsidRPr="00A04655">
        <w:rPr>
          <w:rFonts w:cstheme="minorHAnsi"/>
          <w:sz w:val="20"/>
          <w:szCs w:val="19"/>
        </w:rPr>
        <w:t xml:space="preserve">he proposed </w:t>
      </w:r>
      <w:r w:rsidR="00F472B2" w:rsidRPr="00A04655">
        <w:rPr>
          <w:rFonts w:cstheme="minorHAnsi"/>
          <w:i/>
          <w:sz w:val="20"/>
          <w:szCs w:val="19"/>
        </w:rPr>
        <w:t>National W</w:t>
      </w:r>
      <w:r w:rsidR="003E07F5" w:rsidRPr="00A04655">
        <w:rPr>
          <w:rFonts w:cstheme="minorHAnsi"/>
          <w:i/>
          <w:sz w:val="20"/>
          <w:szCs w:val="19"/>
        </w:rPr>
        <w:t xml:space="preserve">omen’s </w:t>
      </w:r>
      <w:r w:rsidR="00972EE4">
        <w:rPr>
          <w:rFonts w:cstheme="minorHAnsi"/>
          <w:i/>
          <w:sz w:val="20"/>
          <w:szCs w:val="19"/>
        </w:rPr>
        <w:t xml:space="preserve">Health </w:t>
      </w:r>
      <w:r w:rsidR="003E07F5" w:rsidRPr="00A04655">
        <w:rPr>
          <w:rFonts w:cstheme="minorHAnsi"/>
          <w:i/>
          <w:sz w:val="20"/>
          <w:szCs w:val="19"/>
        </w:rPr>
        <w:t>Strategy</w:t>
      </w:r>
      <w:r w:rsidR="00F472B2" w:rsidRPr="00A04655">
        <w:rPr>
          <w:rFonts w:cstheme="minorHAnsi"/>
          <w:i/>
          <w:sz w:val="20"/>
          <w:szCs w:val="19"/>
        </w:rPr>
        <w:t xml:space="preserve"> 2020-2030</w:t>
      </w:r>
      <w:r w:rsidR="00F472B2" w:rsidRPr="00A04655">
        <w:rPr>
          <w:rFonts w:cstheme="minorHAnsi"/>
          <w:sz w:val="20"/>
          <w:szCs w:val="19"/>
        </w:rPr>
        <w:t xml:space="preserve"> also outlines approaches</w:t>
      </w:r>
      <w:r w:rsidR="00F472B2">
        <w:rPr>
          <w:rFonts w:cstheme="minorHAnsi"/>
          <w:sz w:val="20"/>
          <w:szCs w:val="19"/>
        </w:rPr>
        <w:t xml:space="preserve"> to address specific issues more prevalent among girls and young women, including body image and eating disorders.</w:t>
      </w:r>
      <w:r w:rsidR="00806057">
        <w:rPr>
          <w:rFonts w:cstheme="minorHAnsi"/>
          <w:sz w:val="20"/>
          <w:szCs w:val="19"/>
        </w:rPr>
        <w:t xml:space="preserve"> </w:t>
      </w:r>
    </w:p>
    <w:p w14:paraId="68117AAF" w14:textId="77777777" w:rsidR="00806057" w:rsidRDefault="00806057" w:rsidP="008A30EB">
      <w:pPr>
        <w:rPr>
          <w:rFonts w:cstheme="minorHAnsi"/>
          <w:sz w:val="20"/>
          <w:szCs w:val="19"/>
        </w:rPr>
      </w:pPr>
      <w:r>
        <w:rPr>
          <w:rFonts w:cstheme="minorHAnsi"/>
          <w:sz w:val="20"/>
          <w:szCs w:val="19"/>
        </w:rPr>
        <w:t xml:space="preserve">The priority actions outlined below focus on approaches to prevent, intervene and support mental health conditions and the experience of risky behaviours, at and across different stages of the life course and across populations identified </w:t>
      </w:r>
      <w:r w:rsidR="00ED06EF">
        <w:rPr>
          <w:rFonts w:cstheme="minorHAnsi"/>
          <w:sz w:val="20"/>
          <w:szCs w:val="19"/>
        </w:rPr>
        <w:t>as being at</w:t>
      </w:r>
      <w:r>
        <w:rPr>
          <w:rFonts w:cstheme="minorHAnsi"/>
          <w:sz w:val="20"/>
          <w:szCs w:val="19"/>
        </w:rPr>
        <w:t xml:space="preserve"> greater risk. They include:</w:t>
      </w:r>
    </w:p>
    <w:p w14:paraId="019C8496" w14:textId="77777777" w:rsidR="008A30EB" w:rsidRDefault="008517C5" w:rsidP="00506ED6">
      <w:pPr>
        <w:pStyle w:val="ListParagraph"/>
        <w:numPr>
          <w:ilvl w:val="0"/>
          <w:numId w:val="34"/>
        </w:numPr>
        <w:ind w:left="426" w:hanging="284"/>
        <w:rPr>
          <w:rFonts w:cstheme="minorHAnsi"/>
          <w:sz w:val="20"/>
          <w:szCs w:val="19"/>
        </w:rPr>
      </w:pPr>
      <w:r>
        <w:rPr>
          <w:rFonts w:cstheme="minorHAnsi"/>
          <w:sz w:val="20"/>
          <w:szCs w:val="19"/>
        </w:rPr>
        <w:t>Considering options for s</w:t>
      </w:r>
      <w:r w:rsidR="00806057">
        <w:rPr>
          <w:rFonts w:cstheme="minorHAnsi"/>
          <w:sz w:val="20"/>
          <w:szCs w:val="19"/>
        </w:rPr>
        <w:t xml:space="preserve">upport </w:t>
      </w:r>
      <w:r w:rsidR="008945E0">
        <w:rPr>
          <w:rFonts w:cstheme="minorHAnsi"/>
          <w:sz w:val="20"/>
          <w:szCs w:val="19"/>
        </w:rPr>
        <w:t xml:space="preserve">for </w:t>
      </w:r>
      <w:r w:rsidR="00806057">
        <w:rPr>
          <w:rFonts w:cstheme="minorHAnsi"/>
          <w:sz w:val="20"/>
          <w:szCs w:val="19"/>
        </w:rPr>
        <w:t xml:space="preserve">both </w:t>
      </w:r>
      <w:r w:rsidR="00806057" w:rsidRPr="007708FE">
        <w:rPr>
          <w:rFonts w:asciiTheme="minorHAnsi" w:eastAsia="Times New Roman" w:hAnsiTheme="minorHAnsi" w:cstheme="minorHAnsi"/>
          <w:color w:val="1C8243"/>
          <w:sz w:val="20"/>
          <w:szCs w:val="19"/>
          <w:lang w:val="en-AU"/>
        </w:rPr>
        <w:t>maternal and paternal mental</w:t>
      </w:r>
      <w:r w:rsidR="00806057">
        <w:rPr>
          <w:rFonts w:cstheme="minorHAnsi"/>
          <w:sz w:val="20"/>
          <w:szCs w:val="19"/>
        </w:rPr>
        <w:t xml:space="preserve"> </w:t>
      </w:r>
      <w:r w:rsidR="00806057" w:rsidRPr="007708FE">
        <w:rPr>
          <w:rFonts w:asciiTheme="minorHAnsi" w:eastAsia="Times New Roman" w:hAnsiTheme="minorHAnsi" w:cstheme="minorHAnsi"/>
          <w:color w:val="1C8243"/>
          <w:sz w:val="20"/>
          <w:szCs w:val="19"/>
          <w:lang w:val="en-AU"/>
        </w:rPr>
        <w:t>health</w:t>
      </w:r>
      <w:r w:rsidR="00806057">
        <w:rPr>
          <w:rFonts w:cstheme="minorHAnsi"/>
          <w:sz w:val="20"/>
          <w:szCs w:val="19"/>
        </w:rPr>
        <w:t xml:space="preserve"> in the early years</w:t>
      </w:r>
      <w:r w:rsidR="008945E0">
        <w:rPr>
          <w:rFonts w:cstheme="minorHAnsi"/>
          <w:sz w:val="20"/>
          <w:szCs w:val="19"/>
        </w:rPr>
        <w:t>, given this can have an impact on infant</w:t>
      </w:r>
      <w:r w:rsidR="00350E39">
        <w:rPr>
          <w:rFonts w:cstheme="minorHAnsi"/>
          <w:sz w:val="20"/>
          <w:szCs w:val="19"/>
        </w:rPr>
        <w:t xml:space="preserve"> cognitive, emotional, social and behavioural development.</w:t>
      </w:r>
      <w:r w:rsidR="00350E39">
        <w:rPr>
          <w:rStyle w:val="EndnoteReference"/>
          <w:rFonts w:cstheme="minorHAnsi"/>
          <w:sz w:val="20"/>
          <w:szCs w:val="19"/>
        </w:rPr>
        <w:endnoteReference w:id="146"/>
      </w:r>
      <w:r w:rsidR="00350E39">
        <w:rPr>
          <w:rFonts w:cstheme="minorHAnsi"/>
          <w:sz w:val="20"/>
          <w:szCs w:val="19"/>
        </w:rPr>
        <w:t xml:space="preserve"> </w:t>
      </w:r>
      <w:r w:rsidR="00350E39">
        <w:rPr>
          <w:rStyle w:val="EndnoteReference"/>
          <w:rFonts w:cstheme="minorHAnsi"/>
          <w:sz w:val="20"/>
          <w:szCs w:val="19"/>
        </w:rPr>
        <w:endnoteReference w:id="147"/>
      </w:r>
    </w:p>
    <w:p w14:paraId="6C972F61" w14:textId="77777777" w:rsidR="00806057" w:rsidRDefault="00806057" w:rsidP="00506ED6">
      <w:pPr>
        <w:pStyle w:val="ListParagraph"/>
        <w:numPr>
          <w:ilvl w:val="0"/>
          <w:numId w:val="34"/>
        </w:numPr>
        <w:ind w:left="426" w:hanging="284"/>
        <w:rPr>
          <w:rFonts w:cstheme="minorHAnsi"/>
          <w:sz w:val="20"/>
          <w:szCs w:val="19"/>
        </w:rPr>
      </w:pPr>
      <w:r>
        <w:rPr>
          <w:rFonts w:cstheme="minorHAnsi"/>
          <w:sz w:val="20"/>
          <w:szCs w:val="19"/>
        </w:rPr>
        <w:t xml:space="preserve">Increasing our focus on </w:t>
      </w:r>
      <w:r w:rsidR="0076663D">
        <w:rPr>
          <w:rFonts w:cstheme="minorHAnsi"/>
          <w:sz w:val="20"/>
          <w:szCs w:val="19"/>
        </w:rPr>
        <w:t>social and emotional learning and resilience during the</w:t>
      </w:r>
      <w:r>
        <w:rPr>
          <w:rFonts w:cstheme="minorHAnsi"/>
          <w:sz w:val="20"/>
          <w:szCs w:val="19"/>
        </w:rPr>
        <w:t xml:space="preserve"> ‘</w:t>
      </w:r>
      <w:r w:rsidRPr="00D27627">
        <w:rPr>
          <w:rFonts w:asciiTheme="minorHAnsi" w:eastAsia="Times New Roman" w:hAnsiTheme="minorHAnsi" w:cstheme="minorHAnsi"/>
          <w:color w:val="1C8243"/>
          <w:sz w:val="20"/>
          <w:szCs w:val="19"/>
          <w:lang w:val="en-AU"/>
        </w:rPr>
        <w:t>middle years</w:t>
      </w:r>
      <w:r w:rsidRPr="00D27627">
        <w:rPr>
          <w:rFonts w:asciiTheme="minorHAnsi" w:eastAsia="Times New Roman" w:hAnsiTheme="minorHAnsi" w:cstheme="minorHAnsi"/>
          <w:sz w:val="20"/>
          <w:szCs w:val="19"/>
          <w:lang w:val="en-AU"/>
        </w:rPr>
        <w:t>’</w:t>
      </w:r>
      <w:r>
        <w:rPr>
          <w:rFonts w:cstheme="minorHAnsi"/>
          <w:sz w:val="20"/>
          <w:szCs w:val="19"/>
        </w:rPr>
        <w:t xml:space="preserve"> (between 8 to around 12-14 years of age)</w:t>
      </w:r>
      <w:r w:rsidR="00D27627">
        <w:rPr>
          <w:rFonts w:cstheme="minorHAnsi"/>
          <w:sz w:val="20"/>
          <w:szCs w:val="19"/>
        </w:rPr>
        <w:t>, a significant transformative phase in</w:t>
      </w:r>
      <w:r>
        <w:rPr>
          <w:rFonts w:cstheme="minorHAnsi"/>
          <w:sz w:val="20"/>
          <w:szCs w:val="19"/>
        </w:rPr>
        <w:t xml:space="preserve"> </w:t>
      </w:r>
      <w:r w:rsidR="00D27627">
        <w:rPr>
          <w:rFonts w:cstheme="minorHAnsi"/>
          <w:sz w:val="20"/>
          <w:szCs w:val="19"/>
        </w:rPr>
        <w:t>which opportunities for prevention and mental health promotion may be at their greatest.</w:t>
      </w:r>
      <w:r w:rsidR="00D27627">
        <w:rPr>
          <w:rStyle w:val="EndnoteReference"/>
          <w:rFonts w:cstheme="minorHAnsi"/>
          <w:sz w:val="20"/>
          <w:szCs w:val="19"/>
        </w:rPr>
        <w:endnoteReference w:id="148"/>
      </w:r>
      <w:r w:rsidR="006A4F65">
        <w:rPr>
          <w:rFonts w:cstheme="minorHAnsi"/>
          <w:sz w:val="20"/>
          <w:szCs w:val="19"/>
        </w:rPr>
        <w:t xml:space="preserve"> </w:t>
      </w:r>
      <w:r w:rsidR="00A85CC8">
        <w:rPr>
          <w:rStyle w:val="EndnoteReference"/>
          <w:rFonts w:cstheme="minorHAnsi"/>
          <w:sz w:val="20"/>
          <w:szCs w:val="19"/>
        </w:rPr>
        <w:endnoteReference w:id="149"/>
      </w:r>
    </w:p>
    <w:p w14:paraId="7F01819D" w14:textId="77777777" w:rsidR="00D27627" w:rsidRDefault="00D27627" w:rsidP="00506ED6">
      <w:pPr>
        <w:pStyle w:val="ListParagraph"/>
        <w:numPr>
          <w:ilvl w:val="0"/>
          <w:numId w:val="34"/>
        </w:numPr>
        <w:ind w:left="426" w:hanging="284"/>
        <w:rPr>
          <w:rFonts w:cstheme="minorHAnsi"/>
          <w:sz w:val="20"/>
          <w:szCs w:val="19"/>
        </w:rPr>
      </w:pPr>
      <w:r>
        <w:rPr>
          <w:rFonts w:cstheme="minorHAnsi"/>
          <w:sz w:val="20"/>
          <w:szCs w:val="19"/>
        </w:rPr>
        <w:t xml:space="preserve">Supporting </w:t>
      </w:r>
      <w:r w:rsidRPr="007708FE">
        <w:rPr>
          <w:rFonts w:asciiTheme="minorHAnsi" w:eastAsia="Times New Roman" w:hAnsiTheme="minorHAnsi" w:cstheme="minorHAnsi"/>
          <w:color w:val="1C8243"/>
          <w:sz w:val="20"/>
          <w:szCs w:val="19"/>
          <w:lang w:val="en-AU"/>
        </w:rPr>
        <w:t>resilience</w:t>
      </w:r>
      <w:r w:rsidR="00D526CB">
        <w:rPr>
          <w:rFonts w:asciiTheme="minorHAnsi" w:eastAsia="Times New Roman" w:hAnsiTheme="minorHAnsi" w:cstheme="minorHAnsi"/>
          <w:color w:val="1C8243"/>
          <w:sz w:val="20"/>
          <w:szCs w:val="19"/>
          <w:lang w:val="en-AU"/>
        </w:rPr>
        <w:t>, engagement</w:t>
      </w:r>
      <w:r w:rsidRPr="007708FE">
        <w:rPr>
          <w:rFonts w:asciiTheme="minorHAnsi" w:eastAsia="Times New Roman" w:hAnsiTheme="minorHAnsi" w:cstheme="minorHAnsi"/>
          <w:color w:val="1C8243"/>
          <w:sz w:val="20"/>
          <w:szCs w:val="19"/>
          <w:lang w:val="en-AU"/>
        </w:rPr>
        <w:t xml:space="preserve"> </w:t>
      </w:r>
      <w:r w:rsidR="0076663D">
        <w:rPr>
          <w:rFonts w:asciiTheme="minorHAnsi" w:eastAsia="Times New Roman" w:hAnsiTheme="minorHAnsi" w:cstheme="minorHAnsi"/>
          <w:color w:val="1C8243"/>
          <w:sz w:val="20"/>
          <w:szCs w:val="19"/>
          <w:lang w:val="en-AU"/>
        </w:rPr>
        <w:t xml:space="preserve">and coping </w:t>
      </w:r>
      <w:r w:rsidR="00D526CB">
        <w:rPr>
          <w:rFonts w:asciiTheme="minorHAnsi" w:eastAsia="Times New Roman" w:hAnsiTheme="minorHAnsi" w:cstheme="minorHAnsi"/>
          <w:color w:val="1C8243"/>
          <w:sz w:val="20"/>
          <w:szCs w:val="19"/>
          <w:lang w:val="en-AU"/>
        </w:rPr>
        <w:t>strategies</w:t>
      </w:r>
      <w:r w:rsidR="0076663D">
        <w:rPr>
          <w:rFonts w:asciiTheme="minorHAnsi" w:eastAsia="Times New Roman" w:hAnsiTheme="minorHAnsi" w:cstheme="minorHAnsi"/>
          <w:color w:val="1C8243"/>
          <w:sz w:val="20"/>
          <w:szCs w:val="19"/>
          <w:lang w:val="en-AU"/>
        </w:rPr>
        <w:t xml:space="preserve"> among</w:t>
      </w:r>
      <w:r w:rsidRPr="007708FE">
        <w:rPr>
          <w:rFonts w:asciiTheme="minorHAnsi" w:eastAsia="Times New Roman" w:hAnsiTheme="minorHAnsi" w:cstheme="minorHAnsi"/>
          <w:color w:val="1C8243"/>
          <w:sz w:val="20"/>
          <w:szCs w:val="19"/>
          <w:lang w:val="en-AU"/>
        </w:rPr>
        <w:t xml:space="preserve"> adolescents and young adults</w:t>
      </w:r>
      <w:r w:rsidR="007708FE">
        <w:rPr>
          <w:rFonts w:cstheme="minorHAnsi"/>
          <w:sz w:val="20"/>
          <w:szCs w:val="19"/>
        </w:rPr>
        <w:t>, given this is a period of increased vulnerability and exposure to risk factors</w:t>
      </w:r>
      <w:r w:rsidR="00506ED6">
        <w:rPr>
          <w:rFonts w:cstheme="minorHAnsi"/>
          <w:sz w:val="20"/>
          <w:szCs w:val="19"/>
        </w:rPr>
        <w:t xml:space="preserve"> and risky behaviours</w:t>
      </w:r>
      <w:r w:rsidR="007708FE">
        <w:rPr>
          <w:rFonts w:cstheme="minorHAnsi"/>
          <w:sz w:val="20"/>
          <w:szCs w:val="19"/>
        </w:rPr>
        <w:t>.</w:t>
      </w:r>
      <w:r w:rsidR="007708FE" w:rsidRPr="007708FE">
        <w:rPr>
          <w:rStyle w:val="EndnoteReference"/>
          <w:rFonts w:cstheme="minorHAnsi"/>
          <w:sz w:val="20"/>
          <w:szCs w:val="20"/>
        </w:rPr>
        <w:t xml:space="preserve"> </w:t>
      </w:r>
      <w:r w:rsidR="007708FE">
        <w:rPr>
          <w:rStyle w:val="EndnoteReference"/>
          <w:rFonts w:cstheme="minorHAnsi"/>
          <w:sz w:val="20"/>
          <w:szCs w:val="20"/>
        </w:rPr>
        <w:endnoteReference w:id="150"/>
      </w:r>
      <w:r w:rsidR="007708FE">
        <w:rPr>
          <w:rFonts w:cstheme="minorHAnsi"/>
          <w:sz w:val="20"/>
          <w:szCs w:val="20"/>
        </w:rPr>
        <w:t xml:space="preserve"> </w:t>
      </w:r>
      <w:r w:rsidR="007708FE">
        <w:rPr>
          <w:rFonts w:cstheme="minorHAnsi"/>
          <w:sz w:val="20"/>
          <w:szCs w:val="19"/>
        </w:rPr>
        <w:t xml:space="preserve"> </w:t>
      </w:r>
    </w:p>
    <w:p w14:paraId="77D666A2" w14:textId="77777777" w:rsidR="00403E6E" w:rsidRDefault="0015630B" w:rsidP="00506ED6">
      <w:pPr>
        <w:pStyle w:val="ListParagraph"/>
        <w:numPr>
          <w:ilvl w:val="0"/>
          <w:numId w:val="34"/>
        </w:numPr>
        <w:ind w:left="426" w:hanging="284"/>
        <w:rPr>
          <w:rFonts w:cstheme="minorHAnsi"/>
          <w:sz w:val="20"/>
          <w:szCs w:val="19"/>
        </w:rPr>
      </w:pPr>
      <w:r>
        <w:rPr>
          <w:rFonts w:cstheme="minorHAnsi"/>
          <w:sz w:val="20"/>
          <w:szCs w:val="19"/>
        </w:rPr>
        <w:t xml:space="preserve">Addressing strategies and services to heighten </w:t>
      </w:r>
      <w:r w:rsidRPr="0015630B">
        <w:rPr>
          <w:rFonts w:asciiTheme="minorHAnsi" w:eastAsia="Times New Roman" w:hAnsiTheme="minorHAnsi" w:cstheme="minorHAnsi"/>
          <w:color w:val="1C8243"/>
          <w:sz w:val="20"/>
          <w:szCs w:val="19"/>
          <w:lang w:val="en-AU"/>
        </w:rPr>
        <w:t>suicide prevention</w:t>
      </w:r>
      <w:r>
        <w:rPr>
          <w:rFonts w:cstheme="minorHAnsi"/>
          <w:sz w:val="20"/>
          <w:szCs w:val="19"/>
        </w:rPr>
        <w:t xml:space="preserve"> among children and young people, in the light of this being a leading cause of death.</w:t>
      </w:r>
      <w:r w:rsidRPr="0015630B">
        <w:rPr>
          <w:rStyle w:val="EndnoteReference"/>
          <w:rFonts w:cstheme="minorHAnsi"/>
          <w:sz w:val="20"/>
          <w:szCs w:val="19"/>
        </w:rPr>
        <w:t xml:space="preserve"> </w:t>
      </w:r>
      <w:r>
        <w:rPr>
          <w:rStyle w:val="EndnoteReference"/>
          <w:rFonts w:cstheme="minorHAnsi"/>
          <w:sz w:val="20"/>
          <w:szCs w:val="19"/>
        </w:rPr>
        <w:endnoteReference w:id="151"/>
      </w:r>
      <w:r>
        <w:rPr>
          <w:rFonts w:cstheme="minorHAnsi"/>
          <w:sz w:val="20"/>
          <w:szCs w:val="19"/>
        </w:rPr>
        <w:t xml:space="preserve"> </w:t>
      </w:r>
      <w:r w:rsidRPr="0015630B">
        <w:rPr>
          <w:rStyle w:val="EndnoteReference"/>
          <w:rFonts w:cstheme="minorHAnsi"/>
          <w:sz w:val="20"/>
          <w:szCs w:val="19"/>
        </w:rPr>
        <w:endnoteReference w:id="152"/>
      </w:r>
      <w:r>
        <w:rPr>
          <w:rFonts w:cstheme="minorHAnsi"/>
          <w:sz w:val="20"/>
          <w:szCs w:val="19"/>
        </w:rPr>
        <w:t xml:space="preserve"> </w:t>
      </w:r>
    </w:p>
    <w:p w14:paraId="772C45C4" w14:textId="77777777" w:rsidR="00D74462" w:rsidRDefault="00D74462" w:rsidP="00506ED6">
      <w:pPr>
        <w:pStyle w:val="ListParagraph"/>
        <w:numPr>
          <w:ilvl w:val="0"/>
          <w:numId w:val="34"/>
        </w:numPr>
        <w:ind w:left="426" w:hanging="284"/>
        <w:rPr>
          <w:rFonts w:cstheme="minorHAnsi"/>
          <w:sz w:val="20"/>
          <w:szCs w:val="19"/>
        </w:rPr>
      </w:pPr>
      <w:r>
        <w:rPr>
          <w:rFonts w:cstheme="minorHAnsi"/>
          <w:sz w:val="20"/>
          <w:szCs w:val="19"/>
        </w:rPr>
        <w:t xml:space="preserve">Working to address the significantly higher prevalence of mental health conditions and suicide among </w:t>
      </w:r>
      <w:r w:rsidRPr="007708FE">
        <w:rPr>
          <w:rFonts w:asciiTheme="minorHAnsi" w:eastAsia="Times New Roman" w:hAnsiTheme="minorHAnsi" w:cstheme="minorHAnsi"/>
          <w:color w:val="1C8243"/>
          <w:sz w:val="20"/>
          <w:szCs w:val="19"/>
          <w:lang w:val="en-AU"/>
        </w:rPr>
        <w:t>LG</w:t>
      </w:r>
      <w:r w:rsidR="00BE5423">
        <w:rPr>
          <w:rFonts w:asciiTheme="minorHAnsi" w:eastAsia="Times New Roman" w:hAnsiTheme="minorHAnsi" w:cstheme="minorHAnsi"/>
          <w:color w:val="1C8243"/>
          <w:sz w:val="20"/>
          <w:szCs w:val="19"/>
          <w:lang w:val="en-AU"/>
        </w:rPr>
        <w:t>BT</w:t>
      </w:r>
      <w:r w:rsidRPr="007708FE">
        <w:rPr>
          <w:rFonts w:asciiTheme="minorHAnsi" w:eastAsia="Times New Roman" w:hAnsiTheme="minorHAnsi" w:cstheme="minorHAnsi"/>
          <w:color w:val="1C8243"/>
          <w:sz w:val="20"/>
          <w:szCs w:val="19"/>
          <w:lang w:val="en-AU"/>
        </w:rPr>
        <w:t>I</w:t>
      </w:r>
      <w:r w:rsidR="00D526CB">
        <w:rPr>
          <w:rFonts w:asciiTheme="minorHAnsi" w:eastAsia="Times New Roman" w:hAnsiTheme="minorHAnsi" w:cstheme="minorHAnsi"/>
          <w:color w:val="1C8243"/>
          <w:sz w:val="20"/>
          <w:szCs w:val="19"/>
          <w:lang w:val="en-AU"/>
        </w:rPr>
        <w:t>+</w:t>
      </w:r>
      <w:r w:rsidRPr="007708FE">
        <w:rPr>
          <w:rFonts w:asciiTheme="minorHAnsi" w:eastAsia="Times New Roman" w:hAnsiTheme="minorHAnsi" w:cstheme="minorHAnsi"/>
          <w:color w:val="1C8243"/>
          <w:sz w:val="20"/>
          <w:szCs w:val="19"/>
          <w:lang w:val="en-AU"/>
        </w:rPr>
        <w:t xml:space="preserve"> children and young people</w:t>
      </w:r>
      <w:r w:rsidR="007708FE">
        <w:rPr>
          <w:rFonts w:cstheme="minorHAnsi"/>
          <w:sz w:val="20"/>
          <w:szCs w:val="19"/>
        </w:rPr>
        <w:t xml:space="preserve"> and </w:t>
      </w:r>
      <w:r w:rsidR="00ED06EF">
        <w:rPr>
          <w:rFonts w:cstheme="minorHAnsi"/>
          <w:sz w:val="20"/>
          <w:szCs w:val="19"/>
        </w:rPr>
        <w:t>evolving</w:t>
      </w:r>
      <w:r w:rsidR="007708FE">
        <w:rPr>
          <w:rFonts w:cstheme="minorHAnsi"/>
          <w:sz w:val="20"/>
          <w:szCs w:val="19"/>
        </w:rPr>
        <w:t xml:space="preserve"> support and services </w:t>
      </w:r>
      <w:r w:rsidR="00ED06EF">
        <w:rPr>
          <w:rFonts w:cstheme="minorHAnsi"/>
          <w:sz w:val="20"/>
          <w:szCs w:val="19"/>
        </w:rPr>
        <w:t>which</w:t>
      </w:r>
      <w:r w:rsidR="00506ED6">
        <w:rPr>
          <w:rFonts w:cstheme="minorHAnsi"/>
          <w:sz w:val="20"/>
          <w:szCs w:val="19"/>
        </w:rPr>
        <w:t xml:space="preserve"> are </w:t>
      </w:r>
      <w:r w:rsidR="007708FE">
        <w:rPr>
          <w:rFonts w:cstheme="minorHAnsi"/>
          <w:sz w:val="20"/>
          <w:szCs w:val="19"/>
        </w:rPr>
        <w:t>proactively inclusive.</w:t>
      </w:r>
      <w:r w:rsidR="007708FE" w:rsidRPr="007708FE">
        <w:rPr>
          <w:rStyle w:val="EndnoteReference"/>
          <w:rFonts w:cstheme="minorHAnsi"/>
          <w:sz w:val="20"/>
          <w:szCs w:val="19"/>
        </w:rPr>
        <w:t xml:space="preserve"> </w:t>
      </w:r>
      <w:r w:rsidR="007708FE">
        <w:rPr>
          <w:rStyle w:val="EndnoteReference"/>
          <w:rFonts w:cstheme="minorHAnsi"/>
          <w:sz w:val="20"/>
          <w:szCs w:val="19"/>
        </w:rPr>
        <w:endnoteReference w:id="153"/>
      </w:r>
      <w:r w:rsidR="007708FE">
        <w:rPr>
          <w:rFonts w:cstheme="minorHAnsi"/>
          <w:sz w:val="20"/>
          <w:szCs w:val="19"/>
        </w:rPr>
        <w:t xml:space="preserve"> </w:t>
      </w:r>
    </w:p>
    <w:p w14:paraId="787D6636" w14:textId="77777777" w:rsidR="007708FE" w:rsidRDefault="00EB04C8" w:rsidP="00506ED6">
      <w:pPr>
        <w:pStyle w:val="ListParagraph"/>
        <w:numPr>
          <w:ilvl w:val="0"/>
          <w:numId w:val="34"/>
        </w:numPr>
        <w:ind w:left="426" w:hanging="284"/>
        <w:rPr>
          <w:rFonts w:cstheme="minorHAnsi"/>
          <w:sz w:val="20"/>
          <w:szCs w:val="19"/>
        </w:rPr>
      </w:pPr>
      <w:r>
        <w:rPr>
          <w:rFonts w:cstheme="minorHAnsi"/>
          <w:sz w:val="20"/>
          <w:szCs w:val="19"/>
        </w:rPr>
        <w:t xml:space="preserve">Developing </w:t>
      </w:r>
      <w:r w:rsidRPr="0076663D">
        <w:rPr>
          <w:rFonts w:asciiTheme="minorHAnsi" w:eastAsia="Times New Roman" w:hAnsiTheme="minorHAnsi" w:cstheme="minorHAnsi"/>
          <w:color w:val="1C8243"/>
          <w:sz w:val="20"/>
          <w:szCs w:val="19"/>
          <w:lang w:val="en-AU"/>
        </w:rPr>
        <w:t xml:space="preserve">stronger supportive communities and </w:t>
      </w:r>
      <w:r w:rsidR="0076663D" w:rsidRPr="0076663D">
        <w:rPr>
          <w:rFonts w:asciiTheme="minorHAnsi" w:eastAsia="Times New Roman" w:hAnsiTheme="minorHAnsi" w:cstheme="minorHAnsi"/>
          <w:color w:val="1C8243"/>
          <w:sz w:val="20"/>
          <w:szCs w:val="19"/>
          <w:lang w:val="en-AU"/>
        </w:rPr>
        <w:t>touchpoints</w:t>
      </w:r>
      <w:r>
        <w:rPr>
          <w:rFonts w:cstheme="minorHAnsi"/>
          <w:sz w:val="20"/>
          <w:szCs w:val="19"/>
        </w:rPr>
        <w:t xml:space="preserve"> for mental health</w:t>
      </w:r>
      <w:r w:rsidR="0076663D">
        <w:rPr>
          <w:rFonts w:cstheme="minorHAnsi"/>
          <w:sz w:val="20"/>
          <w:szCs w:val="19"/>
        </w:rPr>
        <w:t xml:space="preserve"> prevention and support during childhood, adolescence and early adulthood, so that the complex and diverse needs and preferences of </w:t>
      </w:r>
      <w:r w:rsidR="00972EE4">
        <w:rPr>
          <w:rFonts w:cstheme="minorHAnsi"/>
          <w:sz w:val="20"/>
          <w:szCs w:val="19"/>
        </w:rPr>
        <w:t xml:space="preserve">children and young people </w:t>
      </w:r>
      <w:r w:rsidR="0076663D">
        <w:rPr>
          <w:rFonts w:cstheme="minorHAnsi"/>
          <w:sz w:val="20"/>
          <w:szCs w:val="19"/>
        </w:rPr>
        <w:t>are better met</w:t>
      </w:r>
      <w:r w:rsidR="008517C5">
        <w:rPr>
          <w:rFonts w:cstheme="minorHAnsi"/>
          <w:sz w:val="20"/>
          <w:szCs w:val="19"/>
        </w:rPr>
        <w:t xml:space="preserve"> and addressed across multiple avenues</w:t>
      </w:r>
      <w:r w:rsidR="0076663D">
        <w:rPr>
          <w:rFonts w:cstheme="minorHAnsi"/>
          <w:sz w:val="20"/>
          <w:szCs w:val="19"/>
        </w:rPr>
        <w:t>.</w:t>
      </w:r>
      <w:r w:rsidR="0076663D">
        <w:rPr>
          <w:rStyle w:val="EndnoteReference"/>
          <w:rFonts w:cstheme="minorHAnsi"/>
          <w:sz w:val="20"/>
          <w:szCs w:val="19"/>
        </w:rPr>
        <w:endnoteReference w:id="154"/>
      </w:r>
      <w:r w:rsidR="0076663D">
        <w:rPr>
          <w:rFonts w:cstheme="minorHAnsi"/>
          <w:sz w:val="20"/>
          <w:szCs w:val="19"/>
        </w:rPr>
        <w:t xml:space="preserve"> </w:t>
      </w:r>
      <w:r w:rsidR="0076663D">
        <w:rPr>
          <w:rStyle w:val="EndnoteReference"/>
          <w:rFonts w:cstheme="minorHAnsi"/>
          <w:sz w:val="20"/>
          <w:szCs w:val="19"/>
        </w:rPr>
        <w:endnoteReference w:id="155"/>
      </w:r>
    </w:p>
    <w:p w14:paraId="7DC7291D" w14:textId="77777777" w:rsidR="003E07F5" w:rsidRDefault="003E07F5" w:rsidP="00506ED6">
      <w:pPr>
        <w:pStyle w:val="ListParagraph"/>
        <w:numPr>
          <w:ilvl w:val="0"/>
          <w:numId w:val="34"/>
        </w:numPr>
        <w:ind w:left="426" w:hanging="284"/>
        <w:rPr>
          <w:rFonts w:cstheme="minorHAnsi"/>
          <w:sz w:val="20"/>
          <w:szCs w:val="19"/>
        </w:rPr>
      </w:pPr>
      <w:r>
        <w:rPr>
          <w:rFonts w:cstheme="minorHAnsi"/>
          <w:sz w:val="20"/>
          <w:szCs w:val="19"/>
        </w:rPr>
        <w:t xml:space="preserve">Continuing to develop and deliver effective strategies and resources for </w:t>
      </w:r>
      <w:r w:rsidRPr="003E07F5">
        <w:rPr>
          <w:rFonts w:asciiTheme="minorHAnsi" w:eastAsia="Times New Roman" w:hAnsiTheme="minorHAnsi" w:cstheme="minorHAnsi"/>
          <w:color w:val="1C8243"/>
          <w:sz w:val="20"/>
          <w:szCs w:val="19"/>
          <w:lang w:val="en-AU"/>
        </w:rPr>
        <w:t>education and health promotion</w:t>
      </w:r>
      <w:r>
        <w:rPr>
          <w:rFonts w:cstheme="minorHAnsi"/>
          <w:sz w:val="20"/>
          <w:szCs w:val="19"/>
        </w:rPr>
        <w:t xml:space="preserve"> to young people and the wider community regarding risky behaviours, including alcohol consumption, smoking, drug use, respectful relationships and sexual health.</w:t>
      </w:r>
    </w:p>
    <w:p w14:paraId="5C813558" w14:textId="77777777" w:rsidR="00851CAF" w:rsidRDefault="003E07F5" w:rsidP="00506ED6">
      <w:pPr>
        <w:pStyle w:val="ListParagraph"/>
        <w:numPr>
          <w:ilvl w:val="0"/>
          <w:numId w:val="34"/>
        </w:numPr>
        <w:ind w:left="426" w:hanging="284"/>
        <w:rPr>
          <w:rFonts w:cstheme="minorHAnsi"/>
          <w:sz w:val="20"/>
          <w:szCs w:val="19"/>
        </w:rPr>
      </w:pPr>
      <w:r>
        <w:rPr>
          <w:rFonts w:cstheme="minorHAnsi"/>
          <w:sz w:val="20"/>
          <w:szCs w:val="19"/>
        </w:rPr>
        <w:t xml:space="preserve">Seeking to address </w:t>
      </w:r>
      <w:r w:rsidRPr="003E07F5">
        <w:rPr>
          <w:rFonts w:asciiTheme="minorHAnsi" w:eastAsia="Times New Roman" w:hAnsiTheme="minorHAnsi" w:cstheme="minorHAnsi"/>
          <w:color w:val="1C8243"/>
          <w:sz w:val="20"/>
          <w:szCs w:val="19"/>
          <w:lang w:val="en-AU"/>
        </w:rPr>
        <w:t xml:space="preserve">school-based </w:t>
      </w:r>
      <w:r w:rsidRPr="00F472B2">
        <w:rPr>
          <w:rFonts w:cstheme="minorHAnsi"/>
          <w:sz w:val="20"/>
          <w:szCs w:val="19"/>
        </w:rPr>
        <w:t>and</w:t>
      </w:r>
      <w:r w:rsidRPr="003E07F5">
        <w:rPr>
          <w:rFonts w:asciiTheme="minorHAnsi" w:eastAsia="Times New Roman" w:hAnsiTheme="minorHAnsi" w:cstheme="minorHAnsi"/>
          <w:color w:val="1C8243"/>
          <w:sz w:val="20"/>
          <w:szCs w:val="19"/>
          <w:lang w:val="en-AU"/>
        </w:rPr>
        <w:t xml:space="preserve"> online bullying</w:t>
      </w:r>
      <w:r>
        <w:rPr>
          <w:rFonts w:cstheme="minorHAnsi"/>
          <w:sz w:val="20"/>
          <w:szCs w:val="19"/>
        </w:rPr>
        <w:t xml:space="preserve"> through</w:t>
      </w:r>
      <w:r w:rsidR="00F472B2">
        <w:rPr>
          <w:rFonts w:cstheme="minorHAnsi"/>
          <w:sz w:val="20"/>
          <w:szCs w:val="19"/>
        </w:rPr>
        <w:t xml:space="preserve"> promotion of successful strategies – including for bystander behaviour – and advocacy and communication regarding these behaviours.</w:t>
      </w:r>
      <w:r w:rsidR="00F472B2">
        <w:rPr>
          <w:rStyle w:val="EndnoteReference"/>
          <w:rFonts w:cstheme="minorHAnsi"/>
          <w:sz w:val="20"/>
          <w:szCs w:val="19"/>
        </w:rPr>
        <w:endnoteReference w:id="156"/>
      </w:r>
      <w:r w:rsidR="00F472B2">
        <w:rPr>
          <w:rFonts w:cstheme="minorHAnsi"/>
          <w:sz w:val="20"/>
          <w:szCs w:val="19"/>
        </w:rPr>
        <w:t xml:space="preserve"> </w:t>
      </w:r>
    </w:p>
    <w:tbl>
      <w:tblPr>
        <w:tblStyle w:val="TableGrid"/>
        <w:tblW w:w="5000" w:type="pct"/>
        <w:tblBorders>
          <w:top w:val="single" w:sz="4" w:space="0" w:color="318843"/>
          <w:left w:val="none" w:sz="0" w:space="0" w:color="auto"/>
          <w:bottom w:val="single" w:sz="4" w:space="0" w:color="318843"/>
          <w:right w:val="none" w:sz="0" w:space="0" w:color="auto"/>
          <w:insideH w:val="none" w:sz="0" w:space="0" w:color="auto"/>
          <w:insideV w:val="none" w:sz="0" w:space="0" w:color="auto"/>
        </w:tblBorders>
        <w:tblLook w:val="04A0" w:firstRow="1" w:lastRow="0" w:firstColumn="1" w:lastColumn="0" w:noHBand="0" w:noVBand="1"/>
        <w:tblCaption w:val="Priority Area 3 - Actions to tackle mental health and risky behaviours"/>
        <w:tblDescription w:val="This table describes actions to: (1) support maternal, paternal, and child mental health in the early years; (2) focus in on the middle years as a period to build resilience and social and emotional coping skills; (3) support transitions and risks during all life stages and across the life course, including adolescence and into adulthood; (4) strengthen the tailoring, appropriateness and impact of suicide prevention strategies; (5) address heightened prevalence of mental health conditions among LGBTI+ children and young people; (6) work with partners to foster supportive communities for mental health; (7) maintain and evolve education and health promotion in relation to risky behaviours; (8) support respectful relationships and good sexual health; and (9) work with partners to identify and promote effective anti-bullying strategies."/>
      </w:tblPr>
      <w:tblGrid>
        <w:gridCol w:w="2610"/>
        <w:gridCol w:w="7245"/>
      </w:tblGrid>
      <w:tr w:rsidR="008818AA" w:rsidRPr="00CC575A" w14:paraId="10BCD7E1" w14:textId="77777777" w:rsidTr="00D72F29">
        <w:trPr>
          <w:cantSplit/>
          <w:tblHeader/>
        </w:trPr>
        <w:tc>
          <w:tcPr>
            <w:tcW w:w="1324" w:type="pct"/>
            <w:tcBorders>
              <w:top w:val="single" w:sz="4" w:space="0" w:color="318843"/>
              <w:bottom w:val="single" w:sz="4" w:space="0" w:color="318843"/>
            </w:tcBorders>
            <w:shd w:val="clear" w:color="auto" w:fill="auto"/>
          </w:tcPr>
          <w:p w14:paraId="641A1B62" w14:textId="77777777" w:rsidR="008818AA" w:rsidRPr="00CC575A" w:rsidRDefault="008818AA" w:rsidP="00DB1F46">
            <w:pPr>
              <w:rPr>
                <w:rFonts w:cstheme="minorHAnsi"/>
                <w:b/>
                <w:sz w:val="20"/>
                <w:szCs w:val="19"/>
              </w:rPr>
            </w:pPr>
            <w:r w:rsidRPr="00CC575A">
              <w:rPr>
                <w:rFonts w:cstheme="minorHAnsi"/>
                <w:b/>
                <w:sz w:val="20"/>
                <w:szCs w:val="19"/>
              </w:rPr>
              <w:t>Action</w:t>
            </w:r>
          </w:p>
        </w:tc>
        <w:tc>
          <w:tcPr>
            <w:tcW w:w="3676" w:type="pct"/>
            <w:tcBorders>
              <w:top w:val="single" w:sz="4" w:space="0" w:color="318843"/>
              <w:bottom w:val="single" w:sz="4" w:space="0" w:color="318843"/>
            </w:tcBorders>
            <w:shd w:val="clear" w:color="auto" w:fill="auto"/>
          </w:tcPr>
          <w:p w14:paraId="58996B79" w14:textId="77777777" w:rsidR="008818AA" w:rsidRPr="00CC575A" w:rsidRDefault="008818AA" w:rsidP="00DB1F46">
            <w:pPr>
              <w:rPr>
                <w:rFonts w:cstheme="minorHAnsi"/>
                <w:b/>
                <w:sz w:val="20"/>
                <w:szCs w:val="19"/>
              </w:rPr>
            </w:pPr>
            <w:r w:rsidRPr="00CC575A">
              <w:rPr>
                <w:rFonts w:cstheme="minorHAnsi"/>
                <w:b/>
                <w:sz w:val="20"/>
                <w:szCs w:val="19"/>
              </w:rPr>
              <w:t>Detail</w:t>
            </w:r>
          </w:p>
        </w:tc>
      </w:tr>
      <w:tr w:rsidR="008818AA" w:rsidRPr="00CC575A" w14:paraId="5C317C9B" w14:textId="77777777" w:rsidTr="00D72F29">
        <w:trPr>
          <w:cantSplit/>
        </w:trPr>
        <w:tc>
          <w:tcPr>
            <w:tcW w:w="1324" w:type="pct"/>
            <w:tcBorders>
              <w:top w:val="single" w:sz="4" w:space="0" w:color="318843"/>
              <w:bottom w:val="single" w:sz="4" w:space="0" w:color="318843"/>
            </w:tcBorders>
            <w:shd w:val="clear" w:color="auto" w:fill="auto"/>
          </w:tcPr>
          <w:p w14:paraId="37B27AD3" w14:textId="77777777" w:rsidR="008818AA" w:rsidRPr="008818AA" w:rsidRDefault="008818AA" w:rsidP="008818AA">
            <w:pPr>
              <w:spacing w:before="60"/>
              <w:rPr>
                <w:rFonts w:cstheme="minorHAnsi"/>
                <w:b/>
                <w:color w:val="1C8243"/>
                <w:sz w:val="20"/>
                <w:szCs w:val="19"/>
              </w:rPr>
            </w:pPr>
            <w:r w:rsidRPr="008818AA">
              <w:rPr>
                <w:rFonts w:cstheme="minorHAnsi"/>
                <w:b/>
                <w:color w:val="1C8243"/>
                <w:sz w:val="20"/>
                <w:szCs w:val="19"/>
              </w:rPr>
              <w:t>Support maternal</w:t>
            </w:r>
            <w:r w:rsidR="00972EE4">
              <w:rPr>
                <w:rFonts w:cstheme="minorHAnsi"/>
                <w:b/>
                <w:color w:val="1C8243"/>
                <w:sz w:val="20"/>
                <w:szCs w:val="19"/>
              </w:rPr>
              <w:t xml:space="preserve">, </w:t>
            </w:r>
            <w:r w:rsidRPr="008818AA">
              <w:rPr>
                <w:rFonts w:cstheme="minorHAnsi"/>
                <w:b/>
                <w:color w:val="1C8243"/>
                <w:sz w:val="20"/>
                <w:szCs w:val="19"/>
              </w:rPr>
              <w:t>paternal</w:t>
            </w:r>
            <w:r w:rsidR="00972EE4">
              <w:rPr>
                <w:rFonts w:cstheme="minorHAnsi"/>
                <w:b/>
                <w:color w:val="1C8243"/>
                <w:sz w:val="20"/>
                <w:szCs w:val="19"/>
              </w:rPr>
              <w:t xml:space="preserve"> and child</w:t>
            </w:r>
            <w:r w:rsidRPr="008818AA">
              <w:rPr>
                <w:rFonts w:cstheme="minorHAnsi"/>
                <w:b/>
                <w:color w:val="1C8243"/>
                <w:sz w:val="20"/>
                <w:szCs w:val="19"/>
              </w:rPr>
              <w:t xml:space="preserve"> mental health in the early years</w:t>
            </w:r>
          </w:p>
          <w:p w14:paraId="551ED14F" w14:textId="77777777" w:rsidR="008818AA" w:rsidRPr="00CC575A" w:rsidRDefault="008818AA" w:rsidP="00DB1F46">
            <w:pPr>
              <w:spacing w:before="60"/>
              <w:rPr>
                <w:rFonts w:cstheme="minorHAnsi"/>
                <w:b/>
                <w:color w:val="1C8243"/>
                <w:sz w:val="20"/>
                <w:szCs w:val="19"/>
              </w:rPr>
            </w:pPr>
          </w:p>
        </w:tc>
        <w:tc>
          <w:tcPr>
            <w:tcW w:w="3676" w:type="pct"/>
            <w:tcBorders>
              <w:top w:val="single" w:sz="4" w:space="0" w:color="318843"/>
              <w:bottom w:val="single" w:sz="4" w:space="0" w:color="318843"/>
            </w:tcBorders>
            <w:shd w:val="clear" w:color="auto" w:fill="auto"/>
          </w:tcPr>
          <w:p w14:paraId="1A50A9AE"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 xml:space="preserve">Sustain antenatal and postnatal </w:t>
            </w:r>
            <w:r w:rsidR="00972EE4">
              <w:rPr>
                <w:sz w:val="20"/>
                <w:szCs w:val="20"/>
              </w:rPr>
              <w:t xml:space="preserve">mental health </w:t>
            </w:r>
            <w:r w:rsidRPr="008818AA">
              <w:rPr>
                <w:sz w:val="20"/>
                <w:szCs w:val="20"/>
              </w:rPr>
              <w:t>screening for mothers</w:t>
            </w:r>
          </w:p>
          <w:p w14:paraId="238A33DB" w14:textId="77777777" w:rsidR="008818AA" w:rsidRPr="00506ED6" w:rsidRDefault="00B225E8" w:rsidP="00506ED6">
            <w:pPr>
              <w:pStyle w:val="ListParagraph"/>
              <w:numPr>
                <w:ilvl w:val="0"/>
                <w:numId w:val="39"/>
              </w:numPr>
              <w:spacing w:before="60" w:after="60"/>
              <w:ind w:left="323" w:hanging="323"/>
              <w:contextualSpacing w:val="0"/>
              <w:rPr>
                <w:sz w:val="20"/>
                <w:szCs w:val="20"/>
              </w:rPr>
            </w:pPr>
            <w:r>
              <w:rPr>
                <w:sz w:val="20"/>
                <w:szCs w:val="20"/>
              </w:rPr>
              <w:t xml:space="preserve">Further </w:t>
            </w:r>
            <w:r w:rsidRPr="008818AA">
              <w:rPr>
                <w:sz w:val="20"/>
                <w:szCs w:val="20"/>
              </w:rPr>
              <w:t>research the effectiveness of screening tool</w:t>
            </w:r>
            <w:r w:rsidR="00972EE4">
              <w:rPr>
                <w:sz w:val="20"/>
                <w:szCs w:val="20"/>
              </w:rPr>
              <w:t xml:space="preserve">s, </w:t>
            </w:r>
            <w:r>
              <w:rPr>
                <w:sz w:val="20"/>
                <w:szCs w:val="20"/>
              </w:rPr>
              <w:t>and</w:t>
            </w:r>
            <w:r w:rsidR="00506ED6">
              <w:rPr>
                <w:sz w:val="20"/>
                <w:szCs w:val="20"/>
              </w:rPr>
              <w:t xml:space="preserve"> e</w:t>
            </w:r>
            <w:r w:rsidR="00506ED6" w:rsidRPr="008818AA">
              <w:rPr>
                <w:sz w:val="20"/>
                <w:szCs w:val="20"/>
              </w:rPr>
              <w:t xml:space="preserve">xpand </w:t>
            </w:r>
            <w:r w:rsidR="00972EE4">
              <w:rPr>
                <w:sz w:val="20"/>
                <w:szCs w:val="20"/>
              </w:rPr>
              <w:t xml:space="preserve">mental health </w:t>
            </w:r>
            <w:r w:rsidR="00506ED6" w:rsidRPr="008818AA">
              <w:rPr>
                <w:sz w:val="20"/>
                <w:szCs w:val="20"/>
              </w:rPr>
              <w:t>screen</w:t>
            </w:r>
            <w:r w:rsidR="00506ED6">
              <w:rPr>
                <w:sz w:val="20"/>
                <w:szCs w:val="20"/>
              </w:rPr>
              <w:t>ing</w:t>
            </w:r>
            <w:r w:rsidR="00972EE4">
              <w:rPr>
                <w:sz w:val="20"/>
                <w:szCs w:val="20"/>
              </w:rPr>
              <w:t>,</w:t>
            </w:r>
            <w:r w:rsidR="00506ED6">
              <w:rPr>
                <w:sz w:val="20"/>
                <w:szCs w:val="20"/>
              </w:rPr>
              <w:t xml:space="preserve"> for </w:t>
            </w:r>
            <w:r w:rsidR="00506ED6" w:rsidRPr="008818AA">
              <w:rPr>
                <w:sz w:val="20"/>
                <w:szCs w:val="20"/>
              </w:rPr>
              <w:t>fathers during the antenatal and postnatal periods</w:t>
            </w:r>
          </w:p>
          <w:p w14:paraId="07F42284" w14:textId="77777777" w:rsid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Trial and implement approaches for perinatal mental health clinicians to support infant mental health as well as parent mental health</w:t>
            </w:r>
          </w:p>
          <w:p w14:paraId="3BDCE025" w14:textId="77777777" w:rsidR="00972EE4" w:rsidRPr="008569A7" w:rsidRDefault="00972EE4" w:rsidP="008818AA">
            <w:pPr>
              <w:pStyle w:val="ListParagraph"/>
              <w:numPr>
                <w:ilvl w:val="0"/>
                <w:numId w:val="39"/>
              </w:numPr>
              <w:spacing w:before="60" w:after="60"/>
              <w:ind w:left="323" w:hanging="323"/>
              <w:contextualSpacing w:val="0"/>
              <w:rPr>
                <w:sz w:val="20"/>
                <w:szCs w:val="20"/>
              </w:rPr>
            </w:pPr>
            <w:r w:rsidRPr="008569A7">
              <w:rPr>
                <w:sz w:val="20"/>
                <w:szCs w:val="20"/>
              </w:rPr>
              <w:t>Support education programs that train par</w:t>
            </w:r>
            <w:r w:rsidR="008569A7" w:rsidRPr="008569A7">
              <w:rPr>
                <w:sz w:val="20"/>
                <w:szCs w:val="20"/>
              </w:rPr>
              <w:t>ents and caregivers to increase</w:t>
            </w:r>
            <w:r w:rsidRPr="008569A7">
              <w:rPr>
                <w:sz w:val="20"/>
                <w:szCs w:val="20"/>
              </w:rPr>
              <w:t xml:space="preserve"> infant attachment and security</w:t>
            </w:r>
          </w:p>
          <w:p w14:paraId="238FBC24" w14:textId="77777777" w:rsidR="008818AA" w:rsidRPr="00CC575A" w:rsidRDefault="008818AA" w:rsidP="008818AA">
            <w:pPr>
              <w:pStyle w:val="ListParagraph"/>
              <w:numPr>
                <w:ilvl w:val="0"/>
                <w:numId w:val="39"/>
              </w:numPr>
              <w:spacing w:before="60" w:after="60"/>
              <w:ind w:left="323" w:hanging="323"/>
              <w:contextualSpacing w:val="0"/>
              <w:rPr>
                <w:sz w:val="18"/>
                <w:szCs w:val="18"/>
              </w:rPr>
            </w:pPr>
            <w:r w:rsidRPr="008818AA">
              <w:rPr>
                <w:sz w:val="20"/>
                <w:szCs w:val="20"/>
                <w:lang w:val="en-GB"/>
              </w:rPr>
              <w:t xml:space="preserve">Adopt other targeted parenting support for priority </w:t>
            </w:r>
            <w:r w:rsidRPr="00A04655">
              <w:rPr>
                <w:sz w:val="20"/>
                <w:szCs w:val="20"/>
                <w:lang w:val="en-GB"/>
              </w:rPr>
              <w:t>populations in the perinatal and early childhood period, as outlined under Priority Area 2</w:t>
            </w:r>
          </w:p>
        </w:tc>
      </w:tr>
      <w:tr w:rsidR="008818AA" w:rsidRPr="00CC575A" w14:paraId="5A997CA5" w14:textId="77777777" w:rsidTr="00D72F29">
        <w:trPr>
          <w:cantSplit/>
        </w:trPr>
        <w:tc>
          <w:tcPr>
            <w:tcW w:w="1324" w:type="pct"/>
            <w:tcBorders>
              <w:top w:val="single" w:sz="4" w:space="0" w:color="318843"/>
              <w:bottom w:val="single" w:sz="4" w:space="0" w:color="318843"/>
            </w:tcBorders>
            <w:shd w:val="clear" w:color="auto" w:fill="auto"/>
          </w:tcPr>
          <w:p w14:paraId="718623BE" w14:textId="77777777" w:rsidR="008818AA" w:rsidRPr="008818AA" w:rsidRDefault="008818AA" w:rsidP="008818AA">
            <w:pPr>
              <w:spacing w:before="60"/>
              <w:rPr>
                <w:rFonts w:cstheme="minorHAnsi"/>
                <w:b/>
                <w:color w:val="1C8243"/>
                <w:sz w:val="20"/>
                <w:szCs w:val="19"/>
              </w:rPr>
            </w:pPr>
            <w:r w:rsidRPr="008818AA">
              <w:rPr>
                <w:rFonts w:cstheme="minorHAnsi"/>
                <w:b/>
                <w:color w:val="1C8243"/>
                <w:sz w:val="20"/>
                <w:szCs w:val="19"/>
              </w:rPr>
              <w:t xml:space="preserve">Focus in on the middle years </w:t>
            </w:r>
            <w:r>
              <w:rPr>
                <w:rFonts w:cstheme="minorHAnsi"/>
                <w:b/>
                <w:color w:val="1C8243"/>
                <w:sz w:val="20"/>
                <w:szCs w:val="19"/>
              </w:rPr>
              <w:t xml:space="preserve">as a period </w:t>
            </w:r>
            <w:r w:rsidRPr="008818AA">
              <w:rPr>
                <w:rFonts w:cstheme="minorHAnsi"/>
                <w:b/>
                <w:color w:val="1C8243"/>
                <w:sz w:val="20"/>
                <w:szCs w:val="19"/>
              </w:rPr>
              <w:t>to build resilience and social and emotional coping skills</w:t>
            </w:r>
          </w:p>
        </w:tc>
        <w:tc>
          <w:tcPr>
            <w:tcW w:w="3676" w:type="pct"/>
            <w:tcBorders>
              <w:top w:val="single" w:sz="4" w:space="0" w:color="318843"/>
              <w:bottom w:val="single" w:sz="4" w:space="0" w:color="318843"/>
            </w:tcBorders>
            <w:shd w:val="clear" w:color="auto" w:fill="auto"/>
          </w:tcPr>
          <w:p w14:paraId="42161D45"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Continue to support the roll out, evaluation, continuous improvement and appropriate scale up</w:t>
            </w:r>
            <w:r>
              <w:rPr>
                <w:sz w:val="20"/>
                <w:szCs w:val="20"/>
              </w:rPr>
              <w:t xml:space="preserve"> </w:t>
            </w:r>
            <w:r w:rsidRPr="008818AA">
              <w:rPr>
                <w:sz w:val="20"/>
                <w:szCs w:val="20"/>
              </w:rPr>
              <w:t xml:space="preserve">of evidence-based social and emotional learning programs in schools and other settings, including the implementation of the </w:t>
            </w:r>
            <w:r w:rsidRPr="008818AA">
              <w:rPr>
                <w:i/>
                <w:sz w:val="20"/>
                <w:szCs w:val="20"/>
              </w:rPr>
              <w:t>Be You</w:t>
            </w:r>
            <w:r w:rsidRPr="008818AA">
              <w:rPr>
                <w:sz w:val="20"/>
                <w:szCs w:val="20"/>
              </w:rPr>
              <w:t xml:space="preserve"> program</w:t>
            </w:r>
            <w:r w:rsidRPr="008818AA">
              <w:rPr>
                <w:sz w:val="20"/>
                <w:szCs w:val="20"/>
                <w:vertAlign w:val="superscript"/>
              </w:rPr>
              <w:endnoteReference w:id="157"/>
            </w:r>
          </w:p>
          <w:p w14:paraId="656DB39C"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Identify at-risk children for additional targeted support during the transition from primary to secondary school</w:t>
            </w:r>
          </w:p>
          <w:p w14:paraId="3C9055D1"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Support the implementation and systems-level adoption of evidenced</w:t>
            </w:r>
            <w:r>
              <w:rPr>
                <w:sz w:val="20"/>
                <w:szCs w:val="20"/>
              </w:rPr>
              <w:t>-b</w:t>
            </w:r>
            <w:r w:rsidRPr="008818AA">
              <w:rPr>
                <w:sz w:val="20"/>
                <w:szCs w:val="20"/>
              </w:rPr>
              <w:t xml:space="preserve">ased mental health prevention programs, by focusing on practice translation in schools and provision of appropriate support for </w:t>
            </w:r>
            <w:r>
              <w:rPr>
                <w:sz w:val="20"/>
                <w:szCs w:val="20"/>
              </w:rPr>
              <w:t>staff</w:t>
            </w:r>
          </w:p>
          <w:p w14:paraId="08390D38"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 xml:space="preserve">Promote and enhance support of non-school based safe spaces for young people, such as </w:t>
            </w:r>
            <w:r w:rsidRPr="008818AA">
              <w:rPr>
                <w:i/>
                <w:sz w:val="20"/>
                <w:szCs w:val="20"/>
              </w:rPr>
              <w:t>Headspace</w:t>
            </w:r>
            <w:r w:rsidRPr="008818AA">
              <w:rPr>
                <w:sz w:val="20"/>
                <w:szCs w:val="20"/>
              </w:rPr>
              <w:t xml:space="preserve"> or </w:t>
            </w:r>
            <w:r w:rsidRPr="008818AA">
              <w:rPr>
                <w:i/>
                <w:sz w:val="20"/>
                <w:szCs w:val="20"/>
              </w:rPr>
              <w:t>Reach</w:t>
            </w:r>
            <w:r w:rsidRPr="008818AA">
              <w:rPr>
                <w:sz w:val="20"/>
                <w:szCs w:val="20"/>
              </w:rPr>
              <w:t xml:space="preserve">, to provide access to alternative non-school based resources and services </w:t>
            </w:r>
          </w:p>
          <w:p w14:paraId="0FBCCC1A" w14:textId="77777777" w:rsidR="008818AA" w:rsidRPr="008818AA" w:rsidRDefault="008818AA" w:rsidP="008818AA">
            <w:pPr>
              <w:pStyle w:val="ListParagraph"/>
              <w:numPr>
                <w:ilvl w:val="0"/>
                <w:numId w:val="39"/>
              </w:numPr>
              <w:spacing w:before="60" w:after="60"/>
              <w:ind w:left="323" w:hanging="323"/>
              <w:contextualSpacing w:val="0"/>
              <w:rPr>
                <w:sz w:val="20"/>
                <w:szCs w:val="20"/>
              </w:rPr>
            </w:pPr>
            <w:r w:rsidRPr="008818AA">
              <w:rPr>
                <w:sz w:val="20"/>
                <w:szCs w:val="20"/>
              </w:rPr>
              <w:t>Trial and evaluate strategies based on digital technologies to assist remote children to become socially competent</w:t>
            </w:r>
          </w:p>
          <w:p w14:paraId="58EEC21B" w14:textId="77777777" w:rsidR="008818AA" w:rsidRPr="008818AA" w:rsidRDefault="00945B82" w:rsidP="00972EE4">
            <w:pPr>
              <w:pStyle w:val="ListParagraph"/>
              <w:numPr>
                <w:ilvl w:val="0"/>
                <w:numId w:val="39"/>
              </w:numPr>
              <w:spacing w:before="60" w:after="60"/>
              <w:ind w:left="323" w:hanging="323"/>
              <w:contextualSpacing w:val="0"/>
              <w:rPr>
                <w:sz w:val="20"/>
                <w:szCs w:val="20"/>
              </w:rPr>
            </w:pPr>
            <w:r>
              <w:rPr>
                <w:sz w:val="20"/>
                <w:szCs w:val="20"/>
                <w:lang w:val="en-GB"/>
              </w:rPr>
              <w:t>Build</w:t>
            </w:r>
            <w:r w:rsidR="008818AA" w:rsidRPr="008818AA">
              <w:rPr>
                <w:sz w:val="20"/>
                <w:szCs w:val="20"/>
                <w:lang w:val="en-GB"/>
              </w:rPr>
              <w:t xml:space="preserve"> knowledge </w:t>
            </w:r>
            <w:r w:rsidR="00972EE4">
              <w:rPr>
                <w:sz w:val="20"/>
                <w:szCs w:val="20"/>
                <w:lang w:val="en-GB"/>
              </w:rPr>
              <w:t>of</w:t>
            </w:r>
            <w:r w:rsidR="008818AA" w:rsidRPr="008818AA">
              <w:rPr>
                <w:sz w:val="20"/>
                <w:szCs w:val="20"/>
                <w:lang w:val="en-GB"/>
              </w:rPr>
              <w:t xml:space="preserve"> development in the middle years, drawing on the latest research to inform health providers</w:t>
            </w:r>
            <w:r w:rsidR="00972EE4">
              <w:rPr>
                <w:sz w:val="20"/>
                <w:szCs w:val="20"/>
                <w:lang w:val="en-GB"/>
              </w:rPr>
              <w:t xml:space="preserve"> and professionals and</w:t>
            </w:r>
            <w:r w:rsidR="008818AA" w:rsidRPr="008818AA">
              <w:rPr>
                <w:sz w:val="20"/>
                <w:szCs w:val="20"/>
                <w:lang w:val="en-GB"/>
              </w:rPr>
              <w:t xml:space="preserve"> </w:t>
            </w:r>
            <w:r w:rsidR="00972EE4">
              <w:rPr>
                <w:sz w:val="20"/>
                <w:szCs w:val="20"/>
                <w:lang w:val="en-GB"/>
              </w:rPr>
              <w:t>teachers.</w:t>
            </w:r>
          </w:p>
        </w:tc>
      </w:tr>
      <w:tr w:rsidR="00945B82" w:rsidRPr="00CC575A" w14:paraId="2F92D78E" w14:textId="77777777" w:rsidTr="00D72F29">
        <w:trPr>
          <w:cantSplit/>
        </w:trPr>
        <w:tc>
          <w:tcPr>
            <w:tcW w:w="1324" w:type="pct"/>
            <w:tcBorders>
              <w:top w:val="single" w:sz="4" w:space="0" w:color="318843"/>
              <w:bottom w:val="single" w:sz="4" w:space="0" w:color="318843"/>
            </w:tcBorders>
            <w:shd w:val="clear" w:color="auto" w:fill="auto"/>
          </w:tcPr>
          <w:p w14:paraId="4D4FA2ED" w14:textId="77777777" w:rsidR="00945B82" w:rsidRPr="008818AA" w:rsidRDefault="00945B82" w:rsidP="008818AA">
            <w:pPr>
              <w:spacing w:before="60"/>
              <w:rPr>
                <w:rFonts w:cstheme="minorHAnsi"/>
                <w:b/>
                <w:color w:val="1C8243"/>
                <w:sz w:val="20"/>
                <w:szCs w:val="19"/>
              </w:rPr>
            </w:pPr>
            <w:r w:rsidRPr="00945B82">
              <w:rPr>
                <w:rFonts w:cstheme="minorHAnsi"/>
                <w:b/>
                <w:color w:val="1C8243"/>
                <w:sz w:val="20"/>
                <w:szCs w:val="19"/>
              </w:rPr>
              <w:t>Support transitions and risks during all life stages and across the life course, including adolescence and into adulthood</w:t>
            </w:r>
          </w:p>
        </w:tc>
        <w:tc>
          <w:tcPr>
            <w:tcW w:w="3676" w:type="pct"/>
            <w:tcBorders>
              <w:top w:val="single" w:sz="4" w:space="0" w:color="318843"/>
              <w:bottom w:val="single" w:sz="4" w:space="0" w:color="318843"/>
            </w:tcBorders>
            <w:shd w:val="clear" w:color="auto" w:fill="auto"/>
          </w:tcPr>
          <w:p w14:paraId="032A47E7"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Consider how mental health support for every child and young person can be delivered through a better-connected national system of services, to build resilience and prevent anxiety and depression from the early years on, across each transition, and into adulthood</w:t>
            </w:r>
          </w:p>
          <w:p w14:paraId="08150851"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Promote and support evidenced-based school wellbeing education and interventions, including the implementation of </w:t>
            </w:r>
            <w:r w:rsidRPr="00945B82">
              <w:rPr>
                <w:i/>
                <w:sz w:val="20"/>
                <w:szCs w:val="20"/>
              </w:rPr>
              <w:t>Be You</w:t>
            </w:r>
            <w:r w:rsidRPr="00945B82">
              <w:rPr>
                <w:sz w:val="20"/>
                <w:szCs w:val="20"/>
              </w:rPr>
              <w:t xml:space="preserve"> and other behavioural, emotional, and life skill programs</w:t>
            </w:r>
          </w:p>
          <w:p w14:paraId="29ECC307"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Consider the expansion of mentoring programs (e.g. </w:t>
            </w:r>
            <w:r w:rsidRPr="00945B82">
              <w:rPr>
                <w:i/>
                <w:sz w:val="20"/>
                <w:szCs w:val="20"/>
              </w:rPr>
              <w:t>Big Brother, Big Sister</w:t>
            </w:r>
            <w:r w:rsidRPr="00945B82">
              <w:rPr>
                <w:sz w:val="20"/>
                <w:szCs w:val="20"/>
              </w:rPr>
              <w:t xml:space="preserve"> and similar programs) to better meet the needs of young people who are socially and emotionally vulnerable or isolated</w:t>
            </w:r>
            <w:r w:rsidRPr="00945B82">
              <w:rPr>
                <w:sz w:val="20"/>
                <w:szCs w:val="20"/>
                <w:vertAlign w:val="superscript"/>
              </w:rPr>
              <w:endnoteReference w:id="158"/>
            </w:r>
            <w:r w:rsidRPr="00945B82">
              <w:rPr>
                <w:sz w:val="20"/>
                <w:szCs w:val="20"/>
              </w:rPr>
              <w:t xml:space="preserve">  </w:t>
            </w:r>
          </w:p>
          <w:p w14:paraId="7B02A578"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Address transition and continuity of care from childhood health services to adulthood, especially for those at-risk or disengaged, including young people in out of home care, in the juvenile justice system, and homeless</w:t>
            </w:r>
          </w:p>
        </w:tc>
      </w:tr>
      <w:tr w:rsidR="00945B82" w:rsidRPr="00CC575A" w14:paraId="07BEEE85" w14:textId="77777777" w:rsidTr="00D72F29">
        <w:trPr>
          <w:cantSplit/>
        </w:trPr>
        <w:tc>
          <w:tcPr>
            <w:tcW w:w="1324" w:type="pct"/>
            <w:tcBorders>
              <w:top w:val="single" w:sz="4" w:space="0" w:color="318843"/>
              <w:bottom w:val="single" w:sz="4" w:space="0" w:color="318843"/>
            </w:tcBorders>
            <w:shd w:val="clear" w:color="auto" w:fill="auto"/>
          </w:tcPr>
          <w:p w14:paraId="2F64347C" w14:textId="77777777" w:rsidR="00945B82" w:rsidRPr="00945B82" w:rsidRDefault="00945B82" w:rsidP="008818AA">
            <w:pPr>
              <w:spacing w:before="60"/>
              <w:rPr>
                <w:rFonts w:cstheme="minorHAnsi"/>
                <w:b/>
                <w:color w:val="1C8243"/>
                <w:sz w:val="20"/>
                <w:szCs w:val="19"/>
              </w:rPr>
            </w:pPr>
            <w:r w:rsidRPr="00945B82">
              <w:rPr>
                <w:rFonts w:cstheme="minorHAnsi"/>
                <w:b/>
                <w:color w:val="1C8243"/>
                <w:sz w:val="20"/>
                <w:szCs w:val="19"/>
              </w:rPr>
              <w:t>Strengthen the tailoring, appropriateness and impact of suicide prevention strategies</w:t>
            </w:r>
          </w:p>
        </w:tc>
        <w:tc>
          <w:tcPr>
            <w:tcW w:w="3676" w:type="pct"/>
            <w:tcBorders>
              <w:top w:val="single" w:sz="4" w:space="0" w:color="318843"/>
              <w:bottom w:val="single" w:sz="4" w:space="0" w:color="318843"/>
            </w:tcBorders>
            <w:shd w:val="clear" w:color="auto" w:fill="auto"/>
          </w:tcPr>
          <w:p w14:paraId="323E40FB"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Consider a systems approach to suicide prevention, where a range of evidenc</w:t>
            </w:r>
            <w:r w:rsidR="00D21446">
              <w:rPr>
                <w:sz w:val="20"/>
                <w:szCs w:val="20"/>
              </w:rPr>
              <w:t>ed-</w:t>
            </w:r>
            <w:r w:rsidRPr="00945B82">
              <w:rPr>
                <w:sz w:val="20"/>
                <w:szCs w:val="20"/>
              </w:rPr>
              <w:t>based strategies can be implemented simultaneously and be integrated and connected for greater impact in local areas</w:t>
            </w:r>
            <w:r w:rsidRPr="00945B82">
              <w:rPr>
                <w:sz w:val="20"/>
                <w:szCs w:val="20"/>
                <w:vertAlign w:val="superscript"/>
              </w:rPr>
              <w:endnoteReference w:id="159"/>
            </w:r>
            <w:r w:rsidRPr="00945B82">
              <w:rPr>
                <w:sz w:val="20"/>
                <w:szCs w:val="20"/>
                <w:vertAlign w:val="superscript"/>
              </w:rPr>
              <w:t xml:space="preserve">  </w:t>
            </w:r>
          </w:p>
          <w:p w14:paraId="194F9F0C"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Increase access to age-appropriate and culturally sensitive suicide prevention programs for Aboriginal and Torres Strait Islander children, in close proximity to community </w:t>
            </w:r>
          </w:p>
          <w:p w14:paraId="1E955C3D"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Work to increase access to evidenced-based suicide prevention programs, for all children and young people, particularly in rural and remote areas</w:t>
            </w:r>
          </w:p>
          <w:p w14:paraId="63005192"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Work with diverse young people, and those in key priority population</w:t>
            </w:r>
            <w:r>
              <w:rPr>
                <w:sz w:val="20"/>
                <w:szCs w:val="20"/>
              </w:rPr>
              <w:t>s,</w:t>
            </w:r>
            <w:r w:rsidRPr="00945B82">
              <w:rPr>
                <w:sz w:val="20"/>
                <w:szCs w:val="20"/>
              </w:rPr>
              <w:t xml:space="preserve"> to better tailor programs to meet the needs of different groups and ensure that they reflect the help seeking behaviours of different cultures and genders</w:t>
            </w:r>
          </w:p>
          <w:p w14:paraId="1E463DD6"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lang w:val="en-GB"/>
              </w:rPr>
              <w:t>Conduct further research to address gaps that exist in the conduct of youth focused and youth friendly suicide prevention research</w:t>
            </w:r>
            <w:r w:rsidRPr="00945B82">
              <w:rPr>
                <w:sz w:val="20"/>
                <w:szCs w:val="20"/>
                <w:vertAlign w:val="superscript"/>
                <w:lang w:val="en-GB"/>
              </w:rPr>
              <w:endnoteReference w:id="160"/>
            </w:r>
          </w:p>
        </w:tc>
      </w:tr>
      <w:tr w:rsidR="00945B82" w:rsidRPr="00CC575A" w14:paraId="0290AFE6" w14:textId="77777777" w:rsidTr="00D72F29">
        <w:trPr>
          <w:cantSplit/>
        </w:trPr>
        <w:tc>
          <w:tcPr>
            <w:tcW w:w="1324" w:type="pct"/>
            <w:tcBorders>
              <w:top w:val="single" w:sz="4" w:space="0" w:color="318843"/>
              <w:bottom w:val="single" w:sz="4" w:space="0" w:color="318843"/>
            </w:tcBorders>
            <w:shd w:val="clear" w:color="auto" w:fill="auto"/>
          </w:tcPr>
          <w:p w14:paraId="42D12B80" w14:textId="77777777" w:rsidR="00945B82" w:rsidRPr="00945B82" w:rsidRDefault="00945B82" w:rsidP="00506ED6">
            <w:pPr>
              <w:spacing w:before="60"/>
              <w:rPr>
                <w:rFonts w:cstheme="minorHAnsi"/>
                <w:b/>
                <w:color w:val="1C8243"/>
                <w:sz w:val="20"/>
                <w:szCs w:val="19"/>
              </w:rPr>
            </w:pPr>
            <w:r w:rsidRPr="00945B82">
              <w:rPr>
                <w:rFonts w:cstheme="minorHAnsi"/>
                <w:b/>
                <w:color w:val="1C8243"/>
                <w:sz w:val="20"/>
                <w:szCs w:val="19"/>
              </w:rPr>
              <w:t xml:space="preserve">Address heightened prevalence </w:t>
            </w:r>
            <w:r>
              <w:rPr>
                <w:rFonts w:cstheme="minorHAnsi"/>
                <w:b/>
                <w:color w:val="1C8243"/>
                <w:sz w:val="20"/>
                <w:szCs w:val="19"/>
              </w:rPr>
              <w:t xml:space="preserve">of mental health conditions </w:t>
            </w:r>
            <w:r w:rsidRPr="00945B82">
              <w:rPr>
                <w:rFonts w:cstheme="minorHAnsi"/>
                <w:b/>
                <w:color w:val="1C8243"/>
                <w:sz w:val="20"/>
                <w:szCs w:val="19"/>
              </w:rPr>
              <w:t>among LGBTI+ children and young people</w:t>
            </w:r>
          </w:p>
        </w:tc>
        <w:tc>
          <w:tcPr>
            <w:tcW w:w="3676" w:type="pct"/>
            <w:tcBorders>
              <w:top w:val="single" w:sz="4" w:space="0" w:color="318843"/>
              <w:bottom w:val="single" w:sz="4" w:space="0" w:color="318843"/>
            </w:tcBorders>
            <w:shd w:val="clear" w:color="auto" w:fill="auto"/>
          </w:tcPr>
          <w:p w14:paraId="6D7E9667"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Engage in greater research and consultation to investigate specific influences, experiences and needs of LGBTI+ children and young people in relation to their mental health and wellbeing</w:t>
            </w:r>
          </w:p>
          <w:p w14:paraId="2C5CE382" w14:textId="77777777" w:rsidR="00945B82" w:rsidRPr="00945B82" w:rsidRDefault="00945B82" w:rsidP="00506ED6">
            <w:pPr>
              <w:pStyle w:val="ListParagraph"/>
              <w:numPr>
                <w:ilvl w:val="0"/>
                <w:numId w:val="39"/>
              </w:numPr>
              <w:spacing w:before="60" w:after="60"/>
              <w:ind w:left="323" w:hanging="323"/>
              <w:contextualSpacing w:val="0"/>
              <w:rPr>
                <w:sz w:val="20"/>
                <w:szCs w:val="20"/>
              </w:rPr>
            </w:pPr>
            <w:r w:rsidRPr="00945B82">
              <w:rPr>
                <w:sz w:val="20"/>
                <w:szCs w:val="20"/>
                <w:lang w:val="en-GB"/>
              </w:rPr>
              <w:t>Develop frameworks and approaches for proactive inclusion and specialisation in mental health services for LGBTI+ children and young people, including in prevention and crisis-intervention</w:t>
            </w:r>
          </w:p>
        </w:tc>
      </w:tr>
      <w:tr w:rsidR="00945B82" w:rsidRPr="00CC575A" w14:paraId="76DA1248" w14:textId="77777777" w:rsidTr="00D72F29">
        <w:trPr>
          <w:cantSplit/>
        </w:trPr>
        <w:tc>
          <w:tcPr>
            <w:tcW w:w="1324" w:type="pct"/>
            <w:tcBorders>
              <w:top w:val="single" w:sz="4" w:space="0" w:color="318843"/>
              <w:bottom w:val="single" w:sz="4" w:space="0" w:color="318843"/>
            </w:tcBorders>
            <w:shd w:val="clear" w:color="auto" w:fill="auto"/>
          </w:tcPr>
          <w:p w14:paraId="03B8AA7A" w14:textId="77777777" w:rsidR="00945B82" w:rsidRPr="00945B82" w:rsidRDefault="00945B82" w:rsidP="008818AA">
            <w:pPr>
              <w:spacing w:before="60"/>
              <w:rPr>
                <w:rFonts w:cstheme="minorHAnsi"/>
                <w:b/>
                <w:color w:val="1C8243"/>
                <w:sz w:val="20"/>
                <w:szCs w:val="19"/>
              </w:rPr>
            </w:pPr>
            <w:r w:rsidRPr="00945B82">
              <w:rPr>
                <w:rFonts w:cstheme="minorHAnsi"/>
                <w:b/>
                <w:color w:val="1C8243"/>
                <w:sz w:val="20"/>
                <w:szCs w:val="19"/>
              </w:rPr>
              <w:t xml:space="preserve">Work </w:t>
            </w:r>
            <w:r>
              <w:rPr>
                <w:rFonts w:cstheme="minorHAnsi"/>
                <w:b/>
                <w:color w:val="1C8243"/>
                <w:sz w:val="20"/>
                <w:szCs w:val="19"/>
              </w:rPr>
              <w:t xml:space="preserve">with partners </w:t>
            </w:r>
            <w:r w:rsidRPr="00945B82">
              <w:rPr>
                <w:rFonts w:cstheme="minorHAnsi"/>
                <w:b/>
                <w:color w:val="1C8243"/>
                <w:sz w:val="20"/>
                <w:szCs w:val="19"/>
              </w:rPr>
              <w:t>to foster supportive communities for mental health</w:t>
            </w:r>
          </w:p>
        </w:tc>
        <w:tc>
          <w:tcPr>
            <w:tcW w:w="3676" w:type="pct"/>
            <w:tcBorders>
              <w:top w:val="single" w:sz="4" w:space="0" w:color="318843"/>
              <w:bottom w:val="single" w:sz="4" w:space="0" w:color="318843"/>
            </w:tcBorders>
            <w:shd w:val="clear" w:color="auto" w:fill="auto"/>
          </w:tcPr>
          <w:p w14:paraId="5E70CC55"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Embed strategies from the </w:t>
            </w:r>
            <w:r w:rsidRPr="00945B82">
              <w:rPr>
                <w:i/>
                <w:sz w:val="20"/>
                <w:szCs w:val="20"/>
              </w:rPr>
              <w:t>Roadmap for National Mental Health reform 2012-2022</w:t>
            </w:r>
            <w:r w:rsidRPr="00945B82">
              <w:rPr>
                <w:sz w:val="20"/>
                <w:szCs w:val="20"/>
              </w:rPr>
              <w:t xml:space="preserve"> in relation to community awareness, acceptance, mental health literacy, and capacity-building related to mental health conditions in childhood and youth</w:t>
            </w:r>
            <w:r w:rsidRPr="00945B82">
              <w:rPr>
                <w:sz w:val="20"/>
                <w:szCs w:val="20"/>
                <w:vertAlign w:val="superscript"/>
              </w:rPr>
              <w:endnoteReference w:id="161"/>
            </w:r>
          </w:p>
          <w:p w14:paraId="285BCAB0"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Collaborate with existing early learning institutions and schools to strengthen early education and promote opportunities to screen children and young people who may be at high-risk</w:t>
            </w:r>
          </w:p>
          <w:p w14:paraId="647B891E"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Support an expansion of community mental health services to focus on diagnosis, early intervention and integration of services</w:t>
            </w:r>
          </w:p>
          <w:p w14:paraId="7248332A"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Foster </w:t>
            </w:r>
            <w:r>
              <w:rPr>
                <w:sz w:val="20"/>
                <w:szCs w:val="20"/>
              </w:rPr>
              <w:t xml:space="preserve">further </w:t>
            </w:r>
            <w:r w:rsidRPr="00945B82">
              <w:rPr>
                <w:sz w:val="20"/>
                <w:szCs w:val="20"/>
              </w:rPr>
              <w:t xml:space="preserve">community initiatives promoting physical activity and sports as a means of developing resilience and positive mental </w:t>
            </w:r>
            <w:r>
              <w:rPr>
                <w:sz w:val="20"/>
                <w:szCs w:val="20"/>
              </w:rPr>
              <w:t>wellbeing</w:t>
            </w:r>
          </w:p>
          <w:p w14:paraId="56DFC858"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Further trial the role of digital technologies in reaching and servicing children and young people’s mental health needs</w:t>
            </w:r>
          </w:p>
          <w:p w14:paraId="6215BBFF"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lang w:val="en-GB"/>
              </w:rPr>
              <w:t>Better equip peers and friends to be a source of advice and support for children and young people experiencing mental health conditions</w:t>
            </w:r>
          </w:p>
        </w:tc>
      </w:tr>
      <w:tr w:rsidR="00945B82" w:rsidRPr="00CC575A" w14:paraId="0D0E392C" w14:textId="77777777" w:rsidTr="00D72F29">
        <w:trPr>
          <w:cantSplit/>
        </w:trPr>
        <w:tc>
          <w:tcPr>
            <w:tcW w:w="1324" w:type="pct"/>
            <w:tcBorders>
              <w:top w:val="single" w:sz="4" w:space="0" w:color="318843"/>
              <w:bottom w:val="single" w:sz="4" w:space="0" w:color="318843"/>
            </w:tcBorders>
            <w:shd w:val="clear" w:color="auto" w:fill="auto"/>
          </w:tcPr>
          <w:p w14:paraId="26FC3C89" w14:textId="77777777" w:rsidR="00945B82" w:rsidRPr="00945B82" w:rsidRDefault="00945B82" w:rsidP="008818AA">
            <w:pPr>
              <w:spacing w:before="60"/>
              <w:rPr>
                <w:rFonts w:cstheme="minorHAnsi"/>
                <w:b/>
                <w:color w:val="1C8243"/>
                <w:sz w:val="20"/>
                <w:szCs w:val="19"/>
              </w:rPr>
            </w:pPr>
            <w:r w:rsidRPr="00945B82">
              <w:rPr>
                <w:rFonts w:cstheme="minorHAnsi"/>
                <w:b/>
                <w:color w:val="1C8243"/>
                <w:sz w:val="20"/>
                <w:szCs w:val="19"/>
              </w:rPr>
              <w:t>Maintain and evolve education and health promotion in relation to risky behaviours</w:t>
            </w:r>
          </w:p>
        </w:tc>
        <w:tc>
          <w:tcPr>
            <w:tcW w:w="3676" w:type="pct"/>
            <w:tcBorders>
              <w:top w:val="single" w:sz="4" w:space="0" w:color="318843"/>
              <w:bottom w:val="single" w:sz="4" w:space="0" w:color="318843"/>
            </w:tcBorders>
            <w:shd w:val="clear" w:color="auto" w:fill="auto"/>
          </w:tcPr>
          <w:p w14:paraId="35AB084C"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Embed strategies from the </w:t>
            </w:r>
            <w:r w:rsidRPr="00945B82">
              <w:rPr>
                <w:i/>
                <w:sz w:val="20"/>
                <w:szCs w:val="20"/>
              </w:rPr>
              <w:t>National Alcohol Strategy 2018-2026</w:t>
            </w:r>
            <w:r w:rsidRPr="00945B82">
              <w:rPr>
                <w:sz w:val="20"/>
                <w:szCs w:val="20"/>
              </w:rPr>
              <w:t xml:space="preserve"> and </w:t>
            </w:r>
            <w:r w:rsidRPr="00945B82">
              <w:rPr>
                <w:i/>
                <w:sz w:val="20"/>
                <w:szCs w:val="20"/>
              </w:rPr>
              <w:t>National Drug Strategy 2017-2026</w:t>
            </w:r>
            <w:r w:rsidRPr="00945B82">
              <w:rPr>
                <w:sz w:val="20"/>
                <w:szCs w:val="20"/>
              </w:rPr>
              <w:t xml:space="preserve"> concerned with substance misuse among young Australians</w:t>
            </w:r>
            <w:r w:rsidRPr="00945B82">
              <w:rPr>
                <w:sz w:val="20"/>
                <w:szCs w:val="20"/>
                <w:vertAlign w:val="superscript"/>
              </w:rPr>
              <w:endnoteReference w:id="162"/>
            </w:r>
            <w:r>
              <w:rPr>
                <w:sz w:val="20"/>
                <w:szCs w:val="20"/>
              </w:rPr>
              <w:t xml:space="preserve"> </w:t>
            </w:r>
            <w:r w:rsidRPr="00945B82">
              <w:rPr>
                <w:sz w:val="20"/>
                <w:szCs w:val="20"/>
                <w:vertAlign w:val="superscript"/>
              </w:rPr>
              <w:endnoteReference w:id="163"/>
            </w:r>
          </w:p>
          <w:p w14:paraId="7D6A0BBF"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 xml:space="preserve">Explore development of population level initiatives and campaigns to address social norms and behaviours related to alcohol consumption in </w:t>
            </w:r>
            <w:r>
              <w:rPr>
                <w:sz w:val="20"/>
                <w:szCs w:val="20"/>
              </w:rPr>
              <w:t xml:space="preserve">the </w:t>
            </w:r>
            <w:r w:rsidRPr="00945B82">
              <w:rPr>
                <w:sz w:val="20"/>
                <w:szCs w:val="20"/>
              </w:rPr>
              <w:t>Australia</w:t>
            </w:r>
            <w:r>
              <w:rPr>
                <w:sz w:val="20"/>
                <w:szCs w:val="20"/>
              </w:rPr>
              <w:t>n community</w:t>
            </w:r>
          </w:p>
          <w:p w14:paraId="68518ACE"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Raise awareness of the impacts of substance misuse on the developing adolescent brain</w:t>
            </w:r>
          </w:p>
          <w:p w14:paraId="1B46FABF"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lang w:val="en-GB"/>
              </w:rPr>
              <w:t>Maintain and support school-based and community-based health promotion activities in relation to risky behaviours</w:t>
            </w:r>
          </w:p>
        </w:tc>
      </w:tr>
      <w:tr w:rsidR="00945B82" w:rsidRPr="00CC575A" w14:paraId="7136AEB2" w14:textId="77777777" w:rsidTr="00D72F29">
        <w:trPr>
          <w:cantSplit/>
        </w:trPr>
        <w:tc>
          <w:tcPr>
            <w:tcW w:w="1324" w:type="pct"/>
            <w:tcBorders>
              <w:top w:val="single" w:sz="4" w:space="0" w:color="318843"/>
              <w:bottom w:val="single" w:sz="4" w:space="0" w:color="318843"/>
            </w:tcBorders>
            <w:shd w:val="clear" w:color="auto" w:fill="auto"/>
          </w:tcPr>
          <w:p w14:paraId="75B400E8" w14:textId="77777777" w:rsidR="00945B82" w:rsidRPr="00945B82" w:rsidRDefault="00945B82" w:rsidP="008818AA">
            <w:pPr>
              <w:spacing w:before="60"/>
              <w:rPr>
                <w:rFonts w:cstheme="minorHAnsi"/>
                <w:b/>
                <w:color w:val="1C8243"/>
                <w:sz w:val="20"/>
                <w:szCs w:val="19"/>
              </w:rPr>
            </w:pPr>
            <w:r w:rsidRPr="00945B82">
              <w:rPr>
                <w:rFonts w:cstheme="minorHAnsi"/>
                <w:b/>
                <w:color w:val="1C8243"/>
                <w:sz w:val="20"/>
                <w:szCs w:val="19"/>
              </w:rPr>
              <w:t>Support respectful relationships and good sexual health</w:t>
            </w:r>
          </w:p>
        </w:tc>
        <w:tc>
          <w:tcPr>
            <w:tcW w:w="3676" w:type="pct"/>
            <w:tcBorders>
              <w:top w:val="single" w:sz="4" w:space="0" w:color="318843"/>
              <w:bottom w:val="single" w:sz="4" w:space="0" w:color="318843"/>
            </w:tcBorders>
            <w:shd w:val="clear" w:color="auto" w:fill="auto"/>
          </w:tcPr>
          <w:p w14:paraId="1593BFC4"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Work to update and harmonise delivery of sex education information, resources and tools implemented in schools, community, and health settings across Australia</w:t>
            </w:r>
          </w:p>
          <w:p w14:paraId="603082DD" w14:textId="77777777" w:rsidR="0039451B" w:rsidRPr="00945B82" w:rsidRDefault="0039451B" w:rsidP="0039451B">
            <w:pPr>
              <w:pStyle w:val="ListParagraph"/>
              <w:numPr>
                <w:ilvl w:val="0"/>
                <w:numId w:val="39"/>
              </w:numPr>
              <w:spacing w:before="60" w:after="60"/>
              <w:ind w:left="323" w:hanging="323"/>
              <w:contextualSpacing w:val="0"/>
              <w:rPr>
                <w:sz w:val="20"/>
                <w:szCs w:val="20"/>
              </w:rPr>
            </w:pPr>
            <w:r w:rsidRPr="00945B82">
              <w:rPr>
                <w:sz w:val="20"/>
                <w:szCs w:val="20"/>
              </w:rPr>
              <w:t>Support health promotion programs for schools where access to centralised sexual health services is known to be difficult</w:t>
            </w:r>
          </w:p>
          <w:p w14:paraId="40194F1F" w14:textId="77777777" w:rsidR="0039451B" w:rsidRPr="00945B82" w:rsidRDefault="0039451B" w:rsidP="0039451B">
            <w:pPr>
              <w:pStyle w:val="ListParagraph"/>
              <w:numPr>
                <w:ilvl w:val="0"/>
                <w:numId w:val="39"/>
              </w:numPr>
              <w:spacing w:before="60" w:after="60"/>
              <w:ind w:left="323" w:hanging="323"/>
              <w:contextualSpacing w:val="0"/>
              <w:rPr>
                <w:sz w:val="20"/>
                <w:szCs w:val="20"/>
              </w:rPr>
            </w:pPr>
            <w:r w:rsidRPr="00945B82">
              <w:rPr>
                <w:sz w:val="20"/>
                <w:szCs w:val="20"/>
              </w:rPr>
              <w:t xml:space="preserve">Promote targeted interventions for children and young people identified at-risk of poor sexual health </w:t>
            </w:r>
          </w:p>
          <w:p w14:paraId="25FD3540" w14:textId="77777777" w:rsid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rPr>
              <w:t>Collaborate with other agencies and organisations to develop consistent frameworks and practical resources for respectful relationships education which can be delivered in multiple settings</w:t>
            </w:r>
          </w:p>
          <w:p w14:paraId="7DF09BAF" w14:textId="77777777" w:rsidR="0039451B" w:rsidRPr="00945B82" w:rsidRDefault="0039451B" w:rsidP="0039451B">
            <w:pPr>
              <w:pStyle w:val="ListParagraph"/>
              <w:numPr>
                <w:ilvl w:val="0"/>
                <w:numId w:val="39"/>
              </w:numPr>
              <w:spacing w:before="60" w:after="60"/>
              <w:ind w:left="323" w:hanging="323"/>
              <w:contextualSpacing w:val="0"/>
              <w:rPr>
                <w:sz w:val="20"/>
                <w:szCs w:val="20"/>
              </w:rPr>
            </w:pPr>
            <w:r w:rsidRPr="00945B82">
              <w:rPr>
                <w:sz w:val="20"/>
                <w:szCs w:val="20"/>
              </w:rPr>
              <w:t>Develo</w:t>
            </w:r>
            <w:r>
              <w:rPr>
                <w:sz w:val="20"/>
                <w:szCs w:val="20"/>
              </w:rPr>
              <w:t xml:space="preserve">p and </w:t>
            </w:r>
            <w:r w:rsidRPr="00945B82">
              <w:rPr>
                <w:sz w:val="20"/>
                <w:szCs w:val="20"/>
              </w:rPr>
              <w:t xml:space="preserve">implement healthy relationship programs appropriate for each life stage, in ECEC (3-5), primary, secondary and tertiary education settings, which consider changing social media trends </w:t>
            </w:r>
          </w:p>
          <w:p w14:paraId="129174B3" w14:textId="77777777" w:rsidR="00945B82" w:rsidRPr="00945B82" w:rsidRDefault="00945B82" w:rsidP="00945B82">
            <w:pPr>
              <w:pStyle w:val="ListParagraph"/>
              <w:numPr>
                <w:ilvl w:val="0"/>
                <w:numId w:val="39"/>
              </w:numPr>
              <w:spacing w:before="60" w:after="60"/>
              <w:ind w:left="323" w:hanging="323"/>
              <w:contextualSpacing w:val="0"/>
              <w:rPr>
                <w:sz w:val="20"/>
                <w:szCs w:val="20"/>
              </w:rPr>
            </w:pPr>
            <w:r w:rsidRPr="00945B82">
              <w:rPr>
                <w:sz w:val="20"/>
                <w:szCs w:val="20"/>
                <w:lang w:val="en-GB"/>
              </w:rPr>
              <w:t>Develop and refine resources to generate safe and supported conversations around family and domestic violence and sexual abuse</w:t>
            </w:r>
          </w:p>
        </w:tc>
      </w:tr>
      <w:tr w:rsidR="0039451B" w:rsidRPr="00CC575A" w14:paraId="5C100A03" w14:textId="77777777" w:rsidTr="00D72F29">
        <w:trPr>
          <w:cantSplit/>
        </w:trPr>
        <w:tc>
          <w:tcPr>
            <w:tcW w:w="1324" w:type="pct"/>
            <w:tcBorders>
              <w:top w:val="single" w:sz="4" w:space="0" w:color="318843"/>
              <w:bottom w:val="single" w:sz="4" w:space="0" w:color="318843"/>
            </w:tcBorders>
            <w:shd w:val="clear" w:color="auto" w:fill="auto"/>
          </w:tcPr>
          <w:p w14:paraId="59D8E14B" w14:textId="77777777" w:rsidR="0039451B" w:rsidRPr="00945B82" w:rsidRDefault="003F5034" w:rsidP="008818AA">
            <w:pPr>
              <w:spacing w:before="60"/>
              <w:rPr>
                <w:rFonts w:cstheme="minorHAnsi"/>
                <w:b/>
                <w:color w:val="1C8243"/>
                <w:sz w:val="20"/>
                <w:szCs w:val="19"/>
              </w:rPr>
            </w:pPr>
            <w:r>
              <w:rPr>
                <w:rFonts w:cstheme="minorHAnsi"/>
                <w:b/>
                <w:color w:val="1C8243"/>
                <w:sz w:val="20"/>
                <w:szCs w:val="19"/>
              </w:rPr>
              <w:t>Work</w:t>
            </w:r>
            <w:r w:rsidR="0039451B" w:rsidRPr="0039451B">
              <w:rPr>
                <w:rFonts w:cstheme="minorHAnsi"/>
                <w:b/>
                <w:color w:val="1C8243"/>
                <w:sz w:val="20"/>
                <w:szCs w:val="19"/>
              </w:rPr>
              <w:t xml:space="preserve"> with partners to identify and promote effective anti-bullying strategies</w:t>
            </w:r>
          </w:p>
        </w:tc>
        <w:tc>
          <w:tcPr>
            <w:tcW w:w="3676" w:type="pct"/>
            <w:tcBorders>
              <w:top w:val="single" w:sz="4" w:space="0" w:color="318843"/>
              <w:bottom w:val="single" w:sz="4" w:space="0" w:color="318843"/>
            </w:tcBorders>
            <w:shd w:val="clear" w:color="auto" w:fill="auto"/>
          </w:tcPr>
          <w:p w14:paraId="7047D32F" w14:textId="79C014A9" w:rsidR="0039451B" w:rsidRPr="0039451B" w:rsidRDefault="0039451B" w:rsidP="0039451B">
            <w:pPr>
              <w:pStyle w:val="ListParagraph"/>
              <w:numPr>
                <w:ilvl w:val="0"/>
                <w:numId w:val="39"/>
              </w:numPr>
              <w:spacing w:before="60" w:after="60"/>
              <w:ind w:left="323" w:hanging="323"/>
              <w:contextualSpacing w:val="0"/>
              <w:rPr>
                <w:sz w:val="20"/>
                <w:szCs w:val="20"/>
              </w:rPr>
            </w:pPr>
            <w:r w:rsidRPr="0039451B">
              <w:rPr>
                <w:sz w:val="20"/>
                <w:szCs w:val="20"/>
              </w:rPr>
              <w:t xml:space="preserve">Collate and promote ‘what works’ </w:t>
            </w:r>
            <w:r>
              <w:rPr>
                <w:sz w:val="20"/>
                <w:szCs w:val="20"/>
              </w:rPr>
              <w:t>–</w:t>
            </w:r>
            <w:r w:rsidRPr="0039451B">
              <w:rPr>
                <w:sz w:val="20"/>
                <w:szCs w:val="20"/>
              </w:rPr>
              <w:t xml:space="preserve"> including effective implementation and quality practice components – in relation to school-based anti-bullying programs </w:t>
            </w:r>
          </w:p>
          <w:p w14:paraId="0E7DA338" w14:textId="77777777" w:rsidR="0039451B" w:rsidRDefault="0039451B" w:rsidP="0039451B">
            <w:pPr>
              <w:pStyle w:val="ListParagraph"/>
              <w:numPr>
                <w:ilvl w:val="0"/>
                <w:numId w:val="39"/>
              </w:numPr>
              <w:spacing w:before="60" w:after="60"/>
              <w:ind w:left="323" w:hanging="323"/>
              <w:contextualSpacing w:val="0"/>
              <w:rPr>
                <w:sz w:val="20"/>
                <w:szCs w:val="20"/>
              </w:rPr>
            </w:pPr>
            <w:r w:rsidRPr="0039451B">
              <w:rPr>
                <w:sz w:val="20"/>
                <w:szCs w:val="20"/>
              </w:rPr>
              <w:t>Work to challenge attitudes and norms relating to stigmatisation, discrimination and bullying of at-risk groups, including people with disability and LGBTI+ children and young people</w:t>
            </w:r>
          </w:p>
          <w:p w14:paraId="04EB599D" w14:textId="77777777" w:rsidR="008517C5" w:rsidRPr="0039451B" w:rsidRDefault="008517C5" w:rsidP="0039451B">
            <w:pPr>
              <w:pStyle w:val="ListParagraph"/>
              <w:numPr>
                <w:ilvl w:val="0"/>
                <w:numId w:val="39"/>
              </w:numPr>
              <w:spacing w:before="60" w:after="60"/>
              <w:ind w:left="323" w:hanging="323"/>
              <w:contextualSpacing w:val="0"/>
              <w:rPr>
                <w:sz w:val="20"/>
                <w:szCs w:val="20"/>
              </w:rPr>
            </w:pPr>
            <w:r>
              <w:rPr>
                <w:sz w:val="20"/>
                <w:szCs w:val="20"/>
              </w:rPr>
              <w:t>Promote communication and resources to influence bystander attitudes and behaviours in relation to bullying</w:t>
            </w:r>
          </w:p>
          <w:p w14:paraId="53D98D56" w14:textId="77777777" w:rsidR="0039451B" w:rsidRPr="00945B82" w:rsidRDefault="0039451B" w:rsidP="0039451B">
            <w:pPr>
              <w:pStyle w:val="ListParagraph"/>
              <w:numPr>
                <w:ilvl w:val="0"/>
                <w:numId w:val="39"/>
              </w:numPr>
              <w:spacing w:before="60" w:after="60"/>
              <w:ind w:left="323" w:hanging="323"/>
              <w:contextualSpacing w:val="0"/>
              <w:rPr>
                <w:sz w:val="20"/>
                <w:szCs w:val="20"/>
              </w:rPr>
            </w:pPr>
            <w:r w:rsidRPr="0039451B">
              <w:rPr>
                <w:sz w:val="20"/>
                <w:szCs w:val="20"/>
                <w:lang w:val="en-GB"/>
              </w:rPr>
              <w:t>Support and promote the work of the Office of the eSafety commissioner and resources provided for parents, teachers, health professionals and children and young people</w:t>
            </w:r>
          </w:p>
        </w:tc>
      </w:tr>
    </w:tbl>
    <w:p w14:paraId="6E5CF2E6" w14:textId="77777777" w:rsidR="00A85CC8" w:rsidRDefault="008818AA" w:rsidP="00E844FD">
      <w:pPr>
        <w:rPr>
          <w:rFonts w:cstheme="minorHAnsi"/>
          <w:sz w:val="20"/>
          <w:szCs w:val="19"/>
        </w:rPr>
      </w:pPr>
      <w:r>
        <w:rPr>
          <w:rFonts w:cstheme="minorHAnsi"/>
          <w:sz w:val="20"/>
          <w:szCs w:val="19"/>
        </w:rPr>
        <w:tab/>
      </w:r>
    </w:p>
    <w:p w14:paraId="7EDF4B46" w14:textId="77777777" w:rsidR="007329C1" w:rsidRDefault="007329C1">
      <w:pPr>
        <w:spacing w:before="0" w:after="160" w:line="259" w:lineRule="auto"/>
        <w:rPr>
          <w:rFonts w:ascii="Segoe UI Semibold" w:hAnsi="Segoe UI Semibold"/>
          <w:b/>
          <w:color w:val="288843"/>
          <w:sz w:val="28"/>
          <w:szCs w:val="19"/>
          <w:lang w:eastAsia="en-AU"/>
        </w:rPr>
      </w:pPr>
      <w:bookmarkStart w:id="27" w:name="_Hlk4829553"/>
    </w:p>
    <w:p w14:paraId="5757C805" w14:textId="77777777" w:rsidR="008517C5" w:rsidRDefault="008517C5">
      <w:pPr>
        <w:spacing w:before="0" w:after="160" w:line="259" w:lineRule="auto"/>
        <w:rPr>
          <w:rFonts w:ascii="Segoe UI Semibold" w:hAnsi="Segoe UI Semibold"/>
          <w:b/>
          <w:color w:val="288843"/>
          <w:sz w:val="28"/>
          <w:szCs w:val="19"/>
          <w:lang w:eastAsia="en-AU"/>
        </w:rPr>
      </w:pPr>
      <w:r>
        <w:br w:type="page"/>
      </w:r>
    </w:p>
    <w:p w14:paraId="5DA150F0" w14:textId="77777777" w:rsidR="003330B2" w:rsidRDefault="003330B2" w:rsidP="00FE45ED">
      <w:pPr>
        <w:pStyle w:val="Heading2"/>
      </w:pPr>
      <w:bookmarkStart w:id="28" w:name="_Toc5282307"/>
      <w:r>
        <w:t xml:space="preserve">Priority Area 4: </w:t>
      </w:r>
      <w:r w:rsidR="00930C45">
        <w:t>Addressing</w:t>
      </w:r>
      <w:r>
        <w:t xml:space="preserve"> chronic conditions and preventive health</w:t>
      </w:r>
      <w:bookmarkEnd w:id="28"/>
    </w:p>
    <w:bookmarkEnd w:id="27"/>
    <w:p w14:paraId="10AB0153" w14:textId="77777777" w:rsidR="00142A7E" w:rsidRDefault="00FE5723" w:rsidP="004E6087">
      <w:pPr>
        <w:rPr>
          <w:rFonts w:cstheme="minorHAnsi"/>
          <w:sz w:val="20"/>
          <w:szCs w:val="19"/>
        </w:rPr>
      </w:pPr>
      <w:r>
        <w:rPr>
          <w:rFonts w:cstheme="minorHAnsi"/>
          <w:sz w:val="20"/>
          <w:szCs w:val="19"/>
        </w:rPr>
        <w:t xml:space="preserve">Chronic conditions </w:t>
      </w:r>
      <w:r w:rsidR="00AB2C8A">
        <w:rPr>
          <w:rFonts w:cstheme="minorHAnsi"/>
          <w:sz w:val="20"/>
          <w:szCs w:val="19"/>
        </w:rPr>
        <w:t xml:space="preserve">often </w:t>
      </w:r>
      <w:r>
        <w:rPr>
          <w:rFonts w:cstheme="minorHAnsi"/>
          <w:sz w:val="20"/>
          <w:szCs w:val="19"/>
        </w:rPr>
        <w:t xml:space="preserve">emerge in childhood and go on to </w:t>
      </w:r>
      <w:r w:rsidR="00AB2C8A">
        <w:rPr>
          <w:rFonts w:cstheme="minorHAnsi"/>
          <w:sz w:val="20"/>
          <w:szCs w:val="19"/>
        </w:rPr>
        <w:t xml:space="preserve">place a significant health burden on the Australian population. Many of these can be moderated by effective preventive health and early intervention strategies across the life course, starting in the </w:t>
      </w:r>
      <w:r w:rsidR="00CC02D9">
        <w:rPr>
          <w:rFonts w:cstheme="minorHAnsi"/>
          <w:sz w:val="20"/>
          <w:szCs w:val="19"/>
        </w:rPr>
        <w:t>first 2000 days and continuing beyond</w:t>
      </w:r>
      <w:r w:rsidR="00AB2C8A">
        <w:rPr>
          <w:rFonts w:cstheme="minorHAnsi"/>
          <w:sz w:val="20"/>
          <w:szCs w:val="19"/>
        </w:rPr>
        <w:t>.</w:t>
      </w:r>
    </w:p>
    <w:p w14:paraId="0B5E837B" w14:textId="77777777" w:rsidR="00142A7E" w:rsidRDefault="00142A7E" w:rsidP="00142A7E">
      <w:pPr>
        <w:pStyle w:val="Heading4"/>
      </w:pPr>
      <w:r>
        <w:t>Why is this a priority?</w:t>
      </w:r>
    </w:p>
    <w:p w14:paraId="43E6AD3F" w14:textId="2F4B1D30" w:rsidR="00142A7E" w:rsidRDefault="008664AE" w:rsidP="004E6087">
      <w:pPr>
        <w:rPr>
          <w:rFonts w:cstheme="minorHAnsi"/>
          <w:sz w:val="20"/>
          <w:szCs w:val="19"/>
        </w:rPr>
      </w:pPr>
      <w:r>
        <w:rPr>
          <w:rFonts w:cstheme="minorHAnsi"/>
          <w:sz w:val="20"/>
          <w:szCs w:val="19"/>
        </w:rPr>
        <w:t>Chronic conditions are the leading cause of illness, disability, and death in Australia.</w:t>
      </w:r>
      <w:r w:rsidR="008F00A6">
        <w:rPr>
          <w:rStyle w:val="EndnoteReference"/>
          <w:rFonts w:cstheme="minorHAnsi"/>
          <w:sz w:val="20"/>
          <w:szCs w:val="19"/>
        </w:rPr>
        <w:endnoteReference w:id="164"/>
      </w:r>
      <w:r>
        <w:rPr>
          <w:rFonts w:cstheme="minorHAnsi"/>
          <w:sz w:val="20"/>
          <w:szCs w:val="19"/>
        </w:rPr>
        <w:t xml:space="preserve"> While </w:t>
      </w:r>
      <w:r w:rsidR="008F00A6">
        <w:rPr>
          <w:rFonts w:cstheme="minorHAnsi"/>
          <w:sz w:val="20"/>
          <w:szCs w:val="19"/>
        </w:rPr>
        <w:t>these</w:t>
      </w:r>
      <w:r>
        <w:rPr>
          <w:rFonts w:cstheme="minorHAnsi"/>
          <w:sz w:val="20"/>
          <w:szCs w:val="19"/>
        </w:rPr>
        <w:t xml:space="preserve"> </w:t>
      </w:r>
      <w:r w:rsidR="008F00A6">
        <w:rPr>
          <w:rFonts w:cstheme="minorHAnsi"/>
          <w:sz w:val="20"/>
          <w:szCs w:val="19"/>
        </w:rPr>
        <w:t xml:space="preserve">conditions </w:t>
      </w:r>
      <w:r>
        <w:rPr>
          <w:rFonts w:cstheme="minorHAnsi"/>
          <w:sz w:val="20"/>
          <w:szCs w:val="19"/>
        </w:rPr>
        <w:t xml:space="preserve">disproportionately </w:t>
      </w:r>
      <w:r w:rsidR="0058563D">
        <w:rPr>
          <w:rFonts w:cstheme="minorHAnsi"/>
          <w:sz w:val="20"/>
          <w:szCs w:val="19"/>
        </w:rPr>
        <w:t>affect</w:t>
      </w:r>
      <w:r>
        <w:rPr>
          <w:rFonts w:cstheme="minorHAnsi"/>
          <w:sz w:val="20"/>
          <w:szCs w:val="19"/>
        </w:rPr>
        <w:t xml:space="preserve"> older Australians, </w:t>
      </w:r>
      <w:r w:rsidR="008F00A6">
        <w:rPr>
          <w:rFonts w:cstheme="minorHAnsi"/>
          <w:sz w:val="20"/>
          <w:szCs w:val="19"/>
        </w:rPr>
        <w:t xml:space="preserve">they also represent a significant burden of disease for children and young people. </w:t>
      </w:r>
      <w:r w:rsidR="008F00A6" w:rsidRPr="008F00A6">
        <w:rPr>
          <w:rFonts w:cstheme="minorHAnsi"/>
          <w:color w:val="1C8243"/>
          <w:sz w:val="20"/>
          <w:szCs w:val="19"/>
        </w:rPr>
        <w:t>Congenital conditions</w:t>
      </w:r>
      <w:r w:rsidR="008F00A6">
        <w:rPr>
          <w:rFonts w:cstheme="minorHAnsi"/>
          <w:sz w:val="20"/>
          <w:szCs w:val="19"/>
        </w:rPr>
        <w:t xml:space="preserve"> and other </w:t>
      </w:r>
      <w:r w:rsidR="008F00A6" w:rsidRPr="008F00A6">
        <w:rPr>
          <w:rFonts w:cstheme="minorHAnsi"/>
          <w:color w:val="1C8243"/>
          <w:sz w:val="20"/>
          <w:szCs w:val="19"/>
        </w:rPr>
        <w:t>infant disorders</w:t>
      </w:r>
      <w:r w:rsidR="008F00A6">
        <w:rPr>
          <w:rFonts w:cstheme="minorHAnsi"/>
          <w:sz w:val="20"/>
          <w:szCs w:val="19"/>
        </w:rPr>
        <w:t xml:space="preserve"> are among the leading causes of burden of disease for children aged under 5, while chronic </w:t>
      </w:r>
      <w:r w:rsidR="008F00A6" w:rsidRPr="008F00A6">
        <w:rPr>
          <w:rFonts w:cstheme="minorHAnsi"/>
          <w:color w:val="1C8243"/>
          <w:sz w:val="20"/>
          <w:szCs w:val="19"/>
        </w:rPr>
        <w:t>respiratory and mental disorders</w:t>
      </w:r>
      <w:r w:rsidR="008F00A6">
        <w:rPr>
          <w:rFonts w:cstheme="minorHAnsi"/>
          <w:sz w:val="20"/>
          <w:szCs w:val="19"/>
        </w:rPr>
        <w:t xml:space="preserve"> are a prominent burden for 5-24 year olds. </w:t>
      </w:r>
      <w:r w:rsidR="008F00A6" w:rsidRPr="008F00A6">
        <w:rPr>
          <w:rFonts w:cstheme="minorHAnsi"/>
          <w:color w:val="1C8243"/>
          <w:sz w:val="20"/>
          <w:szCs w:val="19"/>
        </w:rPr>
        <w:t>Asthma</w:t>
      </w:r>
      <w:r w:rsidR="008F00A6">
        <w:rPr>
          <w:rFonts w:cstheme="minorHAnsi"/>
          <w:sz w:val="20"/>
          <w:szCs w:val="19"/>
        </w:rPr>
        <w:t xml:space="preserve"> is the leading cause of total burden of disease among 5-14 year olds.</w:t>
      </w:r>
      <w:r w:rsidR="008F00A6">
        <w:rPr>
          <w:rStyle w:val="EndnoteReference"/>
          <w:rFonts w:cstheme="minorHAnsi"/>
          <w:sz w:val="20"/>
          <w:szCs w:val="19"/>
        </w:rPr>
        <w:endnoteReference w:id="165"/>
      </w:r>
      <w:r w:rsidR="008F00A6">
        <w:rPr>
          <w:rFonts w:cstheme="minorHAnsi"/>
          <w:sz w:val="20"/>
          <w:szCs w:val="19"/>
        </w:rPr>
        <w:t xml:space="preserve"> </w:t>
      </w:r>
    </w:p>
    <w:p w14:paraId="03912022" w14:textId="77777777" w:rsidR="008079C7" w:rsidRDefault="008079C7" w:rsidP="004E6087">
      <w:pPr>
        <w:rPr>
          <w:rFonts w:cstheme="minorHAnsi"/>
          <w:sz w:val="20"/>
          <w:szCs w:val="19"/>
        </w:rPr>
      </w:pPr>
      <w:r>
        <w:rPr>
          <w:rFonts w:cstheme="minorHAnsi"/>
          <w:sz w:val="20"/>
          <w:szCs w:val="19"/>
        </w:rPr>
        <w:t xml:space="preserve">It is estimated that – across the entire Australian population – around 380 people every day will be newly diagnosed with a form of </w:t>
      </w:r>
      <w:r w:rsidRPr="008079C7">
        <w:rPr>
          <w:rFonts w:cstheme="minorHAnsi"/>
          <w:color w:val="1C8243"/>
          <w:sz w:val="20"/>
          <w:szCs w:val="19"/>
        </w:rPr>
        <w:t>cancer</w:t>
      </w:r>
      <w:r>
        <w:rPr>
          <w:rFonts w:cstheme="minorHAnsi"/>
          <w:sz w:val="20"/>
          <w:szCs w:val="19"/>
        </w:rPr>
        <w:t>. This is, again, disproportionately higher among older Australians</w:t>
      </w:r>
      <w:r w:rsidR="006127A3">
        <w:rPr>
          <w:rFonts w:cstheme="minorHAnsi"/>
          <w:sz w:val="20"/>
          <w:szCs w:val="19"/>
        </w:rPr>
        <w:t>, with incidence among children relatively low</w:t>
      </w:r>
      <w:r w:rsidR="0079486B">
        <w:rPr>
          <w:rFonts w:cstheme="minorHAnsi"/>
          <w:sz w:val="20"/>
          <w:szCs w:val="19"/>
        </w:rPr>
        <w:t xml:space="preserve">: </w:t>
      </w:r>
      <w:r w:rsidR="006127A3">
        <w:rPr>
          <w:rFonts w:cstheme="minorHAnsi"/>
          <w:sz w:val="20"/>
          <w:szCs w:val="19"/>
        </w:rPr>
        <w:t xml:space="preserve">between 10-25 new cases will be diagnosed in 2019 for every 100,000 children, </w:t>
      </w:r>
      <w:r w:rsidR="0079486B">
        <w:rPr>
          <w:rFonts w:cstheme="minorHAnsi"/>
          <w:sz w:val="20"/>
          <w:szCs w:val="19"/>
        </w:rPr>
        <w:t xml:space="preserve">with rates </w:t>
      </w:r>
      <w:r w:rsidR="006127A3">
        <w:rPr>
          <w:rFonts w:cstheme="minorHAnsi"/>
          <w:sz w:val="20"/>
          <w:szCs w:val="19"/>
        </w:rPr>
        <w:t>decreasing from infancy into middle childhood and early adolescence.</w:t>
      </w:r>
      <w:r w:rsidR="006127A3">
        <w:rPr>
          <w:rStyle w:val="EndnoteReference"/>
          <w:rFonts w:cstheme="minorHAnsi"/>
          <w:sz w:val="20"/>
          <w:szCs w:val="19"/>
        </w:rPr>
        <w:endnoteReference w:id="166"/>
      </w:r>
      <w:r w:rsidR="006127A3">
        <w:rPr>
          <w:rFonts w:cstheme="minorHAnsi"/>
          <w:sz w:val="20"/>
          <w:szCs w:val="19"/>
        </w:rPr>
        <w:t xml:space="preserve"> </w:t>
      </w:r>
      <w:r w:rsidR="006127A3">
        <w:rPr>
          <w:rStyle w:val="EndnoteReference"/>
          <w:rFonts w:cstheme="minorHAnsi"/>
          <w:sz w:val="20"/>
          <w:szCs w:val="19"/>
        </w:rPr>
        <w:endnoteReference w:id="167"/>
      </w:r>
      <w:r w:rsidR="006127A3">
        <w:rPr>
          <w:rFonts w:cstheme="minorHAnsi"/>
          <w:sz w:val="20"/>
          <w:szCs w:val="19"/>
        </w:rPr>
        <w:t xml:space="preserve">  </w:t>
      </w:r>
    </w:p>
    <w:p w14:paraId="718A6E72" w14:textId="77777777" w:rsidR="006C234E" w:rsidRDefault="0079486B" w:rsidP="004E6087">
      <w:pPr>
        <w:rPr>
          <w:rFonts w:cstheme="minorHAnsi"/>
          <w:sz w:val="20"/>
          <w:szCs w:val="19"/>
        </w:rPr>
      </w:pPr>
      <w:r>
        <w:rPr>
          <w:rFonts w:cstheme="minorHAnsi"/>
          <w:sz w:val="20"/>
          <w:szCs w:val="19"/>
        </w:rPr>
        <w:t xml:space="preserve">Childhood cancer does not discriminate, and causes are unclear, with almost half of cases developing in the womb. </w:t>
      </w:r>
      <w:r w:rsidRPr="0079486B">
        <w:rPr>
          <w:rFonts w:cstheme="minorHAnsi"/>
          <w:sz w:val="20"/>
          <w:szCs w:val="19"/>
        </w:rPr>
        <w:t>Unlike many cancers</w:t>
      </w:r>
      <w:r>
        <w:rPr>
          <w:rFonts w:cstheme="minorHAnsi"/>
          <w:sz w:val="20"/>
          <w:szCs w:val="19"/>
        </w:rPr>
        <w:t xml:space="preserve"> that develop later in life</w:t>
      </w:r>
      <w:r w:rsidRPr="0079486B">
        <w:rPr>
          <w:rFonts w:cstheme="minorHAnsi"/>
          <w:sz w:val="20"/>
          <w:szCs w:val="19"/>
        </w:rPr>
        <w:t xml:space="preserve">, childhood cancer is not associated with lifestyle and </w:t>
      </w:r>
      <w:r w:rsidR="006C234E">
        <w:rPr>
          <w:rFonts w:cstheme="minorHAnsi"/>
          <w:sz w:val="20"/>
          <w:szCs w:val="19"/>
        </w:rPr>
        <w:t>thus cannot be prevented.</w:t>
      </w:r>
      <w:r w:rsidR="006C234E">
        <w:rPr>
          <w:rStyle w:val="EndnoteReference"/>
          <w:rFonts w:cstheme="minorHAnsi"/>
          <w:sz w:val="20"/>
          <w:szCs w:val="19"/>
        </w:rPr>
        <w:endnoteReference w:id="168"/>
      </w:r>
    </w:p>
    <w:p w14:paraId="66BC1129" w14:textId="77777777" w:rsidR="005E637D" w:rsidRDefault="006C234E" w:rsidP="004E6087">
      <w:pPr>
        <w:rPr>
          <w:rFonts w:cstheme="minorHAnsi"/>
          <w:sz w:val="20"/>
          <w:szCs w:val="19"/>
        </w:rPr>
      </w:pPr>
      <w:r>
        <w:rPr>
          <w:rFonts w:cstheme="minorHAnsi"/>
          <w:sz w:val="20"/>
          <w:szCs w:val="19"/>
        </w:rPr>
        <w:t xml:space="preserve">However, many of the chronic conditions that both emerge in childhood and later in life to affect Australians can be moderated by addressing risk factors and employing </w:t>
      </w:r>
      <w:r w:rsidRPr="005E637D">
        <w:rPr>
          <w:rFonts w:cstheme="minorHAnsi"/>
          <w:color w:val="1C8243"/>
          <w:sz w:val="20"/>
          <w:szCs w:val="19"/>
        </w:rPr>
        <w:t>preventive health and early intervention</w:t>
      </w:r>
      <w:r>
        <w:rPr>
          <w:rFonts w:cstheme="minorHAnsi"/>
          <w:sz w:val="20"/>
          <w:szCs w:val="19"/>
        </w:rPr>
        <w:t xml:space="preserve"> strategies. Lifestyle factors – including nutrition, physical activity, alcohol and tobacco use</w:t>
      </w:r>
      <w:r w:rsidR="005E637D">
        <w:rPr>
          <w:rFonts w:cstheme="minorHAnsi"/>
          <w:sz w:val="20"/>
          <w:szCs w:val="19"/>
        </w:rPr>
        <w:t xml:space="preserve"> – all contribute to the burden</w:t>
      </w:r>
      <w:r w:rsidR="003C7B52">
        <w:rPr>
          <w:rFonts w:cstheme="minorHAnsi"/>
          <w:sz w:val="20"/>
          <w:szCs w:val="19"/>
        </w:rPr>
        <w:t xml:space="preserve"> and comorbidity</w:t>
      </w:r>
      <w:r w:rsidR="005E637D">
        <w:rPr>
          <w:rFonts w:cstheme="minorHAnsi"/>
          <w:sz w:val="20"/>
          <w:szCs w:val="19"/>
        </w:rPr>
        <w:t xml:space="preserve"> of chronic conditions on our population. Indeed, it is estimated that almost </w:t>
      </w:r>
      <w:r w:rsidR="005E637D" w:rsidRPr="005E637D">
        <w:rPr>
          <w:rFonts w:cstheme="minorHAnsi"/>
          <w:sz w:val="20"/>
          <w:szCs w:val="19"/>
        </w:rPr>
        <w:t xml:space="preserve">one-third of the burden of disease in </w:t>
      </w:r>
      <w:r w:rsidR="005E637D">
        <w:rPr>
          <w:rFonts w:cstheme="minorHAnsi"/>
          <w:sz w:val="20"/>
          <w:szCs w:val="19"/>
        </w:rPr>
        <w:t>this country</w:t>
      </w:r>
      <w:r w:rsidR="005E637D" w:rsidRPr="005E637D">
        <w:rPr>
          <w:rFonts w:cstheme="minorHAnsi"/>
          <w:sz w:val="20"/>
          <w:szCs w:val="19"/>
        </w:rPr>
        <w:t> could be prevented by eliminating exposure to risk factors such as tobacco use, high body mass, harmful use of alcohol, physical inactivity and high blood pressure</w:t>
      </w:r>
      <w:r w:rsidR="005E637D">
        <w:rPr>
          <w:rFonts w:cstheme="minorHAnsi"/>
          <w:sz w:val="20"/>
          <w:szCs w:val="19"/>
        </w:rPr>
        <w:t>.</w:t>
      </w:r>
      <w:r w:rsidR="005E637D">
        <w:rPr>
          <w:rStyle w:val="EndnoteReference"/>
          <w:rFonts w:cstheme="minorHAnsi"/>
          <w:sz w:val="20"/>
          <w:szCs w:val="19"/>
        </w:rPr>
        <w:endnoteReference w:id="169"/>
      </w:r>
    </w:p>
    <w:p w14:paraId="57EB3493" w14:textId="77777777" w:rsidR="005E637D" w:rsidRDefault="005E637D" w:rsidP="004E6087">
      <w:pPr>
        <w:rPr>
          <w:rFonts w:cstheme="minorHAnsi"/>
          <w:sz w:val="20"/>
          <w:szCs w:val="19"/>
        </w:rPr>
      </w:pPr>
      <w:r>
        <w:rPr>
          <w:rFonts w:cstheme="minorHAnsi"/>
          <w:sz w:val="20"/>
          <w:szCs w:val="19"/>
        </w:rPr>
        <w:t xml:space="preserve">In this context there are some alarming trends pertaining to risk factors among children and young people. Almost a third of 5-24 year olds are </w:t>
      </w:r>
      <w:r w:rsidRPr="005E637D">
        <w:rPr>
          <w:rFonts w:cstheme="minorHAnsi"/>
          <w:color w:val="1C8243"/>
          <w:sz w:val="20"/>
          <w:szCs w:val="19"/>
        </w:rPr>
        <w:t>overweight or obese</w:t>
      </w:r>
      <w:r>
        <w:rPr>
          <w:rFonts w:cstheme="minorHAnsi"/>
          <w:sz w:val="20"/>
          <w:szCs w:val="19"/>
        </w:rPr>
        <w:t xml:space="preserve">; more than half of 15-24 years olds are engaged in </w:t>
      </w:r>
      <w:r w:rsidRPr="005E637D">
        <w:rPr>
          <w:rFonts w:cstheme="minorHAnsi"/>
          <w:color w:val="1C8243"/>
          <w:sz w:val="20"/>
          <w:szCs w:val="19"/>
        </w:rPr>
        <w:t>sedentary or low levels of physical activity</w:t>
      </w:r>
      <w:r>
        <w:rPr>
          <w:rFonts w:cstheme="minorHAnsi"/>
          <w:sz w:val="20"/>
          <w:szCs w:val="19"/>
        </w:rPr>
        <w:t xml:space="preserve">; and while two thirds of children reach recommended levels for </w:t>
      </w:r>
      <w:r w:rsidRPr="005E637D">
        <w:rPr>
          <w:rFonts w:cstheme="minorHAnsi"/>
          <w:color w:val="1C8243"/>
          <w:sz w:val="20"/>
          <w:szCs w:val="19"/>
        </w:rPr>
        <w:t>fruit</w:t>
      </w:r>
      <w:r>
        <w:rPr>
          <w:rFonts w:cstheme="minorHAnsi"/>
          <w:sz w:val="20"/>
          <w:szCs w:val="19"/>
        </w:rPr>
        <w:t xml:space="preserve"> consumption, only around one in twenty eat the recommended daily intake of </w:t>
      </w:r>
      <w:r w:rsidRPr="005E637D">
        <w:rPr>
          <w:rFonts w:cstheme="minorHAnsi"/>
          <w:color w:val="1C8243"/>
          <w:sz w:val="20"/>
          <w:szCs w:val="19"/>
        </w:rPr>
        <w:t>vegetables</w:t>
      </w:r>
      <w:r>
        <w:rPr>
          <w:rFonts w:cstheme="minorHAnsi"/>
          <w:sz w:val="20"/>
          <w:szCs w:val="19"/>
        </w:rPr>
        <w:t>.</w:t>
      </w:r>
      <w:r>
        <w:rPr>
          <w:rStyle w:val="EndnoteReference"/>
          <w:rFonts w:cstheme="minorHAnsi"/>
          <w:sz w:val="20"/>
          <w:szCs w:val="19"/>
        </w:rPr>
        <w:endnoteReference w:id="170"/>
      </w:r>
      <w:r>
        <w:rPr>
          <w:rFonts w:cstheme="minorHAnsi"/>
          <w:sz w:val="20"/>
          <w:szCs w:val="19"/>
        </w:rPr>
        <w:t xml:space="preserve"> </w:t>
      </w:r>
    </w:p>
    <w:p w14:paraId="754CCDB5" w14:textId="77777777" w:rsidR="005E637D" w:rsidRDefault="00FE5723" w:rsidP="004E6087">
      <w:pPr>
        <w:rPr>
          <w:rFonts w:cstheme="minorHAnsi"/>
          <w:sz w:val="20"/>
          <w:szCs w:val="19"/>
        </w:rPr>
      </w:pPr>
      <w:r>
        <w:rPr>
          <w:rFonts w:cstheme="minorHAnsi"/>
          <w:sz w:val="20"/>
          <w:szCs w:val="19"/>
        </w:rPr>
        <w:t xml:space="preserve">The </w:t>
      </w:r>
      <w:r w:rsidR="00CD4741">
        <w:rPr>
          <w:rFonts w:cstheme="minorHAnsi"/>
          <w:sz w:val="20"/>
          <w:szCs w:val="19"/>
        </w:rPr>
        <w:t>role of</w:t>
      </w:r>
      <w:r>
        <w:rPr>
          <w:rFonts w:cstheme="minorHAnsi"/>
          <w:sz w:val="20"/>
          <w:szCs w:val="19"/>
        </w:rPr>
        <w:t xml:space="preserve"> </w:t>
      </w:r>
      <w:r w:rsidRPr="00FE5723">
        <w:rPr>
          <w:rFonts w:cstheme="minorHAnsi"/>
          <w:color w:val="1C8243"/>
          <w:sz w:val="20"/>
          <w:szCs w:val="19"/>
        </w:rPr>
        <w:t>immunisation</w:t>
      </w:r>
      <w:r>
        <w:rPr>
          <w:rFonts w:cstheme="minorHAnsi"/>
          <w:sz w:val="20"/>
          <w:szCs w:val="19"/>
        </w:rPr>
        <w:t xml:space="preserve"> </w:t>
      </w:r>
      <w:r w:rsidR="00CD4741">
        <w:rPr>
          <w:rFonts w:cstheme="minorHAnsi"/>
          <w:sz w:val="20"/>
          <w:szCs w:val="19"/>
        </w:rPr>
        <w:t>is</w:t>
      </w:r>
      <w:r>
        <w:rPr>
          <w:rFonts w:cstheme="minorHAnsi"/>
          <w:sz w:val="20"/>
          <w:szCs w:val="19"/>
        </w:rPr>
        <w:t xml:space="preserve"> critical</w:t>
      </w:r>
      <w:r w:rsidR="00CD4741">
        <w:rPr>
          <w:rFonts w:cstheme="minorHAnsi"/>
          <w:sz w:val="20"/>
          <w:szCs w:val="19"/>
        </w:rPr>
        <w:t xml:space="preserve"> as </w:t>
      </w:r>
      <w:r w:rsidR="00CD4741" w:rsidRPr="00CD4741">
        <w:rPr>
          <w:rFonts w:cstheme="minorHAnsi"/>
          <w:sz w:val="20"/>
          <w:szCs w:val="19"/>
        </w:rPr>
        <w:t xml:space="preserve">a safe and effective way to prevent the spread of many diseases that cause hospitalisation, serious </w:t>
      </w:r>
      <w:r w:rsidR="00CD4741">
        <w:rPr>
          <w:rFonts w:cstheme="minorHAnsi"/>
          <w:sz w:val="20"/>
          <w:szCs w:val="19"/>
        </w:rPr>
        <w:t>chronic</w:t>
      </w:r>
      <w:r w:rsidR="00CD4741" w:rsidRPr="00CD4741">
        <w:rPr>
          <w:rFonts w:cstheme="minorHAnsi"/>
          <w:sz w:val="20"/>
          <w:szCs w:val="19"/>
        </w:rPr>
        <w:t xml:space="preserve"> health conditions and sometimes death.</w:t>
      </w:r>
      <w:r w:rsidR="00CD4741">
        <w:rPr>
          <w:rFonts w:cstheme="minorHAnsi"/>
          <w:sz w:val="20"/>
          <w:szCs w:val="19"/>
        </w:rPr>
        <w:t xml:space="preserve"> </w:t>
      </w:r>
      <w:r>
        <w:rPr>
          <w:rFonts w:cstheme="minorHAnsi"/>
          <w:sz w:val="20"/>
          <w:szCs w:val="19"/>
        </w:rPr>
        <w:t xml:space="preserve">Rates of full immunisation at two years of age stand </w:t>
      </w:r>
      <w:r w:rsidR="00CD4741">
        <w:rPr>
          <w:rFonts w:cstheme="minorHAnsi"/>
          <w:sz w:val="20"/>
          <w:szCs w:val="19"/>
        </w:rPr>
        <w:t xml:space="preserve">at </w:t>
      </w:r>
      <w:r>
        <w:rPr>
          <w:rFonts w:cstheme="minorHAnsi"/>
          <w:sz w:val="20"/>
          <w:szCs w:val="19"/>
        </w:rPr>
        <w:t>a</w:t>
      </w:r>
      <w:r w:rsidR="00CD4741">
        <w:rPr>
          <w:rFonts w:cstheme="minorHAnsi"/>
          <w:sz w:val="20"/>
          <w:szCs w:val="19"/>
        </w:rPr>
        <w:t>round</w:t>
      </w:r>
      <w:r>
        <w:rPr>
          <w:rFonts w:cstheme="minorHAnsi"/>
          <w:sz w:val="20"/>
          <w:szCs w:val="19"/>
        </w:rPr>
        <w:t xml:space="preserve"> 90%</w:t>
      </w:r>
      <w:r w:rsidR="00CD4741">
        <w:rPr>
          <w:rFonts w:cstheme="minorHAnsi"/>
          <w:sz w:val="20"/>
          <w:szCs w:val="19"/>
        </w:rPr>
        <w:t xml:space="preserve">. While this level of immunity matches thresholds to interrupt transmission for most diseases, for highly infectious diseases, such as measles, 95% </w:t>
      </w:r>
      <w:r w:rsidR="00A26BE4">
        <w:rPr>
          <w:rFonts w:cstheme="minorHAnsi"/>
          <w:sz w:val="20"/>
          <w:szCs w:val="19"/>
        </w:rPr>
        <w:t>coverage is necessary. Fluctuations in immunisation rates and variations across population groups means that there is a need to remain vigilant and ensure high coverage is consistently and universally achieved</w:t>
      </w:r>
      <w:r>
        <w:rPr>
          <w:rFonts w:cstheme="minorHAnsi"/>
          <w:sz w:val="20"/>
          <w:szCs w:val="19"/>
        </w:rPr>
        <w:t>.</w:t>
      </w:r>
      <w:r>
        <w:rPr>
          <w:rStyle w:val="EndnoteReference"/>
          <w:rFonts w:cstheme="minorHAnsi"/>
          <w:sz w:val="20"/>
          <w:szCs w:val="19"/>
        </w:rPr>
        <w:endnoteReference w:id="171"/>
      </w:r>
      <w:r>
        <w:rPr>
          <w:rFonts w:cstheme="minorHAnsi"/>
          <w:sz w:val="20"/>
          <w:szCs w:val="19"/>
        </w:rPr>
        <w:t xml:space="preserve"> </w:t>
      </w:r>
      <w:r w:rsidR="00A26BE4">
        <w:rPr>
          <w:rStyle w:val="EndnoteReference"/>
          <w:rFonts w:cstheme="minorHAnsi"/>
          <w:sz w:val="20"/>
          <w:szCs w:val="19"/>
        </w:rPr>
        <w:endnoteReference w:id="172"/>
      </w:r>
      <w:r>
        <w:rPr>
          <w:rFonts w:cstheme="minorHAnsi"/>
          <w:sz w:val="20"/>
          <w:szCs w:val="19"/>
        </w:rPr>
        <w:t xml:space="preserve">  </w:t>
      </w:r>
    </w:p>
    <w:p w14:paraId="1E7C7E95" w14:textId="77777777" w:rsidR="00AB2C8A" w:rsidRDefault="00AB2C8A" w:rsidP="00AB2C8A">
      <w:pPr>
        <w:pStyle w:val="Heading4"/>
      </w:pPr>
      <w:r>
        <w:t>What can be done?</w:t>
      </w:r>
    </w:p>
    <w:p w14:paraId="2910EE46" w14:textId="77777777" w:rsidR="00F27275" w:rsidRPr="00A04655" w:rsidRDefault="00AB2C8A" w:rsidP="004E6087">
      <w:pPr>
        <w:rPr>
          <w:rFonts w:cstheme="minorHAnsi"/>
          <w:sz w:val="20"/>
          <w:szCs w:val="19"/>
        </w:rPr>
      </w:pPr>
      <w:r>
        <w:rPr>
          <w:rFonts w:cstheme="minorHAnsi"/>
          <w:sz w:val="20"/>
          <w:szCs w:val="19"/>
        </w:rPr>
        <w:t xml:space="preserve">Australian </w:t>
      </w:r>
      <w:r w:rsidRPr="00A04655">
        <w:rPr>
          <w:rFonts w:cstheme="minorHAnsi"/>
          <w:sz w:val="20"/>
          <w:szCs w:val="19"/>
        </w:rPr>
        <w:t xml:space="preserve">governments have placed a significant focus on effort to address chronic health conditions throughout the population through the </w:t>
      </w:r>
      <w:r w:rsidRPr="00A04655">
        <w:rPr>
          <w:rFonts w:cstheme="minorHAnsi"/>
          <w:i/>
          <w:sz w:val="20"/>
          <w:szCs w:val="19"/>
        </w:rPr>
        <w:t>National Strategic Framework for Chronic Conditions, 2017</w:t>
      </w:r>
      <w:r w:rsidRPr="00A04655">
        <w:rPr>
          <w:rFonts w:cstheme="minorHAnsi"/>
          <w:sz w:val="20"/>
          <w:szCs w:val="19"/>
        </w:rPr>
        <w:t>. This details actions to enhance preventive health at different life stages, including in utero, among children (0–5 and 5–12 years), and young people (13–17 and 18–24 years). It also provides strategies and approaches to support the management of chronic conditions and enhance services so that they can best meet need.</w:t>
      </w:r>
      <w:r w:rsidR="00F27275" w:rsidRPr="00A04655">
        <w:rPr>
          <w:rFonts w:cstheme="minorHAnsi"/>
          <w:sz w:val="20"/>
          <w:szCs w:val="19"/>
        </w:rPr>
        <w:t xml:space="preserve"> </w:t>
      </w:r>
    </w:p>
    <w:p w14:paraId="0991CC99" w14:textId="77777777" w:rsidR="00F27275" w:rsidRDefault="00F27275" w:rsidP="00F27275">
      <w:pPr>
        <w:rPr>
          <w:rFonts w:cstheme="minorHAnsi"/>
          <w:color w:val="000000" w:themeColor="text1"/>
          <w:sz w:val="20"/>
          <w:szCs w:val="20"/>
        </w:rPr>
      </w:pPr>
      <w:r w:rsidRPr="00A04655">
        <w:rPr>
          <w:rFonts w:cstheme="minorHAnsi"/>
          <w:sz w:val="20"/>
          <w:szCs w:val="19"/>
        </w:rPr>
        <w:t>Elsewhere, a number of preventive health frameworks provide guidance and priority actions for specific approaches, including the</w:t>
      </w:r>
      <w:r w:rsidRPr="00A04655">
        <w:rPr>
          <w:rFonts w:cstheme="minorHAnsi"/>
          <w:i/>
          <w:sz w:val="20"/>
          <w:szCs w:val="19"/>
        </w:rPr>
        <w:t xml:space="preserve"> National Immunisation Strategy for Australia 2019-2024</w:t>
      </w:r>
      <w:r w:rsidRPr="00A04655">
        <w:rPr>
          <w:rFonts w:cstheme="minorHAnsi"/>
          <w:sz w:val="20"/>
          <w:szCs w:val="19"/>
        </w:rPr>
        <w:t xml:space="preserve">, the </w:t>
      </w:r>
      <w:r w:rsidRPr="00A04655">
        <w:rPr>
          <w:rFonts w:cstheme="minorHAnsi"/>
          <w:i/>
          <w:sz w:val="20"/>
          <w:szCs w:val="19"/>
        </w:rPr>
        <w:t>National Asthma Strategy 2018</w:t>
      </w:r>
      <w:r w:rsidRPr="00A04655">
        <w:rPr>
          <w:rFonts w:cstheme="minorHAnsi"/>
          <w:sz w:val="20"/>
          <w:szCs w:val="19"/>
        </w:rPr>
        <w:t xml:space="preserve">, the </w:t>
      </w:r>
      <w:r w:rsidRPr="00A04655">
        <w:rPr>
          <w:rFonts w:cstheme="minorHAnsi"/>
          <w:i/>
          <w:sz w:val="20"/>
          <w:szCs w:val="19"/>
        </w:rPr>
        <w:t>Australian National Diabetes Strategy 2016-2020</w:t>
      </w:r>
      <w:r w:rsidRPr="00A04655">
        <w:rPr>
          <w:rFonts w:cstheme="minorHAnsi"/>
          <w:sz w:val="20"/>
          <w:szCs w:val="19"/>
        </w:rPr>
        <w:t xml:space="preserve">, </w:t>
      </w:r>
      <w:r w:rsidR="00D21284" w:rsidRPr="00A04655">
        <w:rPr>
          <w:rFonts w:cstheme="minorHAnsi"/>
          <w:i/>
          <w:sz w:val="20"/>
          <w:szCs w:val="19"/>
        </w:rPr>
        <w:t>Australia’s National Oral Health Plan 2015-2024</w:t>
      </w:r>
      <w:r w:rsidR="00D21284" w:rsidRPr="00A04655">
        <w:rPr>
          <w:rFonts w:cstheme="minorHAnsi"/>
          <w:sz w:val="20"/>
          <w:szCs w:val="19"/>
        </w:rPr>
        <w:t xml:space="preserve">, </w:t>
      </w:r>
      <w:r w:rsidRPr="00A04655">
        <w:rPr>
          <w:rFonts w:cstheme="minorHAnsi"/>
          <w:sz w:val="20"/>
          <w:szCs w:val="19"/>
        </w:rPr>
        <w:t xml:space="preserve">and the </w:t>
      </w:r>
      <w:r w:rsidRPr="00A04655">
        <w:rPr>
          <w:rFonts w:cstheme="minorHAnsi"/>
          <w:i/>
          <w:color w:val="000000" w:themeColor="text1"/>
          <w:sz w:val="20"/>
          <w:szCs w:val="20"/>
        </w:rPr>
        <w:t>National Disability Strategy 2010-2020</w:t>
      </w:r>
      <w:r w:rsidRPr="00A04655">
        <w:rPr>
          <w:rFonts w:cstheme="minorHAnsi"/>
          <w:color w:val="000000" w:themeColor="text1"/>
          <w:sz w:val="20"/>
          <w:szCs w:val="20"/>
        </w:rPr>
        <w:t>.</w:t>
      </w:r>
      <w:r w:rsidRPr="00BC79EF">
        <w:rPr>
          <w:rFonts w:cstheme="minorHAnsi"/>
          <w:color w:val="000000" w:themeColor="text1"/>
          <w:sz w:val="20"/>
          <w:szCs w:val="20"/>
        </w:rPr>
        <w:t xml:space="preserve"> </w:t>
      </w:r>
    </w:p>
    <w:p w14:paraId="3962C2E7" w14:textId="77777777" w:rsidR="001B0A09" w:rsidRDefault="00F27275" w:rsidP="004E6087">
      <w:pPr>
        <w:rPr>
          <w:rFonts w:cstheme="minorHAnsi"/>
          <w:sz w:val="20"/>
          <w:szCs w:val="19"/>
        </w:rPr>
      </w:pPr>
      <w:r>
        <w:rPr>
          <w:rFonts w:cstheme="minorHAnsi"/>
          <w:sz w:val="20"/>
          <w:szCs w:val="19"/>
        </w:rPr>
        <w:t xml:space="preserve">Specific </w:t>
      </w:r>
      <w:r w:rsidR="007206FB">
        <w:rPr>
          <w:rFonts w:cstheme="minorHAnsi"/>
          <w:sz w:val="20"/>
          <w:szCs w:val="19"/>
        </w:rPr>
        <w:t xml:space="preserve">priority </w:t>
      </w:r>
      <w:r>
        <w:rPr>
          <w:rFonts w:cstheme="minorHAnsi"/>
          <w:sz w:val="20"/>
          <w:szCs w:val="19"/>
        </w:rPr>
        <w:t>actions to focus in on prevention, early intervention and management of chronic conditions for Australia’s children and young people</w:t>
      </w:r>
      <w:r w:rsidR="007206FB">
        <w:rPr>
          <w:rFonts w:cstheme="minorHAnsi"/>
          <w:sz w:val="20"/>
          <w:szCs w:val="19"/>
        </w:rPr>
        <w:t xml:space="preserve"> should consider:</w:t>
      </w:r>
    </w:p>
    <w:p w14:paraId="1CDBF009" w14:textId="77777777" w:rsidR="007206FB" w:rsidRPr="00C710A1" w:rsidRDefault="00C710A1" w:rsidP="000D67F5">
      <w:pPr>
        <w:pStyle w:val="ListParagraph"/>
        <w:numPr>
          <w:ilvl w:val="0"/>
          <w:numId w:val="29"/>
        </w:numPr>
        <w:ind w:left="426" w:hanging="284"/>
        <w:rPr>
          <w:rFonts w:cstheme="minorHAnsi"/>
          <w:sz w:val="20"/>
          <w:szCs w:val="19"/>
        </w:rPr>
      </w:pPr>
      <w:r w:rsidRPr="00C710A1">
        <w:rPr>
          <w:rFonts w:cstheme="minorHAnsi"/>
          <w:sz w:val="20"/>
          <w:szCs w:val="19"/>
        </w:rPr>
        <w:t xml:space="preserve">Building awareness of </w:t>
      </w:r>
      <w:r w:rsidRPr="00C710A1">
        <w:rPr>
          <w:rFonts w:asciiTheme="minorHAnsi" w:eastAsia="Times New Roman" w:hAnsiTheme="minorHAnsi" w:cstheme="minorHAnsi"/>
          <w:color w:val="1C8243"/>
          <w:sz w:val="20"/>
          <w:szCs w:val="19"/>
          <w:lang w:val="en-GB"/>
        </w:rPr>
        <w:t>rare genetic childhood conditions, cancers and other chronic diseases</w:t>
      </w:r>
      <w:r w:rsidRPr="00C710A1">
        <w:rPr>
          <w:rFonts w:cstheme="minorHAnsi"/>
          <w:sz w:val="20"/>
          <w:szCs w:val="19"/>
        </w:rPr>
        <w:t>, promoting screening options available</w:t>
      </w:r>
      <w:r w:rsidR="00A26305">
        <w:rPr>
          <w:rFonts w:cstheme="minorHAnsi"/>
          <w:sz w:val="20"/>
          <w:szCs w:val="19"/>
        </w:rPr>
        <w:t xml:space="preserve"> pre</w:t>
      </w:r>
      <w:r w:rsidR="009D2FC7">
        <w:rPr>
          <w:rFonts w:cstheme="minorHAnsi"/>
          <w:sz w:val="20"/>
          <w:szCs w:val="19"/>
        </w:rPr>
        <w:t xml:space="preserve"> and during</w:t>
      </w:r>
      <w:r w:rsidR="009B3AA4">
        <w:rPr>
          <w:rFonts w:cstheme="minorHAnsi"/>
          <w:sz w:val="20"/>
          <w:szCs w:val="19"/>
        </w:rPr>
        <w:t xml:space="preserve"> </w:t>
      </w:r>
      <w:r w:rsidR="00A26305">
        <w:rPr>
          <w:rFonts w:cstheme="minorHAnsi"/>
          <w:sz w:val="20"/>
          <w:szCs w:val="19"/>
        </w:rPr>
        <w:t>pregnancy</w:t>
      </w:r>
      <w:r w:rsidR="009B3AA4">
        <w:rPr>
          <w:rFonts w:cstheme="minorHAnsi"/>
          <w:sz w:val="20"/>
          <w:szCs w:val="19"/>
        </w:rPr>
        <w:t>.</w:t>
      </w:r>
      <w:r w:rsidR="009B3AA4">
        <w:rPr>
          <w:rStyle w:val="EndnoteReference"/>
          <w:rFonts w:cstheme="minorHAnsi"/>
          <w:sz w:val="20"/>
          <w:szCs w:val="19"/>
        </w:rPr>
        <w:endnoteReference w:id="173"/>
      </w:r>
      <w:r w:rsidR="009B3AA4">
        <w:rPr>
          <w:rFonts w:cstheme="minorHAnsi"/>
          <w:sz w:val="20"/>
          <w:szCs w:val="19"/>
        </w:rPr>
        <w:t xml:space="preserve"> </w:t>
      </w:r>
      <w:r w:rsidR="009B3AA4">
        <w:rPr>
          <w:rStyle w:val="EndnoteReference"/>
          <w:rFonts w:cstheme="minorHAnsi"/>
          <w:sz w:val="20"/>
          <w:szCs w:val="19"/>
        </w:rPr>
        <w:endnoteReference w:id="174"/>
      </w:r>
    </w:p>
    <w:p w14:paraId="3C945420" w14:textId="77777777" w:rsidR="009B3AA4" w:rsidRDefault="009B3AA4" w:rsidP="000D67F5">
      <w:pPr>
        <w:pStyle w:val="ListParagraph"/>
        <w:numPr>
          <w:ilvl w:val="0"/>
          <w:numId w:val="34"/>
        </w:numPr>
        <w:ind w:left="426" w:hanging="284"/>
        <w:rPr>
          <w:rFonts w:cstheme="minorHAnsi"/>
          <w:sz w:val="20"/>
          <w:szCs w:val="19"/>
        </w:rPr>
      </w:pPr>
      <w:r>
        <w:rPr>
          <w:rFonts w:cstheme="minorHAnsi"/>
          <w:sz w:val="20"/>
          <w:szCs w:val="19"/>
        </w:rPr>
        <w:t xml:space="preserve">Enhancing support and </w:t>
      </w:r>
      <w:r w:rsidRPr="000263F6">
        <w:rPr>
          <w:rFonts w:asciiTheme="minorHAnsi" w:eastAsia="Times New Roman" w:hAnsiTheme="minorHAnsi" w:cstheme="minorHAnsi"/>
          <w:color w:val="1C8243"/>
          <w:sz w:val="20"/>
          <w:szCs w:val="19"/>
          <w:lang w:val="en-AU"/>
        </w:rPr>
        <w:t xml:space="preserve">continuity of care </w:t>
      </w:r>
      <w:r w:rsidRPr="000263F6">
        <w:rPr>
          <w:rFonts w:cstheme="minorHAnsi"/>
          <w:sz w:val="20"/>
          <w:szCs w:val="19"/>
        </w:rPr>
        <w:t>for</w:t>
      </w:r>
      <w:r>
        <w:rPr>
          <w:rFonts w:cstheme="minorHAnsi"/>
          <w:sz w:val="20"/>
          <w:szCs w:val="19"/>
        </w:rPr>
        <w:t xml:space="preserve"> children, young people and their families experiencing chronic condition</w:t>
      </w:r>
      <w:r w:rsidR="000263F6">
        <w:rPr>
          <w:rFonts w:cstheme="minorHAnsi"/>
          <w:sz w:val="20"/>
          <w:szCs w:val="19"/>
        </w:rPr>
        <w:t>s, particularly when away from home receiving treatment.</w:t>
      </w:r>
      <w:r w:rsidR="000263F6">
        <w:rPr>
          <w:rStyle w:val="EndnoteReference"/>
          <w:rFonts w:cstheme="minorHAnsi"/>
          <w:sz w:val="20"/>
          <w:szCs w:val="19"/>
        </w:rPr>
        <w:endnoteReference w:id="175"/>
      </w:r>
    </w:p>
    <w:p w14:paraId="216C14B6" w14:textId="77777777" w:rsidR="002D779B" w:rsidRDefault="002D779B" w:rsidP="000D67F5">
      <w:pPr>
        <w:pStyle w:val="ListParagraph"/>
        <w:numPr>
          <w:ilvl w:val="0"/>
          <w:numId w:val="34"/>
        </w:numPr>
        <w:ind w:left="426" w:hanging="284"/>
        <w:rPr>
          <w:rFonts w:cstheme="minorHAnsi"/>
          <w:sz w:val="20"/>
          <w:szCs w:val="19"/>
        </w:rPr>
      </w:pPr>
      <w:r>
        <w:rPr>
          <w:rFonts w:cstheme="minorHAnsi"/>
          <w:sz w:val="20"/>
          <w:szCs w:val="19"/>
        </w:rPr>
        <w:t xml:space="preserve">Maintaining and continuing to evolve universal and targeted </w:t>
      </w:r>
      <w:r w:rsidRPr="002D779B">
        <w:rPr>
          <w:rFonts w:asciiTheme="minorHAnsi" w:eastAsia="Times New Roman" w:hAnsiTheme="minorHAnsi" w:cstheme="minorHAnsi"/>
          <w:color w:val="1C8243"/>
          <w:sz w:val="20"/>
          <w:szCs w:val="19"/>
          <w:lang w:val="en-AU"/>
        </w:rPr>
        <w:t>health promotion strategies</w:t>
      </w:r>
      <w:r>
        <w:rPr>
          <w:rFonts w:cstheme="minorHAnsi"/>
          <w:sz w:val="20"/>
          <w:szCs w:val="19"/>
        </w:rPr>
        <w:t xml:space="preserve"> regarding nutrition, physical activity, obesity and other preventive conditions, including supporting schools to promote and deliver health promotion activities.</w:t>
      </w:r>
      <w:r>
        <w:rPr>
          <w:rStyle w:val="EndnoteReference"/>
          <w:rFonts w:cstheme="minorHAnsi"/>
          <w:sz w:val="20"/>
          <w:szCs w:val="19"/>
        </w:rPr>
        <w:endnoteReference w:id="176"/>
      </w:r>
      <w:r>
        <w:rPr>
          <w:rFonts w:cstheme="minorHAnsi"/>
          <w:sz w:val="20"/>
          <w:szCs w:val="19"/>
        </w:rPr>
        <w:t xml:space="preserve"> </w:t>
      </w:r>
      <w:r w:rsidR="003E07F5">
        <w:rPr>
          <w:rStyle w:val="EndnoteReference"/>
          <w:rFonts w:cstheme="minorHAnsi"/>
          <w:sz w:val="20"/>
          <w:szCs w:val="19"/>
        </w:rPr>
        <w:endnoteReference w:id="177"/>
      </w:r>
    </w:p>
    <w:p w14:paraId="4A634FBA" w14:textId="77777777" w:rsidR="002652A8" w:rsidRDefault="002652A8" w:rsidP="000D67F5">
      <w:pPr>
        <w:pStyle w:val="ListParagraph"/>
        <w:numPr>
          <w:ilvl w:val="0"/>
          <w:numId w:val="34"/>
        </w:numPr>
        <w:ind w:left="426" w:hanging="284"/>
        <w:rPr>
          <w:rFonts w:cstheme="minorHAnsi"/>
          <w:sz w:val="20"/>
          <w:szCs w:val="19"/>
        </w:rPr>
      </w:pPr>
      <w:r w:rsidRPr="002652A8">
        <w:rPr>
          <w:rFonts w:cstheme="minorHAnsi"/>
          <w:sz w:val="20"/>
          <w:szCs w:val="19"/>
        </w:rPr>
        <w:t xml:space="preserve">Examining innovative models and options to provide an </w:t>
      </w:r>
      <w:r w:rsidRPr="009827A1">
        <w:rPr>
          <w:rFonts w:asciiTheme="minorHAnsi" w:eastAsia="Times New Roman" w:hAnsiTheme="minorHAnsi" w:cstheme="minorHAnsi"/>
          <w:color w:val="1C8243"/>
          <w:sz w:val="20"/>
          <w:szCs w:val="19"/>
          <w:lang w:val="en-AU"/>
        </w:rPr>
        <w:t>environment</w:t>
      </w:r>
      <w:r w:rsidRPr="002652A8">
        <w:rPr>
          <w:rFonts w:cstheme="minorHAnsi"/>
          <w:sz w:val="20"/>
          <w:szCs w:val="19"/>
        </w:rPr>
        <w:t xml:space="preserve"> in which children and young people can be healthy and thrive</w:t>
      </w:r>
      <w:r>
        <w:rPr>
          <w:rFonts w:cstheme="minorHAnsi"/>
          <w:sz w:val="20"/>
          <w:szCs w:val="19"/>
        </w:rPr>
        <w:t>.</w:t>
      </w:r>
      <w:r w:rsidR="009827A1">
        <w:rPr>
          <w:rStyle w:val="EndnoteReference"/>
          <w:rFonts w:cstheme="minorHAnsi"/>
          <w:sz w:val="20"/>
          <w:szCs w:val="19"/>
        </w:rPr>
        <w:endnoteReference w:id="178"/>
      </w:r>
      <w:r w:rsidR="009827A1">
        <w:rPr>
          <w:rFonts w:cstheme="minorHAnsi"/>
          <w:sz w:val="20"/>
          <w:szCs w:val="19"/>
        </w:rPr>
        <w:t xml:space="preserve"> </w:t>
      </w:r>
      <w:r>
        <w:rPr>
          <w:rStyle w:val="EndnoteReference"/>
          <w:rFonts w:cstheme="minorHAnsi"/>
          <w:sz w:val="20"/>
          <w:szCs w:val="19"/>
        </w:rPr>
        <w:endnoteReference w:id="179"/>
      </w:r>
    </w:p>
    <w:p w14:paraId="5EF66298" w14:textId="77777777" w:rsidR="009827A1" w:rsidRDefault="009827A1" w:rsidP="000D67F5">
      <w:pPr>
        <w:pStyle w:val="ListParagraph"/>
        <w:numPr>
          <w:ilvl w:val="0"/>
          <w:numId w:val="34"/>
        </w:numPr>
        <w:ind w:left="426" w:hanging="284"/>
        <w:rPr>
          <w:rFonts w:cstheme="minorHAnsi"/>
          <w:sz w:val="20"/>
          <w:szCs w:val="19"/>
        </w:rPr>
      </w:pPr>
      <w:r>
        <w:rPr>
          <w:rFonts w:cstheme="minorHAnsi"/>
          <w:sz w:val="20"/>
          <w:szCs w:val="19"/>
        </w:rPr>
        <w:t xml:space="preserve">Continuing prevention and interventions strategies for </w:t>
      </w:r>
      <w:r w:rsidRPr="009827A1">
        <w:rPr>
          <w:rFonts w:asciiTheme="minorHAnsi" w:eastAsia="Times New Roman" w:hAnsiTheme="minorHAnsi" w:cstheme="minorHAnsi"/>
          <w:color w:val="1C8243"/>
          <w:sz w:val="20"/>
          <w:szCs w:val="19"/>
          <w:lang w:val="en-AU"/>
        </w:rPr>
        <w:t>oral health</w:t>
      </w:r>
      <w:r>
        <w:rPr>
          <w:rFonts w:cstheme="minorHAnsi"/>
          <w:sz w:val="20"/>
          <w:szCs w:val="19"/>
        </w:rPr>
        <w:t>, especially for priority populations for whom this is a more prevalent condition.</w:t>
      </w:r>
      <w:r>
        <w:rPr>
          <w:rStyle w:val="EndnoteReference"/>
          <w:rFonts w:cstheme="minorHAnsi"/>
          <w:sz w:val="20"/>
          <w:szCs w:val="19"/>
        </w:rPr>
        <w:endnoteReference w:id="180"/>
      </w:r>
    </w:p>
    <w:p w14:paraId="2D313AC2" w14:textId="77777777" w:rsidR="00F27275" w:rsidRDefault="009827A1" w:rsidP="000D67F5">
      <w:pPr>
        <w:pStyle w:val="ListParagraph"/>
        <w:numPr>
          <w:ilvl w:val="0"/>
          <w:numId w:val="34"/>
        </w:numPr>
        <w:ind w:left="426" w:hanging="284"/>
        <w:rPr>
          <w:rFonts w:cstheme="minorHAnsi"/>
          <w:sz w:val="20"/>
          <w:szCs w:val="19"/>
        </w:rPr>
      </w:pPr>
      <w:r>
        <w:rPr>
          <w:rFonts w:cstheme="minorHAnsi"/>
          <w:sz w:val="20"/>
          <w:szCs w:val="19"/>
        </w:rPr>
        <w:t xml:space="preserve">Maintaining vigilance and strengthening Australia’s </w:t>
      </w:r>
      <w:r w:rsidRPr="009D5742">
        <w:rPr>
          <w:rFonts w:asciiTheme="minorHAnsi" w:eastAsia="Times New Roman" w:hAnsiTheme="minorHAnsi" w:cstheme="minorHAnsi"/>
          <w:color w:val="1C8243"/>
          <w:sz w:val="20"/>
          <w:szCs w:val="19"/>
          <w:lang w:val="en-AU"/>
        </w:rPr>
        <w:t>immunisation</w:t>
      </w:r>
      <w:r>
        <w:rPr>
          <w:rFonts w:cstheme="minorHAnsi"/>
          <w:sz w:val="20"/>
          <w:szCs w:val="19"/>
        </w:rPr>
        <w:t xml:space="preserve"> coverage during childhood to maximise the protective health benefits of immunisation.</w:t>
      </w:r>
      <w:r>
        <w:rPr>
          <w:rStyle w:val="EndnoteReference"/>
          <w:rFonts w:cstheme="minorHAnsi"/>
          <w:sz w:val="20"/>
          <w:szCs w:val="19"/>
        </w:rPr>
        <w:endnoteReference w:id="181"/>
      </w:r>
    </w:p>
    <w:p w14:paraId="54A800A3" w14:textId="77777777" w:rsidR="008517C5" w:rsidRPr="008517C5" w:rsidRDefault="008517C5" w:rsidP="008517C5">
      <w:pPr>
        <w:pStyle w:val="ListParagraph"/>
        <w:ind w:left="885"/>
        <w:rPr>
          <w:rFonts w:cstheme="minorHAnsi"/>
          <w:sz w:val="20"/>
          <w:szCs w:val="19"/>
        </w:rPr>
      </w:pPr>
    </w:p>
    <w:tbl>
      <w:tblPr>
        <w:tblStyle w:val="TableGrid"/>
        <w:tblW w:w="5000" w:type="pct"/>
        <w:tblBorders>
          <w:top w:val="single" w:sz="4" w:space="0" w:color="318843"/>
          <w:left w:val="none" w:sz="0" w:space="0" w:color="auto"/>
          <w:bottom w:val="single" w:sz="4" w:space="0" w:color="318843"/>
          <w:right w:val="none" w:sz="0" w:space="0" w:color="auto"/>
          <w:insideH w:val="none" w:sz="0" w:space="0" w:color="auto"/>
          <w:insideV w:val="none" w:sz="0" w:space="0" w:color="auto"/>
        </w:tblBorders>
        <w:tblLook w:val="04A0" w:firstRow="1" w:lastRow="0" w:firstColumn="1" w:lastColumn="0" w:noHBand="0" w:noVBand="1"/>
        <w:tblCaption w:val="Priority Area 4 - Actions to address chronic conditions and preventive health"/>
        <w:tblDescription w:val="This table describes actions to: (1) improve awareness and screening for genetic diseases and childhood cancers; (2) harmonise support for children and young people with chronic conditions -- and their families - to alleviate burden of treatment and care; (3) continue promoting and refining preventive health strategies and interventions; (4) work with partners to advocate for and optimise environments and communities for wellbeing; (5) continue to promote strong oral health; and (6) maintain strong focus on protecting Australia's health through immunisation."/>
      </w:tblPr>
      <w:tblGrid>
        <w:gridCol w:w="2610"/>
        <w:gridCol w:w="7245"/>
      </w:tblGrid>
      <w:tr w:rsidR="0039451B" w:rsidRPr="00CC575A" w14:paraId="0B253179" w14:textId="77777777" w:rsidTr="00E50358">
        <w:trPr>
          <w:tblHeader/>
        </w:trPr>
        <w:tc>
          <w:tcPr>
            <w:tcW w:w="1324" w:type="pct"/>
            <w:tcBorders>
              <w:top w:val="single" w:sz="4" w:space="0" w:color="318843"/>
              <w:bottom w:val="single" w:sz="4" w:space="0" w:color="318843"/>
            </w:tcBorders>
            <w:shd w:val="clear" w:color="auto" w:fill="auto"/>
          </w:tcPr>
          <w:p w14:paraId="4C2D5717" w14:textId="77777777" w:rsidR="0039451B" w:rsidRPr="00CC575A" w:rsidRDefault="0039451B" w:rsidP="00DB1F46">
            <w:pPr>
              <w:rPr>
                <w:rFonts w:cstheme="minorHAnsi"/>
                <w:b/>
                <w:sz w:val="20"/>
                <w:szCs w:val="19"/>
              </w:rPr>
            </w:pPr>
            <w:r w:rsidRPr="00CC575A">
              <w:rPr>
                <w:rFonts w:cstheme="minorHAnsi"/>
                <w:b/>
                <w:sz w:val="20"/>
                <w:szCs w:val="19"/>
              </w:rPr>
              <w:t>Action</w:t>
            </w:r>
          </w:p>
        </w:tc>
        <w:tc>
          <w:tcPr>
            <w:tcW w:w="3676" w:type="pct"/>
            <w:tcBorders>
              <w:top w:val="single" w:sz="4" w:space="0" w:color="318843"/>
              <w:bottom w:val="single" w:sz="4" w:space="0" w:color="318843"/>
            </w:tcBorders>
            <w:shd w:val="clear" w:color="auto" w:fill="auto"/>
          </w:tcPr>
          <w:p w14:paraId="0272DA16" w14:textId="77777777" w:rsidR="0039451B" w:rsidRPr="00CC575A" w:rsidRDefault="0039451B" w:rsidP="00DB1F46">
            <w:pPr>
              <w:rPr>
                <w:rFonts w:cstheme="minorHAnsi"/>
                <w:b/>
                <w:sz w:val="20"/>
                <w:szCs w:val="19"/>
              </w:rPr>
            </w:pPr>
            <w:r w:rsidRPr="00CC575A">
              <w:rPr>
                <w:rFonts w:cstheme="minorHAnsi"/>
                <w:b/>
                <w:sz w:val="20"/>
                <w:szCs w:val="19"/>
              </w:rPr>
              <w:t>Detail</w:t>
            </w:r>
          </w:p>
        </w:tc>
      </w:tr>
      <w:tr w:rsidR="0039451B" w:rsidRPr="00CC575A" w14:paraId="7952DD67" w14:textId="77777777" w:rsidTr="00DB1F46">
        <w:tc>
          <w:tcPr>
            <w:tcW w:w="1324" w:type="pct"/>
            <w:tcBorders>
              <w:top w:val="single" w:sz="4" w:space="0" w:color="318843"/>
              <w:bottom w:val="single" w:sz="4" w:space="0" w:color="318843"/>
            </w:tcBorders>
            <w:shd w:val="clear" w:color="auto" w:fill="auto"/>
          </w:tcPr>
          <w:p w14:paraId="2CE79A45" w14:textId="77777777" w:rsidR="0039451B" w:rsidRPr="00CC575A" w:rsidRDefault="0039451B" w:rsidP="00DB1F46">
            <w:pPr>
              <w:spacing w:before="60"/>
              <w:rPr>
                <w:rFonts w:cstheme="minorHAnsi"/>
                <w:b/>
                <w:color w:val="1C8243"/>
                <w:sz w:val="20"/>
                <w:szCs w:val="19"/>
              </w:rPr>
            </w:pPr>
            <w:r w:rsidRPr="0039451B">
              <w:rPr>
                <w:rFonts w:cstheme="minorHAnsi"/>
                <w:b/>
                <w:color w:val="1C8243"/>
                <w:sz w:val="20"/>
                <w:szCs w:val="19"/>
              </w:rPr>
              <w:t xml:space="preserve">Improve awareness and screening for genetic diseases and childhood cancers </w:t>
            </w:r>
          </w:p>
        </w:tc>
        <w:tc>
          <w:tcPr>
            <w:tcW w:w="3676" w:type="pct"/>
            <w:tcBorders>
              <w:top w:val="single" w:sz="4" w:space="0" w:color="318843"/>
              <w:bottom w:val="single" w:sz="4" w:space="0" w:color="318843"/>
            </w:tcBorders>
            <w:shd w:val="clear" w:color="auto" w:fill="auto"/>
          </w:tcPr>
          <w:p w14:paraId="4C161316" w14:textId="77777777" w:rsidR="0039451B" w:rsidRPr="0039451B" w:rsidRDefault="0039451B" w:rsidP="0039451B">
            <w:pPr>
              <w:pStyle w:val="ListParagraph"/>
              <w:numPr>
                <w:ilvl w:val="0"/>
                <w:numId w:val="39"/>
              </w:numPr>
              <w:spacing w:before="60" w:after="60"/>
              <w:ind w:left="323" w:hanging="323"/>
              <w:contextualSpacing w:val="0"/>
              <w:rPr>
                <w:sz w:val="20"/>
                <w:szCs w:val="20"/>
              </w:rPr>
            </w:pPr>
            <w:r w:rsidRPr="0039451B">
              <w:rPr>
                <w:sz w:val="20"/>
                <w:szCs w:val="20"/>
              </w:rPr>
              <w:t>Build community awareness of rare genetic diseases, including the risk factors that can relate to these conditions emerging in infants during pregnancy</w:t>
            </w:r>
          </w:p>
          <w:p w14:paraId="05E70F45" w14:textId="77777777" w:rsidR="0039451B" w:rsidRPr="0039451B" w:rsidRDefault="0039451B" w:rsidP="0039451B">
            <w:pPr>
              <w:pStyle w:val="ListParagraph"/>
              <w:numPr>
                <w:ilvl w:val="0"/>
                <w:numId w:val="39"/>
              </w:numPr>
              <w:spacing w:before="60" w:after="60"/>
              <w:ind w:left="323" w:hanging="323"/>
              <w:contextualSpacing w:val="0"/>
              <w:rPr>
                <w:sz w:val="20"/>
                <w:szCs w:val="20"/>
              </w:rPr>
            </w:pPr>
            <w:r w:rsidRPr="0039451B">
              <w:rPr>
                <w:sz w:val="20"/>
                <w:szCs w:val="20"/>
              </w:rPr>
              <w:t>Promote awareness and access of screening available, including conditions which can be detected, what to expect, when and where testing can be carried out</w:t>
            </w:r>
            <w:r w:rsidR="000D67F5">
              <w:rPr>
                <w:sz w:val="20"/>
                <w:szCs w:val="20"/>
              </w:rPr>
              <w:t>.</w:t>
            </w:r>
            <w:r w:rsidRPr="0039451B">
              <w:rPr>
                <w:sz w:val="20"/>
                <w:szCs w:val="20"/>
              </w:rPr>
              <w:t xml:space="preserve"> </w:t>
            </w:r>
          </w:p>
          <w:p w14:paraId="0C4184D0" w14:textId="77777777" w:rsidR="0039451B" w:rsidRDefault="0039451B" w:rsidP="0039451B">
            <w:pPr>
              <w:pStyle w:val="ListParagraph"/>
              <w:numPr>
                <w:ilvl w:val="0"/>
                <w:numId w:val="39"/>
              </w:numPr>
              <w:spacing w:before="60" w:after="60"/>
              <w:ind w:left="323" w:hanging="323"/>
              <w:contextualSpacing w:val="0"/>
              <w:rPr>
                <w:sz w:val="20"/>
                <w:szCs w:val="20"/>
              </w:rPr>
            </w:pPr>
            <w:r w:rsidRPr="0039451B">
              <w:rPr>
                <w:sz w:val="20"/>
                <w:szCs w:val="20"/>
                <w:lang w:val="en-GB"/>
              </w:rPr>
              <w:t>Equip GPs to address and support pre-existing conditions both previously known and discovered during the first pregnancy and refer to other services where appropriate – e.g. genetic counsellors</w:t>
            </w:r>
            <w:r w:rsidRPr="0039451B">
              <w:rPr>
                <w:sz w:val="20"/>
                <w:szCs w:val="20"/>
              </w:rPr>
              <w:t xml:space="preserve"> </w:t>
            </w:r>
          </w:p>
          <w:p w14:paraId="4890E2A0" w14:textId="77777777" w:rsidR="0039451B" w:rsidRPr="0039451B" w:rsidRDefault="0039451B" w:rsidP="0039451B">
            <w:pPr>
              <w:pStyle w:val="ListParagraph"/>
              <w:numPr>
                <w:ilvl w:val="0"/>
                <w:numId w:val="39"/>
              </w:numPr>
              <w:spacing w:before="60" w:after="60"/>
              <w:ind w:left="323" w:hanging="323"/>
              <w:contextualSpacing w:val="0"/>
              <w:rPr>
                <w:sz w:val="20"/>
                <w:szCs w:val="20"/>
              </w:rPr>
            </w:pPr>
            <w:r w:rsidRPr="0039451B">
              <w:rPr>
                <w:sz w:val="20"/>
                <w:szCs w:val="20"/>
              </w:rPr>
              <w:t>Strengthen research to further explore the risk factors and potential causes of genetic disorders and childhood cancers</w:t>
            </w:r>
          </w:p>
        </w:tc>
      </w:tr>
      <w:tr w:rsidR="0039451B" w:rsidRPr="00CC575A" w14:paraId="75780E36" w14:textId="77777777" w:rsidTr="00DB1F46">
        <w:tc>
          <w:tcPr>
            <w:tcW w:w="1324" w:type="pct"/>
            <w:tcBorders>
              <w:top w:val="single" w:sz="4" w:space="0" w:color="318843"/>
              <w:bottom w:val="single" w:sz="4" w:space="0" w:color="318843"/>
            </w:tcBorders>
            <w:shd w:val="clear" w:color="auto" w:fill="auto"/>
          </w:tcPr>
          <w:p w14:paraId="7B04AAFB" w14:textId="77777777" w:rsidR="0039451B" w:rsidRPr="0039451B" w:rsidRDefault="0039451B" w:rsidP="00DB1F46">
            <w:pPr>
              <w:spacing w:before="60"/>
              <w:rPr>
                <w:rFonts w:cstheme="minorHAnsi"/>
                <w:b/>
                <w:color w:val="1C8243"/>
                <w:sz w:val="20"/>
                <w:szCs w:val="19"/>
              </w:rPr>
            </w:pPr>
            <w:r w:rsidRPr="0039451B">
              <w:rPr>
                <w:rFonts w:cstheme="minorHAnsi"/>
                <w:b/>
                <w:color w:val="1C8243"/>
                <w:sz w:val="20"/>
                <w:szCs w:val="19"/>
              </w:rPr>
              <w:t xml:space="preserve">Harmonise support for children and young people with chronic conditions – and their families – to alleviate burden of </w:t>
            </w:r>
            <w:r w:rsidR="003F5034">
              <w:rPr>
                <w:rFonts w:cstheme="minorHAnsi"/>
                <w:b/>
                <w:color w:val="1C8243"/>
                <w:sz w:val="20"/>
                <w:szCs w:val="19"/>
              </w:rPr>
              <w:t>treatment and</w:t>
            </w:r>
            <w:r w:rsidRPr="0039451B">
              <w:rPr>
                <w:rFonts w:cstheme="minorHAnsi"/>
                <w:b/>
                <w:color w:val="1C8243"/>
                <w:sz w:val="20"/>
                <w:szCs w:val="19"/>
              </w:rPr>
              <w:t xml:space="preserve"> care</w:t>
            </w:r>
          </w:p>
        </w:tc>
        <w:tc>
          <w:tcPr>
            <w:tcW w:w="3676" w:type="pct"/>
            <w:tcBorders>
              <w:top w:val="single" w:sz="4" w:space="0" w:color="318843"/>
              <w:bottom w:val="single" w:sz="4" w:space="0" w:color="318843"/>
            </w:tcBorders>
            <w:shd w:val="clear" w:color="auto" w:fill="auto"/>
          </w:tcPr>
          <w:p w14:paraId="7D20550B"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Support integration of services to maximise the opportunities for families to access local services at the right time</w:t>
            </w:r>
          </w:p>
          <w:p w14:paraId="5C6B7C8F" w14:textId="1943A2A4"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 xml:space="preserve">Enhance support for programs which support families to accompany children when attending specialist care away from home (i.e. provide travel, accommodation, counselling </w:t>
            </w:r>
            <w:r w:rsidR="0058563D" w:rsidRPr="003F5034">
              <w:rPr>
                <w:sz w:val="20"/>
                <w:szCs w:val="20"/>
              </w:rPr>
              <w:t>etc.</w:t>
            </w:r>
            <w:r w:rsidRPr="003F5034">
              <w:rPr>
                <w:sz w:val="20"/>
                <w:szCs w:val="20"/>
              </w:rPr>
              <w:t>)</w:t>
            </w:r>
          </w:p>
          <w:p w14:paraId="229653A4"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Research international best practice in remote support (including online support, peer networks, telehealth) for children who live remotely and have chronic and complex conditions</w:t>
            </w:r>
          </w:p>
          <w:p w14:paraId="7C137E4F"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Develop best practice frameworks and structures to support children and young people with chronic conditions continue to engage in learning and social connection when in health service settings</w:t>
            </w:r>
          </w:p>
          <w:p w14:paraId="12E1A4B2" w14:textId="77777777" w:rsidR="0039451B" w:rsidRPr="0039451B" w:rsidRDefault="003F5034" w:rsidP="003F5034">
            <w:pPr>
              <w:pStyle w:val="ListParagraph"/>
              <w:numPr>
                <w:ilvl w:val="0"/>
                <w:numId w:val="39"/>
              </w:numPr>
              <w:spacing w:before="60" w:after="60"/>
              <w:ind w:left="323" w:hanging="323"/>
              <w:contextualSpacing w:val="0"/>
              <w:rPr>
                <w:sz w:val="20"/>
                <w:szCs w:val="20"/>
              </w:rPr>
            </w:pPr>
            <w:r w:rsidRPr="003F5034">
              <w:rPr>
                <w:sz w:val="20"/>
                <w:szCs w:val="20"/>
                <w:lang w:val="en-GB"/>
              </w:rPr>
              <w:t>Establish parenting and family-oriented supports for young people who fulfil a role as a primary carer for a parent or other family member with a chronic condition</w:t>
            </w:r>
          </w:p>
        </w:tc>
      </w:tr>
      <w:tr w:rsidR="003F5034" w:rsidRPr="00CC575A" w14:paraId="3420F95C" w14:textId="77777777" w:rsidTr="00DB1F46">
        <w:tc>
          <w:tcPr>
            <w:tcW w:w="1324" w:type="pct"/>
            <w:tcBorders>
              <w:top w:val="single" w:sz="4" w:space="0" w:color="318843"/>
              <w:bottom w:val="single" w:sz="4" w:space="0" w:color="318843"/>
            </w:tcBorders>
            <w:shd w:val="clear" w:color="auto" w:fill="auto"/>
          </w:tcPr>
          <w:p w14:paraId="62D5C33D" w14:textId="77777777" w:rsidR="003F5034" w:rsidRPr="0039451B" w:rsidRDefault="003F5034" w:rsidP="00DB1F46">
            <w:pPr>
              <w:spacing w:before="60"/>
              <w:rPr>
                <w:rFonts w:cstheme="minorHAnsi"/>
                <w:b/>
                <w:color w:val="1C8243"/>
                <w:sz w:val="20"/>
                <w:szCs w:val="19"/>
              </w:rPr>
            </w:pPr>
            <w:r w:rsidRPr="003F5034">
              <w:rPr>
                <w:rFonts w:cstheme="minorHAnsi"/>
                <w:b/>
                <w:color w:val="1C8243"/>
                <w:sz w:val="20"/>
                <w:szCs w:val="19"/>
              </w:rPr>
              <w:t>Continue promoting and refining preventive health strategies and interventions addressing sleep, nutrition, physical activity, and overweight and obesity</w:t>
            </w:r>
          </w:p>
        </w:tc>
        <w:tc>
          <w:tcPr>
            <w:tcW w:w="3676" w:type="pct"/>
            <w:tcBorders>
              <w:top w:val="single" w:sz="4" w:space="0" w:color="318843"/>
              <w:bottom w:val="single" w:sz="4" w:space="0" w:color="318843"/>
            </w:tcBorders>
            <w:shd w:val="clear" w:color="auto" w:fill="auto"/>
          </w:tcPr>
          <w:p w14:paraId="3DAFE69C"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 xml:space="preserve">Embed strategic priority areas from the </w:t>
            </w:r>
            <w:r w:rsidRPr="003F5034">
              <w:rPr>
                <w:i/>
                <w:sz w:val="20"/>
                <w:szCs w:val="20"/>
              </w:rPr>
              <w:t>National Strategic Framework for Chronic Conditions, 2017</w:t>
            </w:r>
            <w:r w:rsidRPr="003F5034">
              <w:rPr>
                <w:sz w:val="20"/>
                <w:szCs w:val="20"/>
              </w:rPr>
              <w:t xml:space="preserve"> relating to health promotion and risk prevention</w:t>
            </w:r>
            <w:r w:rsidRPr="003F5034">
              <w:rPr>
                <w:sz w:val="20"/>
                <w:szCs w:val="20"/>
                <w:vertAlign w:val="superscript"/>
              </w:rPr>
              <w:endnoteReference w:id="182"/>
            </w:r>
          </w:p>
          <w:p w14:paraId="202EB448"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Promote awareness and understanding of food and drink labelling, nutrition and activity guidelines with parents, young people and children</w:t>
            </w:r>
          </w:p>
          <w:p w14:paraId="3AC6FE2E"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Develop approaches to increase access to and provision of fresh fruit and vegetables to remote communities and among populations experiencing disadvantage</w:t>
            </w:r>
          </w:p>
          <w:p w14:paraId="7F12043F"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Support and evaluate school-based programs relating to nutrition and physical activity</w:t>
            </w:r>
          </w:p>
          <w:p w14:paraId="7139E769"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Continue to investigate and assess options for labelling, promotion, advertising and accessibility of food and drink, drawing on evidence-based models in Australia and internationally</w:t>
            </w:r>
          </w:p>
          <w:p w14:paraId="556F912B"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lang w:val="en-GB"/>
              </w:rPr>
              <w:t>Further promote sleep and sleep hygiene as a preventive health strategy for good physical and mental health</w:t>
            </w:r>
          </w:p>
        </w:tc>
      </w:tr>
      <w:tr w:rsidR="003F5034" w:rsidRPr="00CC575A" w14:paraId="7FA10EE2" w14:textId="77777777" w:rsidTr="00DB1F46">
        <w:tc>
          <w:tcPr>
            <w:tcW w:w="1324" w:type="pct"/>
            <w:tcBorders>
              <w:top w:val="single" w:sz="4" w:space="0" w:color="318843"/>
              <w:bottom w:val="single" w:sz="4" w:space="0" w:color="318843"/>
            </w:tcBorders>
            <w:shd w:val="clear" w:color="auto" w:fill="auto"/>
          </w:tcPr>
          <w:p w14:paraId="700B16FC" w14:textId="77777777" w:rsidR="003F5034" w:rsidRPr="003F5034" w:rsidRDefault="003F5034" w:rsidP="00DB1F46">
            <w:pPr>
              <w:spacing w:before="60"/>
              <w:rPr>
                <w:rFonts w:cstheme="minorHAnsi"/>
                <w:b/>
                <w:color w:val="1C8243"/>
                <w:sz w:val="20"/>
                <w:szCs w:val="19"/>
              </w:rPr>
            </w:pPr>
            <w:r w:rsidRPr="003F5034">
              <w:rPr>
                <w:rFonts w:cstheme="minorHAnsi"/>
                <w:b/>
                <w:color w:val="1C8243"/>
                <w:sz w:val="20"/>
                <w:szCs w:val="19"/>
              </w:rPr>
              <w:t>Work with partners to advocate for and optimise environments and communities for wellbeing</w:t>
            </w:r>
          </w:p>
        </w:tc>
        <w:tc>
          <w:tcPr>
            <w:tcW w:w="3676" w:type="pct"/>
            <w:tcBorders>
              <w:top w:val="single" w:sz="4" w:space="0" w:color="318843"/>
              <w:bottom w:val="single" w:sz="4" w:space="0" w:color="318843"/>
            </w:tcBorders>
            <w:shd w:val="clear" w:color="auto" w:fill="auto"/>
          </w:tcPr>
          <w:p w14:paraId="747DB635"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Develop a national active travel policy where infrastructure and transport planning incorporate strategies to encourage cycling and walking</w:t>
            </w:r>
          </w:p>
          <w:p w14:paraId="15C4086A"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rPr>
              <w:t>Develop and assess ‘child-friendly city’ initiatives and trials, drawing on global evidence and practice examples</w:t>
            </w:r>
          </w:p>
          <w:p w14:paraId="1C839969"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lang w:val="en-GB"/>
              </w:rPr>
              <w:t>Establish initiatives to increase physical literacy among children and young people</w:t>
            </w:r>
          </w:p>
        </w:tc>
      </w:tr>
      <w:tr w:rsidR="003F5034" w:rsidRPr="00CC575A" w14:paraId="26D5565B" w14:textId="77777777" w:rsidTr="00DB1F46">
        <w:tc>
          <w:tcPr>
            <w:tcW w:w="1324" w:type="pct"/>
            <w:tcBorders>
              <w:top w:val="single" w:sz="4" w:space="0" w:color="318843"/>
              <w:bottom w:val="single" w:sz="4" w:space="0" w:color="318843"/>
            </w:tcBorders>
            <w:shd w:val="clear" w:color="auto" w:fill="auto"/>
          </w:tcPr>
          <w:p w14:paraId="60C4E7B7" w14:textId="77777777" w:rsidR="003F5034" w:rsidRPr="003F5034" w:rsidRDefault="003F5034" w:rsidP="00DB1F46">
            <w:pPr>
              <w:spacing w:before="60"/>
              <w:rPr>
                <w:rFonts w:cstheme="minorHAnsi"/>
                <w:b/>
                <w:color w:val="1C8243"/>
                <w:sz w:val="20"/>
                <w:szCs w:val="19"/>
              </w:rPr>
            </w:pPr>
            <w:r w:rsidRPr="003F5034">
              <w:rPr>
                <w:rFonts w:cstheme="minorHAnsi"/>
                <w:b/>
                <w:color w:val="1C8243"/>
                <w:sz w:val="20"/>
                <w:szCs w:val="19"/>
              </w:rPr>
              <w:t xml:space="preserve">Continue to promote strong oral health </w:t>
            </w:r>
          </w:p>
        </w:tc>
        <w:tc>
          <w:tcPr>
            <w:tcW w:w="3676" w:type="pct"/>
            <w:tcBorders>
              <w:top w:val="single" w:sz="4" w:space="0" w:color="318843"/>
              <w:bottom w:val="single" w:sz="4" w:space="0" w:color="318843"/>
            </w:tcBorders>
            <w:shd w:val="clear" w:color="auto" w:fill="auto"/>
          </w:tcPr>
          <w:p w14:paraId="7CFA3BCE" w14:textId="77777777" w:rsidR="003F5034" w:rsidRPr="003F5034" w:rsidRDefault="003F5034" w:rsidP="003F5034">
            <w:pPr>
              <w:pStyle w:val="ListParagraph"/>
              <w:numPr>
                <w:ilvl w:val="0"/>
                <w:numId w:val="39"/>
              </w:numPr>
              <w:spacing w:before="60" w:after="60"/>
              <w:ind w:left="323" w:hanging="323"/>
              <w:contextualSpacing w:val="0"/>
              <w:rPr>
                <w:sz w:val="20"/>
                <w:szCs w:val="20"/>
              </w:rPr>
            </w:pPr>
            <w:r w:rsidRPr="003F5034">
              <w:rPr>
                <w:sz w:val="20"/>
                <w:szCs w:val="20"/>
                <w:lang w:val="en-GB"/>
              </w:rPr>
              <w:t xml:space="preserve">Embed key strategies and actions from </w:t>
            </w:r>
            <w:r w:rsidRPr="003F5034">
              <w:rPr>
                <w:i/>
                <w:sz w:val="20"/>
                <w:szCs w:val="20"/>
                <w:lang w:val="en-GB"/>
              </w:rPr>
              <w:t xml:space="preserve">Australia’s National Oral Health Plan 2015-2024 </w:t>
            </w:r>
            <w:r w:rsidRPr="003F5034">
              <w:rPr>
                <w:sz w:val="20"/>
                <w:szCs w:val="20"/>
                <w:lang w:val="en-GB"/>
              </w:rPr>
              <w:t>that focus on health promotion, prevention and intervention among children and young people</w:t>
            </w:r>
            <w:r w:rsidRPr="003F5034">
              <w:rPr>
                <w:sz w:val="20"/>
                <w:szCs w:val="20"/>
                <w:vertAlign w:val="superscript"/>
                <w:lang w:val="en-GB"/>
              </w:rPr>
              <w:endnoteReference w:id="183"/>
            </w:r>
          </w:p>
        </w:tc>
      </w:tr>
      <w:tr w:rsidR="003F5034" w:rsidRPr="00CC575A" w14:paraId="52312C15" w14:textId="77777777" w:rsidTr="00DB1F46">
        <w:tc>
          <w:tcPr>
            <w:tcW w:w="1324" w:type="pct"/>
            <w:tcBorders>
              <w:top w:val="single" w:sz="4" w:space="0" w:color="318843"/>
              <w:bottom w:val="single" w:sz="4" w:space="0" w:color="318843"/>
            </w:tcBorders>
            <w:shd w:val="clear" w:color="auto" w:fill="auto"/>
          </w:tcPr>
          <w:p w14:paraId="615EB919" w14:textId="77777777" w:rsidR="003F5034" w:rsidRPr="003F5034" w:rsidRDefault="003F5034" w:rsidP="00DB1F46">
            <w:pPr>
              <w:spacing w:before="60"/>
              <w:rPr>
                <w:rFonts w:cstheme="minorHAnsi"/>
                <w:b/>
                <w:color w:val="1C8243"/>
                <w:sz w:val="20"/>
                <w:szCs w:val="19"/>
              </w:rPr>
            </w:pPr>
            <w:r w:rsidRPr="003F5034">
              <w:rPr>
                <w:rFonts w:cstheme="minorHAnsi"/>
                <w:b/>
                <w:color w:val="1C8243"/>
                <w:sz w:val="20"/>
                <w:szCs w:val="19"/>
              </w:rPr>
              <w:t>Maintain strong focus on protecting Australia’s health through immunisation</w:t>
            </w:r>
          </w:p>
        </w:tc>
        <w:tc>
          <w:tcPr>
            <w:tcW w:w="3676" w:type="pct"/>
            <w:tcBorders>
              <w:top w:val="single" w:sz="4" w:space="0" w:color="318843"/>
              <w:bottom w:val="single" w:sz="4" w:space="0" w:color="318843"/>
            </w:tcBorders>
            <w:shd w:val="clear" w:color="auto" w:fill="auto"/>
          </w:tcPr>
          <w:p w14:paraId="09EFDE55" w14:textId="77777777" w:rsidR="003F5034" w:rsidRPr="003F5034" w:rsidRDefault="003F5034" w:rsidP="003F5034">
            <w:pPr>
              <w:pStyle w:val="ListParagraph"/>
              <w:numPr>
                <w:ilvl w:val="0"/>
                <w:numId w:val="39"/>
              </w:numPr>
              <w:spacing w:before="60" w:after="60"/>
              <w:ind w:left="323" w:hanging="323"/>
              <w:contextualSpacing w:val="0"/>
              <w:rPr>
                <w:sz w:val="20"/>
                <w:szCs w:val="20"/>
                <w:lang w:val="en-GB"/>
              </w:rPr>
            </w:pPr>
            <w:r w:rsidRPr="003F5034">
              <w:rPr>
                <w:sz w:val="20"/>
                <w:szCs w:val="20"/>
                <w:lang w:val="en-GB"/>
              </w:rPr>
              <w:t xml:space="preserve">Embed key strategies and actions from the </w:t>
            </w:r>
            <w:r w:rsidRPr="003F5034">
              <w:rPr>
                <w:i/>
                <w:sz w:val="20"/>
                <w:szCs w:val="20"/>
                <w:lang w:val="en-GB"/>
              </w:rPr>
              <w:t>National Immunisation Strategy for Australia 2019-2024</w:t>
            </w:r>
            <w:r w:rsidRPr="003F5034">
              <w:rPr>
                <w:sz w:val="20"/>
                <w:szCs w:val="20"/>
                <w:lang w:val="en-GB"/>
              </w:rPr>
              <w:t xml:space="preserve"> to promote and lift immunisation coverage among all children and young people across Australia</w:t>
            </w:r>
            <w:r w:rsidRPr="003F5034">
              <w:rPr>
                <w:sz w:val="20"/>
                <w:szCs w:val="20"/>
                <w:vertAlign w:val="superscript"/>
                <w:lang w:val="en-GB"/>
              </w:rPr>
              <w:endnoteReference w:id="184"/>
            </w:r>
          </w:p>
        </w:tc>
      </w:tr>
    </w:tbl>
    <w:p w14:paraId="51F005DC" w14:textId="77777777" w:rsidR="009827A1" w:rsidRDefault="009827A1">
      <w:pPr>
        <w:spacing w:before="0" w:after="160" w:line="259" w:lineRule="auto"/>
        <w:rPr>
          <w:rFonts w:ascii="Segoe UI Semibold" w:hAnsi="Segoe UI Semibold"/>
          <w:b/>
          <w:color w:val="288843"/>
          <w:sz w:val="28"/>
          <w:szCs w:val="19"/>
          <w:lang w:eastAsia="en-AU"/>
        </w:rPr>
      </w:pPr>
      <w:r>
        <w:br w:type="page"/>
      </w:r>
    </w:p>
    <w:p w14:paraId="001DA7DC" w14:textId="77777777" w:rsidR="003330B2" w:rsidRDefault="003330B2" w:rsidP="00FE45ED">
      <w:pPr>
        <w:pStyle w:val="Heading2"/>
      </w:pPr>
      <w:bookmarkStart w:id="29" w:name="_Toc5282308"/>
      <w:bookmarkStart w:id="30" w:name="_Hlk4829573"/>
      <w:r>
        <w:t>Priority Area 5: Strengthening the workforce</w:t>
      </w:r>
      <w:bookmarkEnd w:id="29"/>
    </w:p>
    <w:bookmarkEnd w:id="30"/>
    <w:p w14:paraId="0CBD5BB9" w14:textId="77777777" w:rsidR="002D2056" w:rsidRDefault="00E17A93" w:rsidP="002D2056">
      <w:pPr>
        <w:rPr>
          <w:rFonts w:cstheme="minorHAnsi"/>
          <w:sz w:val="20"/>
          <w:szCs w:val="19"/>
        </w:rPr>
      </w:pPr>
      <w:r>
        <w:rPr>
          <w:rFonts w:cstheme="minorHAnsi"/>
          <w:sz w:val="20"/>
          <w:szCs w:val="19"/>
        </w:rPr>
        <w:t>While workforce provision is an ongoing challenge, we can also better support the health</w:t>
      </w:r>
      <w:r w:rsidR="00A33338">
        <w:rPr>
          <w:rFonts w:cstheme="minorHAnsi"/>
          <w:sz w:val="20"/>
          <w:szCs w:val="19"/>
        </w:rPr>
        <w:t xml:space="preserve">, </w:t>
      </w:r>
      <w:r>
        <w:rPr>
          <w:rFonts w:cstheme="minorHAnsi"/>
          <w:sz w:val="20"/>
          <w:szCs w:val="19"/>
        </w:rPr>
        <w:t>and extended</w:t>
      </w:r>
      <w:r w:rsidR="00A33338">
        <w:rPr>
          <w:rFonts w:cstheme="minorHAnsi"/>
          <w:sz w:val="20"/>
          <w:szCs w:val="19"/>
        </w:rPr>
        <w:t>,</w:t>
      </w:r>
      <w:r>
        <w:rPr>
          <w:rFonts w:cstheme="minorHAnsi"/>
          <w:sz w:val="20"/>
          <w:szCs w:val="19"/>
        </w:rPr>
        <w:t xml:space="preserve"> workforce to be able to more easily identify and develop wrap-around solutions supporting the health of children and young people. </w:t>
      </w:r>
    </w:p>
    <w:p w14:paraId="57746F8B" w14:textId="77777777" w:rsidR="007206FB" w:rsidRDefault="007206FB" w:rsidP="007206FB">
      <w:pPr>
        <w:pStyle w:val="Heading4"/>
      </w:pPr>
      <w:r>
        <w:t>Why is this a priority?</w:t>
      </w:r>
    </w:p>
    <w:p w14:paraId="28E81D93" w14:textId="77777777" w:rsidR="00671647" w:rsidRDefault="008A5C2E" w:rsidP="008A5C2E">
      <w:pPr>
        <w:rPr>
          <w:rFonts w:cstheme="minorHAnsi"/>
          <w:sz w:val="20"/>
          <w:szCs w:val="19"/>
        </w:rPr>
      </w:pPr>
      <w:r>
        <w:rPr>
          <w:rFonts w:cstheme="minorHAnsi"/>
          <w:sz w:val="20"/>
          <w:szCs w:val="19"/>
        </w:rPr>
        <w:t xml:space="preserve">Children, young people and their families </w:t>
      </w:r>
      <w:r w:rsidR="00241F76">
        <w:rPr>
          <w:rFonts w:cstheme="minorHAnsi"/>
          <w:sz w:val="20"/>
          <w:szCs w:val="19"/>
        </w:rPr>
        <w:t>may</w:t>
      </w:r>
      <w:r w:rsidR="00CA3B6C">
        <w:rPr>
          <w:rFonts w:cstheme="minorHAnsi"/>
          <w:sz w:val="20"/>
          <w:szCs w:val="19"/>
        </w:rPr>
        <w:t xml:space="preserve"> </w:t>
      </w:r>
      <w:r>
        <w:rPr>
          <w:rFonts w:cstheme="minorHAnsi"/>
          <w:sz w:val="20"/>
          <w:szCs w:val="19"/>
        </w:rPr>
        <w:t xml:space="preserve">have multiple touchpoints with the health system, as well as health and development related engagement with professionals, program providers, volunteers, and community members outside of the health sector. </w:t>
      </w:r>
      <w:r w:rsidR="000574D9">
        <w:rPr>
          <w:rFonts w:cstheme="minorHAnsi"/>
          <w:sz w:val="20"/>
          <w:szCs w:val="19"/>
        </w:rPr>
        <w:t xml:space="preserve">There are many </w:t>
      </w:r>
      <w:r w:rsidR="00241F76">
        <w:rPr>
          <w:rFonts w:cstheme="minorHAnsi"/>
          <w:sz w:val="20"/>
          <w:szCs w:val="19"/>
        </w:rPr>
        <w:t xml:space="preserve">potential </w:t>
      </w:r>
      <w:r w:rsidR="000574D9">
        <w:rPr>
          <w:rFonts w:cstheme="minorHAnsi"/>
          <w:sz w:val="20"/>
          <w:szCs w:val="19"/>
        </w:rPr>
        <w:t>opportunities for education, support and intervention</w:t>
      </w:r>
      <w:r w:rsidR="00CA3B6C">
        <w:rPr>
          <w:rFonts w:cstheme="minorHAnsi"/>
          <w:sz w:val="20"/>
          <w:szCs w:val="19"/>
        </w:rPr>
        <w:t xml:space="preserve"> from a range of providers</w:t>
      </w:r>
      <w:r w:rsidR="00B900F3">
        <w:rPr>
          <w:rFonts w:cstheme="minorHAnsi"/>
          <w:sz w:val="20"/>
          <w:szCs w:val="19"/>
        </w:rPr>
        <w:t xml:space="preserve"> in a range of settings</w:t>
      </w:r>
      <w:r w:rsidR="000574D9">
        <w:rPr>
          <w:rFonts w:cstheme="minorHAnsi"/>
          <w:sz w:val="20"/>
          <w:szCs w:val="19"/>
        </w:rPr>
        <w:t>.</w:t>
      </w:r>
      <w:r w:rsidR="00CA3B6C">
        <w:rPr>
          <w:rFonts w:cstheme="minorHAnsi"/>
          <w:sz w:val="20"/>
          <w:szCs w:val="19"/>
        </w:rPr>
        <w:t xml:space="preserve"> Quality matters.</w:t>
      </w:r>
      <w:r w:rsidR="00CA3B6C">
        <w:rPr>
          <w:rStyle w:val="EndnoteReference"/>
          <w:rFonts w:cstheme="minorHAnsi"/>
          <w:sz w:val="20"/>
          <w:szCs w:val="19"/>
        </w:rPr>
        <w:endnoteReference w:id="185"/>
      </w:r>
      <w:r w:rsidR="00CA3B6C">
        <w:rPr>
          <w:rFonts w:cstheme="minorHAnsi"/>
          <w:sz w:val="20"/>
          <w:szCs w:val="19"/>
        </w:rPr>
        <w:t xml:space="preserve"> </w:t>
      </w:r>
    </w:p>
    <w:p w14:paraId="6BC36525" w14:textId="77777777" w:rsidR="00CA3B6C" w:rsidRDefault="00671647" w:rsidP="008A5C2E">
      <w:pPr>
        <w:rPr>
          <w:rFonts w:cstheme="minorHAnsi"/>
          <w:sz w:val="20"/>
          <w:szCs w:val="19"/>
        </w:rPr>
      </w:pPr>
      <w:r>
        <w:rPr>
          <w:rFonts w:cstheme="minorHAnsi"/>
          <w:sz w:val="20"/>
          <w:szCs w:val="19"/>
        </w:rPr>
        <w:t xml:space="preserve">While </w:t>
      </w:r>
      <w:r w:rsidRPr="00B900F3">
        <w:rPr>
          <w:rFonts w:cstheme="minorHAnsi"/>
          <w:color w:val="1C8243"/>
          <w:sz w:val="20"/>
          <w:szCs w:val="19"/>
        </w:rPr>
        <w:t>workforce provision</w:t>
      </w:r>
      <w:r>
        <w:rPr>
          <w:rFonts w:cstheme="minorHAnsi"/>
          <w:sz w:val="20"/>
          <w:szCs w:val="19"/>
        </w:rPr>
        <w:t xml:space="preserve"> is important – particularly in addressing gaps in rural and remote areas and addressing emerging health issues – there is concurrent value in better equipping and</w:t>
      </w:r>
      <w:r w:rsidR="00EE6512">
        <w:rPr>
          <w:rFonts w:cstheme="minorHAnsi"/>
          <w:sz w:val="20"/>
          <w:szCs w:val="19"/>
        </w:rPr>
        <w:t xml:space="preserve">, where necessary, </w:t>
      </w:r>
      <w:r w:rsidR="00EE6512" w:rsidRPr="00B900F3">
        <w:rPr>
          <w:rFonts w:cstheme="minorHAnsi"/>
          <w:color w:val="1C8243"/>
          <w:sz w:val="20"/>
          <w:szCs w:val="19"/>
        </w:rPr>
        <w:t>upskilling</w:t>
      </w:r>
      <w:r w:rsidR="00EE6512">
        <w:rPr>
          <w:rFonts w:cstheme="minorHAnsi"/>
          <w:sz w:val="20"/>
          <w:szCs w:val="19"/>
        </w:rPr>
        <w:t xml:space="preserve"> the workforce to be able to identify and address the health needs of children and young people.</w:t>
      </w:r>
      <w:r w:rsidR="00CA3B6C">
        <w:rPr>
          <w:rFonts w:cstheme="minorHAnsi"/>
          <w:sz w:val="20"/>
          <w:szCs w:val="19"/>
        </w:rPr>
        <w:t xml:space="preserve"> Through adopting and implementing practices that take a holistic, </w:t>
      </w:r>
      <w:r w:rsidR="00CA3B6C" w:rsidRPr="00B900F3">
        <w:rPr>
          <w:rFonts w:cstheme="minorHAnsi"/>
          <w:color w:val="1C8243"/>
          <w:sz w:val="20"/>
          <w:szCs w:val="19"/>
        </w:rPr>
        <w:t>child-centred approach</w:t>
      </w:r>
      <w:r w:rsidR="00CA3B6C">
        <w:rPr>
          <w:rFonts w:cstheme="minorHAnsi"/>
          <w:sz w:val="20"/>
          <w:szCs w:val="19"/>
        </w:rPr>
        <w:t>, clinical health outcomes and user experiences are likely to improve.</w:t>
      </w:r>
      <w:r w:rsidR="00CA3B6C">
        <w:rPr>
          <w:rStyle w:val="EndnoteReference"/>
          <w:rFonts w:cstheme="minorHAnsi"/>
          <w:sz w:val="20"/>
          <w:szCs w:val="19"/>
        </w:rPr>
        <w:endnoteReference w:id="186"/>
      </w:r>
      <w:r w:rsidR="00CA3B6C">
        <w:rPr>
          <w:rFonts w:cstheme="minorHAnsi"/>
          <w:sz w:val="20"/>
          <w:szCs w:val="19"/>
        </w:rPr>
        <w:t xml:space="preserve">  </w:t>
      </w:r>
    </w:p>
    <w:p w14:paraId="420C26FD" w14:textId="77777777" w:rsidR="00503D59" w:rsidRDefault="00B900F3" w:rsidP="008A5C2E">
      <w:pPr>
        <w:rPr>
          <w:rFonts w:cstheme="minorHAnsi"/>
          <w:sz w:val="20"/>
          <w:szCs w:val="19"/>
        </w:rPr>
      </w:pPr>
      <w:r>
        <w:rPr>
          <w:rFonts w:cstheme="minorHAnsi"/>
          <w:sz w:val="20"/>
          <w:szCs w:val="19"/>
        </w:rPr>
        <w:t xml:space="preserve">The health workforce – and other professionals engaged in the development of children and their families – can have a powerful influence in </w:t>
      </w:r>
      <w:r w:rsidRPr="00B900F3">
        <w:rPr>
          <w:rFonts w:cstheme="minorHAnsi"/>
          <w:color w:val="1C8243"/>
          <w:sz w:val="20"/>
          <w:szCs w:val="19"/>
        </w:rPr>
        <w:t>tackling health inequity</w:t>
      </w:r>
      <w:r>
        <w:rPr>
          <w:rFonts w:cstheme="minorHAnsi"/>
          <w:sz w:val="20"/>
          <w:szCs w:val="19"/>
        </w:rPr>
        <w:t xml:space="preserve"> across the population. </w:t>
      </w:r>
      <w:r w:rsidR="00503D59">
        <w:rPr>
          <w:rFonts w:cstheme="minorHAnsi"/>
          <w:sz w:val="20"/>
          <w:szCs w:val="19"/>
        </w:rPr>
        <w:t xml:space="preserve">GPs in particular are </w:t>
      </w:r>
      <w:r w:rsidR="00241F76">
        <w:rPr>
          <w:rFonts w:cstheme="minorHAnsi"/>
          <w:sz w:val="20"/>
          <w:szCs w:val="19"/>
        </w:rPr>
        <w:t>often</w:t>
      </w:r>
      <w:r w:rsidR="00503D59">
        <w:rPr>
          <w:rFonts w:cstheme="minorHAnsi"/>
          <w:sz w:val="20"/>
          <w:szCs w:val="19"/>
        </w:rPr>
        <w:t xml:space="preserve"> </w:t>
      </w:r>
      <w:r w:rsidR="00241F76">
        <w:rPr>
          <w:rFonts w:cstheme="minorHAnsi"/>
          <w:sz w:val="20"/>
          <w:szCs w:val="19"/>
        </w:rPr>
        <w:t xml:space="preserve">the first port of call for children, young people, and their families and play a vital role in prevention and early intervention, through effective assessment, referral and health care management. </w:t>
      </w:r>
    </w:p>
    <w:p w14:paraId="67409D23" w14:textId="40DF75F3" w:rsidR="00CA3B6C" w:rsidRDefault="00241F76" w:rsidP="008A5C2E">
      <w:pPr>
        <w:rPr>
          <w:rFonts w:cstheme="minorHAnsi"/>
          <w:sz w:val="20"/>
          <w:szCs w:val="19"/>
        </w:rPr>
      </w:pPr>
      <w:r>
        <w:rPr>
          <w:rFonts w:cstheme="minorHAnsi"/>
          <w:sz w:val="20"/>
          <w:szCs w:val="19"/>
        </w:rPr>
        <w:t xml:space="preserve">It is therefore important to support GPs and other health professionals in </w:t>
      </w:r>
      <w:r w:rsidR="00B900F3">
        <w:rPr>
          <w:rFonts w:cstheme="minorHAnsi"/>
          <w:sz w:val="20"/>
          <w:szCs w:val="19"/>
        </w:rPr>
        <w:t>identifying and addressing underlying determinants that are shaping child and youth health outcomes. For instance, paediatricians broadening health assessments and engaging with other services and providers within the community to develop holistic, co-ordinated packages of care and support for children and their families.</w:t>
      </w:r>
      <w:r w:rsidR="00B900F3">
        <w:rPr>
          <w:rStyle w:val="EndnoteReference"/>
          <w:rFonts w:cstheme="minorHAnsi"/>
          <w:sz w:val="20"/>
          <w:szCs w:val="19"/>
        </w:rPr>
        <w:endnoteReference w:id="187"/>
      </w:r>
      <w:r w:rsidR="00B900F3">
        <w:rPr>
          <w:rFonts w:cstheme="minorHAnsi"/>
          <w:sz w:val="20"/>
          <w:szCs w:val="19"/>
        </w:rPr>
        <w:t xml:space="preserve"> </w:t>
      </w:r>
      <w:r w:rsidR="00520B26">
        <w:rPr>
          <w:rFonts w:cstheme="minorHAnsi"/>
          <w:sz w:val="20"/>
          <w:szCs w:val="19"/>
        </w:rPr>
        <w:t xml:space="preserve">Such wrap-around efforts may also require supporting and upskilling other workers outside of the health sector (e.g. in schools, family services </w:t>
      </w:r>
      <w:r w:rsidR="0058563D">
        <w:rPr>
          <w:rFonts w:cstheme="minorHAnsi"/>
          <w:sz w:val="20"/>
          <w:szCs w:val="19"/>
        </w:rPr>
        <w:t>etc.</w:t>
      </w:r>
      <w:r w:rsidR="00520B26">
        <w:rPr>
          <w:rFonts w:cstheme="minorHAnsi"/>
          <w:sz w:val="20"/>
          <w:szCs w:val="19"/>
        </w:rPr>
        <w:t xml:space="preserve">). </w:t>
      </w:r>
    </w:p>
    <w:p w14:paraId="34D930C4" w14:textId="77777777" w:rsidR="00520B26" w:rsidRDefault="00520B26" w:rsidP="008A5C2E">
      <w:pPr>
        <w:rPr>
          <w:rFonts w:cstheme="minorHAnsi"/>
          <w:sz w:val="20"/>
          <w:szCs w:val="19"/>
        </w:rPr>
      </w:pPr>
      <w:r w:rsidRPr="00520B26">
        <w:rPr>
          <w:rFonts w:cstheme="minorHAnsi"/>
          <w:sz w:val="20"/>
          <w:szCs w:val="19"/>
        </w:rPr>
        <w:t xml:space="preserve">There are significant </w:t>
      </w:r>
      <w:r>
        <w:rPr>
          <w:rFonts w:cstheme="minorHAnsi"/>
          <w:sz w:val="20"/>
          <w:szCs w:val="19"/>
        </w:rPr>
        <w:t>challenges</w:t>
      </w:r>
      <w:r w:rsidRPr="00520B26">
        <w:rPr>
          <w:rFonts w:cstheme="minorHAnsi"/>
          <w:sz w:val="20"/>
          <w:szCs w:val="19"/>
        </w:rPr>
        <w:t xml:space="preserve"> in establishing and maintaining a skilled workforce</w:t>
      </w:r>
      <w:r>
        <w:rPr>
          <w:rFonts w:cstheme="minorHAnsi"/>
          <w:sz w:val="20"/>
          <w:szCs w:val="19"/>
        </w:rPr>
        <w:t xml:space="preserve"> to support the health of children and young people,</w:t>
      </w:r>
      <w:r w:rsidRPr="00520B26">
        <w:rPr>
          <w:rFonts w:cstheme="minorHAnsi"/>
          <w:sz w:val="20"/>
          <w:szCs w:val="19"/>
        </w:rPr>
        <w:t xml:space="preserve"> particularly </w:t>
      </w:r>
      <w:r>
        <w:rPr>
          <w:rFonts w:cstheme="minorHAnsi"/>
          <w:sz w:val="20"/>
          <w:szCs w:val="19"/>
        </w:rPr>
        <w:t xml:space="preserve">as health issues evolve, </w:t>
      </w:r>
      <w:r w:rsidR="00CF369D">
        <w:rPr>
          <w:rFonts w:cstheme="minorHAnsi"/>
          <w:sz w:val="20"/>
          <w:szCs w:val="19"/>
        </w:rPr>
        <w:t xml:space="preserve">help-seeking </w:t>
      </w:r>
      <w:r>
        <w:rPr>
          <w:rFonts w:cstheme="minorHAnsi"/>
          <w:sz w:val="20"/>
          <w:szCs w:val="19"/>
        </w:rPr>
        <w:t>behaviours shift and needs change. Ongoing a</w:t>
      </w:r>
      <w:r w:rsidRPr="00520B26">
        <w:rPr>
          <w:rFonts w:cstheme="minorHAnsi"/>
          <w:sz w:val="20"/>
          <w:szCs w:val="19"/>
        </w:rPr>
        <w:t xml:space="preserve">ttention to training, qualifications, cultural competencies, supply issues, staff support and mentoring, professional status, work conditions, interdisciplinary practice and leadership are </w:t>
      </w:r>
      <w:r>
        <w:rPr>
          <w:rFonts w:cstheme="minorHAnsi"/>
          <w:sz w:val="20"/>
          <w:szCs w:val="19"/>
        </w:rPr>
        <w:t xml:space="preserve">all </w:t>
      </w:r>
      <w:r w:rsidRPr="00520B26">
        <w:rPr>
          <w:rFonts w:cstheme="minorHAnsi"/>
          <w:sz w:val="20"/>
          <w:szCs w:val="19"/>
        </w:rPr>
        <w:t>necessary elements in building a capable child and family health workforce</w:t>
      </w:r>
      <w:r>
        <w:rPr>
          <w:rFonts w:cstheme="minorHAnsi"/>
          <w:sz w:val="20"/>
          <w:szCs w:val="19"/>
        </w:rPr>
        <w:t>.</w:t>
      </w:r>
      <w:r w:rsidR="00CF369D">
        <w:rPr>
          <w:rStyle w:val="EndnoteReference"/>
          <w:rFonts w:cstheme="minorHAnsi"/>
          <w:sz w:val="20"/>
          <w:szCs w:val="19"/>
        </w:rPr>
        <w:endnoteReference w:id="188"/>
      </w:r>
    </w:p>
    <w:p w14:paraId="0B309C02" w14:textId="77777777" w:rsidR="00CF369D" w:rsidRDefault="00CF369D" w:rsidP="00CF369D">
      <w:pPr>
        <w:pStyle w:val="Heading4"/>
      </w:pPr>
      <w:r>
        <w:t>What can be done?</w:t>
      </w:r>
    </w:p>
    <w:p w14:paraId="62DDB32B" w14:textId="77777777" w:rsidR="00440B5D" w:rsidRPr="00440B5D" w:rsidRDefault="00CF369D" w:rsidP="008A5C2E">
      <w:pPr>
        <w:rPr>
          <w:rFonts w:cstheme="minorHAnsi"/>
          <w:sz w:val="20"/>
          <w:szCs w:val="19"/>
          <w:lang w:val="en-AU"/>
        </w:rPr>
      </w:pPr>
      <w:r>
        <w:rPr>
          <w:rFonts w:cstheme="minorHAnsi"/>
          <w:sz w:val="20"/>
          <w:szCs w:val="19"/>
        </w:rPr>
        <w:t xml:space="preserve">Many of the national frameworks developed and in process for population health (as </w:t>
      </w:r>
      <w:r w:rsidRPr="00A04655">
        <w:rPr>
          <w:rFonts w:cstheme="minorHAnsi"/>
          <w:sz w:val="20"/>
          <w:szCs w:val="19"/>
        </w:rPr>
        <w:t xml:space="preserve">outlined in Appendix </w:t>
      </w:r>
      <w:r w:rsidR="00D526CB" w:rsidRPr="00A04655">
        <w:rPr>
          <w:rFonts w:cstheme="minorHAnsi"/>
          <w:sz w:val="20"/>
          <w:szCs w:val="19"/>
        </w:rPr>
        <w:t>A</w:t>
      </w:r>
      <w:r w:rsidRPr="00A04655">
        <w:rPr>
          <w:rFonts w:cstheme="minorHAnsi"/>
          <w:sz w:val="20"/>
          <w:szCs w:val="19"/>
        </w:rPr>
        <w:t>)</w:t>
      </w:r>
      <w:r>
        <w:rPr>
          <w:rFonts w:cstheme="minorHAnsi"/>
          <w:sz w:val="20"/>
          <w:szCs w:val="19"/>
        </w:rPr>
        <w:t xml:space="preserve"> incorporate strategies and actions for workforce capacity and capability building. The Department of Health continues to develop and implement workforce development guidelines, resources and programs to strengthen the health workforce at large, including increasing provision in areas of need, such as rural and remote parts of Australia.</w:t>
      </w:r>
      <w:r>
        <w:rPr>
          <w:rStyle w:val="EndnoteReference"/>
          <w:rFonts w:cstheme="minorHAnsi"/>
          <w:sz w:val="20"/>
          <w:szCs w:val="19"/>
        </w:rPr>
        <w:endnoteReference w:id="189"/>
      </w:r>
      <w:r>
        <w:rPr>
          <w:rFonts w:cstheme="minorHAnsi"/>
          <w:sz w:val="20"/>
          <w:szCs w:val="19"/>
        </w:rPr>
        <w:t xml:space="preserve"> </w:t>
      </w:r>
      <w:r w:rsidR="00440B5D" w:rsidRPr="00440B5D">
        <w:rPr>
          <w:rFonts w:cstheme="minorHAnsi"/>
          <w:sz w:val="20"/>
          <w:szCs w:val="19"/>
        </w:rPr>
        <w:t xml:space="preserve">The </w:t>
      </w:r>
      <w:r w:rsidR="00440B5D" w:rsidRPr="007329C1">
        <w:rPr>
          <w:rFonts w:cstheme="minorHAnsi"/>
          <w:i/>
          <w:sz w:val="20"/>
          <w:szCs w:val="19"/>
        </w:rPr>
        <w:t>National Workforce Centre for Child Mental Health</w:t>
      </w:r>
      <w:r w:rsidR="00440B5D" w:rsidRPr="00440B5D">
        <w:rPr>
          <w:rFonts w:cstheme="minorHAnsi"/>
          <w:sz w:val="20"/>
          <w:szCs w:val="19"/>
        </w:rPr>
        <w:t xml:space="preserve"> has also been established to help professionals connect with better mental health support and approaches for infants, children and families</w:t>
      </w:r>
      <w:r w:rsidR="00440B5D">
        <w:rPr>
          <w:rFonts w:cstheme="minorHAnsi"/>
          <w:sz w:val="20"/>
          <w:szCs w:val="19"/>
        </w:rPr>
        <w:t>, including programs and resources for building capacity.</w:t>
      </w:r>
    </w:p>
    <w:p w14:paraId="6E2F6C88" w14:textId="77777777" w:rsidR="00CF369D" w:rsidRDefault="00CF369D" w:rsidP="008A5C2E">
      <w:pPr>
        <w:rPr>
          <w:rFonts w:cstheme="minorHAnsi"/>
          <w:sz w:val="20"/>
          <w:szCs w:val="19"/>
        </w:rPr>
      </w:pPr>
      <w:r>
        <w:rPr>
          <w:rFonts w:cstheme="minorHAnsi"/>
          <w:sz w:val="20"/>
          <w:szCs w:val="19"/>
        </w:rPr>
        <w:t>Priority actions outlined below</w:t>
      </w:r>
      <w:r w:rsidR="005C427B">
        <w:rPr>
          <w:rFonts w:cstheme="minorHAnsi"/>
          <w:sz w:val="20"/>
          <w:szCs w:val="19"/>
        </w:rPr>
        <w:t xml:space="preserve"> focus on opportunities to better equip the workforce to support the health and wellbeing of children and young people, with particular attention on current gaps and areas of emerging need. This includes:</w:t>
      </w:r>
    </w:p>
    <w:p w14:paraId="2C639D89" w14:textId="77777777" w:rsidR="004349D6" w:rsidRDefault="00E20495" w:rsidP="0007267B">
      <w:pPr>
        <w:pStyle w:val="ListParagraph"/>
        <w:numPr>
          <w:ilvl w:val="0"/>
          <w:numId w:val="29"/>
        </w:numPr>
        <w:ind w:left="426" w:hanging="284"/>
        <w:rPr>
          <w:rFonts w:cstheme="minorHAnsi"/>
          <w:sz w:val="20"/>
          <w:szCs w:val="19"/>
        </w:rPr>
      </w:pPr>
      <w:r w:rsidRPr="004349D6">
        <w:rPr>
          <w:rFonts w:cstheme="minorHAnsi"/>
          <w:sz w:val="20"/>
          <w:szCs w:val="19"/>
        </w:rPr>
        <w:t xml:space="preserve">Strengthening the capacity of the workforce to </w:t>
      </w:r>
      <w:r w:rsidR="00C672FC" w:rsidRPr="004349D6">
        <w:rPr>
          <w:rFonts w:cstheme="minorHAnsi"/>
          <w:sz w:val="20"/>
          <w:szCs w:val="19"/>
        </w:rPr>
        <w:t>apply</w:t>
      </w:r>
      <w:r w:rsidRPr="004349D6">
        <w:rPr>
          <w:rFonts w:cstheme="minorHAnsi"/>
          <w:sz w:val="20"/>
          <w:szCs w:val="19"/>
        </w:rPr>
        <w:t xml:space="preserve"> </w:t>
      </w:r>
      <w:r w:rsidR="00C672FC" w:rsidRPr="004349D6">
        <w:rPr>
          <w:rFonts w:cstheme="minorHAnsi"/>
          <w:sz w:val="20"/>
          <w:szCs w:val="19"/>
        </w:rPr>
        <w:t xml:space="preserve">a </w:t>
      </w:r>
      <w:r w:rsidRPr="00D56C0A">
        <w:rPr>
          <w:rFonts w:asciiTheme="minorHAnsi" w:eastAsia="Times New Roman" w:hAnsiTheme="minorHAnsi" w:cstheme="minorHAnsi"/>
          <w:color w:val="1C8243"/>
          <w:sz w:val="20"/>
          <w:szCs w:val="19"/>
          <w:lang w:val="en-AU"/>
        </w:rPr>
        <w:t xml:space="preserve">trauma-informed </w:t>
      </w:r>
      <w:r w:rsidR="00C672FC" w:rsidRPr="00D56C0A">
        <w:rPr>
          <w:rFonts w:asciiTheme="minorHAnsi" w:eastAsia="Times New Roman" w:hAnsiTheme="minorHAnsi" w:cstheme="minorHAnsi"/>
          <w:color w:val="1C8243"/>
          <w:sz w:val="20"/>
          <w:szCs w:val="19"/>
          <w:lang w:val="en-AU"/>
        </w:rPr>
        <w:t>approach to care</w:t>
      </w:r>
      <w:r w:rsidRPr="004349D6">
        <w:rPr>
          <w:rFonts w:cstheme="minorHAnsi"/>
          <w:sz w:val="20"/>
          <w:szCs w:val="19"/>
        </w:rPr>
        <w:t xml:space="preserve">, </w:t>
      </w:r>
      <w:r w:rsidR="00C672FC" w:rsidRPr="004349D6">
        <w:rPr>
          <w:rFonts w:cstheme="minorHAnsi"/>
          <w:sz w:val="20"/>
          <w:szCs w:val="19"/>
        </w:rPr>
        <w:t>given the relationship between childhood trauma and multiple negative</w:t>
      </w:r>
      <w:r w:rsidR="006A6AB3">
        <w:rPr>
          <w:rFonts w:cstheme="minorHAnsi"/>
          <w:sz w:val="20"/>
          <w:szCs w:val="19"/>
        </w:rPr>
        <w:t>, systemic</w:t>
      </w:r>
      <w:r w:rsidR="00C672FC" w:rsidRPr="004349D6">
        <w:rPr>
          <w:rFonts w:cstheme="minorHAnsi"/>
          <w:sz w:val="20"/>
          <w:szCs w:val="19"/>
        </w:rPr>
        <w:t xml:space="preserve"> health outcomes</w:t>
      </w:r>
      <w:r w:rsidR="004349D6">
        <w:rPr>
          <w:rFonts w:cstheme="minorHAnsi"/>
          <w:sz w:val="20"/>
          <w:szCs w:val="19"/>
        </w:rPr>
        <w:t>.</w:t>
      </w:r>
      <w:r w:rsidRPr="004349D6">
        <w:rPr>
          <w:rFonts w:cstheme="minorHAnsi"/>
          <w:sz w:val="20"/>
          <w:szCs w:val="19"/>
        </w:rPr>
        <w:t xml:space="preserve"> </w:t>
      </w:r>
      <w:r w:rsidR="004349D6" w:rsidRPr="004349D6">
        <w:rPr>
          <w:rFonts w:cstheme="minorHAnsi"/>
          <w:sz w:val="20"/>
          <w:szCs w:val="19"/>
        </w:rPr>
        <w:t xml:space="preserve">Utilising trauma-informed </w:t>
      </w:r>
      <w:r w:rsidR="006A6AB3">
        <w:rPr>
          <w:rFonts w:cstheme="minorHAnsi"/>
          <w:sz w:val="20"/>
          <w:szCs w:val="19"/>
        </w:rPr>
        <w:t>practice</w:t>
      </w:r>
      <w:r w:rsidR="004349D6">
        <w:rPr>
          <w:rFonts w:cstheme="minorHAnsi"/>
          <w:sz w:val="20"/>
          <w:szCs w:val="19"/>
        </w:rPr>
        <w:t xml:space="preserve"> </w:t>
      </w:r>
      <w:r w:rsidR="004349D6" w:rsidRPr="004349D6">
        <w:rPr>
          <w:rFonts w:cstheme="minorHAnsi"/>
          <w:sz w:val="20"/>
          <w:szCs w:val="19"/>
        </w:rPr>
        <w:t xml:space="preserve">can result in a decrease in </w:t>
      </w:r>
      <w:r w:rsidR="004349D6">
        <w:rPr>
          <w:rFonts w:cstheme="minorHAnsi"/>
          <w:sz w:val="20"/>
          <w:szCs w:val="19"/>
        </w:rPr>
        <w:t xml:space="preserve">adverse </w:t>
      </w:r>
      <w:r w:rsidR="004349D6" w:rsidRPr="004349D6">
        <w:rPr>
          <w:rFonts w:cstheme="minorHAnsi"/>
          <w:sz w:val="20"/>
          <w:szCs w:val="19"/>
        </w:rPr>
        <w:t>symptoms</w:t>
      </w:r>
      <w:r w:rsidR="004349D6">
        <w:rPr>
          <w:rFonts w:cstheme="minorHAnsi"/>
          <w:sz w:val="20"/>
          <w:szCs w:val="19"/>
        </w:rPr>
        <w:t>, improvement in daily functioning and decreases in hospitalisation and crisis intervention.</w:t>
      </w:r>
      <w:r w:rsidR="004349D6">
        <w:rPr>
          <w:rStyle w:val="EndnoteReference"/>
          <w:rFonts w:cstheme="minorHAnsi"/>
          <w:sz w:val="20"/>
          <w:szCs w:val="19"/>
        </w:rPr>
        <w:endnoteReference w:id="190"/>
      </w:r>
      <w:r w:rsidR="004349D6">
        <w:rPr>
          <w:rFonts w:cstheme="minorHAnsi"/>
          <w:sz w:val="20"/>
          <w:szCs w:val="19"/>
        </w:rPr>
        <w:t xml:space="preserve"> </w:t>
      </w:r>
      <w:r w:rsidR="004349D6">
        <w:rPr>
          <w:rStyle w:val="EndnoteReference"/>
          <w:rFonts w:cstheme="minorHAnsi"/>
          <w:sz w:val="20"/>
          <w:szCs w:val="19"/>
        </w:rPr>
        <w:endnoteReference w:id="191"/>
      </w:r>
    </w:p>
    <w:p w14:paraId="049F5BA0" w14:textId="77777777" w:rsidR="0015630B" w:rsidRDefault="0015630B" w:rsidP="0007267B">
      <w:pPr>
        <w:pStyle w:val="ListParagraph"/>
        <w:numPr>
          <w:ilvl w:val="0"/>
          <w:numId w:val="29"/>
        </w:numPr>
        <w:ind w:left="426" w:hanging="284"/>
        <w:rPr>
          <w:rFonts w:cstheme="minorHAnsi"/>
          <w:sz w:val="20"/>
          <w:szCs w:val="19"/>
        </w:rPr>
      </w:pPr>
      <w:r>
        <w:rPr>
          <w:rFonts w:cstheme="minorHAnsi"/>
          <w:sz w:val="20"/>
          <w:szCs w:val="19"/>
        </w:rPr>
        <w:t xml:space="preserve">Broadening the capacity of the health and family services system to address </w:t>
      </w:r>
      <w:r w:rsidRPr="0015630B">
        <w:rPr>
          <w:rFonts w:asciiTheme="minorHAnsi" w:eastAsia="Times New Roman" w:hAnsiTheme="minorHAnsi" w:cstheme="minorHAnsi"/>
          <w:color w:val="1C8243"/>
          <w:sz w:val="20"/>
          <w:szCs w:val="19"/>
          <w:lang w:val="en-AU"/>
        </w:rPr>
        <w:t>youth suicide</w:t>
      </w:r>
      <w:r>
        <w:rPr>
          <w:rFonts w:cstheme="minorHAnsi"/>
          <w:sz w:val="20"/>
          <w:szCs w:val="19"/>
        </w:rPr>
        <w:t xml:space="preserve"> in light of this being a leading cause of death.</w:t>
      </w:r>
      <w:r w:rsidRPr="0015630B">
        <w:rPr>
          <w:rStyle w:val="EndnoteReference"/>
          <w:rFonts w:cstheme="minorHAnsi"/>
          <w:sz w:val="20"/>
          <w:szCs w:val="19"/>
        </w:rPr>
        <w:t xml:space="preserve"> </w:t>
      </w:r>
      <w:r>
        <w:rPr>
          <w:rStyle w:val="EndnoteReference"/>
          <w:rFonts w:cstheme="minorHAnsi"/>
          <w:sz w:val="20"/>
          <w:szCs w:val="19"/>
        </w:rPr>
        <w:endnoteReference w:id="192"/>
      </w:r>
    </w:p>
    <w:p w14:paraId="708ACE35" w14:textId="77777777" w:rsidR="00216E96" w:rsidRDefault="00216E96" w:rsidP="0007267B">
      <w:pPr>
        <w:pStyle w:val="ListParagraph"/>
        <w:numPr>
          <w:ilvl w:val="0"/>
          <w:numId w:val="29"/>
        </w:numPr>
        <w:ind w:left="426" w:hanging="284"/>
        <w:rPr>
          <w:rFonts w:cstheme="minorHAnsi"/>
          <w:sz w:val="20"/>
          <w:szCs w:val="19"/>
        </w:rPr>
      </w:pPr>
      <w:r>
        <w:rPr>
          <w:rFonts w:cstheme="minorHAnsi"/>
          <w:sz w:val="20"/>
          <w:szCs w:val="19"/>
        </w:rPr>
        <w:t xml:space="preserve">Examining ways to support professionals to appropriately </w:t>
      </w:r>
      <w:r w:rsidRPr="00D56C0A">
        <w:rPr>
          <w:rFonts w:asciiTheme="minorHAnsi" w:eastAsia="Times New Roman" w:hAnsiTheme="minorHAnsi" w:cstheme="minorHAnsi"/>
          <w:color w:val="1C8243"/>
          <w:sz w:val="20"/>
          <w:szCs w:val="19"/>
          <w:lang w:val="en-AU"/>
        </w:rPr>
        <w:t>seek information on the social determinants of health</w:t>
      </w:r>
      <w:r>
        <w:rPr>
          <w:rFonts w:cstheme="minorHAnsi"/>
          <w:sz w:val="20"/>
          <w:szCs w:val="19"/>
        </w:rPr>
        <w:t xml:space="preserve"> and </w:t>
      </w:r>
      <w:r w:rsidR="00D56C0A">
        <w:rPr>
          <w:rFonts w:cstheme="minorHAnsi"/>
          <w:sz w:val="20"/>
          <w:szCs w:val="19"/>
        </w:rPr>
        <w:t>incorporate this into health assessment and treatment plans.</w:t>
      </w:r>
      <w:r w:rsidR="00D56C0A">
        <w:rPr>
          <w:rStyle w:val="EndnoteReference"/>
          <w:rFonts w:cstheme="minorHAnsi"/>
          <w:sz w:val="20"/>
          <w:szCs w:val="19"/>
        </w:rPr>
        <w:endnoteReference w:id="193"/>
      </w:r>
    </w:p>
    <w:p w14:paraId="1815B33A" w14:textId="77777777" w:rsidR="00D56C0A" w:rsidRDefault="00D56C0A" w:rsidP="0007267B">
      <w:pPr>
        <w:pStyle w:val="ListParagraph"/>
        <w:numPr>
          <w:ilvl w:val="0"/>
          <w:numId w:val="29"/>
        </w:numPr>
        <w:ind w:left="426" w:hanging="284"/>
        <w:rPr>
          <w:rFonts w:cstheme="minorHAnsi"/>
          <w:sz w:val="20"/>
          <w:szCs w:val="19"/>
        </w:rPr>
      </w:pPr>
      <w:r>
        <w:rPr>
          <w:rFonts w:cstheme="minorHAnsi"/>
          <w:sz w:val="20"/>
          <w:szCs w:val="19"/>
        </w:rPr>
        <w:t xml:space="preserve">Recognising the need to develop workforce strategies and training to effectively implement emerging </w:t>
      </w:r>
      <w:r w:rsidRPr="00D56C0A">
        <w:rPr>
          <w:rFonts w:asciiTheme="minorHAnsi" w:eastAsia="Times New Roman" w:hAnsiTheme="minorHAnsi" w:cstheme="minorHAnsi"/>
          <w:color w:val="1C8243"/>
          <w:sz w:val="20"/>
          <w:szCs w:val="19"/>
          <w:lang w:val="en-AU"/>
        </w:rPr>
        <w:t>digital health services</w:t>
      </w:r>
      <w:r>
        <w:rPr>
          <w:rFonts w:cstheme="minorHAnsi"/>
          <w:sz w:val="20"/>
          <w:szCs w:val="19"/>
        </w:rPr>
        <w:t>, including telehealth</w:t>
      </w:r>
      <w:r w:rsidR="00DA7F63">
        <w:rPr>
          <w:rFonts w:cstheme="minorHAnsi"/>
          <w:sz w:val="20"/>
          <w:szCs w:val="19"/>
        </w:rPr>
        <w:t>, specifically with children and young people.</w:t>
      </w:r>
      <w:r w:rsidR="00DA7F63">
        <w:rPr>
          <w:rStyle w:val="EndnoteReference"/>
          <w:rFonts w:cstheme="minorHAnsi"/>
          <w:sz w:val="20"/>
          <w:szCs w:val="19"/>
        </w:rPr>
        <w:endnoteReference w:id="194"/>
      </w:r>
      <w:r w:rsidR="00DA7F63">
        <w:rPr>
          <w:rFonts w:cstheme="minorHAnsi"/>
          <w:sz w:val="20"/>
          <w:szCs w:val="19"/>
        </w:rPr>
        <w:t xml:space="preserve"> </w:t>
      </w:r>
      <w:r>
        <w:rPr>
          <w:rFonts w:cstheme="minorHAnsi"/>
          <w:sz w:val="20"/>
          <w:szCs w:val="19"/>
        </w:rPr>
        <w:t xml:space="preserve"> </w:t>
      </w:r>
    </w:p>
    <w:p w14:paraId="1389882C" w14:textId="77777777" w:rsidR="00D364C6" w:rsidRDefault="00976C90" w:rsidP="0007267B">
      <w:pPr>
        <w:pStyle w:val="ListParagraph"/>
        <w:numPr>
          <w:ilvl w:val="0"/>
          <w:numId w:val="29"/>
        </w:numPr>
        <w:ind w:left="426" w:hanging="284"/>
        <w:rPr>
          <w:rFonts w:cstheme="minorHAnsi"/>
          <w:sz w:val="20"/>
          <w:szCs w:val="19"/>
        </w:rPr>
      </w:pPr>
      <w:r>
        <w:rPr>
          <w:rFonts w:cstheme="minorHAnsi"/>
          <w:sz w:val="20"/>
          <w:szCs w:val="19"/>
        </w:rPr>
        <w:t xml:space="preserve">Supporting strategies and actions to improve </w:t>
      </w:r>
      <w:r w:rsidRPr="00D364C6">
        <w:rPr>
          <w:rFonts w:asciiTheme="minorHAnsi" w:eastAsia="Times New Roman" w:hAnsiTheme="minorHAnsi" w:cstheme="minorHAnsi"/>
          <w:color w:val="1C8243"/>
          <w:sz w:val="20"/>
          <w:szCs w:val="19"/>
          <w:lang w:val="en-AU"/>
        </w:rPr>
        <w:t>health literacy</w:t>
      </w:r>
      <w:r>
        <w:rPr>
          <w:rFonts w:cstheme="minorHAnsi"/>
          <w:sz w:val="20"/>
          <w:szCs w:val="19"/>
        </w:rPr>
        <w:t xml:space="preserve"> and understanding of child and youth health concepts among all workers</w:t>
      </w:r>
      <w:r w:rsidR="00D364C6">
        <w:rPr>
          <w:rFonts w:cstheme="minorHAnsi"/>
          <w:sz w:val="20"/>
          <w:szCs w:val="19"/>
        </w:rPr>
        <w:t xml:space="preserve"> engaged in the sector, and effective approaches for communicating with children, young people and their families.</w:t>
      </w:r>
      <w:r w:rsidR="00D364C6">
        <w:rPr>
          <w:rStyle w:val="EndnoteReference"/>
          <w:rFonts w:cstheme="minorHAnsi"/>
          <w:sz w:val="20"/>
          <w:szCs w:val="19"/>
        </w:rPr>
        <w:endnoteReference w:id="195"/>
      </w:r>
    </w:p>
    <w:p w14:paraId="27A65C08" w14:textId="5085C5D1" w:rsidR="00920769" w:rsidRPr="00316D42" w:rsidRDefault="00D364C6" w:rsidP="00316D42">
      <w:pPr>
        <w:pStyle w:val="ListParagraph"/>
        <w:numPr>
          <w:ilvl w:val="0"/>
          <w:numId w:val="29"/>
        </w:numPr>
        <w:ind w:left="426" w:hanging="284"/>
        <w:rPr>
          <w:rFonts w:cstheme="minorHAnsi"/>
          <w:sz w:val="20"/>
          <w:szCs w:val="19"/>
        </w:rPr>
      </w:pPr>
      <w:r>
        <w:rPr>
          <w:rFonts w:cstheme="minorHAnsi"/>
          <w:sz w:val="20"/>
          <w:szCs w:val="19"/>
        </w:rPr>
        <w:t xml:space="preserve">Building capacity and competency in </w:t>
      </w:r>
      <w:r w:rsidRPr="00D364C6">
        <w:rPr>
          <w:rFonts w:asciiTheme="minorHAnsi" w:eastAsia="Times New Roman" w:hAnsiTheme="minorHAnsi" w:cstheme="minorHAnsi"/>
          <w:color w:val="1C8243"/>
          <w:sz w:val="20"/>
          <w:szCs w:val="19"/>
          <w:lang w:val="en-AU"/>
        </w:rPr>
        <w:t>research and evaluation</w:t>
      </w:r>
      <w:r>
        <w:rPr>
          <w:rFonts w:cstheme="minorHAnsi"/>
          <w:sz w:val="20"/>
          <w:szCs w:val="19"/>
        </w:rPr>
        <w:t xml:space="preserve"> within organisations in order to build a stronger, more intelligent evidence and learning system.</w:t>
      </w:r>
      <w:r>
        <w:rPr>
          <w:rStyle w:val="EndnoteReference"/>
          <w:rFonts w:cstheme="minorHAnsi"/>
          <w:sz w:val="20"/>
          <w:szCs w:val="19"/>
        </w:rPr>
        <w:endnoteReference w:id="196"/>
      </w:r>
    </w:p>
    <w:tbl>
      <w:tblPr>
        <w:tblStyle w:val="TableGrid"/>
        <w:tblW w:w="5000" w:type="pct"/>
        <w:tblBorders>
          <w:top w:val="single" w:sz="4" w:space="0" w:color="318843"/>
          <w:left w:val="none" w:sz="0" w:space="0" w:color="auto"/>
          <w:bottom w:val="single" w:sz="4" w:space="0" w:color="318843"/>
          <w:right w:val="none" w:sz="0" w:space="0" w:color="auto"/>
          <w:insideH w:val="none" w:sz="0" w:space="0" w:color="auto"/>
          <w:insideV w:val="none" w:sz="0" w:space="0" w:color="auto"/>
        </w:tblBorders>
        <w:tblLook w:val="04A0" w:firstRow="1" w:lastRow="0" w:firstColumn="1" w:lastColumn="0" w:noHBand="0" w:noVBand="1"/>
        <w:tblCaption w:val="Priority Area 5 - strengthening the workforce"/>
        <w:tblDescription w:val="This table describes actions to: (1) develop workforce capacity and capability in relation to trauma awareness and trauma-informed practice; (2) strengthen capacity of the health and family services workforce to prevent youth suicide; (3) enhance mechanisms to support paediatricians, GPs, child and family nurses, midwives and other health professionals to identify and address underlying factors shaping health outcomes; (4) support professional development in digital strategies to support child and youth health; (5) continue to address health literacy in the health sector and across the workforce; and (6) strengthen research and evaluation capacity within the workforce."/>
      </w:tblPr>
      <w:tblGrid>
        <w:gridCol w:w="2610"/>
        <w:gridCol w:w="7245"/>
      </w:tblGrid>
      <w:tr w:rsidR="00920769" w:rsidRPr="00CC575A" w14:paraId="0C4F2BE1" w14:textId="77777777" w:rsidTr="002B7EE0">
        <w:trPr>
          <w:tblHeader/>
        </w:trPr>
        <w:tc>
          <w:tcPr>
            <w:tcW w:w="1324" w:type="pct"/>
            <w:tcBorders>
              <w:top w:val="single" w:sz="4" w:space="0" w:color="318843"/>
              <w:bottom w:val="single" w:sz="4" w:space="0" w:color="318843"/>
            </w:tcBorders>
            <w:shd w:val="clear" w:color="auto" w:fill="auto"/>
          </w:tcPr>
          <w:p w14:paraId="342562CB" w14:textId="77777777" w:rsidR="00920769" w:rsidRPr="00CC575A" w:rsidRDefault="00920769" w:rsidP="00DB1F46">
            <w:pPr>
              <w:rPr>
                <w:rFonts w:cstheme="minorHAnsi"/>
                <w:b/>
                <w:sz w:val="20"/>
                <w:szCs w:val="19"/>
              </w:rPr>
            </w:pPr>
            <w:r w:rsidRPr="00CC575A">
              <w:rPr>
                <w:rFonts w:cstheme="minorHAnsi"/>
                <w:b/>
                <w:sz w:val="20"/>
                <w:szCs w:val="19"/>
              </w:rPr>
              <w:t>Action</w:t>
            </w:r>
          </w:p>
        </w:tc>
        <w:tc>
          <w:tcPr>
            <w:tcW w:w="3676" w:type="pct"/>
            <w:tcBorders>
              <w:top w:val="single" w:sz="4" w:space="0" w:color="318843"/>
              <w:bottom w:val="single" w:sz="4" w:space="0" w:color="318843"/>
            </w:tcBorders>
            <w:shd w:val="clear" w:color="auto" w:fill="auto"/>
          </w:tcPr>
          <w:p w14:paraId="194BCEF4" w14:textId="77777777" w:rsidR="00920769" w:rsidRPr="00CC575A" w:rsidRDefault="00920769" w:rsidP="00DB1F46">
            <w:pPr>
              <w:rPr>
                <w:rFonts w:cstheme="minorHAnsi"/>
                <w:b/>
                <w:sz w:val="20"/>
                <w:szCs w:val="19"/>
              </w:rPr>
            </w:pPr>
            <w:r w:rsidRPr="00CC575A">
              <w:rPr>
                <w:rFonts w:cstheme="minorHAnsi"/>
                <w:b/>
                <w:sz w:val="20"/>
                <w:szCs w:val="19"/>
              </w:rPr>
              <w:t>Detail</w:t>
            </w:r>
          </w:p>
        </w:tc>
      </w:tr>
      <w:tr w:rsidR="00920769" w:rsidRPr="0039451B" w14:paraId="1090D9C9" w14:textId="77777777" w:rsidTr="002B7EE0">
        <w:tc>
          <w:tcPr>
            <w:tcW w:w="1324" w:type="pct"/>
            <w:tcBorders>
              <w:top w:val="single" w:sz="4" w:space="0" w:color="318843"/>
              <w:bottom w:val="single" w:sz="4" w:space="0" w:color="318843"/>
            </w:tcBorders>
            <w:shd w:val="clear" w:color="auto" w:fill="auto"/>
          </w:tcPr>
          <w:p w14:paraId="545303EB" w14:textId="77777777" w:rsidR="00920769" w:rsidRPr="00CC575A" w:rsidRDefault="00920769" w:rsidP="00DB1F46">
            <w:pPr>
              <w:spacing w:before="60"/>
              <w:rPr>
                <w:rFonts w:cstheme="minorHAnsi"/>
                <w:b/>
                <w:color w:val="1C8243"/>
                <w:sz w:val="20"/>
                <w:szCs w:val="19"/>
              </w:rPr>
            </w:pPr>
            <w:r w:rsidRPr="00920769">
              <w:rPr>
                <w:rFonts w:cstheme="minorHAnsi"/>
                <w:b/>
                <w:color w:val="1C8243"/>
                <w:sz w:val="20"/>
                <w:szCs w:val="19"/>
              </w:rPr>
              <w:t>Develop workforce capacity and capability in relation to trauma awareness and trauma-informed practice</w:t>
            </w:r>
          </w:p>
        </w:tc>
        <w:tc>
          <w:tcPr>
            <w:tcW w:w="3676" w:type="pct"/>
            <w:tcBorders>
              <w:top w:val="single" w:sz="4" w:space="0" w:color="318843"/>
              <w:bottom w:val="single" w:sz="4" w:space="0" w:color="318843"/>
            </w:tcBorders>
            <w:shd w:val="clear" w:color="auto" w:fill="auto"/>
          </w:tcPr>
          <w:p w14:paraId="0FCA3C85"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 xml:space="preserve">Implement an agreed overarching framework for trauma-informed practice in Australia, including common language and parameters </w:t>
            </w:r>
          </w:p>
          <w:p w14:paraId="5C806E3E"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 xml:space="preserve">Support professional development to improve the workforce’s ability to implement trauma-informed practice (including intergenerational trauma), particularly relating to Aboriginal and Torres Strait Islander peoples, children and young people in the child protection system, and those who have experienced violence, including </w:t>
            </w:r>
            <w:r>
              <w:rPr>
                <w:sz w:val="20"/>
                <w:szCs w:val="20"/>
              </w:rPr>
              <w:t xml:space="preserve">asylum seekers, </w:t>
            </w:r>
            <w:r w:rsidRPr="00920769">
              <w:rPr>
                <w:sz w:val="20"/>
                <w:szCs w:val="20"/>
              </w:rPr>
              <w:t>refugees and migrants who have fled violence</w:t>
            </w:r>
          </w:p>
          <w:p w14:paraId="461215A4"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Augment the above</w:t>
            </w:r>
            <w:r>
              <w:rPr>
                <w:sz w:val="20"/>
                <w:szCs w:val="20"/>
              </w:rPr>
              <w:t xml:space="preserve"> activity</w:t>
            </w:r>
            <w:r w:rsidRPr="00920769">
              <w:rPr>
                <w:sz w:val="20"/>
                <w:szCs w:val="20"/>
              </w:rPr>
              <w:t xml:space="preserve"> with trauma awareness training for all staff working in health and other related servic</w:t>
            </w:r>
            <w:r w:rsidR="0007267B">
              <w:rPr>
                <w:sz w:val="20"/>
                <w:szCs w:val="20"/>
              </w:rPr>
              <w:t xml:space="preserve">es, regardless of whether their </w:t>
            </w:r>
            <w:r w:rsidRPr="00920769">
              <w:rPr>
                <w:sz w:val="20"/>
                <w:szCs w:val="20"/>
              </w:rPr>
              <w:t>organisation provides trauma specific interventions or not</w:t>
            </w:r>
          </w:p>
          <w:p w14:paraId="3ED51B9B" w14:textId="77777777" w:rsidR="00920769" w:rsidRPr="0039451B"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Build on research exploring whether different trauma-informed approaches are required for different population groups, including children and young people</w:t>
            </w:r>
          </w:p>
        </w:tc>
      </w:tr>
      <w:tr w:rsidR="00920769" w:rsidRPr="0039451B" w14:paraId="3D38E199" w14:textId="77777777" w:rsidTr="002B7EE0">
        <w:tc>
          <w:tcPr>
            <w:tcW w:w="1324" w:type="pct"/>
            <w:tcBorders>
              <w:top w:val="single" w:sz="4" w:space="0" w:color="318843"/>
              <w:bottom w:val="single" w:sz="4" w:space="0" w:color="318843"/>
            </w:tcBorders>
            <w:shd w:val="clear" w:color="auto" w:fill="auto"/>
          </w:tcPr>
          <w:p w14:paraId="1FFFAAA5" w14:textId="77777777" w:rsidR="00920769" w:rsidRPr="00920769" w:rsidRDefault="00920769" w:rsidP="00DB1F46">
            <w:pPr>
              <w:spacing w:before="60"/>
              <w:rPr>
                <w:rFonts w:cstheme="minorHAnsi"/>
                <w:b/>
                <w:color w:val="1C8243"/>
                <w:sz w:val="20"/>
                <w:szCs w:val="19"/>
              </w:rPr>
            </w:pPr>
            <w:r w:rsidRPr="00920769">
              <w:rPr>
                <w:rFonts w:cstheme="minorHAnsi"/>
                <w:b/>
                <w:color w:val="1C8243"/>
                <w:sz w:val="20"/>
                <w:szCs w:val="19"/>
              </w:rPr>
              <w:t>Strengthen capacity of the health and family services workforce to prevent youth suicide</w:t>
            </w:r>
          </w:p>
        </w:tc>
        <w:tc>
          <w:tcPr>
            <w:tcW w:w="3676" w:type="pct"/>
            <w:tcBorders>
              <w:top w:val="single" w:sz="4" w:space="0" w:color="318843"/>
              <w:bottom w:val="single" w:sz="4" w:space="0" w:color="318843"/>
            </w:tcBorders>
            <w:shd w:val="clear" w:color="auto" w:fill="auto"/>
          </w:tcPr>
          <w:p w14:paraId="2E423F61"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Consider a systems approach to suicide prevention, where a range of evidenced-based strategies can be implemented simultaneously and be integrated and connected for greater impact in local areas</w:t>
            </w:r>
            <w:r w:rsidRPr="00920769">
              <w:rPr>
                <w:sz w:val="20"/>
                <w:szCs w:val="20"/>
                <w:vertAlign w:val="superscript"/>
              </w:rPr>
              <w:endnoteReference w:id="197"/>
            </w:r>
            <w:r w:rsidRPr="00920769">
              <w:rPr>
                <w:sz w:val="20"/>
                <w:szCs w:val="20"/>
                <w:vertAlign w:val="superscript"/>
              </w:rPr>
              <w:t xml:space="preserve">  </w:t>
            </w:r>
          </w:p>
          <w:p w14:paraId="3E8631FF"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 xml:space="preserve">Promote the use of evidenced-based resources available for practitioners, such as those produced by the </w:t>
            </w:r>
            <w:r w:rsidRPr="00920769">
              <w:rPr>
                <w:i/>
                <w:sz w:val="20"/>
                <w:szCs w:val="20"/>
                <w:lang w:val="en-GB"/>
              </w:rPr>
              <w:t>NHMRC Centre of Research Excellence</w:t>
            </w:r>
            <w:r w:rsidRPr="00920769">
              <w:rPr>
                <w:sz w:val="20"/>
                <w:szCs w:val="20"/>
                <w:lang w:val="en-GB"/>
              </w:rPr>
              <w:t xml:space="preserve"> in Suicide Prevention at the </w:t>
            </w:r>
            <w:r w:rsidRPr="00920769">
              <w:rPr>
                <w:i/>
                <w:sz w:val="20"/>
                <w:szCs w:val="20"/>
                <w:lang w:val="en-GB"/>
              </w:rPr>
              <w:t>Black Dog Institute</w:t>
            </w:r>
            <w:r w:rsidRPr="00920769">
              <w:rPr>
                <w:sz w:val="20"/>
                <w:szCs w:val="20"/>
                <w:lang w:val="en-GB"/>
              </w:rPr>
              <w:t xml:space="preserve"> in their document for primary health networks</w:t>
            </w:r>
            <w:r w:rsidRPr="00920769">
              <w:rPr>
                <w:sz w:val="20"/>
                <w:szCs w:val="20"/>
                <w:vertAlign w:val="superscript"/>
                <w:lang w:val="en-GB"/>
              </w:rPr>
              <w:endnoteReference w:id="198"/>
            </w:r>
          </w:p>
        </w:tc>
      </w:tr>
      <w:tr w:rsidR="00920769" w:rsidRPr="0039451B" w14:paraId="1430D166" w14:textId="77777777" w:rsidTr="002B7EE0">
        <w:tc>
          <w:tcPr>
            <w:tcW w:w="1324" w:type="pct"/>
            <w:tcBorders>
              <w:top w:val="single" w:sz="4" w:space="0" w:color="318843"/>
              <w:bottom w:val="single" w:sz="4" w:space="0" w:color="318843"/>
            </w:tcBorders>
            <w:shd w:val="clear" w:color="auto" w:fill="auto"/>
          </w:tcPr>
          <w:p w14:paraId="4A337BE1" w14:textId="77777777" w:rsidR="00920769" w:rsidRPr="00920769" w:rsidRDefault="00920769" w:rsidP="00DB1F46">
            <w:pPr>
              <w:spacing w:before="60"/>
              <w:rPr>
                <w:rFonts w:cstheme="minorHAnsi"/>
                <w:b/>
                <w:color w:val="1C8243"/>
                <w:sz w:val="20"/>
                <w:szCs w:val="19"/>
              </w:rPr>
            </w:pPr>
            <w:r w:rsidRPr="00920769">
              <w:rPr>
                <w:rFonts w:cstheme="minorHAnsi"/>
                <w:b/>
                <w:color w:val="1C8243"/>
                <w:sz w:val="20"/>
                <w:szCs w:val="19"/>
              </w:rPr>
              <w:t>Enhance mechanisms to support paediatricians GPs, child and family nurses, midwives and other health professionals to identify and address underlying factors shaping health outcomes</w:t>
            </w:r>
          </w:p>
        </w:tc>
        <w:tc>
          <w:tcPr>
            <w:tcW w:w="3676" w:type="pct"/>
            <w:tcBorders>
              <w:top w:val="single" w:sz="4" w:space="0" w:color="318843"/>
              <w:bottom w:val="single" w:sz="4" w:space="0" w:color="318843"/>
            </w:tcBorders>
            <w:shd w:val="clear" w:color="auto" w:fill="auto"/>
          </w:tcPr>
          <w:p w14:paraId="342443A7"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Promote and implement standardised tools for health assessment of children and young people to help identify underlying risk factors and to direct follow up action, similar in scope to that currently instigated as part of the Aboriginal and Torres Strait Islander Child Health Assessment</w:t>
            </w:r>
            <w:r w:rsidRPr="00920769">
              <w:rPr>
                <w:sz w:val="20"/>
                <w:szCs w:val="20"/>
                <w:vertAlign w:val="superscript"/>
              </w:rPr>
              <w:endnoteReference w:id="199"/>
            </w:r>
          </w:p>
          <w:p w14:paraId="6E441A22"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Liaise with appropriate agencies to strengthen identification of health needs, risk factors, and standardise referral processes in non-health care settings (e.g. school, child care)</w:t>
            </w:r>
          </w:p>
          <w:p w14:paraId="45AB7A98"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Raise awareness and disseminate the latest information and evidence regarding determinants and risk factors for child and youth health outcomes, and the impact of professional approaches and interventions in relation to these</w:t>
            </w:r>
          </w:p>
          <w:p w14:paraId="5E8AF6F4" w14:textId="718932C2" w:rsidR="00920769" w:rsidRPr="00920769" w:rsidRDefault="00920769" w:rsidP="00E46993">
            <w:pPr>
              <w:pStyle w:val="ListParagraph"/>
              <w:numPr>
                <w:ilvl w:val="0"/>
                <w:numId w:val="39"/>
              </w:numPr>
              <w:spacing w:before="60" w:after="60"/>
              <w:ind w:left="323" w:hanging="323"/>
              <w:contextualSpacing w:val="0"/>
              <w:rPr>
                <w:sz w:val="20"/>
                <w:szCs w:val="20"/>
              </w:rPr>
            </w:pPr>
            <w:r w:rsidRPr="00920769">
              <w:rPr>
                <w:sz w:val="20"/>
                <w:szCs w:val="20"/>
                <w:lang w:val="en-GB"/>
              </w:rPr>
              <w:t>Work to upskill health professionals</w:t>
            </w:r>
            <w:r w:rsidR="00E46993" w:rsidRPr="00920769">
              <w:rPr>
                <w:sz w:val="20"/>
                <w:szCs w:val="20"/>
                <w:lang w:val="en-GB"/>
              </w:rPr>
              <w:t xml:space="preserve"> who have no formal paediatric training and specialise largely in adult clinical practice</w:t>
            </w:r>
            <w:r w:rsidRPr="00920769">
              <w:rPr>
                <w:sz w:val="20"/>
                <w:szCs w:val="20"/>
                <w:lang w:val="en-GB"/>
              </w:rPr>
              <w:t>, particularly in rural and</w:t>
            </w:r>
            <w:r w:rsidR="00130D25">
              <w:rPr>
                <w:sz w:val="20"/>
                <w:szCs w:val="20"/>
                <w:lang w:val="en-GB"/>
              </w:rPr>
              <w:t xml:space="preserve"> remote areas where gaps exist</w:t>
            </w:r>
          </w:p>
        </w:tc>
      </w:tr>
      <w:tr w:rsidR="00920769" w:rsidRPr="0039451B" w14:paraId="184D4888" w14:textId="77777777" w:rsidTr="00DB1F46">
        <w:tc>
          <w:tcPr>
            <w:tcW w:w="1324" w:type="pct"/>
            <w:tcBorders>
              <w:top w:val="single" w:sz="4" w:space="0" w:color="318843"/>
              <w:bottom w:val="single" w:sz="4" w:space="0" w:color="318843"/>
            </w:tcBorders>
            <w:shd w:val="clear" w:color="auto" w:fill="auto"/>
          </w:tcPr>
          <w:p w14:paraId="71A4FD6F" w14:textId="77777777" w:rsidR="00920769" w:rsidRPr="00920769" w:rsidRDefault="00920769" w:rsidP="00DB1F46">
            <w:pPr>
              <w:spacing w:before="60"/>
              <w:rPr>
                <w:rFonts w:cstheme="minorHAnsi"/>
                <w:b/>
                <w:color w:val="1C8243"/>
                <w:sz w:val="20"/>
                <w:szCs w:val="19"/>
              </w:rPr>
            </w:pPr>
            <w:r w:rsidRPr="00920769">
              <w:rPr>
                <w:rFonts w:cstheme="minorHAnsi"/>
                <w:b/>
                <w:color w:val="1C8243"/>
                <w:sz w:val="20"/>
                <w:szCs w:val="19"/>
              </w:rPr>
              <w:t>Support professional development in digital strategies to support child and youth health</w:t>
            </w:r>
          </w:p>
        </w:tc>
        <w:tc>
          <w:tcPr>
            <w:tcW w:w="3676" w:type="pct"/>
            <w:tcBorders>
              <w:top w:val="single" w:sz="4" w:space="0" w:color="318843"/>
              <w:bottom w:val="single" w:sz="4" w:space="0" w:color="318843"/>
            </w:tcBorders>
            <w:shd w:val="clear" w:color="auto" w:fill="auto"/>
          </w:tcPr>
          <w:p w14:paraId="619B8621"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 xml:space="preserve">Align activities and develop approaches for professional development in accordance with </w:t>
            </w:r>
            <w:r w:rsidRPr="00920769">
              <w:rPr>
                <w:i/>
                <w:sz w:val="20"/>
                <w:szCs w:val="20"/>
              </w:rPr>
              <w:t>Australia’s National Digital Health Strategy</w:t>
            </w:r>
            <w:r w:rsidRPr="00920769">
              <w:rPr>
                <w:sz w:val="20"/>
                <w:szCs w:val="20"/>
                <w:vertAlign w:val="superscript"/>
              </w:rPr>
              <w:endnoteReference w:id="200"/>
            </w:r>
          </w:p>
          <w:p w14:paraId="2675951A"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Develop mechanisms to upskill health professionals so that they know when to seek telehealth interventions or refer patients to telehealth s</w:t>
            </w:r>
            <w:r>
              <w:rPr>
                <w:sz w:val="20"/>
                <w:szCs w:val="20"/>
              </w:rPr>
              <w:t>ervices</w:t>
            </w:r>
          </w:p>
          <w:p w14:paraId="07E5DC9E"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Develop specific practice guidelines and protocols for delivering digital health services to children and young people, including different priority populations</w:t>
            </w:r>
          </w:p>
        </w:tc>
      </w:tr>
      <w:tr w:rsidR="00920769" w:rsidRPr="0039451B" w14:paraId="5A7577CE" w14:textId="77777777" w:rsidTr="00DB1F46">
        <w:tc>
          <w:tcPr>
            <w:tcW w:w="1324" w:type="pct"/>
            <w:tcBorders>
              <w:top w:val="single" w:sz="4" w:space="0" w:color="318843"/>
              <w:bottom w:val="single" w:sz="4" w:space="0" w:color="318843"/>
            </w:tcBorders>
            <w:shd w:val="clear" w:color="auto" w:fill="auto"/>
          </w:tcPr>
          <w:p w14:paraId="67E4468C" w14:textId="77777777" w:rsidR="00920769" w:rsidRPr="00920769" w:rsidRDefault="00920769" w:rsidP="00DB1F46">
            <w:pPr>
              <w:spacing w:before="60"/>
              <w:rPr>
                <w:rFonts w:cstheme="minorHAnsi"/>
                <w:b/>
                <w:color w:val="1C8243"/>
                <w:sz w:val="20"/>
                <w:szCs w:val="19"/>
              </w:rPr>
            </w:pPr>
            <w:r>
              <w:rPr>
                <w:rFonts w:cstheme="minorHAnsi"/>
                <w:b/>
                <w:color w:val="1C8243"/>
                <w:sz w:val="20"/>
                <w:szCs w:val="19"/>
              </w:rPr>
              <w:t>Continue to address</w:t>
            </w:r>
            <w:r w:rsidRPr="00920769">
              <w:rPr>
                <w:rFonts w:cstheme="minorHAnsi"/>
                <w:b/>
                <w:color w:val="1C8243"/>
                <w:sz w:val="20"/>
                <w:szCs w:val="19"/>
              </w:rPr>
              <w:t xml:space="preserve"> health literacy in the health sector and across the workforce</w:t>
            </w:r>
          </w:p>
        </w:tc>
        <w:tc>
          <w:tcPr>
            <w:tcW w:w="3676" w:type="pct"/>
            <w:tcBorders>
              <w:top w:val="single" w:sz="4" w:space="0" w:color="318843"/>
              <w:bottom w:val="single" w:sz="4" w:space="0" w:color="318843"/>
            </w:tcBorders>
            <w:shd w:val="clear" w:color="auto" w:fill="auto"/>
          </w:tcPr>
          <w:p w14:paraId="3B734B17"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 xml:space="preserve">Align activities and develop approaches for improving health literacy in accordance with the </w:t>
            </w:r>
            <w:r w:rsidRPr="00920769">
              <w:rPr>
                <w:i/>
                <w:sz w:val="20"/>
                <w:szCs w:val="20"/>
              </w:rPr>
              <w:t>National Statement on Health Literacy</w:t>
            </w:r>
            <w:r w:rsidRPr="00920769">
              <w:rPr>
                <w:sz w:val="20"/>
                <w:szCs w:val="20"/>
              </w:rPr>
              <w:t xml:space="preserve"> and associated action framework</w:t>
            </w:r>
            <w:r w:rsidRPr="00920769">
              <w:rPr>
                <w:sz w:val="20"/>
                <w:szCs w:val="20"/>
                <w:vertAlign w:val="superscript"/>
              </w:rPr>
              <w:endnoteReference w:id="201"/>
            </w:r>
            <w:r w:rsidRPr="00920769">
              <w:rPr>
                <w:sz w:val="20"/>
                <w:szCs w:val="20"/>
              </w:rPr>
              <w:t xml:space="preserve"> </w:t>
            </w:r>
            <w:r w:rsidRPr="00920769">
              <w:rPr>
                <w:sz w:val="20"/>
                <w:szCs w:val="20"/>
                <w:vertAlign w:val="superscript"/>
              </w:rPr>
              <w:endnoteReference w:id="202"/>
            </w:r>
          </w:p>
          <w:p w14:paraId="51149037"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Promote consistent, agreed guidelines and practical resources for health practitioners communicating with children and young people (and their families) regarding their health and wellbeing</w:t>
            </w:r>
          </w:p>
          <w:p w14:paraId="1CED662C"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 xml:space="preserve">Promote information and communications for all workers engaged with children and young people regarding aspects of early childhood development, the importance of the first 2000 days, the role of parenting, preventive health, and other factors driving positive health outcomes (e.g. through </w:t>
            </w:r>
            <w:r w:rsidRPr="00920769">
              <w:rPr>
                <w:i/>
                <w:sz w:val="20"/>
                <w:szCs w:val="20"/>
                <w:lang w:val="en-GB"/>
              </w:rPr>
              <w:t>Raising Children Network</w:t>
            </w:r>
            <w:r w:rsidRPr="00920769">
              <w:rPr>
                <w:sz w:val="20"/>
                <w:szCs w:val="20"/>
                <w:lang w:val="en-GB"/>
              </w:rPr>
              <w:t>, social marketing strategies)</w:t>
            </w:r>
          </w:p>
        </w:tc>
      </w:tr>
      <w:tr w:rsidR="00920769" w:rsidRPr="0039451B" w14:paraId="17AE53D2" w14:textId="77777777" w:rsidTr="00DB1F46">
        <w:tc>
          <w:tcPr>
            <w:tcW w:w="1324" w:type="pct"/>
            <w:tcBorders>
              <w:top w:val="single" w:sz="4" w:space="0" w:color="318843"/>
              <w:bottom w:val="single" w:sz="4" w:space="0" w:color="318843"/>
            </w:tcBorders>
            <w:shd w:val="clear" w:color="auto" w:fill="auto"/>
          </w:tcPr>
          <w:p w14:paraId="67820129" w14:textId="77777777" w:rsidR="00920769" w:rsidRDefault="00920769" w:rsidP="00DB1F46">
            <w:pPr>
              <w:spacing w:before="60"/>
              <w:rPr>
                <w:rFonts w:cstheme="minorHAnsi"/>
                <w:b/>
                <w:color w:val="1C8243"/>
                <w:sz w:val="20"/>
                <w:szCs w:val="19"/>
              </w:rPr>
            </w:pPr>
            <w:r w:rsidRPr="00920769">
              <w:rPr>
                <w:rFonts w:cstheme="minorHAnsi"/>
                <w:b/>
                <w:color w:val="1C8243"/>
                <w:sz w:val="20"/>
                <w:szCs w:val="19"/>
              </w:rPr>
              <w:t>Strengthen research and evaluation capacity within the workforce</w:t>
            </w:r>
          </w:p>
        </w:tc>
        <w:tc>
          <w:tcPr>
            <w:tcW w:w="3676" w:type="pct"/>
            <w:tcBorders>
              <w:top w:val="single" w:sz="4" w:space="0" w:color="318843"/>
              <w:bottom w:val="single" w:sz="4" w:space="0" w:color="318843"/>
            </w:tcBorders>
            <w:shd w:val="clear" w:color="auto" w:fill="auto"/>
          </w:tcPr>
          <w:p w14:paraId="01736E3F"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 xml:space="preserve">Promote awareness and access to relevant professional bodies offering resources and </w:t>
            </w:r>
            <w:r>
              <w:rPr>
                <w:sz w:val="20"/>
                <w:szCs w:val="20"/>
              </w:rPr>
              <w:t>networking opportunities</w:t>
            </w:r>
            <w:r w:rsidRPr="00920769">
              <w:rPr>
                <w:sz w:val="20"/>
                <w:szCs w:val="20"/>
              </w:rPr>
              <w:t xml:space="preserve"> in relation to program evaluation and research (e.g. </w:t>
            </w:r>
            <w:r w:rsidRPr="00920769">
              <w:rPr>
                <w:i/>
                <w:sz w:val="20"/>
                <w:szCs w:val="20"/>
              </w:rPr>
              <w:t>Australasian Evaluation Society</w:t>
            </w:r>
            <w:r w:rsidRPr="00920769">
              <w:rPr>
                <w:sz w:val="20"/>
                <w:szCs w:val="20"/>
              </w:rPr>
              <w:t xml:space="preserve">, </w:t>
            </w:r>
            <w:r w:rsidRPr="00920769">
              <w:rPr>
                <w:i/>
                <w:sz w:val="20"/>
                <w:szCs w:val="20"/>
              </w:rPr>
              <w:t>NHMRC</w:t>
            </w:r>
            <w:r w:rsidRPr="00920769">
              <w:rPr>
                <w:sz w:val="20"/>
                <w:szCs w:val="20"/>
              </w:rPr>
              <w:t xml:space="preserve"> guidelines)</w:t>
            </w:r>
          </w:p>
          <w:p w14:paraId="44590D06"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rPr>
              <w:t xml:space="preserve">Scope and assess the provision of evaluation toolkits and similar resources currently provided for program deliverers in Australia and – if necessary – develop new or refined resources </w:t>
            </w:r>
          </w:p>
          <w:p w14:paraId="27558A7B" w14:textId="77777777" w:rsidR="00920769" w:rsidRPr="00920769" w:rsidRDefault="00920769" w:rsidP="00920769">
            <w:pPr>
              <w:pStyle w:val="ListParagraph"/>
              <w:numPr>
                <w:ilvl w:val="0"/>
                <w:numId w:val="39"/>
              </w:numPr>
              <w:spacing w:before="60" w:after="60"/>
              <w:ind w:left="323" w:hanging="323"/>
              <w:contextualSpacing w:val="0"/>
              <w:rPr>
                <w:sz w:val="20"/>
                <w:szCs w:val="20"/>
              </w:rPr>
            </w:pPr>
            <w:r w:rsidRPr="00920769">
              <w:rPr>
                <w:sz w:val="20"/>
                <w:szCs w:val="20"/>
                <w:lang w:val="en-GB"/>
              </w:rPr>
              <w:t xml:space="preserve">Strengthen professional knowledge regarding effective and appropriate research methodologies and activities </w:t>
            </w:r>
            <w:r>
              <w:rPr>
                <w:sz w:val="20"/>
                <w:szCs w:val="20"/>
                <w:lang w:val="en-GB"/>
              </w:rPr>
              <w:t xml:space="preserve">that can be implemented </w:t>
            </w:r>
            <w:r w:rsidRPr="00920769">
              <w:rPr>
                <w:sz w:val="20"/>
                <w:szCs w:val="20"/>
                <w:lang w:val="en-GB"/>
              </w:rPr>
              <w:t>with children and young people</w:t>
            </w:r>
          </w:p>
        </w:tc>
      </w:tr>
    </w:tbl>
    <w:p w14:paraId="1C19CA69" w14:textId="77777777" w:rsidR="007329C1" w:rsidRDefault="007329C1">
      <w:pPr>
        <w:spacing w:before="0" w:after="160" w:line="259" w:lineRule="auto"/>
        <w:rPr>
          <w:rFonts w:ascii="Segoe UI" w:hAnsi="Segoe UI"/>
          <w:b/>
          <w:color w:val="227439"/>
          <w:sz w:val="32"/>
          <w:szCs w:val="19"/>
          <w:lang w:eastAsia="en-AU"/>
        </w:rPr>
      </w:pPr>
      <w:r>
        <w:br w:type="page"/>
      </w:r>
    </w:p>
    <w:p w14:paraId="2476E09C" w14:textId="77777777" w:rsidR="003330B2" w:rsidRDefault="003330B2" w:rsidP="003330B2">
      <w:pPr>
        <w:pStyle w:val="Heading1"/>
      </w:pPr>
      <w:bookmarkStart w:id="31" w:name="_Toc5282309"/>
      <w:r>
        <w:t>Operational enablers</w:t>
      </w:r>
      <w:bookmarkEnd w:id="31"/>
    </w:p>
    <w:p w14:paraId="7F937891" w14:textId="77777777" w:rsidR="00EC5D79" w:rsidRDefault="00EC5D79" w:rsidP="002D2056">
      <w:pPr>
        <w:spacing w:before="0" w:after="160" w:line="259" w:lineRule="auto"/>
        <w:rPr>
          <w:rFonts w:cstheme="minorHAnsi"/>
          <w:sz w:val="20"/>
          <w:szCs w:val="19"/>
        </w:rPr>
      </w:pPr>
      <w:r>
        <w:rPr>
          <w:rFonts w:cstheme="minorHAnsi"/>
          <w:sz w:val="20"/>
          <w:szCs w:val="19"/>
        </w:rPr>
        <w:t xml:space="preserve">The priority actions and activities proposed in this Action Plan </w:t>
      </w:r>
      <w:r w:rsidR="00753A80">
        <w:rPr>
          <w:rFonts w:cstheme="minorHAnsi"/>
          <w:sz w:val="20"/>
          <w:szCs w:val="19"/>
        </w:rPr>
        <w:t xml:space="preserve">provide a series of options for working to improve the health and wellbeing of children and young people. </w:t>
      </w:r>
      <w:r w:rsidR="009A212B">
        <w:rPr>
          <w:rFonts w:cstheme="minorHAnsi"/>
          <w:sz w:val="20"/>
          <w:szCs w:val="19"/>
        </w:rPr>
        <w:t xml:space="preserve">They </w:t>
      </w:r>
      <w:r w:rsidR="00D63185">
        <w:rPr>
          <w:rFonts w:cstheme="minorHAnsi"/>
          <w:sz w:val="20"/>
          <w:szCs w:val="19"/>
        </w:rPr>
        <w:t>do not sit in isolation</w:t>
      </w:r>
      <w:r w:rsidR="009A212B">
        <w:rPr>
          <w:rFonts w:cstheme="minorHAnsi"/>
          <w:sz w:val="20"/>
          <w:szCs w:val="19"/>
        </w:rPr>
        <w:t xml:space="preserve"> </w:t>
      </w:r>
      <w:r w:rsidR="00D63185">
        <w:rPr>
          <w:rFonts w:cstheme="minorHAnsi"/>
          <w:sz w:val="20"/>
          <w:szCs w:val="19"/>
        </w:rPr>
        <w:t xml:space="preserve">from one another but operate within a wider system shaping the health and wellbeing of the population at large. To ensure effective operationalisation of this Action Plan, a number of overarching, </w:t>
      </w:r>
      <w:r w:rsidR="0030544B">
        <w:rPr>
          <w:rFonts w:cstheme="minorHAnsi"/>
          <w:sz w:val="20"/>
          <w:szCs w:val="19"/>
        </w:rPr>
        <w:t>structural</w:t>
      </w:r>
      <w:r w:rsidR="00D63185">
        <w:rPr>
          <w:rFonts w:cstheme="minorHAnsi"/>
          <w:sz w:val="20"/>
          <w:szCs w:val="19"/>
        </w:rPr>
        <w:t xml:space="preserve"> elements need to be </w:t>
      </w:r>
      <w:r w:rsidR="0030544B">
        <w:rPr>
          <w:rFonts w:cstheme="minorHAnsi"/>
          <w:sz w:val="20"/>
          <w:szCs w:val="19"/>
        </w:rPr>
        <w:t>optimised</w:t>
      </w:r>
      <w:r w:rsidR="00D63185">
        <w:rPr>
          <w:rFonts w:cstheme="minorHAnsi"/>
          <w:sz w:val="20"/>
          <w:szCs w:val="19"/>
        </w:rPr>
        <w:t xml:space="preserve"> to support actions and shape activities that are implemented.  </w:t>
      </w:r>
    </w:p>
    <w:p w14:paraId="57853FD8" w14:textId="77777777" w:rsidR="00EC5D79" w:rsidRPr="00A724D2" w:rsidRDefault="009A212B" w:rsidP="00EC5D79">
      <w:pPr>
        <w:pStyle w:val="Heading4"/>
        <w:rPr>
          <w:rFonts w:eastAsiaTheme="minorHAnsi"/>
          <w:szCs w:val="24"/>
          <w:lang w:val="en-US"/>
        </w:rPr>
      </w:pPr>
      <w:r>
        <w:rPr>
          <w:rFonts w:eastAsiaTheme="minorHAnsi"/>
          <w:szCs w:val="24"/>
          <w:lang w:val="en-US"/>
        </w:rPr>
        <w:t>B</w:t>
      </w:r>
      <w:r w:rsidR="00EC5D79">
        <w:rPr>
          <w:rFonts w:eastAsiaTheme="minorHAnsi"/>
          <w:szCs w:val="24"/>
          <w:lang w:val="en-US"/>
        </w:rPr>
        <w:t xml:space="preserve">uilding </w:t>
      </w:r>
      <w:r>
        <w:rPr>
          <w:rFonts w:eastAsiaTheme="minorHAnsi"/>
          <w:szCs w:val="24"/>
          <w:lang w:val="en-US"/>
        </w:rPr>
        <w:t>the</w:t>
      </w:r>
      <w:r w:rsidR="00EC5D79">
        <w:rPr>
          <w:rFonts w:eastAsiaTheme="minorHAnsi"/>
          <w:szCs w:val="24"/>
          <w:lang w:val="en-US"/>
        </w:rPr>
        <w:t xml:space="preserve"> evidence base</w:t>
      </w:r>
    </w:p>
    <w:p w14:paraId="2DEF3456" w14:textId="77777777" w:rsidR="00EC5D79" w:rsidRDefault="009A212B" w:rsidP="002D2056">
      <w:pPr>
        <w:spacing w:before="0" w:after="160" w:line="259" w:lineRule="auto"/>
        <w:rPr>
          <w:rFonts w:cstheme="minorHAnsi"/>
          <w:sz w:val="20"/>
          <w:szCs w:val="19"/>
        </w:rPr>
      </w:pPr>
      <w:r>
        <w:rPr>
          <w:rFonts w:cstheme="minorHAnsi"/>
          <w:sz w:val="20"/>
          <w:szCs w:val="19"/>
        </w:rPr>
        <w:t>T</w:t>
      </w:r>
      <w:r w:rsidR="007B3D13">
        <w:rPr>
          <w:rFonts w:cstheme="minorHAnsi"/>
          <w:sz w:val="20"/>
          <w:szCs w:val="19"/>
        </w:rPr>
        <w:t xml:space="preserve">he efficacy of actions and interventions </w:t>
      </w:r>
      <w:r>
        <w:rPr>
          <w:rFonts w:cstheme="minorHAnsi"/>
          <w:sz w:val="20"/>
          <w:szCs w:val="19"/>
        </w:rPr>
        <w:t xml:space="preserve">implemented to improve health outcomes for children and young people relies on a strong evidence base. Throughout the life of this Action Plan, there should be ongoing steps and strategies </w:t>
      </w:r>
      <w:r w:rsidR="00481217">
        <w:rPr>
          <w:rFonts w:cstheme="minorHAnsi"/>
          <w:sz w:val="20"/>
          <w:szCs w:val="19"/>
        </w:rPr>
        <w:t>that</w:t>
      </w:r>
      <w:r>
        <w:rPr>
          <w:rFonts w:cstheme="minorHAnsi"/>
          <w:sz w:val="20"/>
          <w:szCs w:val="19"/>
        </w:rPr>
        <w:t xml:space="preserve">: </w:t>
      </w:r>
    </w:p>
    <w:p w14:paraId="4CB78C2D" w14:textId="77777777" w:rsidR="00B975F5" w:rsidRDefault="00B975F5" w:rsidP="00B975F5">
      <w:pPr>
        <w:pStyle w:val="ListParagraph"/>
        <w:numPr>
          <w:ilvl w:val="0"/>
          <w:numId w:val="31"/>
        </w:numPr>
        <w:spacing w:before="0" w:after="160" w:line="259" w:lineRule="auto"/>
        <w:rPr>
          <w:rFonts w:cstheme="minorHAnsi"/>
          <w:sz w:val="20"/>
          <w:szCs w:val="19"/>
        </w:rPr>
      </w:pPr>
      <w:r>
        <w:rPr>
          <w:rFonts w:cstheme="minorHAnsi"/>
          <w:sz w:val="20"/>
          <w:szCs w:val="19"/>
        </w:rPr>
        <w:t>Identify</w:t>
      </w:r>
      <w:r w:rsidR="009A212B">
        <w:rPr>
          <w:rFonts w:cstheme="minorHAnsi"/>
          <w:sz w:val="20"/>
          <w:szCs w:val="19"/>
        </w:rPr>
        <w:t xml:space="preserve"> </w:t>
      </w:r>
      <w:r>
        <w:rPr>
          <w:rFonts w:cstheme="minorHAnsi"/>
          <w:sz w:val="20"/>
          <w:szCs w:val="19"/>
        </w:rPr>
        <w:t>research gaps</w:t>
      </w:r>
      <w:r w:rsidR="007B3D13">
        <w:rPr>
          <w:rFonts w:cstheme="minorHAnsi"/>
          <w:sz w:val="20"/>
          <w:szCs w:val="19"/>
        </w:rPr>
        <w:t xml:space="preserve"> and emerging needs, </w:t>
      </w:r>
      <w:r>
        <w:rPr>
          <w:rFonts w:cstheme="minorHAnsi"/>
          <w:sz w:val="20"/>
          <w:szCs w:val="19"/>
        </w:rPr>
        <w:t xml:space="preserve">developing and </w:t>
      </w:r>
      <w:r w:rsidR="007B3D13">
        <w:rPr>
          <w:rFonts w:cstheme="minorHAnsi"/>
          <w:sz w:val="20"/>
          <w:szCs w:val="19"/>
        </w:rPr>
        <w:t xml:space="preserve">frequently </w:t>
      </w:r>
      <w:r>
        <w:rPr>
          <w:rFonts w:cstheme="minorHAnsi"/>
          <w:sz w:val="20"/>
          <w:szCs w:val="19"/>
        </w:rPr>
        <w:t>revisiting priorities for research in child and youth health</w:t>
      </w:r>
      <w:r w:rsidR="00920769">
        <w:rPr>
          <w:rFonts w:cstheme="minorHAnsi"/>
          <w:sz w:val="20"/>
          <w:szCs w:val="19"/>
        </w:rPr>
        <w:t>;</w:t>
      </w:r>
    </w:p>
    <w:p w14:paraId="38897862" w14:textId="77777777" w:rsidR="00B975F5" w:rsidRDefault="009A212B" w:rsidP="00B975F5">
      <w:pPr>
        <w:pStyle w:val="ListParagraph"/>
        <w:numPr>
          <w:ilvl w:val="0"/>
          <w:numId w:val="31"/>
        </w:numPr>
        <w:spacing w:before="0" w:after="160" w:line="259" w:lineRule="auto"/>
        <w:rPr>
          <w:rFonts w:cstheme="minorHAnsi"/>
          <w:sz w:val="20"/>
          <w:szCs w:val="19"/>
        </w:rPr>
      </w:pPr>
      <w:r>
        <w:rPr>
          <w:rFonts w:cstheme="minorHAnsi"/>
          <w:sz w:val="20"/>
          <w:szCs w:val="19"/>
        </w:rPr>
        <w:t>S</w:t>
      </w:r>
      <w:r w:rsidR="007B3D13">
        <w:rPr>
          <w:rFonts w:cstheme="minorHAnsi"/>
          <w:sz w:val="20"/>
          <w:szCs w:val="19"/>
        </w:rPr>
        <w:t xml:space="preserve">trengthen the evidence of what works where and why, particularly within the Australian context, increasing focus on implementation, effective </w:t>
      </w:r>
      <w:r w:rsidR="00EC6A1D">
        <w:rPr>
          <w:rFonts w:cstheme="minorHAnsi"/>
          <w:sz w:val="20"/>
          <w:szCs w:val="19"/>
        </w:rPr>
        <w:t xml:space="preserve">and high quality </w:t>
      </w:r>
      <w:r w:rsidR="007B3D13">
        <w:rPr>
          <w:rFonts w:cstheme="minorHAnsi"/>
          <w:sz w:val="20"/>
          <w:szCs w:val="19"/>
        </w:rPr>
        <w:t>practice elements, and cost effectiveness of programs and interventions</w:t>
      </w:r>
      <w:r w:rsidR="00920769">
        <w:rPr>
          <w:rFonts w:cstheme="minorHAnsi"/>
          <w:sz w:val="20"/>
          <w:szCs w:val="19"/>
        </w:rPr>
        <w:t>;</w:t>
      </w:r>
      <w:r w:rsidR="007B3D13">
        <w:rPr>
          <w:rFonts w:cstheme="minorHAnsi"/>
          <w:sz w:val="20"/>
          <w:szCs w:val="19"/>
        </w:rPr>
        <w:t xml:space="preserve"> </w:t>
      </w:r>
    </w:p>
    <w:p w14:paraId="0CDC1FDF" w14:textId="77777777" w:rsidR="007B3D13" w:rsidRDefault="007B3D13" w:rsidP="00B975F5">
      <w:pPr>
        <w:pStyle w:val="ListParagraph"/>
        <w:numPr>
          <w:ilvl w:val="0"/>
          <w:numId w:val="31"/>
        </w:numPr>
        <w:spacing w:before="0" w:after="160" w:line="259" w:lineRule="auto"/>
        <w:rPr>
          <w:rFonts w:cstheme="minorHAnsi"/>
          <w:sz w:val="20"/>
          <w:szCs w:val="19"/>
        </w:rPr>
      </w:pPr>
      <w:r>
        <w:rPr>
          <w:rFonts w:cstheme="minorHAnsi"/>
          <w:sz w:val="20"/>
          <w:szCs w:val="19"/>
        </w:rPr>
        <w:t>Build evaluation capacity within and beyond the sector to increase and strengthen the consistency of collective insight and intelligence</w:t>
      </w:r>
      <w:r w:rsidR="00920769">
        <w:rPr>
          <w:rFonts w:cstheme="minorHAnsi"/>
          <w:sz w:val="20"/>
          <w:szCs w:val="19"/>
        </w:rPr>
        <w:t>;</w:t>
      </w:r>
      <w:r w:rsidR="009A212B">
        <w:rPr>
          <w:rFonts w:cstheme="minorHAnsi"/>
          <w:sz w:val="20"/>
          <w:szCs w:val="19"/>
        </w:rPr>
        <w:t xml:space="preserve"> and</w:t>
      </w:r>
      <w:r>
        <w:rPr>
          <w:rFonts w:cstheme="minorHAnsi"/>
          <w:sz w:val="20"/>
          <w:szCs w:val="19"/>
        </w:rPr>
        <w:t xml:space="preserve"> </w:t>
      </w:r>
    </w:p>
    <w:p w14:paraId="73BF6070" w14:textId="77777777" w:rsidR="007B3D13" w:rsidRPr="00B975F5" w:rsidRDefault="007B3D13" w:rsidP="00B975F5">
      <w:pPr>
        <w:pStyle w:val="ListParagraph"/>
        <w:numPr>
          <w:ilvl w:val="0"/>
          <w:numId w:val="31"/>
        </w:numPr>
        <w:spacing w:before="0" w:after="160" w:line="259" w:lineRule="auto"/>
        <w:rPr>
          <w:rFonts w:cstheme="minorHAnsi"/>
          <w:sz w:val="20"/>
          <w:szCs w:val="19"/>
        </w:rPr>
      </w:pPr>
      <w:r>
        <w:rPr>
          <w:rFonts w:cstheme="minorHAnsi"/>
          <w:sz w:val="20"/>
          <w:szCs w:val="19"/>
        </w:rPr>
        <w:t>Continu</w:t>
      </w:r>
      <w:r w:rsidR="009A212B">
        <w:rPr>
          <w:rFonts w:cstheme="minorHAnsi"/>
          <w:sz w:val="20"/>
          <w:szCs w:val="19"/>
        </w:rPr>
        <w:t>e</w:t>
      </w:r>
      <w:r>
        <w:rPr>
          <w:rFonts w:cstheme="minorHAnsi"/>
          <w:sz w:val="20"/>
          <w:szCs w:val="19"/>
        </w:rPr>
        <w:t xml:space="preserve"> to identify opportunities and strategies for enhanced data collection, including digital mechanisms and tools for measuring health outcomes, service access and delivery, and the attitudes, behaviours and experiences of children and young people</w:t>
      </w:r>
      <w:r w:rsidR="009A212B">
        <w:rPr>
          <w:rFonts w:cstheme="minorHAnsi"/>
          <w:sz w:val="20"/>
          <w:szCs w:val="19"/>
        </w:rPr>
        <w:t>.</w:t>
      </w:r>
    </w:p>
    <w:p w14:paraId="0FE38BE5" w14:textId="77777777" w:rsidR="00EC5D79" w:rsidRPr="00A724D2" w:rsidRDefault="00455BE8" w:rsidP="00EC5D79">
      <w:pPr>
        <w:pStyle w:val="Heading4"/>
        <w:rPr>
          <w:rFonts w:eastAsiaTheme="minorHAnsi"/>
          <w:szCs w:val="24"/>
          <w:lang w:val="en-US"/>
        </w:rPr>
      </w:pPr>
      <w:r>
        <w:rPr>
          <w:rFonts w:eastAsiaTheme="minorHAnsi"/>
          <w:szCs w:val="24"/>
          <w:lang w:val="en-US"/>
        </w:rPr>
        <w:t>Improving c</w:t>
      </w:r>
      <w:r w:rsidR="00EC5D79">
        <w:rPr>
          <w:rFonts w:eastAsiaTheme="minorHAnsi"/>
          <w:szCs w:val="24"/>
          <w:lang w:val="en-US"/>
        </w:rPr>
        <w:t xml:space="preserve">ohesion and consistency </w:t>
      </w:r>
    </w:p>
    <w:p w14:paraId="277A968D" w14:textId="77777777" w:rsidR="007B3D13" w:rsidRDefault="009A212B" w:rsidP="007B3D13">
      <w:pPr>
        <w:spacing w:before="0" w:after="160" w:line="259" w:lineRule="auto"/>
        <w:rPr>
          <w:rFonts w:cstheme="minorHAnsi"/>
          <w:sz w:val="20"/>
          <w:szCs w:val="19"/>
        </w:rPr>
      </w:pPr>
      <w:r>
        <w:rPr>
          <w:rFonts w:cstheme="minorHAnsi"/>
          <w:sz w:val="20"/>
          <w:szCs w:val="19"/>
        </w:rPr>
        <w:t xml:space="preserve">Effective operationalisation of the Action Plan will require continuous development of shared, consistent frameworks, measures, structures and language, across governments, agencies, organisations and individuals. This means: </w:t>
      </w:r>
    </w:p>
    <w:p w14:paraId="24EE6834" w14:textId="77777777" w:rsidR="007B3D13" w:rsidRDefault="007B3D13" w:rsidP="007B3D13">
      <w:pPr>
        <w:pStyle w:val="ListParagraph"/>
        <w:numPr>
          <w:ilvl w:val="0"/>
          <w:numId w:val="31"/>
        </w:numPr>
        <w:spacing w:before="0" w:after="160" w:line="259" w:lineRule="auto"/>
        <w:rPr>
          <w:rFonts w:cstheme="minorHAnsi"/>
          <w:sz w:val="20"/>
          <w:szCs w:val="19"/>
        </w:rPr>
      </w:pPr>
      <w:r>
        <w:rPr>
          <w:rFonts w:cstheme="minorHAnsi"/>
          <w:sz w:val="20"/>
          <w:szCs w:val="19"/>
        </w:rPr>
        <w:t>Continuing to develop consistent, national agreed frameworks for measuring health outcomes, including means to establish indicators related to</w:t>
      </w:r>
      <w:r w:rsidR="00753A80">
        <w:rPr>
          <w:rFonts w:cstheme="minorHAnsi"/>
          <w:sz w:val="20"/>
          <w:szCs w:val="19"/>
        </w:rPr>
        <w:t xml:space="preserve"> additional</w:t>
      </w:r>
      <w:r>
        <w:rPr>
          <w:rFonts w:cstheme="minorHAnsi"/>
          <w:sz w:val="20"/>
          <w:szCs w:val="19"/>
        </w:rPr>
        <w:t xml:space="preserve"> risk factors and determinants</w:t>
      </w:r>
      <w:r w:rsidR="00753A80">
        <w:rPr>
          <w:rFonts w:cstheme="minorHAnsi"/>
          <w:sz w:val="20"/>
          <w:szCs w:val="19"/>
        </w:rPr>
        <w:t xml:space="preserve"> of health (e.g. parenting), and interrogate outcomes and experiences at a community level</w:t>
      </w:r>
      <w:r w:rsidR="00920769">
        <w:rPr>
          <w:rFonts w:cstheme="minorHAnsi"/>
          <w:sz w:val="20"/>
          <w:szCs w:val="19"/>
        </w:rPr>
        <w:t>;</w:t>
      </w:r>
    </w:p>
    <w:p w14:paraId="69206995" w14:textId="77777777" w:rsidR="00753A80" w:rsidRDefault="00753A80" w:rsidP="007B3D13">
      <w:pPr>
        <w:pStyle w:val="ListParagraph"/>
        <w:numPr>
          <w:ilvl w:val="0"/>
          <w:numId w:val="31"/>
        </w:numPr>
        <w:spacing w:before="0" w:after="160" w:line="259" w:lineRule="auto"/>
        <w:rPr>
          <w:rFonts w:cstheme="minorHAnsi"/>
          <w:sz w:val="20"/>
          <w:szCs w:val="19"/>
        </w:rPr>
      </w:pPr>
      <w:r>
        <w:rPr>
          <w:rFonts w:cstheme="minorHAnsi"/>
          <w:sz w:val="20"/>
          <w:szCs w:val="19"/>
        </w:rPr>
        <w:t xml:space="preserve">Working to harmonise age-eligibility </w:t>
      </w:r>
      <w:r w:rsidRPr="00753A80">
        <w:rPr>
          <w:rFonts w:cstheme="minorHAnsi"/>
          <w:sz w:val="20"/>
          <w:szCs w:val="19"/>
        </w:rPr>
        <w:t>so that there is a nationally consistent approach to distinguish between age groups, especially between adolescence (up to 18th birthday) and young adulthood (18-25th birthday)</w:t>
      </w:r>
      <w:r w:rsidR="00920769">
        <w:rPr>
          <w:rFonts w:cstheme="minorHAnsi"/>
          <w:sz w:val="20"/>
          <w:szCs w:val="19"/>
        </w:rPr>
        <w:t>;</w:t>
      </w:r>
      <w:r w:rsidR="00D63185">
        <w:rPr>
          <w:rFonts w:cstheme="minorHAnsi"/>
          <w:sz w:val="20"/>
          <w:szCs w:val="19"/>
        </w:rPr>
        <w:t xml:space="preserve"> and</w:t>
      </w:r>
    </w:p>
    <w:p w14:paraId="1B7F590A" w14:textId="77777777" w:rsidR="00753A80" w:rsidRPr="00B975F5" w:rsidRDefault="00753A80" w:rsidP="007B3D13">
      <w:pPr>
        <w:pStyle w:val="ListParagraph"/>
        <w:numPr>
          <w:ilvl w:val="0"/>
          <w:numId w:val="31"/>
        </w:numPr>
        <w:spacing w:before="0" w:after="160" w:line="259" w:lineRule="auto"/>
        <w:rPr>
          <w:rFonts w:cstheme="minorHAnsi"/>
          <w:sz w:val="20"/>
          <w:szCs w:val="19"/>
        </w:rPr>
      </w:pPr>
      <w:r>
        <w:rPr>
          <w:rFonts w:cstheme="minorHAnsi"/>
          <w:sz w:val="20"/>
          <w:szCs w:val="19"/>
        </w:rPr>
        <w:t>Maintaining and strengthening approaches to engaging stakeholders (e.g. service providers, health professionals, researchers) in the development, review and refinement of Action Plan priority areas and proposed activities.</w:t>
      </w:r>
    </w:p>
    <w:p w14:paraId="7F879B49" w14:textId="77777777" w:rsidR="00EC5D79" w:rsidRDefault="00EC5D79" w:rsidP="00EC5D79">
      <w:pPr>
        <w:pStyle w:val="Heading4"/>
        <w:rPr>
          <w:rFonts w:eastAsiaTheme="minorHAnsi"/>
          <w:szCs w:val="24"/>
          <w:lang w:val="en-US"/>
        </w:rPr>
      </w:pPr>
      <w:r>
        <w:rPr>
          <w:rFonts w:eastAsiaTheme="minorHAnsi"/>
          <w:szCs w:val="24"/>
          <w:lang w:val="en-US"/>
        </w:rPr>
        <w:t>Supporting and embedding practice translation</w:t>
      </w:r>
    </w:p>
    <w:p w14:paraId="105D4ABD" w14:textId="77777777" w:rsidR="009A212B" w:rsidRDefault="009A212B" w:rsidP="009A212B">
      <w:pPr>
        <w:rPr>
          <w:rFonts w:cstheme="minorHAnsi"/>
          <w:sz w:val="20"/>
          <w:szCs w:val="19"/>
        </w:rPr>
      </w:pPr>
      <w:r>
        <w:rPr>
          <w:rFonts w:cstheme="minorHAnsi"/>
          <w:sz w:val="20"/>
          <w:szCs w:val="19"/>
        </w:rPr>
        <w:t xml:space="preserve">Realising actions and activities </w:t>
      </w:r>
      <w:r w:rsidR="00D63185">
        <w:rPr>
          <w:rFonts w:cstheme="minorHAnsi"/>
          <w:sz w:val="20"/>
          <w:szCs w:val="19"/>
        </w:rPr>
        <w:t xml:space="preserve">relies on effective practice translation and implementation. What works in theory may not always work on the ground, particularly if it does not take into account target communities, critical enablers, and local context. Effective practice translation can be embedded </w:t>
      </w:r>
      <w:r w:rsidR="00BC0CD1">
        <w:rPr>
          <w:rFonts w:cstheme="minorHAnsi"/>
          <w:sz w:val="20"/>
          <w:szCs w:val="19"/>
        </w:rPr>
        <w:t xml:space="preserve">through the life of the Action Plan </w:t>
      </w:r>
      <w:r w:rsidR="00D63185">
        <w:rPr>
          <w:rFonts w:cstheme="minorHAnsi"/>
          <w:sz w:val="20"/>
          <w:szCs w:val="19"/>
        </w:rPr>
        <w:t>by:</w:t>
      </w:r>
      <w:r>
        <w:rPr>
          <w:rFonts w:cstheme="minorHAnsi"/>
          <w:sz w:val="20"/>
          <w:szCs w:val="19"/>
        </w:rPr>
        <w:t xml:space="preserve"> </w:t>
      </w:r>
    </w:p>
    <w:p w14:paraId="6608FB04" w14:textId="77777777" w:rsidR="00BC0CD1" w:rsidRDefault="00BC0CD1" w:rsidP="00D63185">
      <w:pPr>
        <w:pStyle w:val="ListParagraph"/>
        <w:numPr>
          <w:ilvl w:val="0"/>
          <w:numId w:val="31"/>
        </w:numPr>
        <w:spacing w:before="0" w:after="160" w:line="259" w:lineRule="auto"/>
        <w:rPr>
          <w:rFonts w:cstheme="minorHAnsi"/>
          <w:sz w:val="20"/>
          <w:szCs w:val="19"/>
        </w:rPr>
      </w:pPr>
      <w:r>
        <w:rPr>
          <w:rFonts w:cstheme="minorHAnsi"/>
          <w:sz w:val="20"/>
          <w:szCs w:val="19"/>
        </w:rPr>
        <w:t>Continuing to update and promote resources, guidelines, practice interventions and programs that are proven to be</w:t>
      </w:r>
      <w:r w:rsidR="00EC6A1D">
        <w:rPr>
          <w:rFonts w:cstheme="minorHAnsi"/>
          <w:sz w:val="20"/>
          <w:szCs w:val="19"/>
        </w:rPr>
        <w:t xml:space="preserve"> of strong quality,</w:t>
      </w:r>
      <w:r>
        <w:rPr>
          <w:rFonts w:cstheme="minorHAnsi"/>
          <w:sz w:val="20"/>
          <w:szCs w:val="19"/>
        </w:rPr>
        <w:t xml:space="preserve"> effective and / or show promise in addressing aspects of child and youth health, through centralised mechanisms for sharing of best practice</w:t>
      </w:r>
      <w:r w:rsidR="00920769">
        <w:rPr>
          <w:rFonts w:cstheme="minorHAnsi"/>
          <w:sz w:val="20"/>
          <w:szCs w:val="19"/>
        </w:rPr>
        <w:t>;</w:t>
      </w:r>
    </w:p>
    <w:p w14:paraId="0192B7CD" w14:textId="77777777" w:rsidR="00D63185" w:rsidRDefault="00BC0CD1" w:rsidP="00D63185">
      <w:pPr>
        <w:pStyle w:val="ListParagraph"/>
        <w:numPr>
          <w:ilvl w:val="0"/>
          <w:numId w:val="31"/>
        </w:numPr>
        <w:spacing w:before="0" w:after="160" w:line="259" w:lineRule="auto"/>
        <w:rPr>
          <w:rFonts w:cstheme="minorHAnsi"/>
          <w:sz w:val="20"/>
          <w:szCs w:val="19"/>
        </w:rPr>
      </w:pPr>
      <w:r>
        <w:rPr>
          <w:rFonts w:cstheme="minorHAnsi"/>
          <w:sz w:val="20"/>
          <w:szCs w:val="19"/>
        </w:rPr>
        <w:t>Enhancing approaches to build a</w:t>
      </w:r>
      <w:r w:rsidR="0030544B">
        <w:rPr>
          <w:rFonts w:cstheme="minorHAnsi"/>
          <w:sz w:val="20"/>
          <w:szCs w:val="19"/>
        </w:rPr>
        <w:t xml:space="preserve">n intelligent </w:t>
      </w:r>
      <w:r>
        <w:rPr>
          <w:rFonts w:cstheme="minorHAnsi"/>
          <w:sz w:val="20"/>
          <w:szCs w:val="19"/>
        </w:rPr>
        <w:t xml:space="preserve">‘learning system’, </w:t>
      </w:r>
      <w:r w:rsidR="0030544B">
        <w:rPr>
          <w:rFonts w:cstheme="minorHAnsi"/>
          <w:sz w:val="20"/>
          <w:szCs w:val="19"/>
        </w:rPr>
        <w:t>in which</w:t>
      </w:r>
      <w:r w:rsidRPr="00BC0CD1">
        <w:rPr>
          <w:rFonts w:cstheme="minorHAnsi"/>
          <w:sz w:val="20"/>
          <w:szCs w:val="19"/>
        </w:rPr>
        <w:t xml:space="preserve"> outcomes are measured and children</w:t>
      </w:r>
      <w:r>
        <w:rPr>
          <w:rFonts w:cstheme="minorHAnsi"/>
          <w:sz w:val="20"/>
          <w:szCs w:val="19"/>
        </w:rPr>
        <w:t>’s</w:t>
      </w:r>
      <w:r w:rsidRPr="00BC0CD1">
        <w:rPr>
          <w:rFonts w:cstheme="minorHAnsi"/>
          <w:sz w:val="20"/>
          <w:szCs w:val="19"/>
        </w:rPr>
        <w:t xml:space="preserve"> and </w:t>
      </w:r>
      <w:r>
        <w:rPr>
          <w:rFonts w:cstheme="minorHAnsi"/>
          <w:sz w:val="20"/>
          <w:szCs w:val="19"/>
        </w:rPr>
        <w:t>young people’s</w:t>
      </w:r>
      <w:r w:rsidRPr="00BC0CD1">
        <w:rPr>
          <w:rFonts w:cstheme="minorHAnsi"/>
          <w:sz w:val="20"/>
          <w:szCs w:val="19"/>
        </w:rPr>
        <w:t xml:space="preserve"> services are continually re-evaluated, refined and improved</w:t>
      </w:r>
      <w:r w:rsidR="00920769">
        <w:rPr>
          <w:rFonts w:cstheme="minorHAnsi"/>
          <w:sz w:val="20"/>
          <w:szCs w:val="19"/>
        </w:rPr>
        <w:t>;</w:t>
      </w:r>
      <w:r w:rsidR="00481217">
        <w:rPr>
          <w:rStyle w:val="EndnoteReference"/>
          <w:rFonts w:cstheme="minorHAnsi"/>
          <w:sz w:val="20"/>
          <w:szCs w:val="19"/>
        </w:rPr>
        <w:endnoteReference w:id="203"/>
      </w:r>
      <w:r w:rsidR="0030544B">
        <w:rPr>
          <w:rFonts w:cstheme="minorHAnsi"/>
          <w:sz w:val="20"/>
          <w:szCs w:val="19"/>
        </w:rPr>
        <w:t xml:space="preserve"> and</w:t>
      </w:r>
    </w:p>
    <w:p w14:paraId="74A1E3CC" w14:textId="77777777" w:rsidR="0030544B" w:rsidRPr="00B975F5" w:rsidRDefault="0030544B" w:rsidP="00D63185">
      <w:pPr>
        <w:pStyle w:val="ListParagraph"/>
        <w:numPr>
          <w:ilvl w:val="0"/>
          <w:numId w:val="31"/>
        </w:numPr>
        <w:spacing w:before="0" w:after="160" w:line="259" w:lineRule="auto"/>
        <w:rPr>
          <w:rFonts w:cstheme="minorHAnsi"/>
          <w:sz w:val="20"/>
          <w:szCs w:val="19"/>
        </w:rPr>
      </w:pPr>
      <w:r>
        <w:rPr>
          <w:rFonts w:cstheme="minorHAnsi"/>
          <w:sz w:val="20"/>
          <w:szCs w:val="19"/>
        </w:rPr>
        <w:t>Adopting and applying implementation science principles and practices to progress actions and interventions on the ground.</w:t>
      </w:r>
    </w:p>
    <w:p w14:paraId="01AD0F63" w14:textId="77777777" w:rsidR="00EC5D79" w:rsidRDefault="00EC5D79" w:rsidP="00EC5D79">
      <w:pPr>
        <w:pStyle w:val="Heading4"/>
        <w:rPr>
          <w:rFonts w:eastAsiaTheme="minorHAnsi"/>
          <w:szCs w:val="24"/>
          <w:lang w:val="en-US"/>
        </w:rPr>
      </w:pPr>
      <w:r>
        <w:rPr>
          <w:rFonts w:eastAsiaTheme="minorHAnsi"/>
          <w:szCs w:val="24"/>
          <w:lang w:val="en-US"/>
        </w:rPr>
        <w:t>Keeping child</w:t>
      </w:r>
      <w:r w:rsidR="00455BE8">
        <w:rPr>
          <w:rFonts w:eastAsiaTheme="minorHAnsi"/>
          <w:szCs w:val="24"/>
          <w:lang w:val="en-US"/>
        </w:rPr>
        <w:t>ren and young people</w:t>
      </w:r>
      <w:r>
        <w:rPr>
          <w:rFonts w:eastAsiaTheme="minorHAnsi"/>
          <w:szCs w:val="24"/>
          <w:lang w:val="en-US"/>
        </w:rPr>
        <w:t xml:space="preserve"> at the centre</w:t>
      </w:r>
    </w:p>
    <w:p w14:paraId="6733F4CC" w14:textId="77777777" w:rsidR="009A212B" w:rsidRDefault="009A212B" w:rsidP="009A212B">
      <w:pPr>
        <w:rPr>
          <w:rFonts w:cstheme="minorHAnsi"/>
          <w:sz w:val="20"/>
          <w:szCs w:val="19"/>
        </w:rPr>
      </w:pPr>
      <w:r>
        <w:rPr>
          <w:rFonts w:cstheme="minorHAnsi"/>
          <w:sz w:val="20"/>
          <w:szCs w:val="19"/>
        </w:rPr>
        <w:t>Throughout the implementation</w:t>
      </w:r>
      <w:r w:rsidR="0030544B">
        <w:rPr>
          <w:rFonts w:cstheme="minorHAnsi"/>
          <w:sz w:val="20"/>
          <w:szCs w:val="19"/>
        </w:rPr>
        <w:t xml:space="preserve"> and refinement</w:t>
      </w:r>
      <w:r>
        <w:rPr>
          <w:rFonts w:cstheme="minorHAnsi"/>
          <w:sz w:val="20"/>
          <w:szCs w:val="19"/>
        </w:rPr>
        <w:t xml:space="preserve"> of the Action Plan it is imperative to </w:t>
      </w:r>
      <w:r w:rsidR="0030544B">
        <w:rPr>
          <w:rFonts w:cstheme="minorHAnsi"/>
          <w:sz w:val="20"/>
          <w:szCs w:val="19"/>
        </w:rPr>
        <w:t>keep a focus on the child as the centre of all actions, activities and interventions that affect them. This means:</w:t>
      </w:r>
    </w:p>
    <w:p w14:paraId="4F4319EA" w14:textId="77777777" w:rsidR="0030544B" w:rsidRDefault="0030544B" w:rsidP="0030544B">
      <w:pPr>
        <w:pStyle w:val="ListParagraph"/>
        <w:numPr>
          <w:ilvl w:val="0"/>
          <w:numId w:val="31"/>
        </w:numPr>
        <w:spacing w:before="0" w:after="160" w:line="259" w:lineRule="auto"/>
        <w:rPr>
          <w:rFonts w:cstheme="minorHAnsi"/>
          <w:sz w:val="20"/>
          <w:szCs w:val="19"/>
        </w:rPr>
      </w:pPr>
      <w:r>
        <w:rPr>
          <w:rFonts w:cstheme="minorHAnsi"/>
          <w:sz w:val="20"/>
          <w:szCs w:val="19"/>
        </w:rPr>
        <w:t>Implementing approaches which take into account the context and needs of individual recipients, and are framed and adapted to address these needs</w:t>
      </w:r>
      <w:r w:rsidR="00920769">
        <w:rPr>
          <w:rFonts w:cstheme="minorHAnsi"/>
          <w:sz w:val="20"/>
          <w:szCs w:val="19"/>
        </w:rPr>
        <w:t>;</w:t>
      </w:r>
    </w:p>
    <w:p w14:paraId="5C4614C0" w14:textId="77777777" w:rsidR="0030544B" w:rsidRDefault="0030544B" w:rsidP="0030544B">
      <w:pPr>
        <w:pStyle w:val="ListParagraph"/>
        <w:numPr>
          <w:ilvl w:val="0"/>
          <w:numId w:val="31"/>
        </w:numPr>
        <w:spacing w:before="0" w:after="160" w:line="259" w:lineRule="auto"/>
        <w:rPr>
          <w:rFonts w:cstheme="minorHAnsi"/>
          <w:sz w:val="20"/>
          <w:szCs w:val="19"/>
        </w:rPr>
      </w:pPr>
      <w:r>
        <w:rPr>
          <w:rFonts w:cstheme="minorHAnsi"/>
          <w:sz w:val="20"/>
          <w:szCs w:val="19"/>
        </w:rPr>
        <w:t>Consistently and regularly engaging children</w:t>
      </w:r>
      <w:r w:rsidR="00503D59">
        <w:rPr>
          <w:rFonts w:cstheme="minorHAnsi"/>
          <w:sz w:val="20"/>
          <w:szCs w:val="19"/>
        </w:rPr>
        <w:t xml:space="preserve">, </w:t>
      </w:r>
      <w:r>
        <w:rPr>
          <w:rFonts w:cstheme="minorHAnsi"/>
          <w:sz w:val="20"/>
          <w:szCs w:val="19"/>
        </w:rPr>
        <w:t>young people</w:t>
      </w:r>
      <w:r w:rsidR="00503D59">
        <w:rPr>
          <w:rFonts w:cstheme="minorHAnsi"/>
          <w:sz w:val="20"/>
          <w:szCs w:val="19"/>
        </w:rPr>
        <w:t>, and their families</w:t>
      </w:r>
      <w:r>
        <w:rPr>
          <w:rFonts w:cstheme="minorHAnsi"/>
          <w:sz w:val="20"/>
          <w:szCs w:val="19"/>
        </w:rPr>
        <w:t xml:space="preserve"> in research, evaluation and program and service co-design</w:t>
      </w:r>
      <w:r w:rsidR="00920769">
        <w:rPr>
          <w:rFonts w:cstheme="minorHAnsi"/>
          <w:sz w:val="20"/>
          <w:szCs w:val="19"/>
        </w:rPr>
        <w:t>;</w:t>
      </w:r>
      <w:r>
        <w:rPr>
          <w:rFonts w:cstheme="minorHAnsi"/>
          <w:sz w:val="20"/>
          <w:szCs w:val="19"/>
        </w:rPr>
        <w:t xml:space="preserve"> and</w:t>
      </w:r>
    </w:p>
    <w:p w14:paraId="0796F56D" w14:textId="77777777" w:rsidR="0030544B" w:rsidRPr="00B975F5" w:rsidRDefault="0030544B" w:rsidP="0030544B">
      <w:pPr>
        <w:pStyle w:val="ListParagraph"/>
        <w:numPr>
          <w:ilvl w:val="0"/>
          <w:numId w:val="31"/>
        </w:numPr>
        <w:spacing w:before="0" w:after="160" w:line="259" w:lineRule="auto"/>
        <w:rPr>
          <w:rFonts w:cstheme="minorHAnsi"/>
          <w:sz w:val="20"/>
          <w:szCs w:val="19"/>
        </w:rPr>
      </w:pPr>
      <w:r>
        <w:rPr>
          <w:rFonts w:cstheme="minorHAnsi"/>
          <w:sz w:val="20"/>
          <w:szCs w:val="19"/>
        </w:rPr>
        <w:t>Ensuring children</w:t>
      </w:r>
      <w:r w:rsidR="00503D59">
        <w:rPr>
          <w:rFonts w:cstheme="minorHAnsi"/>
          <w:sz w:val="20"/>
          <w:szCs w:val="19"/>
        </w:rPr>
        <w:t xml:space="preserve">, </w:t>
      </w:r>
      <w:r>
        <w:rPr>
          <w:rFonts w:cstheme="minorHAnsi"/>
          <w:sz w:val="20"/>
          <w:szCs w:val="19"/>
        </w:rPr>
        <w:t xml:space="preserve">young people </w:t>
      </w:r>
      <w:r w:rsidR="00503D59">
        <w:rPr>
          <w:rFonts w:cstheme="minorHAnsi"/>
          <w:sz w:val="20"/>
          <w:szCs w:val="19"/>
        </w:rPr>
        <w:t xml:space="preserve">and their families </w:t>
      </w:r>
      <w:r>
        <w:rPr>
          <w:rFonts w:cstheme="minorHAnsi"/>
          <w:sz w:val="20"/>
          <w:szCs w:val="19"/>
        </w:rPr>
        <w:t xml:space="preserve">are equipped to engage, are provided the capacity and opportunity to engage, are respected and valued and have a voice which is taken seriously in implementing, developing and refining activities and actions. </w:t>
      </w:r>
    </w:p>
    <w:p w14:paraId="45520ABF" w14:textId="77777777" w:rsidR="00481217" w:rsidRDefault="00455BE8" w:rsidP="00481217">
      <w:pPr>
        <w:pStyle w:val="Heading4"/>
        <w:rPr>
          <w:rFonts w:eastAsiaTheme="minorHAnsi"/>
          <w:szCs w:val="24"/>
          <w:lang w:val="en-US"/>
        </w:rPr>
      </w:pPr>
      <w:r>
        <w:rPr>
          <w:rFonts w:eastAsiaTheme="minorHAnsi"/>
          <w:szCs w:val="24"/>
          <w:lang w:val="en-US"/>
        </w:rPr>
        <w:t>Engaging in a</w:t>
      </w:r>
      <w:r w:rsidR="00481217">
        <w:rPr>
          <w:rFonts w:eastAsiaTheme="minorHAnsi"/>
          <w:szCs w:val="24"/>
          <w:lang w:val="en-US"/>
        </w:rPr>
        <w:t xml:space="preserve"> collective effort</w:t>
      </w:r>
    </w:p>
    <w:p w14:paraId="77732B68" w14:textId="77777777" w:rsidR="00963E8A" w:rsidRDefault="00481217" w:rsidP="00481217">
      <w:pPr>
        <w:rPr>
          <w:rFonts w:cstheme="minorHAnsi"/>
          <w:sz w:val="20"/>
          <w:szCs w:val="19"/>
        </w:rPr>
      </w:pPr>
      <w:r>
        <w:rPr>
          <w:rFonts w:cstheme="minorHAnsi"/>
          <w:sz w:val="20"/>
          <w:szCs w:val="19"/>
        </w:rPr>
        <w:t>The improvement of the health of children and young people is not the sole responsibility of any one organisation or agency. It is all of our responsibility, and all levels and tiers of society have a crucial role they can play. Only through collective, collaborative effort can the objectives of this Action Plan be fully realised, and we can ensure that all children and young people in Australia are given the maximum opportunity to be healthy, safe, and thriving.</w:t>
      </w:r>
      <w:r w:rsidR="00216E34">
        <w:rPr>
          <w:rFonts w:cstheme="minorHAnsi"/>
          <w:sz w:val="20"/>
          <w:szCs w:val="19"/>
        </w:rPr>
        <w:t xml:space="preserve">  Engagement in action together, ongoing collaboration and further consultation and review </w:t>
      </w:r>
      <w:r w:rsidR="00890D2C">
        <w:rPr>
          <w:rFonts w:cstheme="minorHAnsi"/>
          <w:sz w:val="20"/>
          <w:szCs w:val="19"/>
        </w:rPr>
        <w:t>as the Action Plan</w:t>
      </w:r>
      <w:r w:rsidR="00216E34">
        <w:rPr>
          <w:rFonts w:cstheme="minorHAnsi"/>
          <w:sz w:val="20"/>
          <w:szCs w:val="19"/>
        </w:rPr>
        <w:t xml:space="preserve"> is operationalised over time, will help to ensure the plan remains focused on the relevant priority actions</w:t>
      </w:r>
      <w:r w:rsidR="00E82770">
        <w:rPr>
          <w:rFonts w:cstheme="minorHAnsi"/>
          <w:sz w:val="20"/>
          <w:szCs w:val="19"/>
        </w:rPr>
        <w:t xml:space="preserve"> and</w:t>
      </w:r>
      <w:r w:rsidR="00216E34">
        <w:rPr>
          <w:rFonts w:cstheme="minorHAnsi"/>
          <w:sz w:val="20"/>
          <w:szCs w:val="19"/>
        </w:rPr>
        <w:t xml:space="preserve"> with maximum impact. </w:t>
      </w:r>
    </w:p>
    <w:p w14:paraId="185535CF" w14:textId="77777777" w:rsidR="00481217" w:rsidRPr="009A212B" w:rsidRDefault="00481217" w:rsidP="009A212B">
      <w:pPr>
        <w:rPr>
          <w:rFonts w:eastAsiaTheme="minorHAnsi"/>
          <w:lang w:val="en-US" w:eastAsia="en-AU"/>
        </w:rPr>
      </w:pPr>
    </w:p>
    <w:p w14:paraId="288B97C5" w14:textId="29577FFB" w:rsidR="00CA7C7E" w:rsidRDefault="00963E8A" w:rsidP="00E46993">
      <w:pPr>
        <w:spacing w:before="0" w:after="160" w:line="259" w:lineRule="auto"/>
        <w:rPr>
          <w:rFonts w:cstheme="minorHAnsi"/>
          <w:sz w:val="20"/>
          <w:szCs w:val="19"/>
        </w:rPr>
      </w:pPr>
      <w:r>
        <w:rPr>
          <w:rFonts w:cstheme="minorHAnsi"/>
          <w:sz w:val="20"/>
          <w:szCs w:val="19"/>
        </w:rPr>
        <w:br w:type="page"/>
      </w:r>
    </w:p>
    <w:p w14:paraId="7C410274" w14:textId="77777777" w:rsidR="00CA7C7E" w:rsidRDefault="00CA7C7E" w:rsidP="00EC5D79">
      <w:pPr>
        <w:spacing w:before="0" w:after="0"/>
        <w:rPr>
          <w:rFonts w:cstheme="minorHAnsi"/>
          <w:sz w:val="20"/>
          <w:szCs w:val="19"/>
        </w:rPr>
        <w:sectPr w:rsidR="00CA7C7E" w:rsidSect="00C2720C">
          <w:footerReference w:type="default" r:id="rId29"/>
          <w:endnotePr>
            <w:numFmt w:val="decimal"/>
          </w:endnotePr>
          <w:pgSz w:w="11907" w:h="16839"/>
          <w:pgMar w:top="1134" w:right="1134" w:bottom="1134" w:left="1134" w:header="425" w:footer="210" w:gutter="0"/>
          <w:pgNumType w:start="1"/>
          <w:cols w:space="720"/>
        </w:sectPr>
      </w:pPr>
    </w:p>
    <w:p w14:paraId="5DC46A88" w14:textId="77777777" w:rsidR="00A07EF1" w:rsidRDefault="002D2056" w:rsidP="00A04655">
      <w:pPr>
        <w:pStyle w:val="Heading1"/>
        <w:spacing w:before="0" w:after="0"/>
      </w:pPr>
      <w:bookmarkStart w:id="32" w:name="_Toc5282310"/>
      <w:bookmarkStart w:id="33" w:name="_Toc508811244"/>
      <w:bookmarkStart w:id="34" w:name="_Toc519699096"/>
      <w:bookmarkEnd w:id="14"/>
      <w:bookmarkEnd w:id="21"/>
      <w:r>
        <w:t xml:space="preserve">Appendix </w:t>
      </w:r>
      <w:r w:rsidR="00031CDC">
        <w:t>A</w:t>
      </w:r>
      <w:r>
        <w:t xml:space="preserve"> </w:t>
      </w:r>
      <w:r w:rsidR="0024039D">
        <w:t xml:space="preserve">- </w:t>
      </w:r>
      <w:r w:rsidR="00A07EF1">
        <w:t>Australian policy and strategy context</w:t>
      </w:r>
      <w:bookmarkEnd w:id="32"/>
    </w:p>
    <w:p w14:paraId="5337D5E5" w14:textId="77777777" w:rsidR="00A07EF1" w:rsidRPr="005B5A62" w:rsidRDefault="00A07EF1" w:rsidP="00A04655">
      <w:pPr>
        <w:spacing w:after="0"/>
        <w:rPr>
          <w:rFonts w:cstheme="minorHAnsi"/>
        </w:rPr>
      </w:pPr>
      <w:r w:rsidRPr="00BC79EF">
        <w:rPr>
          <w:rFonts w:cstheme="minorHAnsi"/>
          <w:sz w:val="20"/>
          <w:szCs w:val="20"/>
        </w:rPr>
        <w:t>The following list indicates some of the key documents that inform</w:t>
      </w:r>
      <w:r w:rsidR="00AE0D2D">
        <w:rPr>
          <w:rFonts w:cstheme="minorHAnsi"/>
          <w:sz w:val="20"/>
          <w:szCs w:val="20"/>
        </w:rPr>
        <w:t xml:space="preserve"> and support</w:t>
      </w:r>
      <w:r w:rsidRPr="00BC79EF">
        <w:rPr>
          <w:rFonts w:cstheme="minorHAnsi"/>
          <w:sz w:val="20"/>
          <w:szCs w:val="20"/>
        </w:rPr>
        <w:t xml:space="preserve"> the </w:t>
      </w:r>
      <w:r w:rsidR="00EA1D68" w:rsidRPr="00BC79EF">
        <w:rPr>
          <w:rFonts w:cstheme="minorHAnsi"/>
          <w:sz w:val="20"/>
          <w:szCs w:val="20"/>
        </w:rPr>
        <w:t>National Action Plan for the Health of Children and Young People</w:t>
      </w:r>
      <w:r w:rsidR="008863B9">
        <w:rPr>
          <w:rFonts w:cstheme="minorHAnsi"/>
          <w:sz w:val="20"/>
          <w:szCs w:val="20"/>
        </w:rPr>
        <w:t>:</w:t>
      </w:r>
      <w:r w:rsidRPr="00BC79EF">
        <w:rPr>
          <w:rFonts w:cstheme="minorHAnsi"/>
          <w:sz w:val="20"/>
          <w:szCs w:val="20"/>
        </w:rPr>
        <w:t xml:space="preserve"> </w:t>
      </w:r>
    </w:p>
    <w:p w14:paraId="2015A103" w14:textId="77777777" w:rsidR="00C72737" w:rsidRPr="00B93CE9" w:rsidRDefault="00C72737" w:rsidP="00A04655">
      <w:pPr>
        <w:numPr>
          <w:ilvl w:val="0"/>
          <w:numId w:val="8"/>
        </w:numPr>
        <w:spacing w:before="0" w:after="100" w:afterAutospacing="1"/>
        <w:ind w:left="714" w:hanging="572"/>
        <w:rPr>
          <w:rFonts w:cstheme="minorHAnsi"/>
          <w:color w:val="000000" w:themeColor="text1"/>
          <w:sz w:val="18"/>
          <w:szCs w:val="20"/>
        </w:rPr>
      </w:pPr>
      <w:r w:rsidRPr="00B93CE9">
        <w:rPr>
          <w:rFonts w:cstheme="minorHAnsi"/>
          <w:color w:val="000000" w:themeColor="text1"/>
          <w:sz w:val="18"/>
          <w:szCs w:val="20"/>
        </w:rPr>
        <w:t>Australian Early Development Census National Report 2015</w:t>
      </w:r>
    </w:p>
    <w:p w14:paraId="78CEBC5D" w14:textId="5A470C0A" w:rsidR="00EA1D68" w:rsidRPr="00B93CE9" w:rsidRDefault="00EA1D68"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Australian National Breastfeeding Strategy</w:t>
      </w:r>
      <w:r w:rsidR="00D54C2C">
        <w:rPr>
          <w:rFonts w:cstheme="minorHAnsi"/>
          <w:color w:val="000000" w:themeColor="text1"/>
          <w:sz w:val="18"/>
          <w:szCs w:val="20"/>
        </w:rPr>
        <w:t>:</w:t>
      </w:r>
      <w:r w:rsidRPr="00B93CE9">
        <w:rPr>
          <w:rFonts w:cstheme="minorHAnsi"/>
          <w:color w:val="000000" w:themeColor="text1"/>
          <w:sz w:val="18"/>
          <w:szCs w:val="20"/>
        </w:rPr>
        <w:t xml:space="preserve"> </w:t>
      </w:r>
      <w:r w:rsidR="00F41152" w:rsidRPr="00B93CE9">
        <w:rPr>
          <w:rFonts w:cstheme="minorHAnsi"/>
          <w:color w:val="000000" w:themeColor="text1"/>
          <w:sz w:val="18"/>
          <w:szCs w:val="20"/>
        </w:rPr>
        <w:t>201</w:t>
      </w:r>
      <w:r w:rsidR="00B93CE9" w:rsidRPr="00B93CE9">
        <w:rPr>
          <w:rFonts w:cstheme="minorHAnsi"/>
          <w:color w:val="000000" w:themeColor="text1"/>
          <w:sz w:val="18"/>
          <w:szCs w:val="20"/>
        </w:rPr>
        <w:t>9</w:t>
      </w:r>
      <w:r w:rsidR="00F41152" w:rsidRPr="00B93CE9">
        <w:rPr>
          <w:rFonts w:cstheme="minorHAnsi"/>
          <w:color w:val="000000" w:themeColor="text1"/>
          <w:sz w:val="18"/>
          <w:szCs w:val="20"/>
        </w:rPr>
        <w:t xml:space="preserve"> and Beyond</w:t>
      </w:r>
    </w:p>
    <w:p w14:paraId="2E1D388B" w14:textId="77777777" w:rsidR="00F15B7B" w:rsidRPr="00B93CE9" w:rsidRDefault="00A12F3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Australian National Diabetes Strategy 2016-2020</w:t>
      </w:r>
    </w:p>
    <w:p w14:paraId="320EF09B" w14:textId="77777777" w:rsidR="00A12F31" w:rsidRPr="00B93CE9" w:rsidRDefault="00F15B7B"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Australia’s National Oral Health Plan 2015-2024</w:t>
      </w:r>
      <w:r w:rsidR="00A12F31" w:rsidRPr="00B93CE9">
        <w:rPr>
          <w:rFonts w:cstheme="minorHAnsi"/>
          <w:color w:val="000000" w:themeColor="text1"/>
          <w:sz w:val="18"/>
          <w:szCs w:val="20"/>
        </w:rPr>
        <w:t xml:space="preserve"> </w:t>
      </w:r>
    </w:p>
    <w:p w14:paraId="0231486C"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Australian Safety and Quality Framework for Health Care</w:t>
      </w:r>
    </w:p>
    <w:p w14:paraId="37B4101B" w14:textId="77777777" w:rsidR="007206BF" w:rsidRPr="00B93CE9" w:rsidRDefault="007206BF"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Australian Student Wellbeing Framework</w:t>
      </w:r>
      <w:r w:rsidR="00FB5185" w:rsidRPr="00B93CE9">
        <w:rPr>
          <w:rFonts w:cstheme="minorHAnsi"/>
          <w:color w:val="000000" w:themeColor="text1"/>
          <w:sz w:val="18"/>
          <w:szCs w:val="20"/>
        </w:rPr>
        <w:t xml:space="preserve"> (</w:t>
      </w:r>
      <w:r w:rsidR="0033101B" w:rsidRPr="00B93CE9">
        <w:rPr>
          <w:rFonts w:cstheme="minorHAnsi"/>
          <w:color w:val="000000" w:themeColor="text1"/>
          <w:sz w:val="18"/>
          <w:szCs w:val="20"/>
        </w:rPr>
        <w:t>2018</w:t>
      </w:r>
      <w:r w:rsidR="00FB5185" w:rsidRPr="00B93CE9">
        <w:rPr>
          <w:rFonts w:cstheme="minorHAnsi"/>
          <w:color w:val="000000" w:themeColor="text1"/>
          <w:sz w:val="18"/>
          <w:szCs w:val="20"/>
        </w:rPr>
        <w:t>)</w:t>
      </w:r>
      <w:r w:rsidRPr="00B93CE9">
        <w:rPr>
          <w:rFonts w:cstheme="minorHAnsi"/>
          <w:color w:val="000000" w:themeColor="text1"/>
          <w:sz w:val="18"/>
          <w:szCs w:val="20"/>
        </w:rPr>
        <w:t xml:space="preserve"> </w:t>
      </w:r>
    </w:p>
    <w:p w14:paraId="11DAB07C" w14:textId="77777777" w:rsidR="00A12F31" w:rsidRPr="00B93CE9" w:rsidRDefault="00A12F31"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Cancer in Australia (2017)</w:t>
      </w:r>
      <w:r w:rsidR="00EE6221" w:rsidRPr="00B93CE9">
        <w:rPr>
          <w:rFonts w:cstheme="minorHAnsi"/>
          <w:color w:val="000000" w:themeColor="text1"/>
          <w:sz w:val="18"/>
          <w:szCs w:val="20"/>
        </w:rPr>
        <w:t xml:space="preserve"> AIHW</w:t>
      </w:r>
    </w:p>
    <w:p w14:paraId="0DB132E8"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Healthy Mouths Healthy Lives: Australia</w:t>
      </w:r>
      <w:r w:rsidRPr="00B93CE9">
        <w:rPr>
          <w:rFonts w:cstheme="minorHAnsi" w:hint="eastAsia"/>
          <w:color w:val="000000" w:themeColor="text1"/>
          <w:sz w:val="18"/>
          <w:szCs w:val="20"/>
        </w:rPr>
        <w:t>’</w:t>
      </w:r>
      <w:r w:rsidRPr="00B93CE9">
        <w:rPr>
          <w:rFonts w:cstheme="minorHAnsi"/>
          <w:color w:val="000000" w:themeColor="text1"/>
          <w:sz w:val="18"/>
          <w:szCs w:val="20"/>
        </w:rPr>
        <w:t xml:space="preserve">s National Oral Health Plan 2015 - 2024 </w:t>
      </w:r>
    </w:p>
    <w:p w14:paraId="61FAA80D"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Healthy, Safe and Thriving: National Strategic Framework for Child and Youth Health (2015) </w:t>
      </w:r>
    </w:p>
    <w:p w14:paraId="680DD648"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Aboriginal and Torres Strait Islander Health Plan 2013-2023 </w:t>
      </w:r>
    </w:p>
    <w:p w14:paraId="75E28702" w14:textId="77777777" w:rsidR="00EA1D68" w:rsidRPr="00B93CE9" w:rsidRDefault="00EA1D68"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Aboriginal and Torres Strait Islander Suicide Prevention Strategy </w:t>
      </w:r>
    </w:p>
    <w:p w14:paraId="0E62456D" w14:textId="77777777" w:rsidR="007C6CE3" w:rsidRPr="00B93CE9" w:rsidRDefault="007C6CE3"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Natio</w:t>
      </w:r>
      <w:r w:rsidR="00B93CE9" w:rsidRPr="00B93CE9">
        <w:rPr>
          <w:rFonts w:cstheme="minorHAnsi"/>
          <w:color w:val="000000" w:themeColor="text1"/>
          <w:sz w:val="18"/>
          <w:szCs w:val="20"/>
        </w:rPr>
        <w:t>nal Alcohol Strategy 2018-2026</w:t>
      </w:r>
    </w:p>
    <w:p w14:paraId="6B0E1713"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Asthma Strategy (2018) </w:t>
      </w:r>
    </w:p>
    <w:p w14:paraId="169821C0"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Cultural Respect Framework for Aboriginal and Torres Strait Islander Health 2016-2026 </w:t>
      </w:r>
    </w:p>
    <w:p w14:paraId="65538150"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Digital Health Strategy (2018) </w:t>
      </w:r>
    </w:p>
    <w:p w14:paraId="4F94CD9A"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Disability Strategy 2010-2020 </w:t>
      </w:r>
    </w:p>
    <w:p w14:paraId="1AA06A3C"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Drug Strategy 2017-2026 </w:t>
      </w:r>
    </w:p>
    <w:p w14:paraId="171838BF" w14:textId="77777777" w:rsidR="007C6CE3" w:rsidRPr="00B93CE9" w:rsidRDefault="007C6CE3"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Fetal Alcohol Spectrum Disorder (FASD) Strategic Action Plan 2018-2028</w:t>
      </w:r>
    </w:p>
    <w:p w14:paraId="1745ACAA"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Framework for Communicable Disease Control (2014) </w:t>
      </w:r>
    </w:p>
    <w:p w14:paraId="66FDAEDA"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Framework for Health Services for Aboriginal and Torres Strait Islander Children and Families (2016) </w:t>
      </w:r>
    </w:p>
    <w:p w14:paraId="2D29CAC5" w14:textId="77777777" w:rsidR="00EA1D68" w:rsidRPr="00B93CE9" w:rsidRDefault="00EA1D68"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Framework for Neonatal Hearing Screening</w:t>
      </w:r>
    </w:p>
    <w:p w14:paraId="3754BEC9" w14:textId="77777777" w:rsidR="00F15B7B" w:rsidRPr="00B93CE9" w:rsidRDefault="00F15B7B"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Framework for Protecting Australia’s Children 2009-2020</w:t>
      </w:r>
    </w:p>
    <w:p w14:paraId="4927E8FB"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Framework for Universal Child and Family Health Services (2011) </w:t>
      </w:r>
    </w:p>
    <w:p w14:paraId="1B21B55C"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Health Genomics Policy Framework 2018-2021 </w:t>
      </w:r>
    </w:p>
    <w:p w14:paraId="77374B88" w14:textId="77777777" w:rsidR="00F15B7B" w:rsidRPr="00B93CE9" w:rsidRDefault="00F15B7B"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Immunisation Strategy for Australia 2019-2024</w:t>
      </w:r>
    </w:p>
    <w:p w14:paraId="1F599AB1" w14:textId="77777777" w:rsidR="00EA1D68" w:rsidRPr="00B93CE9" w:rsidRDefault="00EA1D68"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Injury Prevention and Safety Promotion Plan: 2004-201</w:t>
      </w:r>
      <w:r w:rsidR="00E6162A" w:rsidRPr="00B93CE9">
        <w:rPr>
          <w:rFonts w:cstheme="minorHAnsi"/>
          <w:color w:val="000000" w:themeColor="text1"/>
          <w:sz w:val="18"/>
          <w:szCs w:val="20"/>
        </w:rPr>
        <w:t>5</w:t>
      </w:r>
    </w:p>
    <w:p w14:paraId="4B903C8F"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Medicines Policy (2000) </w:t>
      </w:r>
    </w:p>
    <w:p w14:paraId="777025FE" w14:textId="77777777" w:rsidR="00B93CE9" w:rsidRPr="00B93CE9" w:rsidRDefault="00B93CE9"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National Men’s Health Strategy 2020-2030</w:t>
      </w:r>
    </w:p>
    <w:p w14:paraId="246E7EA1" w14:textId="77777777" w:rsidR="00EA1D68" w:rsidRPr="00B93CE9" w:rsidRDefault="00EA1D68"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Mental Health Strategy</w:t>
      </w:r>
    </w:p>
    <w:p w14:paraId="3DFCBBFB"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Palliative Care Strategy (2010) </w:t>
      </w:r>
    </w:p>
    <w:p w14:paraId="23C46FB1" w14:textId="77777777" w:rsidR="00EA1D68" w:rsidRPr="00B93CE9" w:rsidRDefault="00EA1D68"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Perinatal Depression Initiative</w:t>
      </w:r>
    </w:p>
    <w:p w14:paraId="41FD952B"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Pharmaceutical Drug Misuse Framework for Action 2012-2015</w:t>
      </w:r>
    </w:p>
    <w:p w14:paraId="3850717B"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Plan to Reduce Violence against Women and their Children 2010-2022 </w:t>
      </w:r>
    </w:p>
    <w:p w14:paraId="011E53E1"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Plan to Reduce Violence against Women and their Children: Third Action Plan 2016-2019 </w:t>
      </w:r>
    </w:p>
    <w:p w14:paraId="03848A33"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Primary Healthcare Strategic Framework</w:t>
      </w:r>
    </w:p>
    <w:p w14:paraId="0EB6877F" w14:textId="77777777" w:rsidR="00EA1D68" w:rsidRPr="00B93CE9" w:rsidRDefault="00EA1D68"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Primary Maternity Services Framework</w:t>
      </w:r>
    </w:p>
    <w:p w14:paraId="0B78BE42"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Road Safety Strategy 2011-2020</w:t>
      </w:r>
    </w:p>
    <w:p w14:paraId="32279724"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Safety and Quality Health Service Standards</w:t>
      </w:r>
      <w:r w:rsidR="007E7A87" w:rsidRPr="00B93CE9">
        <w:rPr>
          <w:rFonts w:cstheme="minorHAnsi"/>
          <w:color w:val="000000" w:themeColor="text1"/>
          <w:sz w:val="18"/>
          <w:szCs w:val="20"/>
        </w:rPr>
        <w:t xml:space="preserve"> – 2</w:t>
      </w:r>
      <w:r w:rsidR="007E7A87" w:rsidRPr="00B93CE9">
        <w:rPr>
          <w:rFonts w:cstheme="minorHAnsi"/>
          <w:color w:val="000000" w:themeColor="text1"/>
          <w:sz w:val="18"/>
          <w:szCs w:val="20"/>
          <w:vertAlign w:val="superscript"/>
        </w:rPr>
        <w:t>nd</w:t>
      </w:r>
      <w:r w:rsidR="007E7A87" w:rsidRPr="00B93CE9">
        <w:rPr>
          <w:rFonts w:cstheme="minorHAnsi"/>
          <w:color w:val="000000" w:themeColor="text1"/>
          <w:sz w:val="18"/>
          <w:szCs w:val="20"/>
        </w:rPr>
        <w:t xml:space="preserve"> Edition </w:t>
      </w:r>
      <w:r w:rsidR="00466CB7" w:rsidRPr="00B93CE9">
        <w:rPr>
          <w:rFonts w:cstheme="minorHAnsi"/>
          <w:color w:val="000000" w:themeColor="text1"/>
          <w:sz w:val="18"/>
          <w:szCs w:val="20"/>
        </w:rPr>
        <w:t>(2017)</w:t>
      </w:r>
    </w:p>
    <w:p w14:paraId="33DE0FB6"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Statement on Health Literacy</w:t>
      </w:r>
    </w:p>
    <w:p w14:paraId="690D77AE"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Strategic Framework for Chronic Conditions (2017) </w:t>
      </w:r>
    </w:p>
    <w:p w14:paraId="44B541C0" w14:textId="77777777" w:rsidR="00EA1D68"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National Strategic Framework for Rural and Remote Health (2011)</w:t>
      </w:r>
    </w:p>
    <w:p w14:paraId="78A84008" w14:textId="77777777" w:rsidR="00A07EF1" w:rsidRPr="00B93CE9" w:rsidRDefault="00EA1D68"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Suicide Prevention Strategy </w:t>
      </w:r>
      <w:r w:rsidR="00A07EF1" w:rsidRPr="00B93CE9">
        <w:rPr>
          <w:rFonts w:cstheme="minorHAnsi"/>
          <w:color w:val="000000" w:themeColor="text1"/>
          <w:sz w:val="18"/>
          <w:szCs w:val="20"/>
        </w:rPr>
        <w:t xml:space="preserve"> </w:t>
      </w:r>
    </w:p>
    <w:p w14:paraId="69AD7893"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National Tobacco Strategy 2012-2018</w:t>
      </w:r>
    </w:p>
    <w:p w14:paraId="3EF7A167" w14:textId="77777777" w:rsidR="00A07EF1" w:rsidRPr="00B93CE9" w:rsidRDefault="00A07EF1" w:rsidP="00A04655">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Women's Health Policy 2010 </w:t>
      </w:r>
      <w:r w:rsidRPr="00B93CE9">
        <w:rPr>
          <w:rFonts w:cstheme="minorHAnsi" w:hint="eastAsia"/>
          <w:color w:val="000000" w:themeColor="text1"/>
          <w:sz w:val="18"/>
          <w:szCs w:val="20"/>
        </w:rPr>
        <w:t>–</w:t>
      </w:r>
      <w:r w:rsidRPr="00B93CE9">
        <w:rPr>
          <w:rFonts w:cstheme="minorHAnsi"/>
          <w:color w:val="000000" w:themeColor="text1"/>
          <w:sz w:val="18"/>
          <w:szCs w:val="20"/>
        </w:rPr>
        <w:t xml:space="preserve"> 2030 </w:t>
      </w:r>
    </w:p>
    <w:p w14:paraId="3CF7CBE1" w14:textId="77777777" w:rsidR="00B93CE9" w:rsidRPr="00B93CE9" w:rsidRDefault="00B93CE9" w:rsidP="00B93CE9">
      <w:pPr>
        <w:numPr>
          <w:ilvl w:val="0"/>
          <w:numId w:val="8"/>
        </w:numPr>
        <w:spacing w:before="100" w:beforeAutospacing="1" w:after="100" w:afterAutospacing="1"/>
        <w:ind w:hanging="572"/>
        <w:rPr>
          <w:rFonts w:cstheme="minorHAnsi"/>
          <w:color w:val="000000" w:themeColor="text1"/>
          <w:sz w:val="14"/>
          <w:szCs w:val="16"/>
        </w:rPr>
      </w:pPr>
      <w:r w:rsidRPr="00B93CE9">
        <w:rPr>
          <w:rFonts w:cstheme="minorHAnsi"/>
          <w:color w:val="000000" w:themeColor="text1"/>
          <w:sz w:val="18"/>
          <w:szCs w:val="20"/>
        </w:rPr>
        <w:t xml:space="preserve">National Women's Health Policy 2020 </w:t>
      </w:r>
      <w:r w:rsidRPr="00B93CE9">
        <w:rPr>
          <w:rFonts w:cstheme="minorHAnsi" w:hint="eastAsia"/>
          <w:color w:val="000000" w:themeColor="text1"/>
          <w:sz w:val="18"/>
          <w:szCs w:val="20"/>
        </w:rPr>
        <w:t>–</w:t>
      </w:r>
      <w:r w:rsidRPr="00B93CE9">
        <w:rPr>
          <w:rFonts w:cstheme="minorHAnsi"/>
          <w:color w:val="000000" w:themeColor="text1"/>
          <w:sz w:val="18"/>
          <w:szCs w:val="20"/>
        </w:rPr>
        <w:t xml:space="preserve"> 2030 </w:t>
      </w:r>
    </w:p>
    <w:p w14:paraId="095539F4" w14:textId="77777777" w:rsidR="005A6009" w:rsidRPr="00B93CE9" w:rsidRDefault="00B93CE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 xml:space="preserve">The </w:t>
      </w:r>
      <w:r w:rsidR="005A6009" w:rsidRPr="00B93CE9">
        <w:rPr>
          <w:rFonts w:cstheme="minorHAnsi"/>
          <w:color w:val="000000" w:themeColor="text1"/>
          <w:sz w:val="18"/>
          <w:szCs w:val="20"/>
        </w:rPr>
        <w:t>National Framework for Protecting Australia’s Children 2009-2020</w:t>
      </w:r>
    </w:p>
    <w:p w14:paraId="259CF67F" w14:textId="77777777" w:rsidR="005A6009" w:rsidRPr="00B93CE9" w:rsidRDefault="005A6009"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Roadmap for National Mental Health Reform 2012-</w:t>
      </w:r>
      <w:r w:rsidR="00EA1D68" w:rsidRPr="00B93CE9">
        <w:rPr>
          <w:rFonts w:cstheme="minorHAnsi"/>
          <w:color w:val="000000" w:themeColor="text1"/>
          <w:sz w:val="18"/>
          <w:szCs w:val="20"/>
        </w:rPr>
        <w:t>2022</w:t>
      </w:r>
    </w:p>
    <w:p w14:paraId="11A92A1A" w14:textId="77777777" w:rsidR="004A7D4F" w:rsidRPr="00B93CE9" w:rsidRDefault="004A7D4F"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The Australian Sun Safety Survey Data Report (2018)</w:t>
      </w:r>
    </w:p>
    <w:p w14:paraId="21C0D142" w14:textId="77777777" w:rsidR="00BB380E" w:rsidRPr="00B93CE9" w:rsidRDefault="00BB380E"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The Fifth National Mental Health and Suicide Prevention Plan (2017)</w:t>
      </w:r>
    </w:p>
    <w:p w14:paraId="7D289216" w14:textId="77777777" w:rsidR="00F669B7" w:rsidRPr="00B93CE9" w:rsidRDefault="00F669B7" w:rsidP="00A04655">
      <w:pPr>
        <w:numPr>
          <w:ilvl w:val="0"/>
          <w:numId w:val="8"/>
        </w:numPr>
        <w:spacing w:before="100" w:beforeAutospacing="1" w:after="100" w:afterAutospacing="1"/>
        <w:ind w:hanging="572"/>
        <w:rPr>
          <w:rFonts w:cstheme="minorHAnsi"/>
          <w:color w:val="000000" w:themeColor="text1"/>
          <w:sz w:val="18"/>
          <w:szCs w:val="20"/>
        </w:rPr>
      </w:pPr>
      <w:r w:rsidRPr="00B93CE9">
        <w:rPr>
          <w:rFonts w:cstheme="minorHAnsi"/>
          <w:color w:val="000000" w:themeColor="text1"/>
          <w:sz w:val="18"/>
          <w:szCs w:val="20"/>
        </w:rPr>
        <w:t>The First Thousand days: An Evidence Paper (2017)</w:t>
      </w:r>
    </w:p>
    <w:p w14:paraId="18795047" w14:textId="77777777" w:rsidR="00F15B7B" w:rsidRPr="00B93CE9" w:rsidRDefault="00F15B7B" w:rsidP="00A04655">
      <w:pPr>
        <w:pStyle w:val="ListParagraph"/>
        <w:numPr>
          <w:ilvl w:val="0"/>
          <w:numId w:val="8"/>
        </w:numPr>
        <w:spacing w:before="100" w:beforeAutospacing="1" w:after="100" w:afterAutospacing="1"/>
        <w:ind w:hanging="572"/>
        <w:rPr>
          <w:rFonts w:asciiTheme="minorHAnsi" w:eastAsia="Times New Roman" w:hAnsiTheme="minorHAnsi" w:cstheme="minorHAnsi"/>
          <w:color w:val="000000" w:themeColor="text1"/>
          <w:sz w:val="18"/>
          <w:szCs w:val="20"/>
          <w:lang w:val="en-GB"/>
        </w:rPr>
      </w:pPr>
      <w:r w:rsidRPr="00B93CE9">
        <w:rPr>
          <w:rFonts w:asciiTheme="minorHAnsi" w:eastAsia="Times New Roman" w:hAnsiTheme="minorHAnsi" w:cstheme="minorHAnsi"/>
          <w:color w:val="000000" w:themeColor="text1"/>
          <w:sz w:val="18"/>
          <w:szCs w:val="20"/>
          <w:lang w:val="en-GB"/>
        </w:rPr>
        <w:t>The National Early Childhood Development Strategy</w:t>
      </w:r>
      <w:r w:rsidR="00B93CE9" w:rsidRPr="00B93CE9">
        <w:rPr>
          <w:rFonts w:asciiTheme="minorHAnsi" w:eastAsia="Times New Roman" w:hAnsiTheme="minorHAnsi" w:cstheme="minorHAnsi"/>
          <w:color w:val="000000" w:themeColor="text1"/>
          <w:sz w:val="18"/>
          <w:szCs w:val="20"/>
          <w:lang w:val="en-GB"/>
        </w:rPr>
        <w:t xml:space="preserve"> -</w:t>
      </w:r>
      <w:r w:rsidRPr="00B93CE9">
        <w:rPr>
          <w:rFonts w:asciiTheme="minorHAnsi" w:eastAsia="Times New Roman" w:hAnsiTheme="minorHAnsi" w:cstheme="minorHAnsi"/>
          <w:color w:val="000000" w:themeColor="text1"/>
          <w:sz w:val="18"/>
          <w:szCs w:val="20"/>
          <w:lang w:val="en-GB"/>
        </w:rPr>
        <w:t xml:space="preserve"> Investing in the Early Years (2009-2020)</w:t>
      </w:r>
    </w:p>
    <w:p w14:paraId="0109780F" w14:textId="77777777" w:rsidR="00F15B7B" w:rsidRPr="00B93CE9" w:rsidRDefault="00EA1D68" w:rsidP="006B2002">
      <w:pPr>
        <w:numPr>
          <w:ilvl w:val="0"/>
          <w:numId w:val="8"/>
        </w:numPr>
        <w:spacing w:before="100" w:beforeAutospacing="1" w:after="100" w:afterAutospacing="1"/>
        <w:ind w:hanging="572"/>
        <w:rPr>
          <w:rFonts w:cstheme="minorHAnsi"/>
          <w:sz w:val="20"/>
          <w:szCs w:val="19"/>
        </w:rPr>
      </w:pPr>
      <w:r w:rsidRPr="00B93CE9">
        <w:rPr>
          <w:rFonts w:cstheme="minorHAnsi"/>
          <w:color w:val="000000" w:themeColor="text1"/>
          <w:sz w:val="18"/>
          <w:szCs w:val="20"/>
        </w:rPr>
        <w:t xml:space="preserve">The </w:t>
      </w:r>
      <w:r w:rsidR="00B93CE9" w:rsidRPr="00B93CE9">
        <w:rPr>
          <w:rFonts w:cstheme="minorHAnsi"/>
          <w:color w:val="000000" w:themeColor="text1"/>
          <w:sz w:val="18"/>
          <w:szCs w:val="20"/>
        </w:rPr>
        <w:t xml:space="preserve">Fourth </w:t>
      </w:r>
      <w:r w:rsidRPr="00B93CE9">
        <w:rPr>
          <w:rFonts w:cstheme="minorHAnsi"/>
          <w:color w:val="000000" w:themeColor="text1"/>
          <w:sz w:val="18"/>
          <w:szCs w:val="20"/>
        </w:rPr>
        <w:t>National Sexually Transm</w:t>
      </w:r>
      <w:r w:rsidR="00B93CE9" w:rsidRPr="00B93CE9">
        <w:rPr>
          <w:rFonts w:cstheme="minorHAnsi"/>
          <w:color w:val="000000" w:themeColor="text1"/>
          <w:sz w:val="18"/>
          <w:szCs w:val="20"/>
        </w:rPr>
        <w:t>ittable Infections Strategy 2018</w:t>
      </w:r>
      <w:r w:rsidRPr="00B93CE9">
        <w:rPr>
          <w:rFonts w:cstheme="minorHAnsi"/>
          <w:color w:val="000000" w:themeColor="text1"/>
          <w:sz w:val="18"/>
          <w:szCs w:val="20"/>
        </w:rPr>
        <w:t>-20</w:t>
      </w:r>
      <w:bookmarkEnd w:id="0"/>
      <w:bookmarkEnd w:id="2"/>
      <w:bookmarkEnd w:id="33"/>
      <w:bookmarkEnd w:id="34"/>
      <w:r w:rsidR="00B93CE9" w:rsidRPr="00B93CE9">
        <w:rPr>
          <w:rFonts w:cstheme="minorHAnsi"/>
          <w:color w:val="000000" w:themeColor="text1"/>
          <w:sz w:val="18"/>
          <w:szCs w:val="20"/>
        </w:rPr>
        <w:t>22</w:t>
      </w:r>
    </w:p>
    <w:sectPr w:rsidR="00F15B7B" w:rsidRPr="00B93CE9" w:rsidSect="007042FD">
      <w:headerReference w:type="default" r:id="rId3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44A42" w14:textId="77777777" w:rsidR="0000153C" w:rsidRDefault="0000153C" w:rsidP="00302076">
      <w:r>
        <w:separator/>
      </w:r>
    </w:p>
    <w:p w14:paraId="45F187B0" w14:textId="77777777" w:rsidR="0000153C" w:rsidRDefault="0000153C"/>
  </w:endnote>
  <w:endnote w:type="continuationSeparator" w:id="0">
    <w:p w14:paraId="40E6242E" w14:textId="77777777" w:rsidR="0000153C" w:rsidRDefault="0000153C" w:rsidP="00302076">
      <w:r>
        <w:continuationSeparator/>
      </w:r>
    </w:p>
    <w:p w14:paraId="5806C164" w14:textId="77777777" w:rsidR="0000153C" w:rsidRDefault="0000153C"/>
  </w:endnote>
  <w:endnote w:type="continuationNotice" w:id="1">
    <w:p w14:paraId="2FD83D9F" w14:textId="77777777" w:rsidR="0000153C" w:rsidRDefault="0000153C"/>
    <w:p w14:paraId="15C0C1EC" w14:textId="77777777" w:rsidR="0000153C" w:rsidRDefault="0000153C"/>
  </w:endnote>
  <w:endnote w:id="2">
    <w:p w14:paraId="6FC9E15F" w14:textId="77777777" w:rsidR="0000153C" w:rsidRDefault="0000153C" w:rsidP="00D71518">
      <w:pPr>
        <w:pStyle w:val="Heading1"/>
        <w:keepNext w:val="0"/>
        <w:widowControl w:val="0"/>
        <w:spacing w:before="0" w:after="120"/>
      </w:pPr>
      <w:r>
        <w:t>REFERENCES</w:t>
      </w:r>
    </w:p>
    <w:p w14:paraId="2ED7E915" w14:textId="3090CBEF" w:rsidR="0000153C" w:rsidRPr="00977321" w:rsidRDefault="0000153C" w:rsidP="0082556D">
      <w:pPr>
        <w:pStyle w:val="FootnoteText"/>
        <w:widowControl w:val="0"/>
        <w:tabs>
          <w:tab w:val="left" w:pos="709"/>
        </w:tabs>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Australian Health Ministers’ Advisory Council</w:t>
      </w:r>
      <w:r>
        <w:rPr>
          <w:rFonts w:asciiTheme="minorHAnsi" w:hAnsiTheme="minorHAnsi" w:cstheme="minorHAnsi"/>
        </w:rPr>
        <w:t xml:space="preserve"> (AHMAC)</w:t>
      </w:r>
      <w:r w:rsidRPr="00977321">
        <w:rPr>
          <w:rFonts w:asciiTheme="minorHAnsi" w:hAnsiTheme="minorHAnsi" w:cstheme="minorHAnsi"/>
        </w:rPr>
        <w:t xml:space="preserve">, 2015. </w:t>
      </w:r>
      <w:r w:rsidRPr="002D1792">
        <w:rPr>
          <w:i/>
        </w:rPr>
        <w:t>Healthy Safe and Thriving: National Strategic Framework for Child and Youth Health</w:t>
      </w:r>
      <w:r w:rsidRPr="00977321">
        <w:rPr>
          <w:rFonts w:asciiTheme="minorHAnsi" w:hAnsiTheme="minorHAnsi" w:cstheme="minorHAnsi"/>
        </w:rPr>
        <w:t>. COAG Health Council</w:t>
      </w:r>
      <w:r>
        <w:rPr>
          <w:rFonts w:asciiTheme="minorHAnsi" w:hAnsiTheme="minorHAnsi" w:cstheme="minorHAnsi"/>
        </w:rPr>
        <w:t>, Canberra</w:t>
      </w:r>
      <w:r w:rsidRPr="00977321">
        <w:rPr>
          <w:rFonts w:asciiTheme="minorHAnsi" w:hAnsiTheme="minorHAnsi" w:cstheme="minorHAnsi"/>
        </w:rPr>
        <w:t>.</w:t>
      </w:r>
    </w:p>
  </w:endnote>
  <w:endnote w:id="3">
    <w:p w14:paraId="2C158FF0" w14:textId="77777777" w:rsidR="0000153C" w:rsidRPr="00977321" w:rsidRDefault="0000153C" w:rsidP="0082556D">
      <w:pPr>
        <w:pStyle w:val="EndnoteText"/>
        <w:widowControl w:val="0"/>
        <w:tabs>
          <w:tab w:val="left" w:pos="709"/>
        </w:tabs>
        <w:spacing w:before="0" w:after="0"/>
        <w:ind w:left="851" w:hanging="851"/>
      </w:pPr>
      <w:r w:rsidRPr="00977321">
        <w:rPr>
          <w:rStyle w:val="EndnoteReference"/>
        </w:rPr>
        <w:endnoteRef/>
      </w:r>
      <w:r w:rsidRPr="00977321">
        <w:t xml:space="preserve"> Australian Research Alliance for Children and Youth (ARACY), 2018. </w:t>
      </w:r>
      <w:r w:rsidRPr="002D1792">
        <w:rPr>
          <w:i/>
        </w:rPr>
        <w:t>Report Card 2018: The Wellbeing of Young Australians</w:t>
      </w:r>
      <w:r w:rsidRPr="00977321">
        <w:t>. ARACY, Canberra.</w:t>
      </w:r>
    </w:p>
  </w:endnote>
  <w:endnote w:id="4">
    <w:p w14:paraId="523FC4B3" w14:textId="77777777" w:rsidR="0000153C" w:rsidRPr="00315942" w:rsidRDefault="0000153C" w:rsidP="0082556D">
      <w:pPr>
        <w:pStyle w:val="EndnoteText"/>
        <w:tabs>
          <w:tab w:val="left" w:pos="709"/>
        </w:tabs>
        <w:spacing w:before="0" w:after="0"/>
        <w:ind w:left="851" w:hanging="851"/>
      </w:pPr>
      <w:r>
        <w:rPr>
          <w:rStyle w:val="EndnoteReference"/>
        </w:rPr>
        <w:endnoteRef/>
      </w:r>
      <w:r>
        <w:t xml:space="preserve"> </w:t>
      </w:r>
      <w:r w:rsidRPr="00977321">
        <w:rPr>
          <w:rFonts w:asciiTheme="minorHAnsi" w:hAnsiTheme="minorHAnsi" w:cstheme="minorHAnsi"/>
        </w:rPr>
        <w:t>R</w:t>
      </w:r>
      <w:r>
        <w:rPr>
          <w:rFonts w:asciiTheme="minorHAnsi" w:hAnsiTheme="minorHAnsi" w:cstheme="minorHAnsi"/>
        </w:rPr>
        <w:t xml:space="preserve">oyal </w:t>
      </w:r>
      <w:r w:rsidRPr="00977321">
        <w:rPr>
          <w:rFonts w:asciiTheme="minorHAnsi" w:hAnsiTheme="minorHAnsi" w:cstheme="minorHAnsi"/>
        </w:rPr>
        <w:t>A</w:t>
      </w:r>
      <w:r>
        <w:rPr>
          <w:rFonts w:asciiTheme="minorHAnsi" w:hAnsiTheme="minorHAnsi" w:cstheme="minorHAnsi"/>
        </w:rPr>
        <w:t xml:space="preserve">ustralian </w:t>
      </w:r>
      <w:r w:rsidRPr="00977321">
        <w:rPr>
          <w:rFonts w:asciiTheme="minorHAnsi" w:hAnsiTheme="minorHAnsi" w:cstheme="minorHAnsi"/>
        </w:rPr>
        <w:t>C</w:t>
      </w:r>
      <w:r>
        <w:rPr>
          <w:rFonts w:asciiTheme="minorHAnsi" w:hAnsiTheme="minorHAnsi" w:cstheme="minorHAnsi"/>
        </w:rPr>
        <w:t xml:space="preserve">ollege of </w:t>
      </w:r>
      <w:r w:rsidRPr="00977321">
        <w:rPr>
          <w:rFonts w:asciiTheme="minorHAnsi" w:hAnsiTheme="minorHAnsi" w:cstheme="minorHAnsi"/>
        </w:rPr>
        <w:t>P</w:t>
      </w:r>
      <w:r>
        <w:rPr>
          <w:rFonts w:asciiTheme="minorHAnsi" w:hAnsiTheme="minorHAnsi" w:cstheme="minorHAnsi"/>
        </w:rPr>
        <w:t>hysicians (RACP)</w:t>
      </w:r>
      <w:r w:rsidRPr="00977321">
        <w:rPr>
          <w:rFonts w:asciiTheme="minorHAnsi" w:hAnsiTheme="minorHAnsi" w:cstheme="minorHAnsi"/>
        </w:rPr>
        <w:t xml:space="preserve">, 2018. </w:t>
      </w:r>
      <w:r w:rsidRPr="002D1792">
        <w:rPr>
          <w:rFonts w:asciiTheme="minorHAnsi" w:hAnsiTheme="minorHAnsi" w:cstheme="minorHAnsi"/>
          <w:i/>
        </w:rPr>
        <w:t>Inequities in Child Health – Position Statement</w:t>
      </w:r>
      <w:r w:rsidRPr="00977321">
        <w:rPr>
          <w:rFonts w:asciiTheme="minorHAnsi" w:hAnsiTheme="minorHAnsi" w:cstheme="minorHAnsi"/>
        </w:rPr>
        <w:t>. RACP, Sydney.</w:t>
      </w:r>
    </w:p>
  </w:endnote>
  <w:endnote w:id="5">
    <w:p w14:paraId="7369F10C" w14:textId="5C36B81E" w:rsidR="0000153C" w:rsidRPr="00953290" w:rsidRDefault="0000153C" w:rsidP="0082556D">
      <w:pPr>
        <w:pStyle w:val="EndnoteText"/>
        <w:tabs>
          <w:tab w:val="left" w:pos="709"/>
        </w:tabs>
        <w:spacing w:before="0" w:after="0"/>
        <w:ind w:left="851" w:hanging="851"/>
      </w:pPr>
      <w:r>
        <w:rPr>
          <w:rStyle w:val="EndnoteReference"/>
        </w:rPr>
        <w:endnoteRef/>
      </w:r>
      <w:r>
        <w:t xml:space="preserve"> </w:t>
      </w:r>
      <w:r w:rsidRPr="00977321">
        <w:rPr>
          <w:rFonts w:asciiTheme="minorHAnsi" w:hAnsiTheme="minorHAnsi" w:cstheme="minorHAnsi"/>
          <w:lang w:eastAsia="en-AU"/>
        </w:rPr>
        <w:t>Australian Institute of Health and Welfare (AIHW</w:t>
      </w:r>
      <w:r>
        <w:rPr>
          <w:rFonts w:asciiTheme="minorHAnsi" w:hAnsiTheme="minorHAnsi" w:cstheme="minorHAnsi"/>
          <w:lang w:eastAsia="en-AU"/>
        </w:rPr>
        <w:t xml:space="preserve">), 2018. </w:t>
      </w:r>
      <w:r w:rsidRPr="002D1792">
        <w:rPr>
          <w:rStyle w:val="Hyperlink"/>
          <w:rFonts w:asciiTheme="minorHAnsi" w:hAnsiTheme="minorHAnsi" w:cstheme="minorHAnsi"/>
          <w:i/>
          <w:color w:val="auto"/>
          <w:u w:val="none"/>
          <w:lang w:val="en-US" w:eastAsia="en-AU"/>
        </w:rPr>
        <w:t>Australia’s health 2018: In brief</w:t>
      </w:r>
      <w:r w:rsidRPr="002D1792">
        <w:rPr>
          <w:rStyle w:val="Hyperlink"/>
          <w:color w:val="auto"/>
          <w:u w:val="none"/>
          <w:lang w:val="en-US"/>
        </w:rPr>
        <w:t>. A</w:t>
      </w:r>
      <w:r>
        <w:rPr>
          <w:rFonts w:asciiTheme="minorHAnsi" w:hAnsiTheme="minorHAnsi" w:cstheme="minorHAnsi"/>
          <w:lang w:eastAsia="en-AU"/>
        </w:rPr>
        <w:t>IHW, Canberra. Retrieved from &lt;</w:t>
      </w:r>
      <w:r w:rsidRPr="003A5C2A">
        <w:rPr>
          <w:rFonts w:asciiTheme="minorHAnsi" w:hAnsiTheme="minorHAnsi" w:cstheme="minorHAnsi"/>
          <w:lang w:eastAsia="en-AU"/>
        </w:rPr>
        <w:t>https://www.aihw.gov.au/reports/australias-health/australias-health-2018-in-brief/contents/how-healthy-are-we</w:t>
      </w:r>
      <w:r>
        <w:rPr>
          <w:rFonts w:asciiTheme="minorHAnsi" w:hAnsiTheme="minorHAnsi" w:cstheme="minorHAnsi"/>
          <w:lang w:eastAsia="en-AU"/>
        </w:rPr>
        <w:t>&gt;</w:t>
      </w:r>
    </w:p>
  </w:endnote>
  <w:endnote w:id="6">
    <w:p w14:paraId="42515A63" w14:textId="7DC55918" w:rsidR="0000153C" w:rsidRPr="00977321" w:rsidRDefault="0000153C" w:rsidP="0082556D">
      <w:pPr>
        <w:pStyle w:val="FootnoteText"/>
        <w:widowControl w:val="0"/>
        <w:tabs>
          <w:tab w:val="left" w:pos="709"/>
        </w:tabs>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sidRPr="00977321">
        <w:rPr>
          <w:rFonts w:asciiTheme="minorHAnsi" w:hAnsiTheme="minorHAnsi" w:cstheme="minorHAnsi"/>
          <w:lang w:eastAsia="en-AU"/>
        </w:rPr>
        <w:t>Irwin</w:t>
      </w:r>
      <w:r>
        <w:rPr>
          <w:rFonts w:asciiTheme="minorHAnsi" w:hAnsiTheme="minorHAnsi" w:cstheme="minorHAnsi"/>
          <w:lang w:eastAsia="en-AU"/>
        </w:rPr>
        <w:t>,</w:t>
      </w:r>
      <w:r w:rsidRPr="00977321">
        <w:rPr>
          <w:rFonts w:asciiTheme="minorHAnsi" w:hAnsiTheme="minorHAnsi" w:cstheme="minorHAnsi"/>
          <w:lang w:eastAsia="en-AU"/>
        </w:rPr>
        <w:t xml:space="preserve"> L, Siddiqi</w:t>
      </w:r>
      <w:r>
        <w:rPr>
          <w:rFonts w:asciiTheme="minorHAnsi" w:hAnsiTheme="minorHAnsi" w:cstheme="minorHAnsi"/>
          <w:lang w:eastAsia="en-AU"/>
        </w:rPr>
        <w:t>,</w:t>
      </w:r>
      <w:r w:rsidRPr="00977321">
        <w:rPr>
          <w:rFonts w:asciiTheme="minorHAnsi" w:hAnsiTheme="minorHAnsi" w:cstheme="minorHAnsi"/>
          <w:lang w:eastAsia="en-AU"/>
        </w:rPr>
        <w:t xml:space="preserve"> A, </w:t>
      </w:r>
      <w:r>
        <w:rPr>
          <w:rFonts w:asciiTheme="minorHAnsi" w:hAnsiTheme="minorHAnsi" w:cstheme="minorHAnsi"/>
          <w:lang w:eastAsia="en-AU"/>
        </w:rPr>
        <w:t>&amp;</w:t>
      </w:r>
      <w:r w:rsidRPr="00977321">
        <w:rPr>
          <w:rFonts w:asciiTheme="minorHAnsi" w:hAnsiTheme="minorHAnsi" w:cstheme="minorHAnsi"/>
          <w:lang w:eastAsia="en-AU"/>
        </w:rPr>
        <w:t xml:space="preserve"> Hertzman</w:t>
      </w:r>
      <w:r>
        <w:rPr>
          <w:rFonts w:asciiTheme="minorHAnsi" w:hAnsiTheme="minorHAnsi" w:cstheme="minorHAnsi"/>
          <w:lang w:eastAsia="en-AU"/>
        </w:rPr>
        <w:t>,</w:t>
      </w:r>
      <w:r w:rsidRPr="00977321">
        <w:rPr>
          <w:rFonts w:asciiTheme="minorHAnsi" w:hAnsiTheme="minorHAnsi" w:cstheme="minorHAnsi"/>
          <w:lang w:eastAsia="en-AU"/>
        </w:rPr>
        <w:t xml:space="preserve"> C, 2007. </w:t>
      </w:r>
      <w:r w:rsidRPr="002D1792">
        <w:rPr>
          <w:rStyle w:val="Hyperlink"/>
          <w:rFonts w:asciiTheme="minorHAnsi" w:hAnsiTheme="minorHAnsi" w:cstheme="minorHAnsi"/>
          <w:i/>
          <w:color w:val="auto"/>
          <w:u w:val="none"/>
          <w:lang w:eastAsia="en-AU"/>
        </w:rPr>
        <w:t>Early Child Development: A Powerful Equalizer – Final report for the World Health Organization’s Commission on the Social Determinants of Health</w:t>
      </w:r>
      <w:r w:rsidRPr="00977321">
        <w:rPr>
          <w:rStyle w:val="Hyperlink"/>
          <w:rFonts w:asciiTheme="minorHAnsi" w:hAnsiTheme="minorHAnsi" w:cstheme="minorHAnsi"/>
          <w:color w:val="auto"/>
          <w:u w:val="none"/>
          <w:lang w:eastAsia="en-AU"/>
        </w:rPr>
        <w:t xml:space="preserve">. </w:t>
      </w:r>
      <w:r>
        <w:rPr>
          <w:rStyle w:val="Hyperlink"/>
          <w:rFonts w:asciiTheme="minorHAnsi" w:hAnsiTheme="minorHAnsi" w:cstheme="minorHAnsi"/>
          <w:color w:val="auto"/>
          <w:u w:val="none"/>
          <w:lang w:eastAsia="en-AU"/>
        </w:rPr>
        <w:t>Retrieved from &lt;</w:t>
      </w:r>
      <w:r w:rsidRPr="003A5C2A">
        <w:rPr>
          <w:rStyle w:val="Hyperlink"/>
          <w:rFonts w:asciiTheme="minorHAnsi" w:hAnsiTheme="minorHAnsi" w:cstheme="minorHAnsi"/>
          <w:color w:val="auto"/>
          <w:u w:val="none"/>
          <w:lang w:eastAsia="en-AU"/>
        </w:rPr>
        <w:t>https://www.aihw.gov.au/reports/australias-health/australias-health-2018-in-brief/contents/how-healthy-are-we</w:t>
      </w:r>
      <w:r>
        <w:rPr>
          <w:rStyle w:val="Hyperlink"/>
          <w:rFonts w:asciiTheme="minorHAnsi" w:hAnsiTheme="minorHAnsi" w:cstheme="minorHAnsi"/>
          <w:color w:val="auto"/>
          <w:u w:val="none"/>
          <w:lang w:eastAsia="en-AU"/>
        </w:rPr>
        <w:t>&gt;</w:t>
      </w:r>
    </w:p>
  </w:endnote>
  <w:endnote w:id="7">
    <w:p w14:paraId="460559B6" w14:textId="405289C6" w:rsidR="0000153C" w:rsidRPr="00977321" w:rsidRDefault="0000153C" w:rsidP="0082556D">
      <w:pPr>
        <w:pStyle w:val="FootnoteText"/>
        <w:widowControl w:val="0"/>
        <w:tabs>
          <w:tab w:val="left" w:pos="709"/>
        </w:tabs>
        <w:spacing w:before="0" w:after="0"/>
        <w:ind w:left="851" w:hanging="851"/>
        <w:rPr>
          <w:rFonts w:asciiTheme="minorHAnsi" w:hAnsiTheme="minorHAnsi" w:cstheme="minorHAnsi"/>
          <w:lang w:eastAsia="en-AU"/>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Pr>
          <w:rFonts w:asciiTheme="minorHAnsi" w:hAnsiTheme="minorHAnsi" w:cstheme="minorHAnsi"/>
          <w:lang w:eastAsia="en-AU"/>
        </w:rPr>
        <w:t xml:space="preserve">Frances, C, Conti, G, Heckman, JJ, </w:t>
      </w:r>
      <w:r w:rsidRPr="002D1792">
        <w:rPr>
          <w:rFonts w:asciiTheme="minorHAnsi" w:hAnsiTheme="minorHAnsi" w:cstheme="minorHAnsi"/>
          <w:i/>
          <w:lang w:eastAsia="en-AU"/>
        </w:rPr>
        <w:t>et al</w:t>
      </w:r>
      <w:r>
        <w:rPr>
          <w:rFonts w:asciiTheme="minorHAnsi" w:hAnsiTheme="minorHAnsi" w:cstheme="minorHAnsi"/>
          <w:lang w:eastAsia="en-AU"/>
        </w:rPr>
        <w:t>., 201</w:t>
      </w:r>
      <w:r w:rsidRPr="002D1792">
        <w:t xml:space="preserve">4. Early childhood investments substantially boost adult health. </w:t>
      </w:r>
      <w:r w:rsidRPr="002D1792">
        <w:rPr>
          <w:i/>
        </w:rPr>
        <w:t>Science</w:t>
      </w:r>
      <w:r w:rsidRPr="002D1792">
        <w:t xml:space="preserve">, </w:t>
      </w:r>
      <w:r>
        <w:t xml:space="preserve">343(6178):1478–1485. </w:t>
      </w:r>
      <w:r w:rsidRPr="00700B5B">
        <w:t>https://</w:t>
      </w:r>
      <w:r>
        <w:t>doi:10.1126/science.1248429</w:t>
      </w:r>
    </w:p>
  </w:endnote>
  <w:endnote w:id="8">
    <w:p w14:paraId="564F7B79" w14:textId="0939952B" w:rsidR="0000153C" w:rsidRPr="002C2A4B" w:rsidRDefault="0000153C" w:rsidP="0082556D">
      <w:pPr>
        <w:pStyle w:val="EndnoteText"/>
        <w:tabs>
          <w:tab w:val="left" w:pos="709"/>
        </w:tabs>
        <w:spacing w:before="0" w:after="0"/>
        <w:ind w:left="851" w:hanging="851"/>
        <w:rPr>
          <w:rFonts w:asciiTheme="minorHAnsi" w:hAnsiTheme="minorHAnsi" w:cstheme="minorHAnsi"/>
          <w:color w:val="1A1A1A"/>
        </w:rPr>
      </w:pPr>
      <w:r>
        <w:rPr>
          <w:rStyle w:val="EndnoteReference"/>
        </w:rPr>
        <w:endnoteRef/>
      </w:r>
      <w:r>
        <w:t xml:space="preserve"> </w:t>
      </w:r>
      <w:r w:rsidRPr="00977321">
        <w:rPr>
          <w:rFonts w:asciiTheme="minorHAnsi" w:hAnsiTheme="minorHAnsi" w:cstheme="minorHAnsi"/>
          <w:color w:val="1A1A1A"/>
        </w:rPr>
        <w:t>Emerson</w:t>
      </w:r>
      <w:r>
        <w:rPr>
          <w:rFonts w:asciiTheme="minorHAnsi" w:hAnsiTheme="minorHAnsi" w:cstheme="minorHAnsi"/>
          <w:color w:val="1A1A1A"/>
        </w:rPr>
        <w:t>,</w:t>
      </w:r>
      <w:r w:rsidRPr="00977321">
        <w:rPr>
          <w:rFonts w:asciiTheme="minorHAnsi" w:hAnsiTheme="minorHAnsi" w:cstheme="minorHAnsi"/>
          <w:color w:val="1A1A1A"/>
        </w:rPr>
        <w:t xml:space="preserve"> L., Fox</w:t>
      </w:r>
      <w:r>
        <w:rPr>
          <w:rFonts w:asciiTheme="minorHAnsi" w:hAnsiTheme="minorHAnsi" w:cstheme="minorHAnsi"/>
          <w:color w:val="1A1A1A"/>
        </w:rPr>
        <w:t>,</w:t>
      </w:r>
      <w:r w:rsidRPr="00977321">
        <w:rPr>
          <w:rFonts w:asciiTheme="minorHAnsi" w:hAnsiTheme="minorHAnsi" w:cstheme="minorHAnsi"/>
          <w:color w:val="1A1A1A"/>
        </w:rPr>
        <w:t xml:space="preserve"> S &amp; Smith</w:t>
      </w:r>
      <w:r>
        <w:rPr>
          <w:rFonts w:asciiTheme="minorHAnsi" w:hAnsiTheme="minorHAnsi" w:cstheme="minorHAnsi"/>
          <w:color w:val="1A1A1A"/>
        </w:rPr>
        <w:t>,</w:t>
      </w:r>
      <w:r w:rsidRPr="00977321">
        <w:rPr>
          <w:rFonts w:asciiTheme="minorHAnsi" w:hAnsiTheme="minorHAnsi" w:cstheme="minorHAnsi"/>
          <w:color w:val="1A1A1A"/>
        </w:rPr>
        <w:t xml:space="preserve"> C, 2015. </w:t>
      </w:r>
      <w:r w:rsidRPr="002D1792">
        <w:rPr>
          <w:rFonts w:asciiTheme="minorHAnsi" w:hAnsiTheme="minorHAnsi" w:cstheme="minorHAnsi"/>
          <w:i/>
          <w:iCs/>
          <w:color w:val="1A1A1A"/>
        </w:rPr>
        <w:t>Good Beginnings: Getting it right in the early years</w:t>
      </w:r>
      <w:r w:rsidRPr="00977321">
        <w:rPr>
          <w:rFonts w:asciiTheme="minorHAnsi" w:hAnsiTheme="minorHAnsi" w:cstheme="minorHAnsi"/>
          <w:iCs/>
          <w:color w:val="1A1A1A"/>
        </w:rPr>
        <w:t>.</w:t>
      </w:r>
      <w:r w:rsidRPr="00977321">
        <w:rPr>
          <w:rFonts w:asciiTheme="minorHAnsi" w:hAnsiTheme="minorHAnsi" w:cstheme="minorHAnsi"/>
          <w:color w:val="1A1A1A"/>
        </w:rPr>
        <w:t xml:space="preserve"> The Lowitja Institute, Melbourne.</w:t>
      </w:r>
    </w:p>
  </w:endnote>
  <w:endnote w:id="9">
    <w:p w14:paraId="4240C16D" w14:textId="167FDB0E" w:rsidR="0000153C" w:rsidRPr="002C2A4B" w:rsidRDefault="0000153C" w:rsidP="0082556D">
      <w:pPr>
        <w:pStyle w:val="EndnoteText"/>
        <w:tabs>
          <w:tab w:val="left" w:pos="709"/>
        </w:tabs>
        <w:spacing w:before="0" w:after="0"/>
        <w:ind w:left="851" w:hanging="851"/>
      </w:pPr>
      <w:r>
        <w:rPr>
          <w:rStyle w:val="EndnoteReference"/>
        </w:rPr>
        <w:endnoteRef/>
      </w:r>
      <w:r>
        <w:t xml:space="preserve"> Viner, RM, Ross, D, Hardy, R, </w:t>
      </w:r>
      <w:r w:rsidRPr="002D1792">
        <w:rPr>
          <w:i/>
        </w:rPr>
        <w:t>et al.</w:t>
      </w:r>
      <w:r>
        <w:t xml:space="preserve">, 2015. Life course epidemiology: recognising the importance of adolescence. </w:t>
      </w:r>
      <w:r w:rsidRPr="002D1792">
        <w:rPr>
          <w:i/>
        </w:rPr>
        <w:t>Journal of Epidemiol Community Health</w:t>
      </w:r>
      <w:r>
        <w:t xml:space="preserve">, 69 (8), 719-720. </w:t>
      </w:r>
      <w:r w:rsidRPr="00700B5B">
        <w:t>https://doi.org/10.1136/jech-2014-205300</w:t>
      </w:r>
    </w:p>
  </w:endnote>
  <w:endnote w:id="10">
    <w:p w14:paraId="49493EB9" w14:textId="77777777" w:rsidR="0000153C" w:rsidRPr="008B7E05" w:rsidRDefault="0000153C" w:rsidP="0082556D">
      <w:pPr>
        <w:pStyle w:val="EndnoteText"/>
        <w:tabs>
          <w:tab w:val="left" w:pos="709"/>
        </w:tabs>
        <w:spacing w:before="0" w:after="0"/>
        <w:ind w:left="851" w:hanging="851"/>
      </w:pPr>
      <w:r>
        <w:rPr>
          <w:rStyle w:val="EndnoteReference"/>
        </w:rPr>
        <w:endnoteRef/>
      </w:r>
      <w:r>
        <w:t xml:space="preserve"> Council of Australian Governments (COAG), 2009. </w:t>
      </w:r>
      <w:r w:rsidRPr="002D1792">
        <w:rPr>
          <w:i/>
        </w:rPr>
        <w:t>Investing in the Early Years – A National Early Childhood Development Strategy</w:t>
      </w:r>
      <w:r>
        <w:t>. Commonwealth of Australia, Canberra.</w:t>
      </w:r>
    </w:p>
  </w:endnote>
  <w:endnote w:id="11">
    <w:p w14:paraId="19F82E07" w14:textId="77777777" w:rsidR="0000153C" w:rsidRPr="008B7E05" w:rsidRDefault="0000153C" w:rsidP="0082556D">
      <w:pPr>
        <w:pStyle w:val="EndnoteText"/>
        <w:tabs>
          <w:tab w:val="left" w:pos="709"/>
        </w:tabs>
        <w:spacing w:before="0" w:after="0"/>
        <w:ind w:left="851" w:hanging="851"/>
      </w:pPr>
      <w:r>
        <w:rPr>
          <w:rStyle w:val="EndnoteReference"/>
        </w:rPr>
        <w:endnoteRef/>
      </w:r>
      <w:r>
        <w:t xml:space="preserve"> Heckman, JJ, 2008. </w:t>
      </w:r>
      <w:r w:rsidRPr="002D1792">
        <w:rPr>
          <w:i/>
        </w:rPr>
        <w:t>The case for investing in disadvantaged young children. First Focus, Big ideas for children: Investing in our nation’s future</w:t>
      </w:r>
      <w:r w:rsidRPr="008B7E05">
        <w:t xml:space="preserve">. </w:t>
      </w:r>
      <w:r>
        <w:t xml:space="preserve">First Focus, </w:t>
      </w:r>
      <w:r w:rsidRPr="008B7E05">
        <w:t>Washington DC.</w:t>
      </w:r>
    </w:p>
  </w:endnote>
  <w:endnote w:id="12">
    <w:p w14:paraId="610A8ED1" w14:textId="71B48912" w:rsidR="0000153C" w:rsidRPr="00977321" w:rsidRDefault="0000153C" w:rsidP="0082556D">
      <w:pPr>
        <w:pStyle w:val="FootnoteText"/>
        <w:widowControl w:val="0"/>
        <w:tabs>
          <w:tab w:val="left" w:pos="709"/>
        </w:tabs>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sidRPr="00977321">
        <w:rPr>
          <w:rFonts w:asciiTheme="minorHAnsi" w:hAnsiTheme="minorHAnsi" w:cstheme="minorHAnsi"/>
          <w:lang w:eastAsia="en-AU"/>
        </w:rPr>
        <w:t>Centre on the Developing Child, Harvard University</w:t>
      </w:r>
      <w:r w:rsidRPr="002D1792">
        <w:t xml:space="preserve">, 2007. </w:t>
      </w:r>
      <w:r w:rsidRPr="002D1792">
        <w:rPr>
          <w:i/>
        </w:rPr>
        <w:t>Science</w:t>
      </w:r>
      <w:r w:rsidRPr="002D1792">
        <w:t>. Retrieved</w:t>
      </w:r>
      <w:r>
        <w:rPr>
          <w:rFonts w:asciiTheme="minorHAnsi" w:hAnsiTheme="minorHAnsi" w:cstheme="minorHAnsi"/>
          <w:lang w:eastAsia="en-AU"/>
        </w:rPr>
        <w:t xml:space="preserve"> from &lt;</w:t>
      </w:r>
      <w:r w:rsidRPr="003A5C2A">
        <w:rPr>
          <w:rFonts w:asciiTheme="minorHAnsi" w:hAnsiTheme="minorHAnsi" w:cstheme="minorHAnsi"/>
          <w:lang w:eastAsia="en-AU"/>
        </w:rPr>
        <w:t>https://developingchild.harvard.edu/science/</w:t>
      </w:r>
      <w:r>
        <w:rPr>
          <w:rFonts w:asciiTheme="minorHAnsi" w:hAnsiTheme="minorHAnsi" w:cstheme="minorHAnsi"/>
          <w:lang w:eastAsia="en-AU"/>
        </w:rPr>
        <w:t>&gt;</w:t>
      </w:r>
    </w:p>
  </w:endnote>
  <w:endnote w:id="13">
    <w:p w14:paraId="6D15E4AE" w14:textId="77777777" w:rsidR="0000153C" w:rsidRPr="00632E8F" w:rsidRDefault="0000153C" w:rsidP="0082556D">
      <w:pPr>
        <w:pStyle w:val="EndnoteText"/>
        <w:tabs>
          <w:tab w:val="left" w:pos="709"/>
        </w:tabs>
        <w:spacing w:before="0" w:after="0"/>
        <w:ind w:left="851" w:hanging="851"/>
      </w:pPr>
      <w:r>
        <w:rPr>
          <w:rStyle w:val="EndnoteReference"/>
        </w:rPr>
        <w:endnoteRef/>
      </w:r>
      <w:r>
        <w:t xml:space="preserve"> COAG, 2009. </w:t>
      </w:r>
      <w:r w:rsidRPr="002D1792">
        <w:rPr>
          <w:i/>
        </w:rPr>
        <w:t>Investing in the Early Years – A National Early Childhood Development Strategy</w:t>
      </w:r>
      <w:r>
        <w:t>. Commonwealth of Australia, Canberra.</w:t>
      </w:r>
    </w:p>
  </w:endnote>
  <w:endnote w:id="14">
    <w:p w14:paraId="7BF2D19B" w14:textId="77777777" w:rsidR="0000153C" w:rsidRPr="00AE17BE" w:rsidRDefault="0000153C" w:rsidP="0082556D">
      <w:pPr>
        <w:pStyle w:val="EndnoteText"/>
        <w:tabs>
          <w:tab w:val="left" w:pos="709"/>
        </w:tabs>
        <w:spacing w:before="0" w:after="0"/>
        <w:ind w:left="851" w:hanging="851"/>
      </w:pPr>
      <w:r>
        <w:rPr>
          <w:rStyle w:val="EndnoteReference"/>
        </w:rPr>
        <w:endnoteRef/>
      </w:r>
      <w:r>
        <w:t xml:space="preserve"> ARACY, 2014. </w:t>
      </w:r>
      <w:r w:rsidRPr="002D1792">
        <w:rPr>
          <w:i/>
        </w:rPr>
        <w:t>The Nest Action Agenda: Improving the wellbeing of Australia’s children and youth while growing our GDP by over 7%. Second Edition</w:t>
      </w:r>
      <w:r>
        <w:t>. ARACY, Canberra</w:t>
      </w:r>
    </w:p>
  </w:endnote>
  <w:endnote w:id="15">
    <w:p w14:paraId="2D6024D1" w14:textId="77777777" w:rsidR="0000153C" w:rsidRPr="00A8149C" w:rsidRDefault="0000153C" w:rsidP="0082556D">
      <w:pPr>
        <w:pStyle w:val="EndnoteText"/>
        <w:tabs>
          <w:tab w:val="left" w:pos="709"/>
        </w:tabs>
        <w:spacing w:before="0" w:after="0"/>
        <w:ind w:left="851" w:hanging="851"/>
      </w:pPr>
      <w:r>
        <w:rPr>
          <w:rStyle w:val="EndnoteReference"/>
        </w:rPr>
        <w:endnoteRef/>
      </w:r>
      <w:r>
        <w:t xml:space="preserve"> ibid.</w:t>
      </w:r>
    </w:p>
  </w:endnote>
  <w:endnote w:id="16">
    <w:p w14:paraId="5C7122FE" w14:textId="35FB66E2" w:rsidR="0000153C" w:rsidRPr="009209BA" w:rsidRDefault="0000153C" w:rsidP="0082556D">
      <w:pPr>
        <w:pStyle w:val="EndnoteText"/>
        <w:tabs>
          <w:tab w:val="left" w:pos="709"/>
        </w:tabs>
        <w:spacing w:before="0" w:after="0"/>
        <w:ind w:left="851" w:hanging="851"/>
      </w:pPr>
      <w:r>
        <w:rPr>
          <w:rStyle w:val="EndnoteReference"/>
        </w:rPr>
        <w:endnoteRef/>
      </w:r>
      <w:r>
        <w:t xml:space="preserve"> Lemer, C, Hargreaves, R, Cheung, R, </w:t>
      </w:r>
      <w:r w:rsidRPr="002D1792">
        <w:rPr>
          <w:i/>
        </w:rPr>
        <w:t>et al.</w:t>
      </w:r>
      <w:r>
        <w:t xml:space="preserve">, 2013. </w:t>
      </w:r>
      <w:r w:rsidRPr="002D1792">
        <w:rPr>
          <w:i/>
        </w:rPr>
        <w:t xml:space="preserve">Chapter 2 – Overview. In Davies, SC. </w:t>
      </w:r>
      <w:r w:rsidRPr="002D1792">
        <w:rPr>
          <w:rFonts w:cs="ArialMT"/>
          <w:i/>
        </w:rPr>
        <w:t>Annual Report of the Chief Medical Officer 2012, Our Children Deserve Better: Prevention Pays</w:t>
      </w:r>
      <w:r>
        <w:rPr>
          <w:rFonts w:cs="ArialMT"/>
        </w:rPr>
        <w:t>. Stationery Office, London.</w:t>
      </w:r>
    </w:p>
  </w:endnote>
  <w:endnote w:id="17">
    <w:p w14:paraId="7B584588" w14:textId="77777777" w:rsidR="0000153C" w:rsidRPr="00D27EF6" w:rsidRDefault="0000153C" w:rsidP="0082556D">
      <w:pPr>
        <w:pStyle w:val="EndnoteText"/>
        <w:tabs>
          <w:tab w:val="left" w:pos="709"/>
        </w:tabs>
        <w:spacing w:before="0" w:after="0"/>
        <w:ind w:left="851" w:hanging="851"/>
      </w:pPr>
      <w:r>
        <w:rPr>
          <w:rStyle w:val="EndnoteReference"/>
        </w:rPr>
        <w:endnoteRef/>
      </w:r>
      <w:r>
        <w:t xml:space="preserve"> Fox, S, Southwell, A, Stafford, N, </w:t>
      </w:r>
      <w:r w:rsidRPr="002D1792">
        <w:rPr>
          <w:i/>
        </w:rPr>
        <w:t>et al.</w:t>
      </w:r>
      <w:r>
        <w:t xml:space="preserve">, 2015. </w:t>
      </w:r>
      <w:r w:rsidRPr="002D1792">
        <w:rPr>
          <w:i/>
        </w:rPr>
        <w:t>Better Systems, Better Chances: A Review of Research and Practice for Prevention and Early Intervention</w:t>
      </w:r>
      <w:r w:rsidRPr="00203B09">
        <w:t>.</w:t>
      </w:r>
      <w:r>
        <w:t xml:space="preserve"> </w:t>
      </w:r>
      <w:r w:rsidRPr="00203B09">
        <w:t>ARACY</w:t>
      </w:r>
      <w:r>
        <w:t>, Canberra</w:t>
      </w:r>
    </w:p>
  </w:endnote>
  <w:endnote w:id="18">
    <w:p w14:paraId="04707BC1" w14:textId="08A6C2F2" w:rsidR="0000153C" w:rsidRPr="00E24C51" w:rsidRDefault="0000153C" w:rsidP="0082556D">
      <w:pPr>
        <w:pStyle w:val="FootnoteText"/>
        <w:widowControl w:val="0"/>
        <w:tabs>
          <w:tab w:val="left" w:pos="709"/>
        </w:tabs>
        <w:spacing w:before="0" w:after="0"/>
        <w:ind w:left="851" w:hanging="851"/>
        <w:rPr>
          <w:rFonts w:asciiTheme="minorHAnsi" w:hAnsiTheme="minorHAnsi" w:cstheme="minorHAnsi"/>
          <w:lang w:val="en-AU"/>
        </w:rPr>
      </w:pPr>
      <w:r>
        <w:rPr>
          <w:rStyle w:val="EndnoteReference"/>
        </w:rPr>
        <w:endnoteRef/>
      </w:r>
      <w:r>
        <w:t xml:space="preserve"> </w:t>
      </w:r>
      <w:r>
        <w:rPr>
          <w:rFonts w:asciiTheme="minorHAnsi" w:hAnsiTheme="minorHAnsi" w:cstheme="minorHAnsi"/>
        </w:rPr>
        <w:t>AIHW</w:t>
      </w:r>
      <w:r w:rsidRPr="00203B09">
        <w:rPr>
          <w:rFonts w:asciiTheme="minorHAnsi" w:hAnsiTheme="minorHAnsi" w:cstheme="minorHAnsi"/>
        </w:rPr>
        <w:t xml:space="preserve">, 2016. </w:t>
      </w:r>
      <w:r w:rsidRPr="002D1792">
        <w:rPr>
          <w:i/>
        </w:rPr>
        <w:t>Australian Burden of Disease Study: Impact and causes of illness and death in Australia 2011</w:t>
      </w:r>
      <w:r>
        <w:rPr>
          <w:rFonts w:asciiTheme="minorHAnsi" w:hAnsiTheme="minorHAnsi" w:cstheme="minorHAnsi"/>
        </w:rPr>
        <w:t>. AIHW, Canberra. Retrieved from &lt;</w:t>
      </w:r>
      <w:r w:rsidRPr="00700B5B">
        <w:rPr>
          <w:rFonts w:asciiTheme="minorHAnsi" w:hAnsiTheme="minorHAnsi" w:cstheme="minorHAnsi"/>
        </w:rPr>
        <w:t>https://www.aihw.gov.au/getmedia/d4df9251-c4b6-452f-a877-8370b6124219/19663.pdf.aspx?inline=true</w:t>
      </w:r>
      <w:r>
        <w:rPr>
          <w:rFonts w:asciiTheme="minorHAnsi" w:hAnsiTheme="minorHAnsi" w:cstheme="minorHAnsi"/>
        </w:rPr>
        <w:t>&gt;</w:t>
      </w:r>
    </w:p>
  </w:endnote>
  <w:endnote w:id="19">
    <w:p w14:paraId="6A484CA3" w14:textId="77777777" w:rsidR="0000153C" w:rsidRPr="00203B09" w:rsidRDefault="0000153C" w:rsidP="0082556D">
      <w:pPr>
        <w:pStyle w:val="EndnoteText"/>
        <w:tabs>
          <w:tab w:val="left" w:pos="709"/>
        </w:tabs>
        <w:spacing w:before="0" w:after="0"/>
        <w:ind w:left="851" w:hanging="851"/>
      </w:pPr>
      <w:r>
        <w:rPr>
          <w:rStyle w:val="EndnoteReference"/>
        </w:rPr>
        <w:endnoteRef/>
      </w:r>
      <w:r>
        <w:t xml:space="preserve"> Fox, S, Southwell, A, Stafford, N, </w:t>
      </w:r>
      <w:r w:rsidRPr="002D1792">
        <w:rPr>
          <w:i/>
        </w:rPr>
        <w:t>et al</w:t>
      </w:r>
      <w:r>
        <w:t xml:space="preserve">., 2015. </w:t>
      </w:r>
      <w:r w:rsidRPr="002D1792">
        <w:rPr>
          <w:i/>
        </w:rPr>
        <w:t>Better Systems, Better Chances: A Review of Research and Practice for Prevention and Early Intervention</w:t>
      </w:r>
      <w:r w:rsidRPr="00203B09">
        <w:t>.</w:t>
      </w:r>
      <w:r>
        <w:t xml:space="preserve"> </w:t>
      </w:r>
      <w:r w:rsidRPr="00203B09">
        <w:t>ARACY</w:t>
      </w:r>
      <w:r>
        <w:t>, Canberra</w:t>
      </w:r>
    </w:p>
  </w:endnote>
  <w:endnote w:id="20">
    <w:p w14:paraId="72B10BE3" w14:textId="77777777" w:rsidR="0000153C" w:rsidRDefault="0000153C" w:rsidP="0082556D">
      <w:pPr>
        <w:pStyle w:val="EndnoteText"/>
        <w:tabs>
          <w:tab w:val="left" w:pos="709"/>
        </w:tabs>
        <w:spacing w:before="0" w:after="0"/>
        <w:ind w:left="851" w:hanging="851"/>
      </w:pPr>
      <w:r>
        <w:rPr>
          <w:rStyle w:val="EndnoteReference"/>
        </w:rPr>
        <w:endnoteRef/>
      </w:r>
      <w:r>
        <w:t xml:space="preserve"> ibid.</w:t>
      </w:r>
    </w:p>
  </w:endnote>
  <w:endnote w:id="21">
    <w:p w14:paraId="0D21FB47" w14:textId="69B75878" w:rsidR="0000153C" w:rsidRPr="00977321" w:rsidRDefault="0000153C" w:rsidP="0082556D">
      <w:pPr>
        <w:pStyle w:val="FootnoteText"/>
        <w:widowControl w:val="0"/>
        <w:tabs>
          <w:tab w:val="left" w:pos="709"/>
        </w:tabs>
        <w:spacing w:before="0" w:after="0"/>
        <w:ind w:left="851" w:hanging="851"/>
        <w:rPr>
          <w:rFonts w:asciiTheme="minorHAnsi" w:hAnsiTheme="minorHAnsi" w:cstheme="minorHAnsi"/>
          <w:lang w:eastAsia="en-AU"/>
        </w:rPr>
      </w:pPr>
      <w:r w:rsidRPr="00977321">
        <w:rPr>
          <w:rStyle w:val="EndnoteReference"/>
          <w:rFonts w:asciiTheme="minorHAnsi" w:hAnsiTheme="minorHAnsi" w:cstheme="minorHAnsi"/>
        </w:rPr>
        <w:endnoteRef/>
      </w:r>
      <w:r w:rsidRPr="00977321">
        <w:rPr>
          <w:rFonts w:asciiTheme="minorHAnsi" w:hAnsiTheme="minorHAnsi" w:cstheme="minorHAnsi"/>
          <w:vertAlign w:val="superscript"/>
        </w:rPr>
        <w:t xml:space="preserve"> </w:t>
      </w:r>
      <w:r w:rsidRPr="00977321">
        <w:rPr>
          <w:rFonts w:asciiTheme="minorHAnsi" w:hAnsiTheme="minorHAnsi" w:cstheme="minorHAnsi"/>
          <w:lang w:eastAsia="en-AU"/>
        </w:rPr>
        <w:t xml:space="preserve">AIHW, 2018. </w:t>
      </w:r>
      <w:r w:rsidRPr="002D1792">
        <w:rPr>
          <w:i/>
        </w:rPr>
        <w:t>Children and Young People</w:t>
      </w:r>
      <w:r w:rsidRPr="00977321">
        <w:rPr>
          <w:rFonts w:asciiTheme="minorHAnsi" w:hAnsiTheme="minorHAnsi" w:cstheme="minorHAnsi"/>
          <w:lang w:eastAsia="en-AU"/>
        </w:rPr>
        <w:t xml:space="preserve">. </w:t>
      </w:r>
      <w:r>
        <w:rPr>
          <w:rFonts w:asciiTheme="minorHAnsi" w:hAnsiTheme="minorHAnsi" w:cstheme="minorHAnsi"/>
          <w:lang w:eastAsia="en-AU"/>
        </w:rPr>
        <w:t>Retrieved from &lt;</w:t>
      </w:r>
      <w:r w:rsidRPr="00700B5B">
        <w:rPr>
          <w:rFonts w:asciiTheme="minorHAnsi" w:hAnsiTheme="minorHAnsi" w:cstheme="minorHAnsi"/>
          <w:lang w:eastAsia="en-AU"/>
        </w:rPr>
        <w:t>https://www.aihw.gov.au/reports-data/population-groups/children-youth/overview</w:t>
      </w:r>
      <w:r>
        <w:rPr>
          <w:rFonts w:asciiTheme="minorHAnsi" w:hAnsiTheme="minorHAnsi" w:cstheme="minorHAnsi"/>
          <w:lang w:eastAsia="en-AU"/>
        </w:rPr>
        <w:t>&gt;</w:t>
      </w:r>
    </w:p>
  </w:endnote>
  <w:endnote w:id="22">
    <w:p w14:paraId="6BB1975A" w14:textId="0F9E4429" w:rsidR="0000153C" w:rsidRPr="002D1792" w:rsidRDefault="0000153C" w:rsidP="0082556D">
      <w:pPr>
        <w:pStyle w:val="EndnoteText"/>
        <w:tabs>
          <w:tab w:val="left" w:pos="709"/>
        </w:tabs>
        <w:spacing w:before="0" w:after="0"/>
        <w:ind w:left="851" w:hanging="851"/>
        <w:rPr>
          <w:rFonts w:asciiTheme="minorHAnsi" w:hAnsiTheme="minorHAnsi" w:cstheme="minorHAnsi"/>
          <w:lang w:val="en-US" w:eastAsia="en-AU"/>
        </w:rPr>
      </w:pPr>
      <w:r w:rsidRPr="003F09FD">
        <w:rPr>
          <w:rFonts w:asciiTheme="minorHAnsi" w:hAnsiTheme="minorHAnsi" w:cstheme="minorHAnsi"/>
          <w:vertAlign w:val="superscript"/>
          <w:lang w:val="en-US" w:eastAsia="en-AU"/>
        </w:rPr>
        <w:endnoteRef/>
      </w:r>
      <w:r w:rsidRPr="003F09FD">
        <w:rPr>
          <w:rFonts w:asciiTheme="minorHAnsi" w:hAnsiTheme="minorHAnsi" w:cstheme="minorHAnsi"/>
          <w:vertAlign w:val="superscript"/>
          <w:lang w:val="en-US" w:eastAsia="en-AU"/>
        </w:rPr>
        <w:t xml:space="preserve"> </w:t>
      </w:r>
      <w:r w:rsidRPr="002D1792">
        <w:rPr>
          <w:rFonts w:asciiTheme="minorHAnsi" w:hAnsiTheme="minorHAnsi" w:cstheme="minorHAnsi"/>
          <w:lang w:val="en-US" w:eastAsia="en-AU"/>
        </w:rPr>
        <w:t xml:space="preserve">AIHW, 2018. </w:t>
      </w:r>
      <w:r w:rsidRPr="002D1792">
        <w:rPr>
          <w:i/>
          <w:lang w:val="en-US"/>
        </w:rPr>
        <w:t>National Core Maternity Indicators</w:t>
      </w:r>
      <w:r w:rsidRPr="002D1792">
        <w:rPr>
          <w:rFonts w:asciiTheme="minorHAnsi" w:hAnsiTheme="minorHAnsi" w:cstheme="minorHAnsi"/>
          <w:lang w:val="en-US" w:eastAsia="en-AU"/>
        </w:rPr>
        <w:t>. Retrieved from &lt;https://www.aihw.gov.au/reports/mothers-babies/ncmi-data-visualisations/contents/summary&gt;</w:t>
      </w:r>
    </w:p>
  </w:endnote>
  <w:endnote w:id="23">
    <w:p w14:paraId="17083941" w14:textId="77777777" w:rsidR="0000153C" w:rsidRPr="002D1792" w:rsidRDefault="0000153C" w:rsidP="0082556D">
      <w:pPr>
        <w:pStyle w:val="EndnoteText"/>
        <w:tabs>
          <w:tab w:val="left" w:pos="709"/>
        </w:tabs>
        <w:spacing w:before="0" w:after="0"/>
        <w:ind w:left="851" w:hanging="851"/>
        <w:rPr>
          <w:rFonts w:asciiTheme="minorHAnsi" w:hAnsiTheme="minorHAnsi" w:cstheme="minorHAnsi"/>
          <w:lang w:val="en-US" w:eastAsia="en-AU"/>
        </w:rPr>
      </w:pPr>
      <w:r w:rsidRPr="003F09FD">
        <w:rPr>
          <w:rFonts w:asciiTheme="minorHAnsi" w:hAnsiTheme="minorHAnsi" w:cstheme="minorHAnsi"/>
          <w:vertAlign w:val="superscript"/>
          <w:lang w:val="en-US" w:eastAsia="en-AU"/>
        </w:rPr>
        <w:endnoteRef/>
      </w:r>
      <w:r w:rsidRPr="002D1792">
        <w:rPr>
          <w:rFonts w:asciiTheme="minorHAnsi" w:hAnsiTheme="minorHAnsi" w:cstheme="minorHAnsi"/>
          <w:lang w:val="en-US" w:eastAsia="en-AU"/>
        </w:rPr>
        <w:t xml:space="preserve"> ARACY, 2018. </w:t>
      </w:r>
      <w:r w:rsidRPr="002D1792">
        <w:rPr>
          <w:rFonts w:asciiTheme="minorHAnsi" w:hAnsiTheme="minorHAnsi" w:cstheme="minorHAnsi"/>
          <w:i/>
          <w:lang w:val="en-US" w:eastAsia="en-AU"/>
        </w:rPr>
        <w:t>Report Card 2018: The Wellbeing of Young Australians</w:t>
      </w:r>
      <w:r w:rsidRPr="002D1792">
        <w:rPr>
          <w:rFonts w:asciiTheme="minorHAnsi" w:hAnsiTheme="minorHAnsi" w:cstheme="minorHAnsi"/>
          <w:lang w:val="en-US" w:eastAsia="en-AU"/>
        </w:rPr>
        <w:t>. ARACY, Canberra.</w:t>
      </w:r>
    </w:p>
  </w:endnote>
  <w:endnote w:id="24">
    <w:p w14:paraId="31893946" w14:textId="13FC6FE0" w:rsidR="0000153C" w:rsidRPr="00977321" w:rsidRDefault="0000153C" w:rsidP="0082556D">
      <w:pPr>
        <w:pStyle w:val="EndnoteText"/>
        <w:widowControl w:val="0"/>
        <w:tabs>
          <w:tab w:val="left" w:pos="709"/>
        </w:tabs>
        <w:spacing w:before="0" w:after="0"/>
        <w:ind w:left="851" w:hanging="851"/>
        <w:rPr>
          <w:rFonts w:asciiTheme="minorHAnsi" w:hAnsiTheme="minorHAnsi" w:cstheme="minorHAnsi"/>
        </w:rPr>
      </w:pPr>
      <w:r w:rsidRPr="003F09FD">
        <w:rPr>
          <w:vertAlign w:val="superscript"/>
          <w:lang w:val="en-US" w:eastAsia="en-AU"/>
        </w:rPr>
        <w:endnoteRef/>
      </w:r>
      <w:r w:rsidRPr="002D1792">
        <w:rPr>
          <w:rFonts w:asciiTheme="minorHAnsi" w:hAnsiTheme="minorHAnsi" w:cstheme="minorHAnsi"/>
          <w:lang w:val="en-US" w:eastAsia="en-AU"/>
        </w:rPr>
        <w:t xml:space="preserve"> Mission Australia and Black Dog Institute, 2017. </w:t>
      </w:r>
      <w:r w:rsidRPr="002D1792">
        <w:rPr>
          <w:i/>
          <w:lang w:val="en-US"/>
        </w:rPr>
        <w:t>Youth Mental Health Report: Youth Survey 2012-2016</w:t>
      </w:r>
      <w:r w:rsidRPr="002D1792">
        <w:rPr>
          <w:rFonts w:asciiTheme="minorHAnsi" w:hAnsiTheme="minorHAnsi" w:cstheme="minorHAnsi"/>
          <w:lang w:val="en-US" w:eastAsia="en-AU"/>
        </w:rPr>
        <w:t>.</w:t>
      </w:r>
      <w:r w:rsidRPr="00977321">
        <w:rPr>
          <w:rFonts w:asciiTheme="minorHAnsi" w:hAnsiTheme="minorHAnsi" w:cstheme="minorHAnsi"/>
          <w:lang w:eastAsia="en-AU"/>
        </w:rPr>
        <w:t xml:space="preserve"> </w:t>
      </w:r>
      <w:r>
        <w:rPr>
          <w:rFonts w:asciiTheme="minorHAnsi" w:hAnsiTheme="minorHAnsi" w:cstheme="minorHAnsi"/>
          <w:lang w:eastAsia="en-AU"/>
        </w:rPr>
        <w:t>Retrieved from &lt;</w:t>
      </w:r>
      <w:r w:rsidRPr="00700B5B">
        <w:rPr>
          <w:rFonts w:asciiTheme="minorHAnsi" w:hAnsiTheme="minorHAnsi" w:cstheme="minorHAnsi"/>
          <w:lang w:eastAsia="en-AU"/>
        </w:rPr>
        <w:t>https://blackdoginstitute.org.au/docs/default-source/research/evidence-and-policy-section/2017-youth-mental-health-report_mission-australia-and-black-dog-institute.pdf?sfvrsn=6</w:t>
      </w:r>
      <w:r>
        <w:rPr>
          <w:rFonts w:asciiTheme="minorHAnsi" w:hAnsiTheme="minorHAnsi" w:cstheme="minorHAnsi"/>
          <w:lang w:eastAsia="en-AU"/>
        </w:rPr>
        <w:t>&gt;</w:t>
      </w:r>
    </w:p>
  </w:endnote>
  <w:endnote w:id="25">
    <w:p w14:paraId="7866F0EB" w14:textId="3D566889"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Australian Child and Adolescent Trauma, Loss &amp; Grief Network</w:t>
      </w:r>
      <w:r>
        <w:rPr>
          <w:rFonts w:cstheme="minorHAnsi"/>
          <w:sz w:val="20"/>
          <w:szCs w:val="20"/>
        </w:rPr>
        <w:t>, 2012</w:t>
      </w:r>
      <w:r w:rsidRPr="00977321">
        <w:rPr>
          <w:rFonts w:cstheme="minorHAnsi"/>
          <w:sz w:val="20"/>
          <w:szCs w:val="20"/>
        </w:rPr>
        <w:t xml:space="preserve">. </w:t>
      </w:r>
      <w:r w:rsidRPr="002D1792">
        <w:rPr>
          <w:rFonts w:cstheme="minorHAnsi"/>
          <w:i/>
          <w:sz w:val="20"/>
          <w:szCs w:val="20"/>
        </w:rPr>
        <w:t>Refugees and asylum seekers: Supporting recovery from trauma</w:t>
      </w:r>
      <w:r w:rsidRPr="00977321">
        <w:rPr>
          <w:rFonts w:cstheme="minorHAnsi"/>
          <w:sz w:val="20"/>
          <w:szCs w:val="20"/>
        </w:rPr>
        <w:t xml:space="preserve">. </w:t>
      </w:r>
      <w:r>
        <w:rPr>
          <w:rFonts w:cstheme="minorHAnsi"/>
          <w:sz w:val="20"/>
          <w:szCs w:val="20"/>
        </w:rPr>
        <w:t>Retrieved from &lt;</w:t>
      </w:r>
      <w:r w:rsidRPr="0082556D">
        <w:rPr>
          <w:rFonts w:cstheme="minorHAnsi"/>
          <w:sz w:val="20"/>
          <w:szCs w:val="20"/>
        </w:rPr>
        <w:t>http://earlytraumagrief.anu.edu.au/files/Refugee%20Tipsheet.pdf</w:t>
      </w:r>
      <w:r>
        <w:rPr>
          <w:rFonts w:cstheme="minorHAnsi"/>
          <w:sz w:val="20"/>
          <w:szCs w:val="20"/>
        </w:rPr>
        <w:t>&gt;</w:t>
      </w:r>
    </w:p>
  </w:endnote>
  <w:endnote w:id="26">
    <w:p w14:paraId="203553F2" w14:textId="77777777"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AIHW, 2018. </w:t>
      </w:r>
      <w:r w:rsidRPr="002D1792">
        <w:rPr>
          <w:i/>
          <w:sz w:val="20"/>
          <w:szCs w:val="20"/>
        </w:rPr>
        <w:t>Child protection Australia 2016–17</w:t>
      </w:r>
      <w:r w:rsidRPr="00977321">
        <w:rPr>
          <w:sz w:val="20"/>
          <w:szCs w:val="20"/>
        </w:rPr>
        <w:t>. Child welfare series no. 68. Cat. no. CWS 63. AIHW, Canberra.</w:t>
      </w:r>
    </w:p>
  </w:endnote>
  <w:endnote w:id="27">
    <w:p w14:paraId="38E22609" w14:textId="74672D11"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AIHW, 2018. </w:t>
      </w:r>
      <w:r w:rsidRPr="002D1792">
        <w:rPr>
          <w:rFonts w:cstheme="minorHAnsi"/>
          <w:i/>
          <w:sz w:val="20"/>
          <w:lang w:eastAsia="en-AU"/>
        </w:rPr>
        <w:t>Children’s Headline Indicators</w:t>
      </w:r>
      <w:r w:rsidRPr="002D1792">
        <w:rPr>
          <w:rFonts w:cstheme="minorHAnsi"/>
          <w:sz w:val="20"/>
          <w:lang w:eastAsia="en-AU"/>
        </w:rPr>
        <w:t>.</w:t>
      </w:r>
      <w:r w:rsidRPr="00977321">
        <w:rPr>
          <w:rFonts w:cstheme="minorHAnsi"/>
          <w:sz w:val="20"/>
          <w:szCs w:val="20"/>
          <w:shd w:val="clear" w:color="auto" w:fill="FFFFFF"/>
        </w:rPr>
        <w:t xml:space="preserve"> </w:t>
      </w:r>
      <w:r>
        <w:rPr>
          <w:rFonts w:cstheme="minorHAnsi"/>
          <w:sz w:val="20"/>
          <w:lang w:eastAsia="en-AU"/>
        </w:rPr>
        <w:t>Retrieved from &lt;</w:t>
      </w:r>
      <w:r w:rsidRPr="0082556D">
        <w:rPr>
          <w:rFonts w:cstheme="minorHAnsi"/>
          <w:sz w:val="20"/>
          <w:lang w:eastAsia="en-AU"/>
        </w:rPr>
        <w:t>https://www.aihw.gov.au/reports/children-youth/childrens-headline-indicators/contents/overview</w:t>
      </w:r>
      <w:r>
        <w:rPr>
          <w:rFonts w:cstheme="minorHAnsi"/>
          <w:sz w:val="20"/>
          <w:lang w:eastAsia="en-AU"/>
        </w:rPr>
        <w:t>&gt;</w:t>
      </w:r>
    </w:p>
  </w:endnote>
  <w:endnote w:id="28">
    <w:p w14:paraId="56D9E6CF" w14:textId="6520F870"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AIHW</w:t>
      </w:r>
      <w:r>
        <w:rPr>
          <w:rFonts w:cstheme="minorHAnsi"/>
          <w:sz w:val="20"/>
          <w:szCs w:val="20"/>
        </w:rPr>
        <w:t>,</w:t>
      </w:r>
      <w:r w:rsidRPr="00977321">
        <w:rPr>
          <w:rFonts w:cstheme="minorHAnsi"/>
          <w:sz w:val="20"/>
          <w:szCs w:val="20"/>
        </w:rPr>
        <w:t xml:space="preserve"> 2018. </w:t>
      </w:r>
      <w:r w:rsidRPr="002D1792">
        <w:rPr>
          <w:rFonts w:cstheme="minorHAnsi"/>
          <w:i/>
          <w:sz w:val="20"/>
          <w:szCs w:val="20"/>
        </w:rPr>
        <w:t>National data on the health of justice-involved young people: a feasibility study</w:t>
      </w:r>
      <w:r w:rsidRPr="00977321">
        <w:rPr>
          <w:rFonts w:cstheme="minorHAnsi"/>
          <w:sz w:val="20"/>
          <w:szCs w:val="20"/>
        </w:rPr>
        <w:t>. Cat. no. JUV 125. AIHW, Canberra.</w:t>
      </w:r>
    </w:p>
  </w:endnote>
  <w:endnote w:id="29">
    <w:p w14:paraId="00786E3E" w14:textId="0F0D315C"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Borschmann</w:t>
      </w:r>
      <w:r>
        <w:rPr>
          <w:rFonts w:cstheme="minorHAnsi"/>
          <w:sz w:val="20"/>
          <w:szCs w:val="20"/>
        </w:rPr>
        <w:t>,</w:t>
      </w:r>
      <w:r w:rsidRPr="00977321">
        <w:rPr>
          <w:rFonts w:cstheme="minorHAnsi"/>
          <w:sz w:val="20"/>
          <w:szCs w:val="20"/>
        </w:rPr>
        <w:t xml:space="preserve"> R, Coffey</w:t>
      </w:r>
      <w:r>
        <w:rPr>
          <w:rFonts w:cstheme="minorHAnsi"/>
          <w:sz w:val="20"/>
          <w:szCs w:val="20"/>
        </w:rPr>
        <w:t>,</w:t>
      </w:r>
      <w:r w:rsidRPr="00977321">
        <w:rPr>
          <w:rFonts w:cstheme="minorHAnsi"/>
          <w:sz w:val="20"/>
          <w:szCs w:val="20"/>
        </w:rPr>
        <w:t xml:space="preserve"> C, Moran</w:t>
      </w:r>
      <w:r>
        <w:rPr>
          <w:rFonts w:cstheme="minorHAnsi"/>
          <w:sz w:val="20"/>
          <w:szCs w:val="20"/>
        </w:rPr>
        <w:t>,</w:t>
      </w:r>
      <w:r w:rsidRPr="00977321">
        <w:rPr>
          <w:rFonts w:cstheme="minorHAnsi"/>
          <w:sz w:val="20"/>
          <w:szCs w:val="20"/>
        </w:rPr>
        <w:t xml:space="preserve"> P, Hearps</w:t>
      </w:r>
      <w:r>
        <w:rPr>
          <w:rFonts w:cstheme="minorHAnsi"/>
          <w:sz w:val="20"/>
          <w:szCs w:val="20"/>
        </w:rPr>
        <w:t>,</w:t>
      </w:r>
      <w:r w:rsidRPr="00977321">
        <w:rPr>
          <w:rFonts w:cstheme="minorHAnsi"/>
          <w:sz w:val="20"/>
          <w:szCs w:val="20"/>
        </w:rPr>
        <w:t xml:space="preserve"> S, </w:t>
      </w:r>
      <w:r w:rsidRPr="00977321">
        <w:rPr>
          <w:rFonts w:cstheme="minorHAnsi"/>
          <w:i/>
          <w:sz w:val="20"/>
          <w:szCs w:val="20"/>
        </w:rPr>
        <w:t>et al</w:t>
      </w:r>
      <w:r w:rsidRPr="00977321">
        <w:rPr>
          <w:rFonts w:cstheme="minorHAnsi"/>
          <w:sz w:val="20"/>
          <w:szCs w:val="20"/>
        </w:rPr>
        <w:t xml:space="preserve">., 2014. Self-harm in young offenders. </w:t>
      </w:r>
      <w:r w:rsidRPr="002D1792">
        <w:rPr>
          <w:rFonts w:cstheme="minorHAnsi"/>
          <w:i/>
          <w:sz w:val="20"/>
          <w:szCs w:val="20"/>
        </w:rPr>
        <w:t>Suicide and Life-threatening Behavior</w:t>
      </w:r>
      <w:r>
        <w:rPr>
          <w:rFonts w:cstheme="minorHAnsi"/>
          <w:i/>
          <w:sz w:val="20"/>
          <w:szCs w:val="20"/>
        </w:rPr>
        <w:t>.</w:t>
      </w:r>
      <w:r w:rsidRPr="002D1792">
        <w:rPr>
          <w:rFonts w:cstheme="minorHAnsi"/>
          <w:i/>
          <w:sz w:val="20"/>
          <w:szCs w:val="20"/>
        </w:rPr>
        <w:t xml:space="preserve"> </w:t>
      </w:r>
      <w:r w:rsidRPr="00977321">
        <w:rPr>
          <w:rFonts w:cstheme="minorHAnsi"/>
          <w:sz w:val="20"/>
          <w:szCs w:val="20"/>
        </w:rPr>
        <w:t>44(6):</w:t>
      </w:r>
      <w:r>
        <w:rPr>
          <w:rFonts w:cstheme="minorHAnsi"/>
          <w:sz w:val="20"/>
          <w:szCs w:val="20"/>
        </w:rPr>
        <w:t xml:space="preserve"> </w:t>
      </w:r>
      <w:r w:rsidRPr="00977321">
        <w:rPr>
          <w:rFonts w:cstheme="minorHAnsi"/>
          <w:sz w:val="20"/>
          <w:szCs w:val="20"/>
        </w:rPr>
        <w:t>641–52.</w:t>
      </w:r>
      <w:r>
        <w:rPr>
          <w:rFonts w:cstheme="minorHAnsi"/>
          <w:sz w:val="20"/>
          <w:szCs w:val="20"/>
        </w:rPr>
        <w:t xml:space="preserve"> </w:t>
      </w:r>
      <w:r w:rsidRPr="00C86E2C">
        <w:rPr>
          <w:rFonts w:cstheme="minorHAnsi"/>
          <w:sz w:val="20"/>
          <w:szCs w:val="20"/>
        </w:rPr>
        <w:t>https://doi.org/10.1111/sltb.12096</w:t>
      </w:r>
    </w:p>
  </w:endnote>
  <w:endnote w:id="30">
    <w:p w14:paraId="2729E83D" w14:textId="62F849A8"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RACP, 2008. </w:t>
      </w:r>
      <w:r w:rsidRPr="002D1792">
        <w:rPr>
          <w:rFonts w:cstheme="minorHAnsi"/>
          <w:i/>
          <w:sz w:val="20"/>
          <w:szCs w:val="20"/>
        </w:rPr>
        <w:t>Health of children in “out-of-home” care</w:t>
      </w:r>
      <w:r w:rsidRPr="002D1792">
        <w:rPr>
          <w:rFonts w:cstheme="minorHAnsi"/>
          <w:sz w:val="20"/>
          <w:szCs w:val="20"/>
        </w:rPr>
        <w:t>.</w:t>
      </w:r>
      <w:r w:rsidRPr="00977321">
        <w:rPr>
          <w:rFonts w:cstheme="minorHAnsi"/>
          <w:sz w:val="20"/>
          <w:szCs w:val="20"/>
        </w:rPr>
        <w:t xml:space="preserve"> </w:t>
      </w:r>
      <w:r w:rsidRPr="002D1792">
        <w:rPr>
          <w:rFonts w:cstheme="minorHAnsi"/>
          <w:sz w:val="20"/>
          <w:szCs w:val="20"/>
        </w:rPr>
        <w:t>Retrieved from &lt;https://www.royalfarwest.org.au/wp-content/uploads/2017/12/Invisible-children-web.pdf&gt;</w:t>
      </w:r>
    </w:p>
  </w:endnote>
  <w:endnote w:id="31">
    <w:p w14:paraId="0DBF29FB" w14:textId="6A2E94EF" w:rsidR="0000153C" w:rsidRPr="00977321" w:rsidRDefault="0000153C" w:rsidP="00C64040">
      <w:pPr>
        <w:widowControl w:val="0"/>
        <w:spacing w:before="0" w:after="0"/>
        <w:ind w:left="851" w:hanging="851"/>
        <w:rPr>
          <w:rFonts w:cstheme="minorHAnsi"/>
          <w:sz w:val="20"/>
          <w:szCs w:val="20"/>
        </w:rPr>
      </w:pPr>
      <w:r w:rsidRPr="003F09FD">
        <w:rPr>
          <w:vertAlign w:val="superscript"/>
        </w:rPr>
        <w:endnoteRef/>
      </w:r>
      <w:r w:rsidRPr="00977321">
        <w:rPr>
          <w:rFonts w:cstheme="minorHAnsi"/>
          <w:sz w:val="20"/>
          <w:szCs w:val="20"/>
        </w:rPr>
        <w:t xml:space="preserve"> Royal Far West</w:t>
      </w:r>
      <w:r>
        <w:rPr>
          <w:rFonts w:cstheme="minorHAnsi"/>
          <w:sz w:val="20"/>
          <w:szCs w:val="20"/>
        </w:rPr>
        <w:t>, 2017</w:t>
      </w:r>
      <w:r w:rsidRPr="00977321">
        <w:rPr>
          <w:rFonts w:cstheme="minorHAnsi"/>
          <w:sz w:val="20"/>
          <w:szCs w:val="20"/>
        </w:rPr>
        <w:t xml:space="preserve">. </w:t>
      </w:r>
      <w:hyperlink r:id="rId1" w:history="1">
        <w:r w:rsidRPr="002D1792">
          <w:rPr>
            <w:rFonts w:cstheme="minorHAnsi"/>
            <w:i/>
            <w:sz w:val="20"/>
            <w:szCs w:val="20"/>
          </w:rPr>
          <w:t>The Invisible Children - The state of country children’s health and development in Australia</w:t>
        </w:r>
      </w:hyperlink>
      <w:r w:rsidRPr="00977321">
        <w:rPr>
          <w:rFonts w:cstheme="minorHAnsi"/>
          <w:sz w:val="20"/>
          <w:szCs w:val="20"/>
        </w:rPr>
        <w:t xml:space="preserve">. </w:t>
      </w:r>
      <w:r>
        <w:rPr>
          <w:rFonts w:cstheme="minorHAnsi"/>
          <w:sz w:val="20"/>
          <w:szCs w:val="20"/>
        </w:rPr>
        <w:t>Retrieved from &lt;</w:t>
      </w:r>
      <w:r w:rsidRPr="00C86E2C">
        <w:rPr>
          <w:rFonts w:cstheme="minorHAnsi"/>
          <w:sz w:val="20"/>
          <w:szCs w:val="20"/>
        </w:rPr>
        <w:t>https://www.royalfarwest.org.au/wp-content/uploads/2017/12/Invisible-children-web.pdf</w:t>
      </w:r>
      <w:r>
        <w:rPr>
          <w:rFonts w:cstheme="minorHAnsi"/>
          <w:sz w:val="20"/>
          <w:szCs w:val="20"/>
        </w:rPr>
        <w:t>&gt;</w:t>
      </w:r>
    </w:p>
  </w:endnote>
  <w:endnote w:id="32">
    <w:p w14:paraId="79BA3B8A" w14:textId="77777777" w:rsidR="0000153C" w:rsidRPr="00977321" w:rsidRDefault="0000153C" w:rsidP="00C64040">
      <w:pPr>
        <w:widowControl w:val="0"/>
        <w:spacing w:before="0" w:after="0"/>
        <w:ind w:left="851" w:hanging="851"/>
        <w:rPr>
          <w:rFonts w:cstheme="minorHAnsi"/>
          <w:sz w:val="20"/>
          <w:szCs w:val="20"/>
        </w:rPr>
      </w:pPr>
      <w:r w:rsidRPr="00977321">
        <w:rPr>
          <w:rStyle w:val="EndnoteReference"/>
          <w:rFonts w:cstheme="minorHAnsi"/>
          <w:sz w:val="20"/>
          <w:szCs w:val="20"/>
        </w:rPr>
        <w:endnoteRef/>
      </w:r>
      <w:r w:rsidRPr="00977321">
        <w:rPr>
          <w:rFonts w:cstheme="minorHAnsi"/>
          <w:sz w:val="20"/>
          <w:szCs w:val="20"/>
        </w:rPr>
        <w:t xml:space="preserve"> Australian Bureau of Statistics (ABS), 2009. </w:t>
      </w:r>
      <w:r w:rsidRPr="002D1792">
        <w:rPr>
          <w:rFonts w:cstheme="minorHAnsi"/>
          <w:i/>
          <w:sz w:val="20"/>
          <w:szCs w:val="20"/>
        </w:rPr>
        <w:t>Australian Social Trends</w:t>
      </w:r>
      <w:r w:rsidRPr="00977321">
        <w:rPr>
          <w:rFonts w:cstheme="minorHAnsi"/>
          <w:sz w:val="20"/>
          <w:szCs w:val="20"/>
        </w:rPr>
        <w:t>. Cat.no. 4102.0. ABS, Canberra.</w:t>
      </w:r>
    </w:p>
  </w:endnote>
  <w:endnote w:id="33">
    <w:p w14:paraId="788B0BE9" w14:textId="77777777" w:rsidR="0000153C" w:rsidRPr="00977321" w:rsidRDefault="0000153C" w:rsidP="00C64040">
      <w:pPr>
        <w:pStyle w:val="FootnoteText"/>
        <w:widowControl w:val="0"/>
        <w:tabs>
          <w:tab w:val="left" w:pos="426"/>
        </w:tabs>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AIHW, 2015. </w:t>
      </w:r>
      <w:r w:rsidRPr="002D1792">
        <w:rPr>
          <w:rFonts w:asciiTheme="minorHAnsi" w:hAnsiTheme="minorHAnsi" w:cstheme="minorHAnsi"/>
          <w:i/>
        </w:rPr>
        <w:t>The health and welfare of Australia’s Aboriginal and Torres Strait Islander peoples 2015</w:t>
      </w:r>
      <w:r w:rsidRPr="00977321">
        <w:rPr>
          <w:rFonts w:asciiTheme="minorHAnsi" w:hAnsiTheme="minorHAnsi" w:cstheme="minorHAnsi"/>
        </w:rPr>
        <w:t>. Cat. no. IHW 147. AIHW, Canberra.</w:t>
      </w:r>
    </w:p>
  </w:endnote>
  <w:endnote w:id="34">
    <w:p w14:paraId="0954EC19" w14:textId="5B69F634" w:rsidR="0000153C" w:rsidRPr="00977321" w:rsidRDefault="0000153C" w:rsidP="00C64040">
      <w:pPr>
        <w:pStyle w:val="FootnoteText"/>
        <w:widowControl w:val="0"/>
        <w:tabs>
          <w:tab w:val="left" w:pos="426"/>
        </w:tabs>
        <w:autoSpaceDE w:val="0"/>
        <w:autoSpaceDN w:val="0"/>
        <w:adjustRightInd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sidRPr="00977321">
        <w:rPr>
          <w:rFonts w:asciiTheme="minorHAnsi" w:hAnsiTheme="minorHAnsi" w:cstheme="minorHAnsi"/>
          <w:color w:val="1A1A1A"/>
        </w:rPr>
        <w:t>Emerson</w:t>
      </w:r>
      <w:r>
        <w:rPr>
          <w:rFonts w:asciiTheme="minorHAnsi" w:hAnsiTheme="minorHAnsi" w:cstheme="minorHAnsi"/>
          <w:color w:val="1A1A1A"/>
        </w:rPr>
        <w:t>,</w:t>
      </w:r>
      <w:r w:rsidRPr="00977321">
        <w:rPr>
          <w:rFonts w:asciiTheme="minorHAnsi" w:hAnsiTheme="minorHAnsi" w:cstheme="minorHAnsi"/>
          <w:color w:val="1A1A1A"/>
        </w:rPr>
        <w:t xml:space="preserve"> L., Fox</w:t>
      </w:r>
      <w:r>
        <w:rPr>
          <w:rFonts w:asciiTheme="minorHAnsi" w:hAnsiTheme="minorHAnsi" w:cstheme="minorHAnsi"/>
          <w:color w:val="1A1A1A"/>
        </w:rPr>
        <w:t>,</w:t>
      </w:r>
      <w:r w:rsidRPr="00977321">
        <w:rPr>
          <w:rFonts w:asciiTheme="minorHAnsi" w:hAnsiTheme="minorHAnsi" w:cstheme="minorHAnsi"/>
          <w:color w:val="1A1A1A"/>
        </w:rPr>
        <w:t xml:space="preserve"> S &amp; Smith</w:t>
      </w:r>
      <w:r>
        <w:rPr>
          <w:rFonts w:asciiTheme="minorHAnsi" w:hAnsiTheme="minorHAnsi" w:cstheme="minorHAnsi"/>
          <w:color w:val="1A1A1A"/>
        </w:rPr>
        <w:t>,</w:t>
      </w:r>
      <w:r w:rsidRPr="00977321">
        <w:rPr>
          <w:rFonts w:asciiTheme="minorHAnsi" w:hAnsiTheme="minorHAnsi" w:cstheme="minorHAnsi"/>
          <w:color w:val="1A1A1A"/>
        </w:rPr>
        <w:t xml:space="preserve"> C, 2015. </w:t>
      </w:r>
      <w:r w:rsidRPr="002D1792">
        <w:rPr>
          <w:rFonts w:asciiTheme="minorHAnsi" w:hAnsiTheme="minorHAnsi" w:cstheme="minorHAnsi"/>
          <w:i/>
          <w:iCs/>
          <w:color w:val="1A1A1A"/>
        </w:rPr>
        <w:t>Good Beginnings: Getting it right in the early years</w:t>
      </w:r>
      <w:r w:rsidRPr="00977321">
        <w:rPr>
          <w:rFonts w:asciiTheme="minorHAnsi" w:hAnsiTheme="minorHAnsi" w:cstheme="minorHAnsi"/>
          <w:iCs/>
          <w:color w:val="1A1A1A"/>
        </w:rPr>
        <w:t>.</w:t>
      </w:r>
      <w:r w:rsidRPr="00977321">
        <w:rPr>
          <w:rFonts w:asciiTheme="minorHAnsi" w:hAnsiTheme="minorHAnsi" w:cstheme="minorHAnsi"/>
          <w:color w:val="1A1A1A"/>
        </w:rPr>
        <w:t xml:space="preserve"> The Lowitja Institute, Melbourne.</w:t>
      </w:r>
    </w:p>
  </w:endnote>
  <w:endnote w:id="35">
    <w:p w14:paraId="19F237B4" w14:textId="66B8CB62" w:rsidR="0000153C" w:rsidRPr="00372B2F" w:rsidRDefault="0000153C" w:rsidP="00C64040">
      <w:pPr>
        <w:pStyle w:val="EndnoteText"/>
        <w:spacing w:before="0" w:after="0"/>
        <w:ind w:left="851" w:hanging="851"/>
      </w:pPr>
      <w:r>
        <w:rPr>
          <w:rStyle w:val="EndnoteReference"/>
        </w:rPr>
        <w:endnoteRef/>
      </w:r>
      <w:r>
        <w:t xml:space="preserve"> Hertzman, C, 1999. The biological embedding of early experience and its effects on health in adulthood. </w:t>
      </w:r>
      <w:r w:rsidRPr="002D1792">
        <w:rPr>
          <w:i/>
        </w:rPr>
        <w:t>Annals of the New York Academy of Sciences</w:t>
      </w:r>
      <w:r>
        <w:t>, 896, 85-95.</w:t>
      </w:r>
    </w:p>
  </w:endnote>
  <w:endnote w:id="36">
    <w:p w14:paraId="7C4FA5D7" w14:textId="0912D386" w:rsidR="0000153C" w:rsidRPr="00977321" w:rsidRDefault="0000153C" w:rsidP="00C6404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Siddiqi</w:t>
      </w:r>
      <w:r>
        <w:rPr>
          <w:rFonts w:asciiTheme="minorHAnsi" w:hAnsiTheme="minorHAnsi" w:cstheme="minorHAnsi"/>
        </w:rPr>
        <w:t>,</w:t>
      </w:r>
      <w:r w:rsidRPr="00977321">
        <w:rPr>
          <w:rFonts w:asciiTheme="minorHAnsi" w:hAnsiTheme="minorHAnsi" w:cstheme="minorHAnsi"/>
        </w:rPr>
        <w:t xml:space="preserve"> A., Irwin</w:t>
      </w:r>
      <w:r>
        <w:rPr>
          <w:rFonts w:asciiTheme="minorHAnsi" w:hAnsiTheme="minorHAnsi" w:cstheme="minorHAnsi"/>
        </w:rPr>
        <w:t>,</w:t>
      </w:r>
      <w:r w:rsidRPr="00977321">
        <w:rPr>
          <w:rFonts w:asciiTheme="minorHAnsi" w:hAnsiTheme="minorHAnsi" w:cstheme="minorHAnsi"/>
        </w:rPr>
        <w:t xml:space="preserve"> L, &amp; Hertzman</w:t>
      </w:r>
      <w:r>
        <w:rPr>
          <w:rFonts w:asciiTheme="minorHAnsi" w:hAnsiTheme="minorHAnsi" w:cstheme="minorHAnsi"/>
        </w:rPr>
        <w:t>,</w:t>
      </w:r>
      <w:r w:rsidRPr="00977321">
        <w:rPr>
          <w:rFonts w:asciiTheme="minorHAnsi" w:hAnsiTheme="minorHAnsi" w:cstheme="minorHAnsi"/>
        </w:rPr>
        <w:t xml:space="preserve"> C, 2007. </w:t>
      </w:r>
      <w:r w:rsidRPr="002D1792">
        <w:rPr>
          <w:rFonts w:asciiTheme="minorHAnsi" w:hAnsiTheme="minorHAnsi" w:cstheme="minorHAnsi"/>
          <w:i/>
        </w:rPr>
        <w:t>The Total Environment Assessment Model of Early Child Development. Evidence Report for the Commission on Social Determinants of Health</w:t>
      </w:r>
      <w:r w:rsidRPr="00977321">
        <w:rPr>
          <w:rFonts w:asciiTheme="minorHAnsi" w:hAnsiTheme="minorHAnsi" w:cstheme="minorHAnsi"/>
        </w:rPr>
        <w:t>. WHO, Italy.</w:t>
      </w:r>
    </w:p>
  </w:endnote>
  <w:endnote w:id="37">
    <w:p w14:paraId="169A24D1" w14:textId="6303FAF7" w:rsidR="0000153C" w:rsidRPr="00977321" w:rsidRDefault="0000153C" w:rsidP="00C6404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Marmot</w:t>
      </w:r>
      <w:r>
        <w:rPr>
          <w:rFonts w:asciiTheme="minorHAnsi" w:hAnsiTheme="minorHAnsi" w:cstheme="minorHAnsi"/>
        </w:rPr>
        <w:t>,</w:t>
      </w:r>
      <w:r w:rsidRPr="00977321">
        <w:rPr>
          <w:rFonts w:asciiTheme="minorHAnsi" w:hAnsiTheme="minorHAnsi" w:cstheme="minorHAnsi"/>
        </w:rPr>
        <w:t xml:space="preserve"> M, Allen</w:t>
      </w:r>
      <w:r>
        <w:rPr>
          <w:rFonts w:asciiTheme="minorHAnsi" w:hAnsiTheme="minorHAnsi" w:cstheme="minorHAnsi"/>
        </w:rPr>
        <w:t>,</w:t>
      </w:r>
      <w:r w:rsidRPr="00977321">
        <w:rPr>
          <w:rFonts w:asciiTheme="minorHAnsi" w:hAnsiTheme="minorHAnsi" w:cstheme="minorHAnsi"/>
        </w:rPr>
        <w:t xml:space="preserve"> J, Goldblatt</w:t>
      </w:r>
      <w:r>
        <w:rPr>
          <w:rFonts w:asciiTheme="minorHAnsi" w:hAnsiTheme="minorHAnsi" w:cstheme="minorHAnsi"/>
        </w:rPr>
        <w:t>,</w:t>
      </w:r>
      <w:r w:rsidRPr="00977321">
        <w:rPr>
          <w:rFonts w:asciiTheme="minorHAnsi" w:hAnsiTheme="minorHAnsi" w:cstheme="minorHAnsi"/>
        </w:rPr>
        <w:t xml:space="preserve"> P, </w:t>
      </w:r>
      <w:r w:rsidRPr="00977321">
        <w:rPr>
          <w:rFonts w:asciiTheme="minorHAnsi" w:hAnsiTheme="minorHAnsi" w:cstheme="minorHAnsi"/>
          <w:i/>
        </w:rPr>
        <w:t>et al</w:t>
      </w:r>
      <w:r w:rsidRPr="00977321">
        <w:rPr>
          <w:rFonts w:asciiTheme="minorHAnsi" w:hAnsiTheme="minorHAnsi" w:cstheme="minorHAnsi"/>
        </w:rPr>
        <w:t xml:space="preserve">., 2010. </w:t>
      </w:r>
      <w:r w:rsidRPr="002D1792">
        <w:rPr>
          <w:rFonts w:asciiTheme="minorHAnsi" w:hAnsiTheme="minorHAnsi" w:cstheme="minorHAnsi"/>
          <w:i/>
        </w:rPr>
        <w:t>Fair Society, Healthy Lives: The Marmot Review</w:t>
      </w:r>
      <w:r w:rsidRPr="00977321">
        <w:rPr>
          <w:rFonts w:asciiTheme="minorHAnsi" w:hAnsiTheme="minorHAnsi" w:cstheme="minorHAnsi"/>
        </w:rPr>
        <w:t>. Institute of Health Equity, Uni</w:t>
      </w:r>
      <w:r>
        <w:rPr>
          <w:rFonts w:asciiTheme="minorHAnsi" w:hAnsiTheme="minorHAnsi" w:cstheme="minorHAnsi"/>
        </w:rPr>
        <w:t>t</w:t>
      </w:r>
      <w:r w:rsidRPr="00977321">
        <w:rPr>
          <w:rFonts w:asciiTheme="minorHAnsi" w:hAnsiTheme="minorHAnsi" w:cstheme="minorHAnsi"/>
        </w:rPr>
        <w:t>ed Kingdom.</w:t>
      </w:r>
    </w:p>
  </w:endnote>
  <w:endnote w:id="38">
    <w:p w14:paraId="32831535" w14:textId="77777777" w:rsidR="0000153C" w:rsidRPr="00977321" w:rsidRDefault="0000153C" w:rsidP="00C64040">
      <w:pPr>
        <w:pStyle w:val="FootnoteText"/>
        <w:widowControl w:val="0"/>
        <w:tabs>
          <w:tab w:val="left" w:pos="426"/>
        </w:tabs>
        <w:spacing w:before="0" w:after="0"/>
        <w:ind w:left="851" w:hanging="851"/>
        <w:rPr>
          <w:rFonts w:asciiTheme="minorHAnsi" w:hAnsiTheme="minorHAnsi" w:cstheme="minorHAnsi"/>
        </w:rPr>
      </w:pPr>
      <w:r w:rsidRPr="00EB6B9E">
        <w:rPr>
          <w:rStyle w:val="EndnoteReference"/>
          <w:rFonts w:asciiTheme="minorHAnsi" w:hAnsiTheme="minorHAnsi" w:cstheme="minorHAnsi"/>
          <w:lang w:val="en-AU"/>
        </w:rPr>
        <w:endnoteRef/>
      </w:r>
      <w:r w:rsidRPr="00977321">
        <w:rPr>
          <w:rFonts w:asciiTheme="minorHAnsi" w:hAnsiTheme="minorHAnsi" w:cstheme="minorHAnsi"/>
        </w:rPr>
        <w:t xml:space="preserve"> </w:t>
      </w:r>
      <w:r w:rsidRPr="00977321">
        <w:rPr>
          <w:rFonts w:asciiTheme="minorHAnsi" w:hAnsiTheme="minorHAnsi" w:cstheme="minorHAnsi"/>
          <w:lang w:val="en-AU"/>
        </w:rPr>
        <w:t xml:space="preserve">RACP, 2018. </w:t>
      </w:r>
      <w:r w:rsidRPr="002D1792">
        <w:rPr>
          <w:rFonts w:asciiTheme="minorHAnsi" w:hAnsiTheme="minorHAnsi" w:cstheme="minorHAnsi"/>
          <w:i/>
          <w:lang w:val="en-AU"/>
        </w:rPr>
        <w:t>Inequities in Child Health – Position Statement</w:t>
      </w:r>
      <w:r w:rsidRPr="00977321">
        <w:rPr>
          <w:rFonts w:asciiTheme="minorHAnsi" w:hAnsiTheme="minorHAnsi" w:cstheme="minorHAnsi"/>
          <w:lang w:val="en-AU"/>
        </w:rPr>
        <w:t>. RACP, Sydney.</w:t>
      </w:r>
    </w:p>
  </w:endnote>
  <w:endnote w:id="39">
    <w:p w14:paraId="69D15D54" w14:textId="57ACCACC" w:rsidR="0000153C" w:rsidRPr="00977321" w:rsidRDefault="0000153C" w:rsidP="00C64040">
      <w:pPr>
        <w:pStyle w:val="FootnoteText"/>
        <w:widowControl w:val="0"/>
        <w:tabs>
          <w:tab w:val="left" w:pos="426"/>
        </w:tabs>
        <w:autoSpaceDE w:val="0"/>
        <w:autoSpaceDN w:val="0"/>
        <w:adjustRightInd w:val="0"/>
        <w:spacing w:before="0" w:after="0"/>
        <w:ind w:left="851" w:hanging="851"/>
        <w:rPr>
          <w:rFonts w:asciiTheme="minorHAnsi" w:hAnsiTheme="minorHAnsi" w:cstheme="minorHAnsi"/>
        </w:rPr>
      </w:pPr>
      <w:r w:rsidRPr="00EB6B9E">
        <w:rPr>
          <w:rStyle w:val="EndnoteReference"/>
          <w:rFonts w:asciiTheme="minorHAnsi" w:hAnsiTheme="minorHAnsi" w:cstheme="minorHAnsi"/>
          <w:lang w:val="en-AU"/>
        </w:rPr>
        <w:endnoteRef/>
      </w:r>
      <w:r w:rsidRPr="00977321">
        <w:rPr>
          <w:rFonts w:asciiTheme="minorHAnsi" w:hAnsiTheme="minorHAnsi" w:cstheme="minorHAnsi"/>
        </w:rPr>
        <w:t xml:space="preserve"> </w:t>
      </w:r>
      <w:r w:rsidRPr="00977321">
        <w:rPr>
          <w:rFonts w:asciiTheme="minorHAnsi" w:hAnsiTheme="minorHAnsi" w:cstheme="minorHAnsi"/>
          <w:color w:val="1A1A1A"/>
        </w:rPr>
        <w:t>Emerson</w:t>
      </w:r>
      <w:r>
        <w:rPr>
          <w:rFonts w:asciiTheme="minorHAnsi" w:hAnsiTheme="minorHAnsi" w:cstheme="minorHAnsi"/>
          <w:color w:val="1A1A1A"/>
        </w:rPr>
        <w:t>,</w:t>
      </w:r>
      <w:r w:rsidRPr="00977321">
        <w:rPr>
          <w:rFonts w:asciiTheme="minorHAnsi" w:hAnsiTheme="minorHAnsi" w:cstheme="minorHAnsi"/>
          <w:color w:val="1A1A1A"/>
        </w:rPr>
        <w:t xml:space="preserve"> L, Fox</w:t>
      </w:r>
      <w:r>
        <w:rPr>
          <w:rFonts w:asciiTheme="minorHAnsi" w:hAnsiTheme="minorHAnsi" w:cstheme="minorHAnsi"/>
          <w:color w:val="1A1A1A"/>
        </w:rPr>
        <w:t>,</w:t>
      </w:r>
      <w:r w:rsidRPr="00977321">
        <w:rPr>
          <w:rFonts w:asciiTheme="minorHAnsi" w:hAnsiTheme="minorHAnsi" w:cstheme="minorHAnsi"/>
          <w:color w:val="1A1A1A"/>
        </w:rPr>
        <w:t xml:space="preserve"> S &amp; Smith</w:t>
      </w:r>
      <w:r>
        <w:rPr>
          <w:rFonts w:asciiTheme="minorHAnsi" w:hAnsiTheme="minorHAnsi" w:cstheme="minorHAnsi"/>
          <w:color w:val="1A1A1A"/>
        </w:rPr>
        <w:t>,</w:t>
      </w:r>
      <w:r w:rsidRPr="00977321">
        <w:rPr>
          <w:rFonts w:asciiTheme="minorHAnsi" w:hAnsiTheme="minorHAnsi" w:cstheme="minorHAnsi"/>
          <w:color w:val="1A1A1A"/>
        </w:rPr>
        <w:t xml:space="preserve"> C, 2015. </w:t>
      </w:r>
      <w:r w:rsidRPr="002D1792">
        <w:rPr>
          <w:rFonts w:asciiTheme="minorHAnsi" w:hAnsiTheme="minorHAnsi" w:cstheme="minorHAnsi"/>
          <w:i/>
          <w:iCs/>
          <w:color w:val="1A1A1A"/>
        </w:rPr>
        <w:t>Good Beginnings: Getting it right in the early years</w:t>
      </w:r>
      <w:r w:rsidRPr="00977321">
        <w:rPr>
          <w:rFonts w:asciiTheme="minorHAnsi" w:hAnsiTheme="minorHAnsi" w:cstheme="minorHAnsi"/>
          <w:color w:val="1A1A1A"/>
        </w:rPr>
        <w:t>. The Lowitja Institute, Melbourne.</w:t>
      </w:r>
    </w:p>
  </w:endnote>
  <w:endnote w:id="40">
    <w:p w14:paraId="7540EFD8"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The National Rural Health Alliance, 2019. </w:t>
      </w:r>
      <w:r w:rsidRPr="002D1792">
        <w:t>March 2019 Fact Sheet</w:t>
      </w:r>
      <w:r w:rsidRPr="00977321">
        <w:rPr>
          <w:rFonts w:asciiTheme="minorHAnsi" w:hAnsiTheme="minorHAnsi" w:cstheme="minorHAnsi"/>
        </w:rPr>
        <w:t xml:space="preserve">. </w:t>
      </w:r>
      <w:r>
        <w:rPr>
          <w:rFonts w:asciiTheme="minorHAnsi" w:hAnsiTheme="minorHAnsi" w:cstheme="minorHAnsi"/>
        </w:rPr>
        <w:t>Retrieved from &lt;</w:t>
      </w:r>
      <w:r w:rsidRPr="00C86E2C">
        <w:rPr>
          <w:rFonts w:asciiTheme="minorHAnsi" w:hAnsiTheme="minorHAnsi" w:cstheme="minorHAnsi"/>
        </w:rPr>
        <w:t>https://www.ruralhealth.org.au/sites/default/files/publications/nrha-factsheet-about-us-march-2019.pdf</w:t>
      </w:r>
      <w:r>
        <w:rPr>
          <w:rFonts w:asciiTheme="minorHAnsi" w:hAnsiTheme="minorHAnsi" w:cstheme="minorHAnsi"/>
        </w:rPr>
        <w:t>&gt;</w:t>
      </w:r>
    </w:p>
  </w:endnote>
  <w:endnote w:id="41">
    <w:p w14:paraId="573E32A5"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Pr>
          <w:rFonts w:asciiTheme="minorHAnsi" w:hAnsiTheme="minorHAnsi" w:cstheme="minorHAnsi"/>
          <w:lang w:eastAsia="en-AU"/>
        </w:rPr>
        <w:t>AIHW</w:t>
      </w:r>
      <w:r w:rsidRPr="00977321">
        <w:rPr>
          <w:rFonts w:asciiTheme="minorHAnsi" w:hAnsiTheme="minorHAnsi" w:cstheme="minorHAnsi"/>
        </w:rPr>
        <w:t xml:space="preserve">, 2019. </w:t>
      </w:r>
      <w:r w:rsidRPr="002D1792">
        <w:rPr>
          <w:i/>
        </w:rPr>
        <w:t>Rural and remote Australians</w:t>
      </w:r>
      <w:r w:rsidRPr="002D1792">
        <w:t>.</w:t>
      </w:r>
      <w:r w:rsidRPr="00977321">
        <w:rPr>
          <w:rFonts w:asciiTheme="minorHAnsi" w:hAnsiTheme="minorHAnsi" w:cstheme="minorHAnsi"/>
        </w:rPr>
        <w:t xml:space="preserve"> </w:t>
      </w:r>
      <w:r>
        <w:rPr>
          <w:rFonts w:asciiTheme="minorHAnsi" w:hAnsiTheme="minorHAnsi" w:cstheme="minorHAnsi"/>
        </w:rPr>
        <w:t>Retrieved from &lt;</w:t>
      </w:r>
      <w:r w:rsidRPr="00C86E2C">
        <w:rPr>
          <w:rFonts w:asciiTheme="minorHAnsi" w:hAnsiTheme="minorHAnsi" w:cstheme="minorHAnsi"/>
        </w:rPr>
        <w:t>https://www.aihw.gov.au/reports-data/population-groups/rural-remote-australians/overview</w:t>
      </w:r>
      <w:r>
        <w:rPr>
          <w:rFonts w:asciiTheme="minorHAnsi" w:hAnsiTheme="minorHAnsi" w:cstheme="minorHAnsi"/>
        </w:rPr>
        <w:t>&gt;</w:t>
      </w:r>
    </w:p>
  </w:endnote>
  <w:endnote w:id="42">
    <w:p w14:paraId="0829C37B" w14:textId="77777777" w:rsidR="002443E0" w:rsidRPr="00977321" w:rsidRDefault="002443E0" w:rsidP="002443E0">
      <w:pPr>
        <w:pStyle w:val="FootnoteText"/>
        <w:widowControl w:val="0"/>
        <w:tabs>
          <w:tab w:val="left" w:pos="426"/>
        </w:tabs>
        <w:autoSpaceDE w:val="0"/>
        <w:autoSpaceDN w:val="0"/>
        <w:adjustRightInd w:val="0"/>
        <w:spacing w:before="0" w:after="0"/>
        <w:ind w:left="851" w:hanging="851"/>
        <w:rPr>
          <w:rFonts w:asciiTheme="minorHAnsi" w:hAnsiTheme="minorHAnsi" w:cstheme="minorHAnsi"/>
        </w:rPr>
      </w:pPr>
      <w:r w:rsidRPr="00EB6B9E">
        <w:rPr>
          <w:rStyle w:val="EndnoteReference"/>
          <w:rFonts w:asciiTheme="minorHAnsi" w:hAnsiTheme="minorHAnsi" w:cstheme="minorHAnsi"/>
          <w:lang w:val="en-AU"/>
        </w:rPr>
        <w:endnoteRef/>
      </w:r>
      <w:r w:rsidRPr="00EB6B9E">
        <w:rPr>
          <w:rStyle w:val="EndnoteReference"/>
          <w:lang w:val="en-AU"/>
        </w:rPr>
        <w:t xml:space="preserve"> </w:t>
      </w:r>
      <w:r w:rsidRPr="00977321">
        <w:rPr>
          <w:rFonts w:asciiTheme="minorHAnsi" w:hAnsiTheme="minorHAnsi" w:cstheme="minorHAnsi"/>
        </w:rPr>
        <w:t>AIHW</w:t>
      </w:r>
      <w:r>
        <w:rPr>
          <w:rFonts w:asciiTheme="minorHAnsi" w:hAnsiTheme="minorHAnsi" w:cstheme="minorHAnsi"/>
        </w:rPr>
        <w:t>,</w:t>
      </w:r>
      <w:r w:rsidRPr="00977321">
        <w:rPr>
          <w:rFonts w:asciiTheme="minorHAnsi" w:hAnsiTheme="minorHAnsi" w:cstheme="minorHAnsi"/>
        </w:rPr>
        <w:t xml:space="preserve"> 2015. </w:t>
      </w:r>
      <w:r w:rsidRPr="002D1792">
        <w:rPr>
          <w:rFonts w:asciiTheme="minorHAnsi" w:hAnsiTheme="minorHAnsi" w:cstheme="minorHAnsi"/>
          <w:i/>
        </w:rPr>
        <w:t>The health and welfare of Australia’s Aboriginal and Torres Strait Islander peoples 2015</w:t>
      </w:r>
      <w:r w:rsidRPr="00977321">
        <w:rPr>
          <w:rFonts w:asciiTheme="minorHAnsi" w:hAnsiTheme="minorHAnsi" w:cstheme="minorHAnsi"/>
        </w:rPr>
        <w:t>. Cat. no. IHW 147</w:t>
      </w:r>
      <w:r>
        <w:rPr>
          <w:rFonts w:asciiTheme="minorHAnsi" w:hAnsiTheme="minorHAnsi" w:cstheme="minorHAnsi"/>
        </w:rPr>
        <w:t xml:space="preserve">. </w:t>
      </w:r>
      <w:r w:rsidRPr="00977321">
        <w:rPr>
          <w:rFonts w:asciiTheme="minorHAnsi" w:hAnsiTheme="minorHAnsi" w:cstheme="minorHAnsi"/>
        </w:rPr>
        <w:t>AIHW</w:t>
      </w:r>
      <w:r>
        <w:rPr>
          <w:rFonts w:asciiTheme="minorHAnsi" w:hAnsiTheme="minorHAnsi" w:cstheme="minorHAnsi"/>
        </w:rPr>
        <w:t>, Canberra.</w:t>
      </w:r>
    </w:p>
  </w:endnote>
  <w:endnote w:id="43">
    <w:p w14:paraId="453CE980" w14:textId="77777777" w:rsidR="002443E0" w:rsidRPr="00EB6B9E" w:rsidRDefault="002443E0" w:rsidP="002443E0">
      <w:pPr>
        <w:pStyle w:val="EndnoteText"/>
        <w:spacing w:before="0" w:after="0"/>
        <w:ind w:left="851" w:hanging="851"/>
      </w:pPr>
      <w:r>
        <w:rPr>
          <w:rStyle w:val="EndnoteReference"/>
        </w:rPr>
        <w:endnoteRef/>
      </w:r>
      <w:r>
        <w:t xml:space="preserve"> </w:t>
      </w:r>
      <w:r w:rsidRPr="00977321">
        <w:rPr>
          <w:rFonts w:asciiTheme="minorHAnsi" w:hAnsiTheme="minorHAnsi" w:cstheme="minorHAnsi"/>
        </w:rPr>
        <w:t>Davidson</w:t>
      </w:r>
      <w:r>
        <w:rPr>
          <w:rFonts w:asciiTheme="minorHAnsi" w:hAnsiTheme="minorHAnsi" w:cstheme="minorHAnsi"/>
        </w:rPr>
        <w:t>,</w:t>
      </w:r>
      <w:r w:rsidRPr="00977321">
        <w:rPr>
          <w:rFonts w:asciiTheme="minorHAnsi" w:hAnsiTheme="minorHAnsi" w:cstheme="minorHAnsi"/>
        </w:rPr>
        <w:t xml:space="preserve"> P, Saunders</w:t>
      </w:r>
      <w:r>
        <w:rPr>
          <w:rFonts w:asciiTheme="minorHAnsi" w:hAnsiTheme="minorHAnsi" w:cstheme="minorHAnsi"/>
        </w:rPr>
        <w:t>,</w:t>
      </w:r>
      <w:r w:rsidRPr="00977321">
        <w:rPr>
          <w:rFonts w:asciiTheme="minorHAnsi" w:hAnsiTheme="minorHAnsi" w:cstheme="minorHAnsi"/>
        </w:rPr>
        <w:t xml:space="preserve"> P, Bradbury</w:t>
      </w:r>
      <w:r>
        <w:rPr>
          <w:rFonts w:asciiTheme="minorHAnsi" w:hAnsiTheme="minorHAnsi" w:cstheme="minorHAnsi"/>
        </w:rPr>
        <w:t>,</w:t>
      </w:r>
      <w:r w:rsidRPr="00977321">
        <w:rPr>
          <w:rFonts w:asciiTheme="minorHAnsi" w:hAnsiTheme="minorHAnsi" w:cstheme="minorHAnsi"/>
        </w:rPr>
        <w:t xml:space="preserve"> B</w:t>
      </w:r>
      <w:r>
        <w:rPr>
          <w:rFonts w:asciiTheme="minorHAnsi" w:hAnsiTheme="minorHAnsi" w:cstheme="minorHAnsi"/>
        </w:rPr>
        <w:t>,</w:t>
      </w:r>
      <w:r w:rsidRPr="00977321">
        <w:rPr>
          <w:rFonts w:asciiTheme="minorHAnsi" w:hAnsiTheme="minorHAnsi" w:cstheme="minorHAnsi"/>
        </w:rPr>
        <w:t xml:space="preserve"> </w:t>
      </w:r>
      <w:r w:rsidRPr="00977321">
        <w:rPr>
          <w:rFonts w:asciiTheme="minorHAnsi" w:hAnsiTheme="minorHAnsi" w:cstheme="minorHAnsi"/>
          <w:i/>
        </w:rPr>
        <w:t xml:space="preserve">et al., </w:t>
      </w:r>
      <w:r w:rsidRPr="00977321">
        <w:rPr>
          <w:rFonts w:asciiTheme="minorHAnsi" w:hAnsiTheme="minorHAnsi" w:cstheme="minorHAnsi"/>
        </w:rPr>
        <w:t xml:space="preserve">2018. </w:t>
      </w:r>
      <w:r w:rsidRPr="002D1792">
        <w:rPr>
          <w:rFonts w:asciiTheme="minorHAnsi" w:hAnsiTheme="minorHAnsi" w:cstheme="minorHAnsi"/>
          <w:i/>
        </w:rPr>
        <w:t>Poverty in Australia, 2018</w:t>
      </w:r>
      <w:r w:rsidRPr="00977321">
        <w:rPr>
          <w:rFonts w:asciiTheme="minorHAnsi" w:hAnsiTheme="minorHAnsi" w:cstheme="minorHAnsi"/>
        </w:rPr>
        <w:t>. ACOSS/UNSW Poverty and Inequality Partnership Report No. 2. ACOSS, Sydney.</w:t>
      </w:r>
    </w:p>
  </w:endnote>
  <w:endnote w:id="44">
    <w:p w14:paraId="4CD6A698"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Pr>
          <w:rFonts w:asciiTheme="minorHAnsi" w:hAnsiTheme="minorHAnsi" w:cstheme="minorHAnsi"/>
        </w:rPr>
        <w:t>ibid.</w:t>
      </w:r>
    </w:p>
  </w:endnote>
  <w:endnote w:id="45">
    <w:p w14:paraId="61C1FFEA"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Yeung</w:t>
      </w:r>
      <w:r>
        <w:rPr>
          <w:rFonts w:asciiTheme="minorHAnsi" w:hAnsiTheme="minorHAnsi" w:cstheme="minorHAnsi"/>
        </w:rPr>
        <w:t>,</w:t>
      </w:r>
      <w:r w:rsidRPr="00977321">
        <w:rPr>
          <w:rFonts w:asciiTheme="minorHAnsi" w:hAnsiTheme="minorHAnsi" w:cstheme="minorHAnsi"/>
        </w:rPr>
        <w:t xml:space="preserve"> W, Kinver</w:t>
      </w:r>
      <w:r>
        <w:rPr>
          <w:rFonts w:asciiTheme="minorHAnsi" w:hAnsiTheme="minorHAnsi" w:cstheme="minorHAnsi"/>
        </w:rPr>
        <w:t>,</w:t>
      </w:r>
      <w:r w:rsidRPr="00977321">
        <w:rPr>
          <w:rFonts w:asciiTheme="minorHAnsi" w:hAnsiTheme="minorHAnsi" w:cstheme="minorHAnsi"/>
        </w:rPr>
        <w:t xml:space="preserve"> M &amp; Brooks-Gunn</w:t>
      </w:r>
      <w:r>
        <w:rPr>
          <w:rFonts w:asciiTheme="minorHAnsi" w:hAnsiTheme="minorHAnsi" w:cstheme="minorHAnsi"/>
        </w:rPr>
        <w:t>,</w:t>
      </w:r>
      <w:r w:rsidRPr="00977321">
        <w:rPr>
          <w:rFonts w:asciiTheme="minorHAnsi" w:hAnsiTheme="minorHAnsi" w:cstheme="minorHAnsi"/>
        </w:rPr>
        <w:t xml:space="preserve"> J, 2002. How money matters for young children’s development: Parental investment and family processes. </w:t>
      </w:r>
      <w:r w:rsidRPr="002D1792">
        <w:rPr>
          <w:rFonts w:asciiTheme="minorHAnsi" w:hAnsiTheme="minorHAnsi" w:cstheme="minorHAnsi"/>
          <w:i/>
        </w:rPr>
        <w:t>Child Development</w:t>
      </w:r>
      <w:r w:rsidRPr="00977321">
        <w:rPr>
          <w:rFonts w:asciiTheme="minorHAnsi" w:hAnsiTheme="minorHAnsi" w:cstheme="minorHAnsi"/>
        </w:rPr>
        <w:t>, 73 (6), 1861-79.</w:t>
      </w:r>
      <w:r w:rsidRPr="00423A4B">
        <w:rPr>
          <w:rFonts w:ascii="Source Sans Pro" w:eastAsia="Times New Roman" w:hAnsi="Source Sans Pro" w:cs="Times New Roman"/>
          <w:color w:val="3A3A3A"/>
          <w:sz w:val="23"/>
          <w:szCs w:val="23"/>
          <w:shd w:val="clear" w:color="auto" w:fill="FFFFFF"/>
        </w:rPr>
        <w:t xml:space="preserve"> </w:t>
      </w:r>
      <w:r w:rsidRPr="00423A4B">
        <w:rPr>
          <w:rFonts w:asciiTheme="minorHAnsi" w:hAnsiTheme="minorHAnsi" w:cstheme="minorHAnsi"/>
        </w:rPr>
        <w:t>https://doi.org/10.1111/1467-8624.t01-1-00511</w:t>
      </w:r>
    </w:p>
  </w:endnote>
  <w:endnote w:id="46">
    <w:p w14:paraId="6A83A705"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Redmond</w:t>
      </w:r>
      <w:r>
        <w:rPr>
          <w:rFonts w:asciiTheme="minorHAnsi" w:hAnsiTheme="minorHAnsi" w:cstheme="minorHAnsi"/>
        </w:rPr>
        <w:t>,</w:t>
      </w:r>
      <w:r w:rsidRPr="00977321">
        <w:rPr>
          <w:rFonts w:asciiTheme="minorHAnsi" w:hAnsiTheme="minorHAnsi" w:cstheme="minorHAnsi"/>
        </w:rPr>
        <w:t xml:space="preserve"> G, Skattebol</w:t>
      </w:r>
      <w:r>
        <w:rPr>
          <w:rFonts w:asciiTheme="minorHAnsi" w:hAnsiTheme="minorHAnsi" w:cstheme="minorHAnsi"/>
        </w:rPr>
        <w:t>,</w:t>
      </w:r>
      <w:r w:rsidRPr="00977321">
        <w:rPr>
          <w:rFonts w:asciiTheme="minorHAnsi" w:hAnsiTheme="minorHAnsi" w:cstheme="minorHAnsi"/>
        </w:rPr>
        <w:t xml:space="preserve"> J, Saunders</w:t>
      </w:r>
      <w:r>
        <w:rPr>
          <w:rFonts w:asciiTheme="minorHAnsi" w:hAnsiTheme="minorHAnsi" w:cstheme="minorHAnsi"/>
        </w:rPr>
        <w:t>,</w:t>
      </w:r>
      <w:r w:rsidRPr="00977321">
        <w:rPr>
          <w:rFonts w:asciiTheme="minorHAnsi" w:hAnsiTheme="minorHAnsi" w:cstheme="minorHAnsi"/>
        </w:rPr>
        <w:t xml:space="preserve"> P</w:t>
      </w:r>
      <w:r>
        <w:rPr>
          <w:rFonts w:asciiTheme="minorHAnsi" w:hAnsiTheme="minorHAnsi" w:cstheme="minorHAnsi"/>
        </w:rPr>
        <w:t>,</w:t>
      </w:r>
      <w:r w:rsidRPr="00977321">
        <w:rPr>
          <w:rFonts w:asciiTheme="minorHAnsi" w:hAnsiTheme="minorHAnsi" w:cstheme="minorHAnsi"/>
        </w:rPr>
        <w:t xml:space="preserve"> </w:t>
      </w:r>
      <w:r w:rsidRPr="00977321">
        <w:rPr>
          <w:rFonts w:asciiTheme="minorHAnsi" w:hAnsiTheme="minorHAnsi" w:cstheme="minorHAnsi"/>
          <w:i/>
        </w:rPr>
        <w:t>et al.,</w:t>
      </w:r>
      <w:r w:rsidRPr="00977321">
        <w:rPr>
          <w:rFonts w:asciiTheme="minorHAnsi" w:hAnsiTheme="minorHAnsi" w:cstheme="minorHAnsi"/>
        </w:rPr>
        <w:t xml:space="preserve"> 2016. </w:t>
      </w:r>
      <w:r w:rsidRPr="002D1792">
        <w:rPr>
          <w:rFonts w:asciiTheme="minorHAnsi" w:hAnsiTheme="minorHAnsi" w:cstheme="minorHAnsi"/>
          <w:i/>
        </w:rPr>
        <w:t>Are the kids alright? Young Australians in their middle years: Final report of the Australian Child Wellbeing Project</w:t>
      </w:r>
      <w:r w:rsidRPr="00977321">
        <w:rPr>
          <w:rFonts w:asciiTheme="minorHAnsi" w:hAnsiTheme="minorHAnsi" w:cstheme="minorHAnsi"/>
        </w:rPr>
        <w:t>.</w:t>
      </w:r>
      <w:r>
        <w:rPr>
          <w:rFonts w:asciiTheme="minorHAnsi" w:hAnsiTheme="minorHAnsi" w:cstheme="minorHAnsi"/>
        </w:rPr>
        <w:t xml:space="preserve"> </w:t>
      </w:r>
      <w:r w:rsidRPr="00977321">
        <w:rPr>
          <w:rFonts w:asciiTheme="minorHAnsi" w:hAnsiTheme="minorHAnsi" w:cstheme="minorHAnsi"/>
        </w:rPr>
        <w:t>Flinders University, University of NSW and Australian Council for Educational Research.</w:t>
      </w:r>
    </w:p>
  </w:endnote>
  <w:endnote w:id="47">
    <w:p w14:paraId="57AB640D"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Smith, L, 2015</w:t>
      </w:r>
      <w:r w:rsidRPr="00977321">
        <w:t xml:space="preserve">. </w:t>
      </w:r>
      <w:r w:rsidRPr="002D1792">
        <w:rPr>
          <w:i/>
        </w:rPr>
        <w:t>The health outcomes of migrants: a literature review</w:t>
      </w:r>
      <w:r w:rsidRPr="00977321">
        <w:t>. Migration Council Australia.</w:t>
      </w:r>
    </w:p>
  </w:endnote>
  <w:endnote w:id="48">
    <w:p w14:paraId="1EE56656" w14:textId="2C725458" w:rsidR="002443E0" w:rsidRPr="00977321" w:rsidRDefault="002443E0" w:rsidP="009D5951">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The Victorian Foundation for Survivors of Torture (VFST),</w:t>
      </w:r>
      <w:r>
        <w:rPr>
          <w:rFonts w:asciiTheme="minorHAnsi" w:hAnsiTheme="minorHAnsi" w:cstheme="minorHAnsi"/>
        </w:rPr>
        <w:t xml:space="preserve"> 2018.</w:t>
      </w:r>
      <w:r w:rsidRPr="00977321">
        <w:rPr>
          <w:rFonts w:asciiTheme="minorHAnsi" w:hAnsiTheme="minorHAnsi" w:cstheme="minorHAnsi"/>
        </w:rPr>
        <w:t xml:space="preserve"> </w:t>
      </w:r>
      <w:r w:rsidRPr="002D1792">
        <w:rPr>
          <w:rFonts w:asciiTheme="minorHAnsi" w:hAnsiTheme="minorHAnsi" w:cstheme="minorHAnsi"/>
          <w:i/>
        </w:rPr>
        <w:t>Australian Refugee Health Practice Guide: Children</w:t>
      </w:r>
      <w:r w:rsidRPr="00977321">
        <w:rPr>
          <w:rFonts w:asciiTheme="minorHAnsi" w:hAnsiTheme="minorHAnsi" w:cstheme="minorHAnsi"/>
        </w:rPr>
        <w:t>. VFST, Victoria.</w:t>
      </w:r>
    </w:p>
  </w:endnote>
  <w:endnote w:id="49">
    <w:p w14:paraId="6193BD5E"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w:t>
      </w:r>
      <w:r w:rsidRPr="00977321">
        <w:rPr>
          <w:rFonts w:cstheme="minorHAnsi"/>
        </w:rPr>
        <w:t>Australian Child and Adolescent Trauma, Loss &amp; Grief Network</w:t>
      </w:r>
      <w:r>
        <w:rPr>
          <w:rFonts w:cstheme="minorHAnsi"/>
        </w:rPr>
        <w:t>, 2012</w:t>
      </w:r>
      <w:r w:rsidRPr="00977321">
        <w:rPr>
          <w:rFonts w:cstheme="minorHAnsi"/>
        </w:rPr>
        <w:t xml:space="preserve">. </w:t>
      </w:r>
      <w:r w:rsidRPr="002D1792">
        <w:rPr>
          <w:i/>
        </w:rPr>
        <w:t>Refugees and asylum seekers: Supporting recovery from trauma</w:t>
      </w:r>
      <w:r w:rsidRPr="00977321">
        <w:rPr>
          <w:rFonts w:cstheme="minorHAnsi"/>
        </w:rPr>
        <w:t xml:space="preserve">. </w:t>
      </w:r>
      <w:r>
        <w:rPr>
          <w:rFonts w:cstheme="minorHAnsi"/>
        </w:rPr>
        <w:t>Retrieved from &lt;</w:t>
      </w:r>
      <w:r w:rsidRPr="00423A4B">
        <w:rPr>
          <w:rFonts w:cstheme="minorHAnsi"/>
        </w:rPr>
        <w:t>http://earlytraumagrief.anu.edu.au/files/Refugee%20Tipsheet.pdf</w:t>
      </w:r>
      <w:r>
        <w:rPr>
          <w:rFonts w:cstheme="minorHAnsi"/>
        </w:rPr>
        <w:t>&gt;</w:t>
      </w:r>
    </w:p>
  </w:endnote>
  <w:endnote w:id="50">
    <w:p w14:paraId="7BD4ADF7"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VFST, 1996. </w:t>
      </w:r>
      <w:r w:rsidRPr="002D1792">
        <w:rPr>
          <w:rFonts w:asciiTheme="minorHAnsi" w:hAnsiTheme="minorHAnsi" w:cstheme="minorHAnsi"/>
          <w:i/>
        </w:rPr>
        <w:t>A Guide to working with young people who are refugees</w:t>
      </w:r>
      <w:r w:rsidRPr="00977321">
        <w:rPr>
          <w:rFonts w:asciiTheme="minorHAnsi" w:hAnsiTheme="minorHAnsi" w:cstheme="minorHAnsi"/>
        </w:rPr>
        <w:t>. VFST, Victoria.</w:t>
      </w:r>
    </w:p>
  </w:endnote>
  <w:endnote w:id="51">
    <w:p w14:paraId="2922CF5F"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Sollis, K, 2019. </w:t>
      </w:r>
      <w:r w:rsidRPr="002D1792">
        <w:rPr>
          <w:rFonts w:asciiTheme="minorHAnsi" w:hAnsiTheme="minorHAnsi" w:cstheme="minorHAnsi"/>
          <w:i/>
        </w:rPr>
        <w:t>Measuring Child Deprivation and Opportunity in Australia: Applying the Nest framework to develop a measure of deprivation and opportunity for children using the Longitudinal Study of Australian Children</w:t>
      </w:r>
      <w:r w:rsidRPr="00977321">
        <w:rPr>
          <w:rFonts w:asciiTheme="minorHAnsi" w:hAnsiTheme="minorHAnsi" w:cstheme="minorHAnsi"/>
        </w:rPr>
        <w:t>. ARACY, Canberra.</w:t>
      </w:r>
    </w:p>
  </w:endnote>
  <w:endnote w:id="52">
    <w:p w14:paraId="377A460E"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Australian Education Union (AEU), 2015. </w:t>
      </w:r>
      <w:r w:rsidRPr="002D1792">
        <w:rPr>
          <w:rFonts w:asciiTheme="minorHAnsi" w:hAnsiTheme="minorHAnsi" w:cstheme="minorHAnsi"/>
          <w:i/>
        </w:rPr>
        <w:t>State of our Schools Survey</w:t>
      </w:r>
      <w:r w:rsidRPr="00977321">
        <w:rPr>
          <w:rFonts w:asciiTheme="minorHAnsi" w:hAnsiTheme="minorHAnsi" w:cstheme="minorHAnsi"/>
        </w:rPr>
        <w:t>. AEU, Melbourne.</w:t>
      </w:r>
    </w:p>
  </w:endnote>
  <w:endnote w:id="53">
    <w:p w14:paraId="68DE590E" w14:textId="77777777" w:rsidR="002443E0" w:rsidRPr="00EC6A2A" w:rsidRDefault="002443E0" w:rsidP="002443E0">
      <w:pPr>
        <w:pStyle w:val="EndnoteText"/>
        <w:spacing w:before="0" w:after="0"/>
        <w:ind w:left="851" w:hanging="851"/>
      </w:pPr>
      <w:r>
        <w:rPr>
          <w:rStyle w:val="EndnoteReference"/>
        </w:rPr>
        <w:endnoteRef/>
      </w:r>
      <w:r>
        <w:t xml:space="preserve"> ABS, 2016. </w:t>
      </w:r>
      <w:r w:rsidRPr="002D1792">
        <w:rPr>
          <w:i/>
        </w:rPr>
        <w:t>4906.0 Personal Safety, Australia 2016</w:t>
      </w:r>
      <w:r>
        <w:t>. ABS, Canberra.</w:t>
      </w:r>
    </w:p>
  </w:endnote>
  <w:endnote w:id="54">
    <w:p w14:paraId="350B635A" w14:textId="77777777" w:rsidR="002443E0" w:rsidRPr="00E6356E" w:rsidRDefault="002443E0" w:rsidP="002443E0">
      <w:pPr>
        <w:pStyle w:val="EndnoteText"/>
        <w:widowControl w:val="0"/>
        <w:spacing w:before="0" w:after="0"/>
        <w:ind w:left="851" w:hanging="851"/>
      </w:pPr>
      <w:r w:rsidRPr="00E6356E">
        <w:rPr>
          <w:vertAlign w:val="superscript"/>
        </w:rPr>
        <w:endnoteRef/>
      </w:r>
      <w:r w:rsidRPr="00E6356E">
        <w:rPr>
          <w:vertAlign w:val="superscript"/>
        </w:rPr>
        <w:t xml:space="preserve"> </w:t>
      </w:r>
      <w:r w:rsidRPr="00E6356E">
        <w:t>AIHW, 2018. </w:t>
      </w:r>
      <w:r w:rsidRPr="002D1792">
        <w:rPr>
          <w:i/>
          <w:iCs/>
        </w:rPr>
        <w:t>Child protection Australia 2016–2017</w:t>
      </w:r>
      <w:r w:rsidRPr="00531944">
        <w:t>.</w:t>
      </w:r>
      <w:r w:rsidRPr="00E6356E">
        <w:t xml:space="preserve"> Child Welfare Series No. 68. </w:t>
      </w:r>
      <w:r w:rsidRPr="00977321">
        <w:t>Cat. no. CWS 63.</w:t>
      </w:r>
      <w:r w:rsidRPr="00E6356E">
        <w:t xml:space="preserve"> AIHW, Canberra.</w:t>
      </w:r>
    </w:p>
  </w:endnote>
  <w:endnote w:id="55">
    <w:p w14:paraId="10EF3170" w14:textId="77777777" w:rsidR="002443E0" w:rsidRPr="00E6356E" w:rsidRDefault="002443E0" w:rsidP="002443E0">
      <w:pPr>
        <w:pStyle w:val="EndnoteText"/>
        <w:widowControl w:val="0"/>
        <w:spacing w:before="0" w:after="0"/>
        <w:ind w:left="851" w:hanging="851"/>
      </w:pPr>
      <w:r w:rsidRPr="00E6356E">
        <w:rPr>
          <w:vertAlign w:val="superscript"/>
        </w:rPr>
        <w:endnoteRef/>
      </w:r>
      <w:r w:rsidRPr="00E6356E">
        <w:t xml:space="preserve"> National Children’s Commissioner, 2015. </w:t>
      </w:r>
      <w:r w:rsidRPr="002D1792">
        <w:rPr>
          <w:i/>
        </w:rPr>
        <w:t>Children’s Rights Report 2015</w:t>
      </w:r>
      <w:r w:rsidRPr="00E6356E">
        <w:t>.  Australian Human Rights Commission, Sydney.</w:t>
      </w:r>
    </w:p>
  </w:endnote>
  <w:endnote w:id="56">
    <w:p w14:paraId="434862F0" w14:textId="45FBB600" w:rsidR="002443E0" w:rsidRDefault="002443E0" w:rsidP="002443E0">
      <w:pPr>
        <w:pStyle w:val="EndnoteText"/>
        <w:widowControl w:val="0"/>
        <w:spacing w:before="0" w:after="0"/>
        <w:ind w:left="851" w:hanging="851"/>
      </w:pPr>
      <w:r w:rsidRPr="00E6356E">
        <w:rPr>
          <w:vertAlign w:val="superscript"/>
        </w:rPr>
        <w:endnoteRef/>
      </w:r>
      <w:r w:rsidRPr="00E6356E">
        <w:t xml:space="preserve"> Australian Institute of Family Studies (AIFS), 2018. </w:t>
      </w:r>
      <w:r w:rsidRPr="002D1792">
        <w:rPr>
          <w:i/>
        </w:rPr>
        <w:t>CFCA Resource Sheet - Children in care</w:t>
      </w:r>
      <w:r w:rsidRPr="00E6356E">
        <w:t>. AIFS, Melbourne.</w:t>
      </w:r>
    </w:p>
    <w:p w14:paraId="6481E51B" w14:textId="77777777" w:rsidR="009D5951" w:rsidRPr="00E6356E" w:rsidRDefault="009D5951" w:rsidP="002443E0">
      <w:pPr>
        <w:pStyle w:val="EndnoteText"/>
        <w:widowControl w:val="0"/>
        <w:spacing w:before="0" w:after="0"/>
        <w:ind w:left="851" w:hanging="851"/>
      </w:pPr>
    </w:p>
  </w:endnote>
  <w:endnote w:id="57">
    <w:p w14:paraId="4B087571" w14:textId="77777777" w:rsidR="002443E0" w:rsidRPr="00E6356E" w:rsidRDefault="002443E0" w:rsidP="002443E0">
      <w:pPr>
        <w:pStyle w:val="EndnoteText"/>
        <w:widowControl w:val="0"/>
        <w:spacing w:before="0" w:after="0"/>
        <w:ind w:left="851" w:hanging="851"/>
      </w:pPr>
      <w:r w:rsidRPr="00E6356E">
        <w:rPr>
          <w:vertAlign w:val="superscript"/>
        </w:rPr>
        <w:endnoteRef/>
      </w:r>
      <w:r w:rsidRPr="00E6356E">
        <w:rPr>
          <w:vertAlign w:val="superscript"/>
        </w:rPr>
        <w:t xml:space="preserve"> </w:t>
      </w:r>
      <w:r w:rsidRPr="00E6356E">
        <w:t>AIHW, 2018. </w:t>
      </w:r>
      <w:r w:rsidRPr="002D1792">
        <w:rPr>
          <w:i/>
          <w:iCs/>
        </w:rPr>
        <w:t>Child protection Australia 2016–2017</w:t>
      </w:r>
      <w:r w:rsidRPr="00531944">
        <w:t>. Child</w:t>
      </w:r>
      <w:r w:rsidRPr="00E6356E">
        <w:t xml:space="preserve"> Welfare Series No. 68. </w:t>
      </w:r>
      <w:r w:rsidRPr="00977321">
        <w:t>Cat. no. CWS 63.</w:t>
      </w:r>
      <w:r w:rsidRPr="00E6356E">
        <w:t xml:space="preserve"> AIHW, Canberra.</w:t>
      </w:r>
    </w:p>
  </w:endnote>
  <w:endnote w:id="58">
    <w:p w14:paraId="1E8E4B3E" w14:textId="77777777" w:rsidR="002443E0" w:rsidRPr="00E6356E" w:rsidRDefault="002443E0" w:rsidP="002443E0">
      <w:pPr>
        <w:pStyle w:val="EndnoteText"/>
        <w:widowControl w:val="0"/>
        <w:spacing w:before="0" w:after="0"/>
        <w:ind w:left="851" w:hanging="851"/>
      </w:pPr>
      <w:r w:rsidRPr="00E6356E">
        <w:rPr>
          <w:vertAlign w:val="superscript"/>
        </w:rPr>
        <w:endnoteRef/>
      </w:r>
      <w:r w:rsidRPr="00E6356E">
        <w:rPr>
          <w:vertAlign w:val="superscript"/>
        </w:rPr>
        <w:t xml:space="preserve"> </w:t>
      </w:r>
      <w:r w:rsidRPr="00E6356E">
        <w:t>Johnson</w:t>
      </w:r>
      <w:r>
        <w:t>,</w:t>
      </w:r>
      <w:r w:rsidRPr="00E6356E">
        <w:t xml:space="preserve"> G, Natalier</w:t>
      </w:r>
      <w:r>
        <w:t>,</w:t>
      </w:r>
      <w:r w:rsidRPr="00E6356E">
        <w:t xml:space="preserve"> K, Liddiard, M</w:t>
      </w:r>
      <w:r>
        <w:t>,</w:t>
      </w:r>
      <w:r w:rsidRPr="00E6356E">
        <w:t xml:space="preserve"> </w:t>
      </w:r>
      <w:r w:rsidRPr="002D1792">
        <w:rPr>
          <w:i/>
        </w:rPr>
        <w:t>et al</w:t>
      </w:r>
      <w:r w:rsidRPr="00E6356E">
        <w:t>., 2011. Out in the world with no-one: A qualitative study of the housing pathways of young people who have recently left state out-of-home care.  In Mendes, P., Johnson, G., &amp; Moslehuddin, B. (</w:t>
      </w:r>
      <w:r>
        <w:t>e</w:t>
      </w:r>
      <w:r w:rsidRPr="00E6356E">
        <w:t>ds.),</w:t>
      </w:r>
      <w:r w:rsidRPr="00E6356E">
        <w:rPr>
          <w:i/>
          <w:iCs/>
        </w:rPr>
        <w:t> </w:t>
      </w:r>
      <w:r w:rsidRPr="00531944">
        <w:rPr>
          <w:iCs/>
        </w:rPr>
        <w:t>Young people leaving state out-of-home care</w:t>
      </w:r>
      <w:r w:rsidRPr="00E6356E">
        <w:t> (pp. 116–139). Australian Scholarly Publishing, Melbourne.</w:t>
      </w:r>
    </w:p>
  </w:endnote>
  <w:endnote w:id="59">
    <w:p w14:paraId="53E93F2C" w14:textId="77777777" w:rsidR="002443E0" w:rsidRPr="00E6356E" w:rsidRDefault="002443E0" w:rsidP="002443E0">
      <w:pPr>
        <w:pStyle w:val="EndnoteText"/>
        <w:widowControl w:val="0"/>
        <w:spacing w:before="0" w:after="0"/>
        <w:ind w:left="851" w:hanging="851"/>
      </w:pPr>
      <w:r w:rsidRPr="00E6356E">
        <w:rPr>
          <w:vertAlign w:val="superscript"/>
        </w:rPr>
        <w:endnoteRef/>
      </w:r>
      <w:r w:rsidRPr="00E6356E">
        <w:t xml:space="preserve"> AIFS, Chapin Hall Center for Children University of Chicago and NSW Department of Family and Community Services (FACS), 2015. </w:t>
      </w:r>
      <w:r w:rsidRPr="002D1792">
        <w:rPr>
          <w:i/>
          <w:iCs/>
        </w:rPr>
        <w:t>Pathways of Care Longitudinal Study: Outcomes of children and young people in out-of-home care in NSW. Wave 1 baseline statistical report</w:t>
      </w:r>
      <w:r w:rsidRPr="00E6356E">
        <w:t>. FACS, Sydney.</w:t>
      </w:r>
    </w:p>
  </w:endnote>
  <w:endnote w:id="60">
    <w:p w14:paraId="362956EC" w14:textId="77777777" w:rsidR="002443E0" w:rsidRPr="00E6356E" w:rsidRDefault="002443E0" w:rsidP="002443E0">
      <w:pPr>
        <w:pStyle w:val="EndnoteText"/>
        <w:widowControl w:val="0"/>
        <w:spacing w:before="0" w:after="0"/>
        <w:ind w:left="851" w:hanging="851"/>
      </w:pPr>
      <w:r w:rsidRPr="00E6356E">
        <w:rPr>
          <w:vertAlign w:val="superscript"/>
        </w:rPr>
        <w:endnoteRef/>
      </w:r>
      <w:r w:rsidRPr="00E6356E">
        <w:t xml:space="preserve"> AIHW, 2018. </w:t>
      </w:r>
      <w:r w:rsidRPr="002D1792">
        <w:rPr>
          <w:i/>
        </w:rPr>
        <w:t>National data on the health of justice-involved young people: a feasibility study</w:t>
      </w:r>
      <w:r w:rsidRPr="00E6356E">
        <w:t>. Cat. no. JUV 125. AIHW, Canberra.</w:t>
      </w:r>
    </w:p>
  </w:endnote>
  <w:endnote w:id="61">
    <w:p w14:paraId="6AF870B3"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Casswell</w:t>
      </w:r>
      <w:r>
        <w:rPr>
          <w:rFonts w:asciiTheme="minorHAnsi" w:hAnsiTheme="minorHAnsi" w:cstheme="minorHAnsi"/>
        </w:rPr>
        <w:t>,</w:t>
      </w:r>
      <w:r w:rsidRPr="00977321">
        <w:rPr>
          <w:rFonts w:asciiTheme="minorHAnsi" w:hAnsiTheme="minorHAnsi" w:cstheme="minorHAnsi"/>
        </w:rPr>
        <w:t xml:space="preserve"> M, French</w:t>
      </w:r>
      <w:r>
        <w:rPr>
          <w:rFonts w:asciiTheme="minorHAnsi" w:hAnsiTheme="minorHAnsi" w:cstheme="minorHAnsi"/>
        </w:rPr>
        <w:t>,</w:t>
      </w:r>
      <w:r w:rsidRPr="00977321">
        <w:rPr>
          <w:rFonts w:asciiTheme="minorHAnsi" w:hAnsiTheme="minorHAnsi" w:cstheme="minorHAnsi"/>
        </w:rPr>
        <w:t xml:space="preserve"> P &amp; Rogers</w:t>
      </w:r>
      <w:r>
        <w:rPr>
          <w:rFonts w:asciiTheme="minorHAnsi" w:hAnsiTheme="minorHAnsi" w:cstheme="minorHAnsi"/>
        </w:rPr>
        <w:t>,</w:t>
      </w:r>
      <w:r w:rsidRPr="00977321">
        <w:rPr>
          <w:rFonts w:asciiTheme="minorHAnsi" w:hAnsiTheme="minorHAnsi" w:cstheme="minorHAnsi"/>
        </w:rPr>
        <w:t xml:space="preserve"> A, 2012. Distress, defiance or adaptation? A review paper of at-risk mental health states in young offenders. </w:t>
      </w:r>
      <w:r w:rsidRPr="002D1792">
        <w:rPr>
          <w:rFonts w:asciiTheme="minorHAnsi" w:hAnsiTheme="minorHAnsi" w:cstheme="minorHAnsi"/>
          <w:i/>
        </w:rPr>
        <w:t>Early Intervention in Psychiatry</w:t>
      </w:r>
      <w:r>
        <w:rPr>
          <w:rFonts w:asciiTheme="minorHAnsi" w:hAnsiTheme="minorHAnsi" w:cstheme="minorHAnsi"/>
          <w:i/>
        </w:rPr>
        <w:t>,</w:t>
      </w:r>
      <w:r w:rsidRPr="00977321">
        <w:rPr>
          <w:rFonts w:asciiTheme="minorHAnsi" w:hAnsiTheme="minorHAnsi" w:cstheme="minorHAnsi"/>
        </w:rPr>
        <w:t xml:space="preserve"> 6(3):219–28.</w:t>
      </w:r>
      <w:r>
        <w:rPr>
          <w:rFonts w:asciiTheme="minorHAnsi" w:hAnsiTheme="minorHAnsi" w:cstheme="minorHAnsi"/>
        </w:rPr>
        <w:t xml:space="preserve"> </w:t>
      </w:r>
      <w:r w:rsidRPr="00423A4B">
        <w:rPr>
          <w:rFonts w:asciiTheme="minorHAnsi" w:hAnsiTheme="minorHAnsi" w:cstheme="minorHAnsi"/>
        </w:rPr>
        <w:t>https://doi.org/10.1111/j.1751-7893.2012.00344.x</w:t>
      </w:r>
    </w:p>
  </w:endnote>
  <w:endnote w:id="62">
    <w:p w14:paraId="5808827B" w14:textId="77777777" w:rsidR="002443E0" w:rsidRPr="00977321" w:rsidRDefault="002443E0" w:rsidP="002443E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Sawyer</w:t>
      </w:r>
      <w:r>
        <w:rPr>
          <w:rFonts w:asciiTheme="minorHAnsi" w:hAnsiTheme="minorHAnsi" w:cstheme="minorHAnsi"/>
        </w:rPr>
        <w:t>,</w:t>
      </w:r>
      <w:r w:rsidRPr="00977321">
        <w:rPr>
          <w:rFonts w:asciiTheme="minorHAnsi" w:hAnsiTheme="minorHAnsi" w:cstheme="minorHAnsi"/>
        </w:rPr>
        <w:t xml:space="preserve"> M, Guidolin</w:t>
      </w:r>
      <w:r>
        <w:rPr>
          <w:rFonts w:asciiTheme="minorHAnsi" w:hAnsiTheme="minorHAnsi" w:cstheme="minorHAnsi"/>
        </w:rPr>
        <w:t>,</w:t>
      </w:r>
      <w:r w:rsidRPr="00977321">
        <w:rPr>
          <w:rFonts w:asciiTheme="minorHAnsi" w:hAnsiTheme="minorHAnsi" w:cstheme="minorHAnsi"/>
        </w:rPr>
        <w:t xml:space="preserve"> M, Schulz</w:t>
      </w:r>
      <w:r>
        <w:rPr>
          <w:rFonts w:asciiTheme="minorHAnsi" w:hAnsiTheme="minorHAnsi" w:cstheme="minorHAnsi"/>
        </w:rPr>
        <w:t>,</w:t>
      </w:r>
      <w:r w:rsidRPr="00977321">
        <w:rPr>
          <w:rFonts w:asciiTheme="minorHAnsi" w:hAnsiTheme="minorHAnsi" w:cstheme="minorHAnsi"/>
        </w:rPr>
        <w:t xml:space="preserve"> K</w:t>
      </w:r>
      <w:r>
        <w:rPr>
          <w:rFonts w:asciiTheme="minorHAnsi" w:hAnsiTheme="minorHAnsi" w:cstheme="minorHAnsi"/>
        </w:rPr>
        <w:t>,</w:t>
      </w:r>
      <w:r w:rsidRPr="00977321">
        <w:rPr>
          <w:rFonts w:asciiTheme="minorHAnsi" w:hAnsiTheme="minorHAnsi" w:cstheme="minorHAnsi"/>
        </w:rPr>
        <w:t xml:space="preserve"> </w:t>
      </w:r>
      <w:r w:rsidRPr="00977321">
        <w:rPr>
          <w:rFonts w:asciiTheme="minorHAnsi" w:hAnsiTheme="minorHAnsi" w:cstheme="minorHAnsi"/>
          <w:i/>
        </w:rPr>
        <w:t>et al.</w:t>
      </w:r>
      <w:r w:rsidRPr="00977321">
        <w:rPr>
          <w:rFonts w:asciiTheme="minorHAnsi" w:hAnsiTheme="minorHAnsi" w:cstheme="minorHAnsi"/>
        </w:rPr>
        <w:t xml:space="preserve">, 2010. The mental health and wellbeing of adolescents on remand in Australia. </w:t>
      </w:r>
      <w:r w:rsidRPr="002D1792">
        <w:rPr>
          <w:rFonts w:asciiTheme="minorHAnsi" w:hAnsiTheme="minorHAnsi" w:cstheme="minorHAnsi"/>
          <w:i/>
        </w:rPr>
        <w:t>Australian and New Zealand Journal of Psychiatry</w:t>
      </w:r>
      <w:r>
        <w:rPr>
          <w:rFonts w:asciiTheme="minorHAnsi" w:hAnsiTheme="minorHAnsi" w:cstheme="minorHAnsi"/>
        </w:rPr>
        <w:t>,</w:t>
      </w:r>
      <w:r w:rsidRPr="00977321">
        <w:rPr>
          <w:rFonts w:asciiTheme="minorHAnsi" w:hAnsiTheme="minorHAnsi" w:cstheme="minorHAnsi"/>
        </w:rPr>
        <w:t xml:space="preserve"> 44(6):551–59.</w:t>
      </w:r>
      <w:r>
        <w:rPr>
          <w:rFonts w:asciiTheme="minorHAnsi" w:hAnsiTheme="minorHAnsi" w:cstheme="minorHAnsi"/>
        </w:rPr>
        <w:t xml:space="preserve"> </w:t>
      </w:r>
      <w:r w:rsidRPr="00CB60E3">
        <w:rPr>
          <w:rFonts w:asciiTheme="minorHAnsi" w:hAnsiTheme="minorHAnsi" w:cstheme="minorHAnsi"/>
        </w:rPr>
        <w:t>https://doi.org/10.3109/00048671003601418</w:t>
      </w:r>
    </w:p>
  </w:endnote>
  <w:endnote w:id="63">
    <w:p w14:paraId="59828179" w14:textId="77777777" w:rsidR="002443E0" w:rsidRDefault="002443E0" w:rsidP="002443E0">
      <w:pPr>
        <w:pStyle w:val="EndnoteText"/>
        <w:spacing w:before="0" w:after="0"/>
        <w:ind w:left="851" w:hanging="851"/>
      </w:pPr>
      <w:r>
        <w:rPr>
          <w:rStyle w:val="EndnoteReference"/>
        </w:rPr>
        <w:endnoteRef/>
      </w:r>
      <w:r>
        <w:t xml:space="preserve"> AIHW, 2018. </w:t>
      </w:r>
      <w:r w:rsidRPr="002D1792">
        <w:rPr>
          <w:i/>
        </w:rPr>
        <w:t>Australia’s health 2018</w:t>
      </w:r>
      <w:r>
        <w:t>. Australia’s health series no. 16. AUS 221. AIHW, Canberra.</w:t>
      </w:r>
    </w:p>
  </w:endnote>
  <w:endnote w:id="64">
    <w:p w14:paraId="7EADE229" w14:textId="77777777" w:rsidR="002443E0" w:rsidRDefault="002443E0" w:rsidP="002443E0">
      <w:pPr>
        <w:pStyle w:val="EndnoteText"/>
        <w:spacing w:before="0" w:after="0"/>
        <w:ind w:left="851" w:hanging="851"/>
      </w:pPr>
      <w:r>
        <w:rPr>
          <w:rStyle w:val="EndnoteReference"/>
        </w:rPr>
        <w:endnoteRef/>
      </w:r>
      <w:r>
        <w:t xml:space="preserve"> </w:t>
      </w:r>
      <w:r w:rsidRPr="00521BB1">
        <w:t>Rosenstreich, G</w:t>
      </w:r>
      <w:r>
        <w:t xml:space="preserve">, </w:t>
      </w:r>
      <w:r w:rsidRPr="00521BB1">
        <w:t>2013</w:t>
      </w:r>
      <w:r>
        <w:t>.</w:t>
      </w:r>
      <w:r w:rsidRPr="00521BB1">
        <w:t xml:space="preserve"> </w:t>
      </w:r>
      <w:r w:rsidRPr="002D1792">
        <w:rPr>
          <w:i/>
        </w:rPr>
        <w:t>LGBTI People Mental Health and Suicide. Revised 2nd Edition</w:t>
      </w:r>
      <w:r w:rsidRPr="00521BB1">
        <w:t>. National LGBTI Health Alliance</w:t>
      </w:r>
      <w:r>
        <w:t xml:space="preserve">, </w:t>
      </w:r>
      <w:r w:rsidRPr="00521BB1">
        <w:t>Sydney</w:t>
      </w:r>
      <w:r>
        <w:t>.</w:t>
      </w:r>
    </w:p>
  </w:endnote>
  <w:endnote w:id="65">
    <w:p w14:paraId="6FCA2B9D" w14:textId="77777777" w:rsidR="002443E0" w:rsidRDefault="002443E0" w:rsidP="002443E0">
      <w:pPr>
        <w:pStyle w:val="EndnoteText"/>
        <w:spacing w:before="0" w:after="0"/>
        <w:ind w:left="851" w:hanging="851"/>
      </w:pPr>
      <w:r>
        <w:rPr>
          <w:rStyle w:val="EndnoteReference"/>
        </w:rPr>
        <w:endnoteRef/>
      </w:r>
      <w:r>
        <w:t xml:space="preserve"> Ibid.</w:t>
      </w:r>
    </w:p>
  </w:endnote>
  <w:endnote w:id="66">
    <w:p w14:paraId="39F81574" w14:textId="77777777" w:rsidR="002443E0" w:rsidRPr="00D929C7" w:rsidRDefault="002443E0" w:rsidP="002443E0">
      <w:pPr>
        <w:pStyle w:val="EndnoteText"/>
        <w:spacing w:before="0" w:after="0"/>
        <w:ind w:left="851" w:hanging="851"/>
        <w:rPr>
          <w:b/>
        </w:rPr>
      </w:pPr>
      <w:r>
        <w:rPr>
          <w:rStyle w:val="EndnoteReference"/>
        </w:rPr>
        <w:endnoteRef/>
      </w:r>
      <w:r>
        <w:t xml:space="preserve"> Flatau, P, Thielking, M, MacKenzie, D &amp; Steen, A, 2016. </w:t>
      </w:r>
      <w:r w:rsidRPr="002D1792">
        <w:rPr>
          <w:i/>
        </w:rPr>
        <w:t>The Cost of Youth Homelessness in Australia: Snapshot Report 1</w:t>
      </w:r>
      <w:r>
        <w:t xml:space="preserve">. Swinburne University of Technology, Melbourne.  </w:t>
      </w:r>
    </w:p>
  </w:endnote>
  <w:endnote w:id="67">
    <w:p w14:paraId="7D5BE0DF" w14:textId="77777777" w:rsidR="002443E0" w:rsidRDefault="002443E0" w:rsidP="002443E0">
      <w:pPr>
        <w:pStyle w:val="EndnoteText"/>
        <w:spacing w:before="0" w:after="0"/>
        <w:ind w:left="851" w:hanging="851"/>
      </w:pPr>
      <w:r>
        <w:rPr>
          <w:rStyle w:val="EndnoteReference"/>
        </w:rPr>
        <w:endnoteRef/>
      </w:r>
      <w:r>
        <w:t xml:space="preserve"> Mission Australia, 2017. </w:t>
      </w:r>
      <w:r w:rsidRPr="002D1792">
        <w:rPr>
          <w:i/>
        </w:rPr>
        <w:t>Youth mental health and homelessness report</w:t>
      </w:r>
      <w:r>
        <w:t>. Mission Australia, Sydney.</w:t>
      </w:r>
    </w:p>
  </w:endnote>
  <w:endnote w:id="68">
    <w:p w14:paraId="48CED421" w14:textId="77777777" w:rsidR="002443E0" w:rsidRPr="00D929C7" w:rsidRDefault="002443E0" w:rsidP="002443E0">
      <w:pPr>
        <w:pStyle w:val="EndnoteText"/>
        <w:spacing w:before="0" w:after="0"/>
        <w:ind w:left="851" w:hanging="851"/>
        <w:rPr>
          <w:b/>
        </w:rPr>
      </w:pPr>
      <w:r>
        <w:rPr>
          <w:rStyle w:val="EndnoteReference"/>
        </w:rPr>
        <w:endnoteRef/>
      </w:r>
      <w:r>
        <w:t xml:space="preserve"> Flatau, P, Thielking, M, MacKenzie, D &amp; Steen, A, 2016. </w:t>
      </w:r>
      <w:r w:rsidRPr="002D1792">
        <w:rPr>
          <w:i/>
        </w:rPr>
        <w:t>The Cost of Youth Homelessness in Australia: Snapshot Report 1</w:t>
      </w:r>
      <w:r>
        <w:t xml:space="preserve">. Swinburne University of Technology, Melbourne.  </w:t>
      </w:r>
    </w:p>
  </w:endnote>
  <w:endnote w:id="69">
    <w:p w14:paraId="36B7FBF5" w14:textId="2DDBFA3C" w:rsidR="0000153C" w:rsidRPr="00977321" w:rsidRDefault="0000153C" w:rsidP="00C6404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AIHW, 2015. </w:t>
      </w:r>
      <w:r w:rsidRPr="002D1792">
        <w:rPr>
          <w:i/>
        </w:rPr>
        <w:t>The health and welfare of Australia’s Aboriginal and Torres Strait Islander people</w:t>
      </w:r>
      <w:r w:rsidRPr="00977321">
        <w:rPr>
          <w:rFonts w:asciiTheme="minorHAnsi" w:hAnsiTheme="minorHAnsi" w:cstheme="minorHAnsi"/>
        </w:rPr>
        <w:t xml:space="preserve">. </w:t>
      </w:r>
      <w:r>
        <w:rPr>
          <w:rFonts w:asciiTheme="minorHAnsi" w:hAnsiTheme="minorHAnsi" w:cstheme="minorHAnsi"/>
        </w:rPr>
        <w:t>Retrieved from &lt;</w:t>
      </w:r>
      <w:r w:rsidRPr="00CB60E3">
        <w:rPr>
          <w:rFonts w:asciiTheme="minorHAnsi" w:hAnsiTheme="minorHAnsi" w:cstheme="minorHAnsi"/>
        </w:rPr>
        <w:t>https://www.aihw.gov.au/reports-data/health-welfare-overview/indigenous-health-welfare/overview</w:t>
      </w:r>
      <w:r>
        <w:rPr>
          <w:rFonts w:asciiTheme="minorHAnsi" w:hAnsiTheme="minorHAnsi" w:cstheme="minorHAnsi"/>
        </w:rPr>
        <w:t>&gt;</w:t>
      </w:r>
    </w:p>
  </w:endnote>
  <w:endnote w:id="70">
    <w:p w14:paraId="4B49BFB1" w14:textId="1FF41C21" w:rsidR="0000153C" w:rsidRPr="00977321" w:rsidRDefault="0000153C" w:rsidP="00C6404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Department of Prime Minister and Cabinet, 2019. </w:t>
      </w:r>
      <w:r w:rsidRPr="002D1792">
        <w:rPr>
          <w:i/>
        </w:rPr>
        <w:t>Closing the Gap</w:t>
      </w:r>
      <w:r w:rsidRPr="00977321">
        <w:rPr>
          <w:rFonts w:asciiTheme="minorHAnsi" w:hAnsiTheme="minorHAnsi" w:cstheme="minorHAnsi"/>
        </w:rPr>
        <w:t xml:space="preserve">. </w:t>
      </w:r>
      <w:r>
        <w:rPr>
          <w:rFonts w:asciiTheme="minorHAnsi" w:hAnsiTheme="minorHAnsi" w:cstheme="minorHAnsi"/>
        </w:rPr>
        <w:t>Retrieved from &lt;</w:t>
      </w:r>
      <w:r w:rsidRPr="00CB60E3">
        <w:rPr>
          <w:rFonts w:asciiTheme="minorHAnsi" w:hAnsiTheme="minorHAnsi" w:cstheme="minorHAnsi"/>
        </w:rPr>
        <w:t>https://closingthegap.pmc.gov.au/</w:t>
      </w:r>
      <w:r>
        <w:rPr>
          <w:rFonts w:asciiTheme="minorHAnsi" w:hAnsiTheme="minorHAnsi" w:cstheme="minorHAnsi"/>
        </w:rPr>
        <w:t>&gt;</w:t>
      </w:r>
      <w:r w:rsidRPr="00977321">
        <w:rPr>
          <w:rFonts w:asciiTheme="minorHAnsi" w:hAnsiTheme="minorHAnsi" w:cstheme="minorHAnsi"/>
        </w:rPr>
        <w:t xml:space="preserve"> </w:t>
      </w:r>
    </w:p>
  </w:endnote>
  <w:endnote w:id="71">
    <w:p w14:paraId="674BD366" w14:textId="77777777" w:rsidR="0000153C" w:rsidRPr="00EC6A2A" w:rsidRDefault="0000153C" w:rsidP="00C64040">
      <w:pPr>
        <w:pStyle w:val="EndnoteText"/>
        <w:spacing w:before="0" w:after="0"/>
        <w:ind w:left="851" w:hanging="851"/>
      </w:pPr>
      <w:r>
        <w:rPr>
          <w:rStyle w:val="EndnoteReference"/>
        </w:rPr>
        <w:endnoteRef/>
      </w:r>
      <w:r>
        <w:t xml:space="preserve"> COAG, 2009. </w:t>
      </w:r>
      <w:r w:rsidRPr="002D1792">
        <w:rPr>
          <w:i/>
        </w:rPr>
        <w:t>Investing in the Early Years – A National Early Childhood Development Strategy</w:t>
      </w:r>
      <w:r>
        <w:t>. Commonwealth of Australia, Canberra.</w:t>
      </w:r>
    </w:p>
  </w:endnote>
  <w:endnote w:id="72">
    <w:p w14:paraId="62F9D1AF" w14:textId="72E7E671" w:rsidR="0000153C" w:rsidRPr="00764501" w:rsidRDefault="0000153C" w:rsidP="00C64040">
      <w:pPr>
        <w:pStyle w:val="EndnoteText"/>
        <w:spacing w:before="0" w:after="0"/>
        <w:ind w:left="851" w:hanging="851"/>
      </w:pPr>
      <w:r>
        <w:rPr>
          <w:rStyle w:val="EndnoteReference"/>
        </w:rPr>
        <w:endnoteRef/>
      </w:r>
      <w:r>
        <w:t xml:space="preserve"> </w:t>
      </w:r>
      <w:r>
        <w:rPr>
          <w:rFonts w:asciiTheme="minorHAnsi" w:hAnsiTheme="minorHAnsi" w:cstheme="minorHAnsi"/>
        </w:rPr>
        <w:t>AHMAC</w:t>
      </w:r>
      <w:r w:rsidRPr="00977321">
        <w:rPr>
          <w:rFonts w:asciiTheme="minorHAnsi" w:hAnsiTheme="minorHAnsi" w:cstheme="minorHAnsi"/>
        </w:rPr>
        <w:t xml:space="preserve">, 2015. </w:t>
      </w:r>
      <w:r w:rsidRPr="002D1792">
        <w:rPr>
          <w:i/>
        </w:rPr>
        <w:t>Healthy Safe and Thriving: National Strategic Framework for Child and Youth Health</w:t>
      </w:r>
      <w:r w:rsidRPr="002D1792">
        <w:rPr>
          <w:rFonts w:asciiTheme="minorHAnsi" w:hAnsiTheme="minorHAnsi" w:cstheme="minorHAnsi"/>
          <w:i/>
        </w:rPr>
        <w:t>.</w:t>
      </w:r>
      <w:r w:rsidRPr="00977321">
        <w:rPr>
          <w:rFonts w:asciiTheme="minorHAnsi" w:hAnsiTheme="minorHAnsi" w:cstheme="minorHAnsi"/>
        </w:rPr>
        <w:t xml:space="preserve"> COAG Health Council.</w:t>
      </w:r>
    </w:p>
  </w:endnote>
  <w:endnote w:id="73">
    <w:p w14:paraId="5C8E1429" w14:textId="2C03F69C" w:rsidR="0000153C" w:rsidRPr="002A16E2" w:rsidRDefault="0000153C" w:rsidP="00C64040">
      <w:pPr>
        <w:pStyle w:val="EndnoteText"/>
        <w:spacing w:before="0" w:after="0"/>
        <w:ind w:left="851" w:hanging="851"/>
      </w:pPr>
      <w:r>
        <w:rPr>
          <w:rStyle w:val="EndnoteReference"/>
        </w:rPr>
        <w:endnoteRef/>
      </w:r>
      <w:r>
        <w:t xml:space="preserve"> Fox, S, Southwell, A, Stafford, N, </w:t>
      </w:r>
      <w:r w:rsidRPr="002D1792">
        <w:rPr>
          <w:i/>
        </w:rPr>
        <w:t>et al</w:t>
      </w:r>
      <w:r>
        <w:t xml:space="preserve">., 2015. </w:t>
      </w:r>
      <w:r w:rsidRPr="002D1792">
        <w:rPr>
          <w:i/>
        </w:rPr>
        <w:t>Better Systems, Better Chances: A Review of Research and Practice for Prevention and Early Intervention</w:t>
      </w:r>
      <w:r w:rsidRPr="00203B09">
        <w:t>.</w:t>
      </w:r>
      <w:r>
        <w:t xml:space="preserve"> </w:t>
      </w:r>
      <w:r w:rsidRPr="00203B09">
        <w:t>ARACY</w:t>
      </w:r>
      <w:r>
        <w:t>, Canberra</w:t>
      </w:r>
    </w:p>
  </w:endnote>
  <w:endnote w:id="74">
    <w:p w14:paraId="5D78274D" w14:textId="77777777" w:rsidR="0000153C" w:rsidRPr="004D5309" w:rsidRDefault="0000153C" w:rsidP="00C64040">
      <w:pPr>
        <w:pStyle w:val="EndnoteText"/>
        <w:spacing w:before="0" w:after="0"/>
        <w:ind w:left="851" w:hanging="851"/>
      </w:pPr>
      <w:r>
        <w:rPr>
          <w:rStyle w:val="EndnoteReference"/>
        </w:rPr>
        <w:endnoteRef/>
      </w:r>
      <w:r>
        <w:t xml:space="preserve"> ibid.</w:t>
      </w:r>
    </w:p>
  </w:endnote>
  <w:endnote w:id="75">
    <w:p w14:paraId="6588AA29" w14:textId="77777777" w:rsidR="0000153C" w:rsidRPr="004814D0" w:rsidRDefault="0000153C" w:rsidP="00C64040">
      <w:pPr>
        <w:pStyle w:val="EndnoteText"/>
        <w:spacing w:before="0" w:after="0"/>
        <w:ind w:left="851" w:hanging="851"/>
      </w:pPr>
      <w:r>
        <w:rPr>
          <w:rStyle w:val="EndnoteReference"/>
        </w:rPr>
        <w:endnoteRef/>
      </w:r>
      <w:r>
        <w:t xml:space="preserve"> Victorian Government Department of Health and Human Services, 2017. </w:t>
      </w:r>
      <w:r w:rsidRPr="002D1792">
        <w:rPr>
          <w:i/>
        </w:rPr>
        <w:t>Children and Families Research Strategy 2017-2019. Supporting the Roadmap to Reform</w:t>
      </w:r>
      <w:r>
        <w:t>. Victorian Government, Melbourne.</w:t>
      </w:r>
    </w:p>
  </w:endnote>
  <w:endnote w:id="76">
    <w:p w14:paraId="46F4C408" w14:textId="45806FB1" w:rsidR="0000153C" w:rsidRDefault="0000153C" w:rsidP="00C64040">
      <w:pPr>
        <w:pStyle w:val="EndnoteText"/>
        <w:spacing w:before="0" w:after="0"/>
        <w:ind w:left="851" w:hanging="851"/>
      </w:pPr>
      <w:r>
        <w:rPr>
          <w:rStyle w:val="EndnoteReference"/>
        </w:rPr>
        <w:endnoteRef/>
      </w:r>
      <w:r>
        <w:t xml:space="preserve"> </w:t>
      </w:r>
      <w:r>
        <w:rPr>
          <w:rFonts w:asciiTheme="minorHAnsi" w:hAnsiTheme="minorHAnsi" w:cstheme="minorHAnsi"/>
        </w:rPr>
        <w:t>AHMAC</w:t>
      </w:r>
      <w:r w:rsidRPr="00977321">
        <w:rPr>
          <w:rFonts w:asciiTheme="minorHAnsi" w:hAnsiTheme="minorHAnsi" w:cstheme="minorHAnsi"/>
        </w:rPr>
        <w:t xml:space="preserve">, 2015. </w:t>
      </w:r>
      <w:r w:rsidRPr="002D1792">
        <w:rPr>
          <w:i/>
        </w:rPr>
        <w:t>Healthy Safe and Thriving: National Strategic Framework for Child and Youth Health</w:t>
      </w:r>
      <w:r w:rsidRPr="002D1792">
        <w:rPr>
          <w:rFonts w:asciiTheme="minorHAnsi" w:hAnsiTheme="minorHAnsi" w:cstheme="minorHAnsi"/>
          <w:i/>
        </w:rPr>
        <w:t>.</w:t>
      </w:r>
      <w:r w:rsidRPr="00977321">
        <w:rPr>
          <w:rFonts w:asciiTheme="minorHAnsi" w:hAnsiTheme="minorHAnsi" w:cstheme="minorHAnsi"/>
        </w:rPr>
        <w:t xml:space="preserve"> COAG Health Council.</w:t>
      </w:r>
    </w:p>
  </w:endnote>
  <w:endnote w:id="77">
    <w:p w14:paraId="4B34206C" w14:textId="710C7BBC" w:rsidR="0000153C" w:rsidRPr="00C33CA0" w:rsidRDefault="0000153C" w:rsidP="00316D42">
      <w:pPr>
        <w:pStyle w:val="EndnoteText"/>
        <w:spacing w:before="0" w:after="0"/>
        <w:ind w:left="851" w:hanging="851"/>
      </w:pPr>
      <w:r>
        <w:rPr>
          <w:rStyle w:val="EndnoteReference"/>
        </w:rPr>
        <w:endnoteRef/>
      </w:r>
      <w:r>
        <w:t xml:space="preserve"> Arefadib, N &amp; Moore, TG, 2017. </w:t>
      </w:r>
      <w:r w:rsidRPr="002D1792">
        <w:rPr>
          <w:i/>
        </w:rPr>
        <w:t>Reporting the Health and Development of Children in Rural and Remote Australia</w:t>
      </w:r>
      <w:r w:rsidRPr="00C33CA0">
        <w:t>. The Centre for Community Child Health at the Royal Children’s Hospital and the Murdoch Children’s Research I</w:t>
      </w:r>
      <w:r w:rsidR="00316D42">
        <w:t>nstitute, Parkville, Victoria.</w:t>
      </w:r>
    </w:p>
  </w:endnote>
  <w:endnote w:id="78">
    <w:p w14:paraId="2AA8DFAD" w14:textId="77777777" w:rsidR="0000153C" w:rsidRPr="006671DE" w:rsidRDefault="0000153C" w:rsidP="00C64040">
      <w:pPr>
        <w:pStyle w:val="EndnoteText"/>
        <w:spacing w:before="0" w:after="0"/>
        <w:ind w:left="851" w:hanging="851"/>
      </w:pPr>
      <w:r>
        <w:rPr>
          <w:rStyle w:val="EndnoteReference"/>
        </w:rPr>
        <w:endnoteRef/>
      </w:r>
      <w:r>
        <w:t xml:space="preserve"> </w:t>
      </w:r>
      <w:r w:rsidRPr="006671DE">
        <w:t>Department of Health,</w:t>
      </w:r>
      <w:r>
        <w:t xml:space="preserve"> 2016.</w:t>
      </w:r>
      <w:r w:rsidRPr="006671DE">
        <w:t xml:space="preserve"> </w:t>
      </w:r>
      <w:r w:rsidRPr="002D1792">
        <w:rPr>
          <w:i/>
        </w:rPr>
        <w:t>National Framework for the Health Services for Aboriginal and Torres Strait Islander Children and Families</w:t>
      </w:r>
      <w:r>
        <w:t>.</w:t>
      </w:r>
      <w:r w:rsidRPr="006671DE">
        <w:t xml:space="preserve"> Australian Government, Canberra.</w:t>
      </w:r>
    </w:p>
  </w:endnote>
  <w:endnote w:id="79">
    <w:p w14:paraId="2B99A832" w14:textId="6B49AFD7" w:rsidR="0000153C" w:rsidRPr="006279E0" w:rsidRDefault="0000153C" w:rsidP="00C64040">
      <w:pPr>
        <w:pStyle w:val="EndnoteText"/>
        <w:spacing w:before="0" w:after="0"/>
        <w:ind w:left="851" w:hanging="851"/>
      </w:pPr>
      <w:r>
        <w:rPr>
          <w:rStyle w:val="EndnoteReference"/>
        </w:rPr>
        <w:endnoteRef/>
      </w:r>
      <w:r>
        <w:t xml:space="preserve"> </w:t>
      </w:r>
      <w:r w:rsidRPr="006279E0">
        <w:t>Moore, T, McDonald, M &amp; McHugh-Dillon, H</w:t>
      </w:r>
      <w:r>
        <w:t xml:space="preserve">, </w:t>
      </w:r>
      <w:r w:rsidRPr="006279E0">
        <w:t xml:space="preserve">2014. </w:t>
      </w:r>
      <w:r w:rsidRPr="002D1792">
        <w:rPr>
          <w:i/>
        </w:rPr>
        <w:t>Early childhood development and the social determinants of health inequities: A review of the evidence</w:t>
      </w:r>
      <w:r w:rsidRPr="006279E0">
        <w:t xml:space="preserve">. </w:t>
      </w:r>
      <w:r>
        <w:t>C</w:t>
      </w:r>
      <w:r w:rsidRPr="006279E0">
        <w:t>entre for Community Child Health at the Murdoch Children</w:t>
      </w:r>
      <w:r>
        <w:t>’</w:t>
      </w:r>
      <w:r w:rsidRPr="006279E0">
        <w:t>s Research Institute and the Royal Children’s Hospital</w:t>
      </w:r>
      <w:r>
        <w:t xml:space="preserve">, </w:t>
      </w:r>
      <w:r w:rsidRPr="006279E0">
        <w:t>Parkville, Victoria</w:t>
      </w:r>
      <w:r>
        <w:t>.</w:t>
      </w:r>
    </w:p>
  </w:endnote>
  <w:endnote w:id="80">
    <w:p w14:paraId="40D6506B" w14:textId="77777777" w:rsidR="0000153C" w:rsidRPr="004A620E" w:rsidRDefault="0000153C" w:rsidP="00C64040">
      <w:pPr>
        <w:pStyle w:val="EndnoteText"/>
        <w:spacing w:before="0" w:after="0"/>
        <w:ind w:left="851" w:hanging="851"/>
      </w:pPr>
      <w:r>
        <w:rPr>
          <w:rStyle w:val="EndnoteReference"/>
        </w:rPr>
        <w:endnoteRef/>
      </w:r>
      <w:r>
        <w:t xml:space="preserve"> ibid.</w:t>
      </w:r>
    </w:p>
  </w:endnote>
  <w:endnote w:id="81">
    <w:p w14:paraId="78D7F2EF" w14:textId="77777777" w:rsidR="0000153C" w:rsidRPr="003F52D3" w:rsidRDefault="0000153C" w:rsidP="00C64040">
      <w:pPr>
        <w:pStyle w:val="EndnoteText"/>
        <w:spacing w:before="0" w:after="0"/>
        <w:ind w:left="851" w:hanging="851"/>
      </w:pPr>
      <w:r>
        <w:rPr>
          <w:rStyle w:val="EndnoteReference"/>
        </w:rPr>
        <w:endnoteRef/>
      </w:r>
      <w:r>
        <w:t xml:space="preserve"> Arefadib, N &amp; Moore, TG, 2017. </w:t>
      </w:r>
      <w:r w:rsidRPr="002D1792">
        <w:rPr>
          <w:i/>
        </w:rPr>
        <w:t>Reporting the Health and Development of Children in Rural and Remote Australia</w:t>
      </w:r>
      <w:r w:rsidRPr="00C33CA0">
        <w:t xml:space="preserve">. The Centre for Community Child Health at the Royal Children’s Hospital and the Murdoch Children’s Research Institute, Parkville, Victoria.  </w:t>
      </w:r>
    </w:p>
  </w:endnote>
  <w:endnote w:id="82">
    <w:p w14:paraId="0F8FA168" w14:textId="77777777" w:rsidR="0000153C" w:rsidRPr="003F52D3" w:rsidRDefault="0000153C" w:rsidP="00C64040">
      <w:pPr>
        <w:pStyle w:val="EndnoteText"/>
        <w:spacing w:before="0" w:after="0"/>
        <w:ind w:left="851" w:hanging="851"/>
      </w:pPr>
      <w:r>
        <w:rPr>
          <w:rStyle w:val="EndnoteReference"/>
        </w:rPr>
        <w:endnoteRef/>
      </w:r>
      <w:r>
        <w:t xml:space="preserve"> AIHW, 2018. </w:t>
      </w:r>
      <w:r w:rsidRPr="002D1792">
        <w:rPr>
          <w:i/>
        </w:rPr>
        <w:t>Australia’s health 2018</w:t>
      </w:r>
      <w:r>
        <w:t>. Australia’s health series no. 16. AUS 221. AIHW, Canberra</w:t>
      </w:r>
    </w:p>
  </w:endnote>
  <w:endnote w:id="83">
    <w:p w14:paraId="142FB986" w14:textId="63B59519" w:rsidR="0000153C" w:rsidRPr="00977321" w:rsidRDefault="0000153C" w:rsidP="00C64040">
      <w:pPr>
        <w:pStyle w:val="EndnoteText"/>
        <w:widowControl w:val="0"/>
        <w:spacing w:before="0" w:after="0"/>
        <w:ind w:left="851" w:hanging="851"/>
        <w:rPr>
          <w:rFonts w:asciiTheme="minorHAnsi" w:hAnsiTheme="minorHAnsi" w:cstheme="minorHAnsi"/>
        </w:rPr>
      </w:pPr>
      <w:r w:rsidRPr="00977321">
        <w:rPr>
          <w:rStyle w:val="EndnoteReference"/>
          <w:rFonts w:asciiTheme="minorHAnsi" w:hAnsiTheme="minorHAnsi" w:cstheme="minorHAnsi"/>
        </w:rPr>
        <w:endnoteRef/>
      </w:r>
      <w:r w:rsidRPr="00977321">
        <w:rPr>
          <w:rFonts w:asciiTheme="minorHAnsi" w:hAnsiTheme="minorHAnsi" w:cstheme="minorHAnsi"/>
        </w:rPr>
        <w:t xml:space="preserve"> The National Rural Health Alliance, 2019. </w:t>
      </w:r>
      <w:r w:rsidRPr="002D1792">
        <w:rPr>
          <w:i/>
        </w:rPr>
        <w:t>March 2019 Fact Sheet</w:t>
      </w:r>
      <w:r w:rsidRPr="00977321">
        <w:rPr>
          <w:rFonts w:asciiTheme="minorHAnsi" w:hAnsiTheme="minorHAnsi" w:cstheme="minorHAnsi"/>
        </w:rPr>
        <w:t xml:space="preserve">. </w:t>
      </w:r>
      <w:r>
        <w:rPr>
          <w:rFonts w:asciiTheme="minorHAnsi" w:hAnsiTheme="minorHAnsi" w:cstheme="minorHAnsi"/>
        </w:rPr>
        <w:t>Retrieved from &lt;</w:t>
      </w:r>
      <w:r w:rsidRPr="003102A2">
        <w:rPr>
          <w:rFonts w:asciiTheme="minorHAnsi" w:hAnsiTheme="minorHAnsi" w:cstheme="minorHAnsi"/>
        </w:rPr>
        <w:t>https://www.ruralhealth.org.au/sites/default/files/publications/nrha-factsheet-about-us-march-2019.pdf</w:t>
      </w:r>
      <w:r>
        <w:rPr>
          <w:rFonts w:asciiTheme="minorHAnsi" w:hAnsiTheme="minorHAnsi" w:cstheme="minorHAnsi"/>
        </w:rPr>
        <w:t>&gt;</w:t>
      </w:r>
    </w:p>
  </w:endnote>
  <w:endnote w:id="84">
    <w:p w14:paraId="05ECF9A3" w14:textId="77777777" w:rsidR="0000153C" w:rsidRPr="00E12D85" w:rsidRDefault="0000153C" w:rsidP="00C64040">
      <w:pPr>
        <w:pStyle w:val="EndnoteText"/>
        <w:spacing w:before="0" w:after="0"/>
        <w:ind w:left="851" w:hanging="851"/>
      </w:pPr>
      <w:r>
        <w:rPr>
          <w:rStyle w:val="EndnoteReference"/>
        </w:rPr>
        <w:endnoteRef/>
      </w:r>
      <w:r>
        <w:t xml:space="preserve"> Au</w:t>
      </w:r>
      <w:r w:rsidRPr="00E12D85">
        <w:t xml:space="preserve">stralian </w:t>
      </w:r>
      <w:r>
        <w:t>C</w:t>
      </w:r>
      <w:r w:rsidRPr="00E12D85">
        <w:t>ommission</w:t>
      </w:r>
      <w:r>
        <w:t xml:space="preserve"> on Safety and Quality in Healthcare (ACSQHC), 2014. </w:t>
      </w:r>
      <w:r w:rsidRPr="002D1792">
        <w:rPr>
          <w:i/>
        </w:rPr>
        <w:t>Health literacy: Taking action to improve safety and quality</w:t>
      </w:r>
      <w:r>
        <w:t>. ACSQHC, Sydney.</w:t>
      </w:r>
    </w:p>
  </w:endnote>
  <w:endnote w:id="85">
    <w:p w14:paraId="6F319F47" w14:textId="4825D21F" w:rsidR="0000153C" w:rsidRPr="004A620E" w:rsidRDefault="0000153C" w:rsidP="00C64040">
      <w:pPr>
        <w:pStyle w:val="EndnoteText"/>
        <w:spacing w:before="0" w:after="0"/>
        <w:ind w:left="851" w:hanging="851"/>
      </w:pPr>
      <w:r>
        <w:rPr>
          <w:rStyle w:val="EndnoteReference"/>
        </w:rPr>
        <w:endnoteRef/>
      </w:r>
      <w:r>
        <w:t xml:space="preserve"> </w:t>
      </w:r>
      <w:r w:rsidRPr="006279E0">
        <w:t>Moore, T, McDonald, M &amp; McHugh-Dillon, H</w:t>
      </w:r>
      <w:r>
        <w:t xml:space="preserve">, </w:t>
      </w:r>
      <w:r w:rsidRPr="006279E0">
        <w:t xml:space="preserve">2014. </w:t>
      </w:r>
      <w:r w:rsidRPr="002D1792">
        <w:rPr>
          <w:i/>
        </w:rPr>
        <w:t>Early childhood development and the social determinants of health inequities: A review of the evidence</w:t>
      </w:r>
      <w:r w:rsidRPr="006279E0">
        <w:t xml:space="preserve">. </w:t>
      </w:r>
      <w:r>
        <w:t>C</w:t>
      </w:r>
      <w:r w:rsidRPr="006279E0">
        <w:t>entre for Community Child Health at the Murdoch Children</w:t>
      </w:r>
      <w:r>
        <w:t>’</w:t>
      </w:r>
      <w:r w:rsidRPr="006279E0">
        <w:t>s Research Institute and the Royal Children’s Hospital</w:t>
      </w:r>
      <w:r>
        <w:t xml:space="preserve">, </w:t>
      </w:r>
      <w:r w:rsidRPr="006279E0">
        <w:t>Parkville, Victoria</w:t>
      </w:r>
      <w:r>
        <w:t>.</w:t>
      </w:r>
    </w:p>
  </w:endnote>
  <w:endnote w:id="86">
    <w:p w14:paraId="5DB8686B" w14:textId="77777777" w:rsidR="0000153C" w:rsidRPr="00E12D85" w:rsidRDefault="0000153C" w:rsidP="00C64040">
      <w:pPr>
        <w:pStyle w:val="EndnoteText"/>
        <w:spacing w:before="0" w:after="0"/>
        <w:ind w:left="851" w:hanging="851"/>
      </w:pPr>
      <w:r>
        <w:rPr>
          <w:rStyle w:val="EndnoteReference"/>
        </w:rPr>
        <w:endnoteRef/>
      </w:r>
      <w:r>
        <w:t xml:space="preserve"> </w:t>
      </w:r>
      <w:r w:rsidRPr="006671DE">
        <w:t>Department of Health,</w:t>
      </w:r>
      <w:r>
        <w:t xml:space="preserve"> 2016.</w:t>
      </w:r>
      <w:r w:rsidRPr="006671DE">
        <w:t xml:space="preserve"> </w:t>
      </w:r>
      <w:r w:rsidRPr="002D1792">
        <w:rPr>
          <w:i/>
        </w:rPr>
        <w:t>National Framework for the Health Services for Aboriginal and Torres Strait Islander Children and Families</w:t>
      </w:r>
      <w:r>
        <w:t>.</w:t>
      </w:r>
      <w:r w:rsidRPr="006671DE">
        <w:t xml:space="preserve"> Australian Government, Canberra.</w:t>
      </w:r>
    </w:p>
  </w:endnote>
  <w:endnote w:id="87">
    <w:p w14:paraId="068AB401" w14:textId="77777777" w:rsidR="0000153C" w:rsidRPr="003A7B15" w:rsidRDefault="0000153C" w:rsidP="00C64040">
      <w:pPr>
        <w:pStyle w:val="EndnoteText"/>
        <w:spacing w:before="0" w:after="0"/>
        <w:ind w:left="851" w:hanging="851"/>
      </w:pPr>
      <w:r>
        <w:rPr>
          <w:rStyle w:val="EndnoteReference"/>
        </w:rPr>
        <w:endnoteRef/>
      </w:r>
      <w:r>
        <w:t xml:space="preserve"> </w:t>
      </w:r>
      <w:r w:rsidRPr="006671DE">
        <w:t>Department of Health,</w:t>
      </w:r>
      <w:r>
        <w:t xml:space="preserve"> 2016.</w:t>
      </w:r>
      <w:r w:rsidRPr="006671DE">
        <w:t xml:space="preserve"> </w:t>
      </w:r>
      <w:r w:rsidRPr="002D1792">
        <w:rPr>
          <w:i/>
        </w:rPr>
        <w:t>National Framework for the Health Services for Aboriginal and Torres Strait Islander Children and Families</w:t>
      </w:r>
      <w:r>
        <w:t>.</w:t>
      </w:r>
      <w:r w:rsidRPr="006671DE">
        <w:t xml:space="preserve"> Australian Government, Canberra.</w:t>
      </w:r>
    </w:p>
  </w:endnote>
  <w:endnote w:id="88">
    <w:p w14:paraId="122849C1" w14:textId="77777777" w:rsidR="0000153C" w:rsidRPr="006279E0" w:rsidRDefault="0000153C" w:rsidP="00C64040">
      <w:pPr>
        <w:pStyle w:val="EndnoteText"/>
        <w:spacing w:before="0" w:after="0"/>
        <w:ind w:left="851" w:hanging="851"/>
      </w:pPr>
      <w:r>
        <w:rPr>
          <w:rStyle w:val="EndnoteReference"/>
        </w:rPr>
        <w:endnoteRef/>
      </w:r>
      <w:r>
        <w:t xml:space="preserve"> COAG, 2009. Investing in the Early Years – A National Early Childhood Development Strategy. Commonwealth of Australia, Canberra.</w:t>
      </w:r>
    </w:p>
  </w:endnote>
  <w:endnote w:id="89">
    <w:p w14:paraId="2EA23E37" w14:textId="77777777" w:rsidR="0000153C" w:rsidRPr="006757FF" w:rsidRDefault="0000153C" w:rsidP="00C64040">
      <w:pPr>
        <w:pStyle w:val="EndnoteText"/>
        <w:spacing w:before="0" w:after="0"/>
        <w:ind w:left="851" w:hanging="851"/>
      </w:pPr>
      <w:r>
        <w:rPr>
          <w:rStyle w:val="EndnoteReference"/>
        </w:rPr>
        <w:endnoteRef/>
      </w:r>
      <w:r>
        <w:t xml:space="preserve"> Fox, S, Southwell, A, Stafford, N, </w:t>
      </w:r>
      <w:r w:rsidRPr="002D1792">
        <w:rPr>
          <w:i/>
        </w:rPr>
        <w:t>et al.</w:t>
      </w:r>
      <w:r>
        <w:t>, 2015</w:t>
      </w:r>
      <w:r w:rsidRPr="002D1792">
        <w:rPr>
          <w:i/>
        </w:rPr>
        <w:t>. Better Systems, Better Chances: A Review of Research and Practice for Prevention and Early Intervention</w:t>
      </w:r>
      <w:r w:rsidRPr="00203B09">
        <w:t>.</w:t>
      </w:r>
      <w:r>
        <w:t xml:space="preserve"> </w:t>
      </w:r>
      <w:r w:rsidRPr="00203B09">
        <w:t>ARACY</w:t>
      </w:r>
      <w:r>
        <w:t>, Canberra</w:t>
      </w:r>
    </w:p>
  </w:endnote>
  <w:endnote w:id="90">
    <w:p w14:paraId="21399A4D" w14:textId="4BA25DDB" w:rsidR="0000153C" w:rsidRPr="00FF5ED4" w:rsidRDefault="0000153C" w:rsidP="00C64040">
      <w:pPr>
        <w:pStyle w:val="EndnoteText"/>
        <w:spacing w:before="0" w:after="0"/>
        <w:ind w:left="851" w:hanging="851"/>
      </w:pPr>
      <w:r>
        <w:rPr>
          <w:rStyle w:val="EndnoteReference"/>
        </w:rPr>
        <w:endnoteRef/>
      </w:r>
      <w:r>
        <w:t xml:space="preserve"> Taylor, CT, Jose, K, Christensen, D &amp; Van de Lageweg, WI, 2015. </w:t>
      </w:r>
      <w:r w:rsidRPr="002D1792">
        <w:rPr>
          <w:i/>
        </w:rPr>
        <w:t>Engaging, supporting and working with children and families in Tasmania’s Child and Family Centres. Report on the impact of Centres on parents’ use and experiences of services and supports in the Early Years</w:t>
      </w:r>
      <w:r>
        <w:t>. Telethon Kids Institute, Perth.</w:t>
      </w:r>
    </w:p>
  </w:endnote>
  <w:endnote w:id="91">
    <w:p w14:paraId="39E1390A" w14:textId="77777777" w:rsidR="0000153C" w:rsidRPr="00E16EDB" w:rsidRDefault="0000153C" w:rsidP="00C64040">
      <w:pPr>
        <w:pStyle w:val="EndnoteText"/>
        <w:spacing w:before="0" w:after="0"/>
        <w:ind w:left="851" w:hanging="851"/>
      </w:pPr>
      <w:r>
        <w:rPr>
          <w:rStyle w:val="EndnoteReference"/>
        </w:rPr>
        <w:endnoteRef/>
      </w:r>
      <w:r>
        <w:t xml:space="preserve"> </w:t>
      </w:r>
      <w:r w:rsidRPr="006279E0">
        <w:t>Moore, T, McDonald, M</w:t>
      </w:r>
      <w:r>
        <w:t>,</w:t>
      </w:r>
      <w:r w:rsidRPr="006279E0">
        <w:t xml:space="preserve"> &amp; McHugh-Dillon, H</w:t>
      </w:r>
      <w:r>
        <w:t xml:space="preserve">, </w:t>
      </w:r>
      <w:r w:rsidRPr="006279E0">
        <w:t xml:space="preserve">2014. </w:t>
      </w:r>
      <w:r w:rsidRPr="002D1792">
        <w:rPr>
          <w:i/>
        </w:rPr>
        <w:t>Early childhood development and the social determinants of health inequities: A review of the evidence</w:t>
      </w:r>
      <w:r w:rsidRPr="006279E0">
        <w:t xml:space="preserve">. </w:t>
      </w:r>
      <w:r>
        <w:t>C</w:t>
      </w:r>
      <w:r w:rsidRPr="006279E0">
        <w:t>entre for Community Child Health at the Murdoch Children</w:t>
      </w:r>
      <w:r>
        <w:t>’</w:t>
      </w:r>
      <w:r w:rsidRPr="006279E0">
        <w:t>s Research Institute and the Royal Children’s Hospital</w:t>
      </w:r>
      <w:r>
        <w:t xml:space="preserve">, </w:t>
      </w:r>
      <w:r w:rsidRPr="006279E0">
        <w:t>Parkville, Victoria</w:t>
      </w:r>
      <w:r>
        <w:t>.</w:t>
      </w:r>
    </w:p>
  </w:endnote>
  <w:endnote w:id="92">
    <w:p w14:paraId="10560FE6" w14:textId="2EF76EB4" w:rsidR="0000153C" w:rsidRPr="00D94589" w:rsidRDefault="0000153C" w:rsidP="00C64040">
      <w:pPr>
        <w:pStyle w:val="EndnoteText"/>
        <w:spacing w:before="0" w:after="0"/>
        <w:ind w:left="851" w:hanging="851"/>
      </w:pPr>
      <w:r>
        <w:rPr>
          <w:rStyle w:val="EndnoteReference"/>
        </w:rPr>
        <w:endnoteRef/>
      </w:r>
      <w:r>
        <w:t xml:space="preserve"> </w:t>
      </w:r>
      <w:r w:rsidRPr="00350147">
        <w:t>Wilks, S, Lahausse, J &amp; Edwards, B</w:t>
      </w:r>
      <w:r>
        <w:t>,</w:t>
      </w:r>
      <w:r w:rsidRPr="00350147">
        <w:t xml:space="preserve"> 2015</w:t>
      </w:r>
      <w:r w:rsidRPr="002D1792">
        <w:rPr>
          <w:i/>
        </w:rPr>
        <w:t>. Commonwealth Place-Based Service Delivery Initiatives: Key Learnings project (Research Report No. 32)</w:t>
      </w:r>
      <w:r w:rsidRPr="00350147">
        <w:t>. Australian Institute of Family Studies</w:t>
      </w:r>
      <w:r>
        <w:t xml:space="preserve"> (AIFS), </w:t>
      </w:r>
      <w:r w:rsidRPr="00350147">
        <w:t>Melbourne</w:t>
      </w:r>
      <w:r>
        <w:t>.</w:t>
      </w:r>
    </w:p>
  </w:endnote>
  <w:endnote w:id="93">
    <w:p w14:paraId="50ACA72C" w14:textId="77777777" w:rsidR="0000153C" w:rsidRPr="00B75672" w:rsidRDefault="0000153C" w:rsidP="00C64040">
      <w:pPr>
        <w:pStyle w:val="EndnoteText"/>
        <w:spacing w:before="0" w:after="0"/>
        <w:ind w:left="851" w:hanging="851"/>
      </w:pPr>
      <w:r>
        <w:rPr>
          <w:rStyle w:val="EndnoteReference"/>
        </w:rPr>
        <w:endnoteRef/>
      </w:r>
      <w:r>
        <w:t xml:space="preserve"> Arefadib, N &amp; Moore, TG, 2017. </w:t>
      </w:r>
      <w:r w:rsidRPr="002D1792">
        <w:rPr>
          <w:i/>
        </w:rPr>
        <w:t>Reporting the Health and Development of Children in Rural and Remote Australia</w:t>
      </w:r>
      <w:r w:rsidRPr="00C33CA0">
        <w:t xml:space="preserve">. The Centre for Community Child Health at the Royal Children’s Hospital and the Murdoch Children’s Research Institute, Parkville, Victoria.  </w:t>
      </w:r>
    </w:p>
  </w:endnote>
  <w:endnote w:id="94">
    <w:p w14:paraId="0A961ACE" w14:textId="655EC88E" w:rsidR="0000153C" w:rsidRPr="003036F0" w:rsidRDefault="0000153C" w:rsidP="00C64040">
      <w:pPr>
        <w:pStyle w:val="EndnoteText"/>
        <w:spacing w:before="0" w:after="0"/>
        <w:ind w:left="851" w:hanging="851"/>
      </w:pPr>
      <w:r>
        <w:rPr>
          <w:rStyle w:val="EndnoteReference"/>
        </w:rPr>
        <w:endnoteRef/>
      </w:r>
      <w:r>
        <w:t xml:space="preserve"> Australian College of Rural and Remote Medicine, 2016. </w:t>
      </w:r>
      <w:hyperlink r:id="rId2" w:history="1">
        <w:r w:rsidRPr="002D1792">
          <w:rPr>
            <w:i/>
          </w:rPr>
          <w:t>Effectiveness of Telehealth Consultations</w:t>
        </w:r>
      </w:hyperlink>
      <w:r>
        <w:t>. Retrieved from &lt;</w:t>
      </w:r>
      <w:r w:rsidRPr="003102A2">
        <w:t>http://www.marathonhealth.com.au/uploads/Telehealth%20Documents/ACRRM_Effectiveness_Of_Telehealth_Consultations_v2.pdf</w:t>
      </w:r>
      <w:r>
        <w:t xml:space="preserve">&gt; </w:t>
      </w:r>
    </w:p>
  </w:endnote>
  <w:endnote w:id="95">
    <w:p w14:paraId="3B8EFFD1" w14:textId="77777777" w:rsidR="0000153C" w:rsidRPr="00B75672" w:rsidRDefault="0000153C" w:rsidP="00C64040">
      <w:pPr>
        <w:pStyle w:val="EndnoteText"/>
        <w:spacing w:before="0" w:after="0"/>
        <w:ind w:left="851" w:hanging="851"/>
      </w:pPr>
      <w:r>
        <w:rPr>
          <w:rStyle w:val="EndnoteReference"/>
        </w:rPr>
        <w:endnoteRef/>
      </w:r>
      <w:r>
        <w:t xml:space="preserve"> ACSQHC, 2014. </w:t>
      </w:r>
      <w:r w:rsidRPr="002D1792">
        <w:rPr>
          <w:i/>
        </w:rPr>
        <w:t>Health literacy: Taking action to improve safety and quality</w:t>
      </w:r>
      <w:r>
        <w:t>. ACSQHC, Sydney.</w:t>
      </w:r>
    </w:p>
  </w:endnote>
  <w:endnote w:id="96">
    <w:p w14:paraId="77F8CA7E" w14:textId="7DB583B7" w:rsidR="0000153C" w:rsidRPr="00740669" w:rsidRDefault="0000153C" w:rsidP="00C64040">
      <w:pPr>
        <w:pStyle w:val="EndnoteText"/>
        <w:spacing w:before="0" w:after="0"/>
        <w:ind w:left="851" w:hanging="851"/>
      </w:pPr>
      <w:r>
        <w:rPr>
          <w:rStyle w:val="EndnoteReference"/>
        </w:rPr>
        <w:endnoteRef/>
      </w:r>
      <w:r>
        <w:t xml:space="preserve"> </w:t>
      </w:r>
      <w:r w:rsidRPr="00977321">
        <w:rPr>
          <w:rFonts w:asciiTheme="minorHAnsi" w:hAnsiTheme="minorHAnsi" w:cstheme="minorHAnsi"/>
        </w:rPr>
        <w:t xml:space="preserve">RACP, 2018. </w:t>
      </w:r>
      <w:r w:rsidRPr="002D1792">
        <w:rPr>
          <w:rFonts w:asciiTheme="minorHAnsi" w:hAnsiTheme="minorHAnsi" w:cstheme="minorHAnsi"/>
          <w:i/>
        </w:rPr>
        <w:t>Inequities in Child Health – Position Statement</w:t>
      </w:r>
      <w:r w:rsidRPr="00977321">
        <w:rPr>
          <w:rFonts w:asciiTheme="minorHAnsi" w:hAnsiTheme="minorHAnsi" w:cstheme="minorHAnsi"/>
        </w:rPr>
        <w:t>. RACP, Sydney.</w:t>
      </w:r>
    </w:p>
  </w:endnote>
  <w:endnote w:id="97">
    <w:p w14:paraId="1E7D2E40" w14:textId="77777777" w:rsidR="0000153C" w:rsidRPr="00116258" w:rsidRDefault="0000153C" w:rsidP="00C64040">
      <w:pPr>
        <w:pStyle w:val="EndnoteText"/>
        <w:spacing w:before="0" w:after="0"/>
        <w:ind w:left="851" w:hanging="851"/>
      </w:pPr>
      <w:r>
        <w:rPr>
          <w:rStyle w:val="EndnoteReference"/>
        </w:rPr>
        <w:endnoteRef/>
      </w:r>
      <w:r>
        <w:t xml:space="preserve"> </w:t>
      </w:r>
      <w:r w:rsidRPr="00116258">
        <w:t xml:space="preserve">Shlonsky, A, Albers, B, Taylor, D, </w:t>
      </w:r>
      <w:r w:rsidRPr="002D1792">
        <w:rPr>
          <w:i/>
        </w:rPr>
        <w:t>et al.</w:t>
      </w:r>
      <w:r>
        <w:t xml:space="preserve">, </w:t>
      </w:r>
      <w:r w:rsidRPr="00116258">
        <w:t xml:space="preserve">2017. </w:t>
      </w:r>
      <w:r w:rsidRPr="002D1792">
        <w:rPr>
          <w:i/>
        </w:rPr>
        <w:t>Children and families evidence: Findings from six evidence gap maps (Report for Victoria Department of Health and Human Services)</w:t>
      </w:r>
      <w:r w:rsidRPr="00116258">
        <w:t>. University of Melbourne</w:t>
      </w:r>
      <w:r>
        <w:t xml:space="preserve">, </w:t>
      </w:r>
      <w:r w:rsidRPr="00116258">
        <w:t>Melbourne</w:t>
      </w:r>
      <w:r>
        <w:t>.</w:t>
      </w:r>
    </w:p>
  </w:endnote>
  <w:endnote w:id="98">
    <w:p w14:paraId="43640512" w14:textId="77777777" w:rsidR="0000153C" w:rsidRPr="00740669" w:rsidRDefault="0000153C" w:rsidP="00C64040">
      <w:pPr>
        <w:pStyle w:val="EndnoteText"/>
        <w:spacing w:before="0" w:after="0"/>
        <w:ind w:left="851" w:hanging="851"/>
      </w:pPr>
      <w:r>
        <w:rPr>
          <w:rStyle w:val="EndnoteReference"/>
        </w:rPr>
        <w:endnoteRef/>
      </w:r>
      <w:r>
        <w:t xml:space="preserve"> Australian Digital Health Agency (ADHA), 2017. </w:t>
      </w:r>
      <w:r w:rsidRPr="002D1792">
        <w:rPr>
          <w:i/>
        </w:rPr>
        <w:t>Safe, seamless and secure: evolving health and care to meet the needs of modern Australia</w:t>
      </w:r>
      <w:r w:rsidRPr="00740669">
        <w:t>.</w:t>
      </w:r>
      <w:r>
        <w:t xml:space="preserve"> </w:t>
      </w:r>
      <w:r w:rsidRPr="00740669">
        <w:t>Australia’s National Digital Health Strateg</w:t>
      </w:r>
      <w:r>
        <w:t>y. ADHA, Sydney.</w:t>
      </w:r>
    </w:p>
  </w:endnote>
  <w:endnote w:id="99">
    <w:p w14:paraId="6CDF7F7D" w14:textId="4409658F" w:rsidR="0000153C" w:rsidRPr="006D3404" w:rsidRDefault="0000153C" w:rsidP="00C64040">
      <w:pPr>
        <w:pStyle w:val="EndnoteText"/>
        <w:spacing w:before="0" w:after="0"/>
        <w:ind w:left="851" w:hanging="851"/>
      </w:pPr>
      <w:r>
        <w:rPr>
          <w:rStyle w:val="EndnoteReference"/>
        </w:rPr>
        <w:endnoteRef/>
      </w:r>
      <w:r>
        <w:t xml:space="preserve"> Zubrick, SR, Smith, GJ, Nicholson, JM, </w:t>
      </w:r>
      <w:r w:rsidRPr="002D1792">
        <w:rPr>
          <w:i/>
        </w:rPr>
        <w:t>et al.</w:t>
      </w:r>
      <w:r>
        <w:t>, 2008</w:t>
      </w:r>
      <w:r w:rsidRPr="002D1792">
        <w:rPr>
          <w:i/>
        </w:rPr>
        <w:t>. Parenting and Families in Australia. Social Policy Research Paper No. 34</w:t>
      </w:r>
      <w:r>
        <w:t>. Department of Families, Housing, Community Services and Indigenous Affairs, Canberra.</w:t>
      </w:r>
    </w:p>
  </w:endnote>
  <w:endnote w:id="100">
    <w:p w14:paraId="3C9C6E92" w14:textId="77777777" w:rsidR="0000153C" w:rsidRPr="009B728D" w:rsidRDefault="0000153C" w:rsidP="00C64040">
      <w:pPr>
        <w:pStyle w:val="EndnoteText"/>
        <w:spacing w:before="0" w:after="0"/>
        <w:ind w:left="851" w:hanging="851"/>
      </w:pPr>
      <w:r>
        <w:rPr>
          <w:rStyle w:val="EndnoteReference"/>
        </w:rPr>
        <w:endnoteRef/>
      </w:r>
      <w:r>
        <w:t xml:space="preserve"> COAG, 2009. </w:t>
      </w:r>
      <w:r w:rsidRPr="002D1792">
        <w:rPr>
          <w:i/>
        </w:rPr>
        <w:t>Investing in the Early Years – A National Early Childhood Development Strategy</w:t>
      </w:r>
      <w:r>
        <w:t>. Commonwealth of Australia, Canberra.</w:t>
      </w:r>
    </w:p>
  </w:endnote>
  <w:endnote w:id="101">
    <w:p w14:paraId="584ABB11" w14:textId="77777777" w:rsidR="0000153C" w:rsidRPr="00CD630F" w:rsidRDefault="0000153C" w:rsidP="00C64040">
      <w:pPr>
        <w:pStyle w:val="EndnoteText"/>
        <w:spacing w:before="0" w:after="0"/>
        <w:ind w:left="851" w:hanging="851"/>
      </w:pPr>
      <w:r>
        <w:rPr>
          <w:rStyle w:val="EndnoteReference"/>
        </w:rPr>
        <w:endnoteRef/>
      </w:r>
      <w:r>
        <w:t xml:space="preserve"> Fox, S, Southwell, A, Stafford, N, </w:t>
      </w:r>
      <w:r w:rsidRPr="002D1792">
        <w:rPr>
          <w:i/>
        </w:rPr>
        <w:t>et al</w:t>
      </w:r>
      <w:r>
        <w:t xml:space="preserve">., 2015. </w:t>
      </w:r>
      <w:r w:rsidRPr="002D1792">
        <w:rPr>
          <w:i/>
        </w:rPr>
        <w:t>Better Systems, Better Chances: A Review of Research and Practice for Prevention and Early Intervention</w:t>
      </w:r>
      <w:r w:rsidRPr="00203B09">
        <w:t>.</w:t>
      </w:r>
      <w:r>
        <w:t xml:space="preserve"> </w:t>
      </w:r>
      <w:r w:rsidRPr="00203B09">
        <w:t>ARACY</w:t>
      </w:r>
      <w:r>
        <w:t>, Canberra</w:t>
      </w:r>
    </w:p>
  </w:endnote>
  <w:endnote w:id="102">
    <w:p w14:paraId="45F767D2" w14:textId="77777777" w:rsidR="0000153C" w:rsidRPr="00B45CD4" w:rsidRDefault="0000153C" w:rsidP="00C64040">
      <w:pPr>
        <w:pStyle w:val="EndnoteText"/>
        <w:spacing w:before="0" w:after="0"/>
        <w:ind w:left="851" w:hanging="851"/>
      </w:pPr>
      <w:r>
        <w:rPr>
          <w:rStyle w:val="EndnoteReference"/>
        </w:rPr>
        <w:endnoteRef/>
      </w:r>
      <w:r>
        <w:t xml:space="preserve"> ibid.</w:t>
      </w:r>
    </w:p>
  </w:endnote>
  <w:endnote w:id="103">
    <w:p w14:paraId="3F56CBAA" w14:textId="77777777" w:rsidR="0000153C" w:rsidRPr="00B45CD4" w:rsidRDefault="0000153C" w:rsidP="00C64040">
      <w:pPr>
        <w:pStyle w:val="EndnoteText"/>
        <w:spacing w:before="0" w:after="0"/>
        <w:ind w:left="851" w:hanging="851"/>
      </w:pPr>
      <w:r>
        <w:rPr>
          <w:rStyle w:val="EndnoteReference"/>
        </w:rPr>
        <w:endnoteRef/>
      </w:r>
      <w:r>
        <w:t xml:space="preserve"> Zubrick, SR, Smith, GJ, Nicholson, JM, </w:t>
      </w:r>
      <w:r w:rsidRPr="002D1792">
        <w:rPr>
          <w:i/>
        </w:rPr>
        <w:t>et al</w:t>
      </w:r>
      <w:r>
        <w:t xml:space="preserve">., 2008. </w:t>
      </w:r>
      <w:r w:rsidRPr="002D1792">
        <w:rPr>
          <w:i/>
        </w:rPr>
        <w:t>Parenting and Families in Australia. Social Policy Research Paper No. 34</w:t>
      </w:r>
      <w:r>
        <w:t>. Department of Families, Housing, Community Services and Indigenous Affairs, Canberra.</w:t>
      </w:r>
    </w:p>
  </w:endnote>
  <w:endnote w:id="104">
    <w:p w14:paraId="7FD01391" w14:textId="515C622E" w:rsidR="0000153C" w:rsidRPr="00B74978" w:rsidRDefault="0000153C" w:rsidP="00C64040">
      <w:pPr>
        <w:pStyle w:val="EndnoteText"/>
        <w:spacing w:before="0" w:after="0"/>
        <w:ind w:left="851" w:hanging="851"/>
      </w:pPr>
      <w:r>
        <w:rPr>
          <w:rStyle w:val="EndnoteReference"/>
        </w:rPr>
        <w:endnoteRef/>
      </w:r>
      <w:r>
        <w:t xml:space="preserve"> AIHW, 2018. </w:t>
      </w:r>
      <w:r w:rsidRPr="002D1792">
        <w:rPr>
          <w:i/>
        </w:rPr>
        <w:t>Children’s Headline Indicators</w:t>
      </w:r>
      <w:r>
        <w:t>. Retrieved from &lt;</w:t>
      </w:r>
      <w:r w:rsidRPr="003804B7">
        <w:t>https://www.aihw.gov.au/reports/children-youth/childrens-headline-indicators/contents/17-child-abuse-neglect</w:t>
      </w:r>
      <w:r>
        <w:t xml:space="preserve">&gt; </w:t>
      </w:r>
    </w:p>
  </w:endnote>
  <w:endnote w:id="105">
    <w:p w14:paraId="6C8BA792" w14:textId="77777777" w:rsidR="0000153C" w:rsidRPr="007C664D" w:rsidRDefault="0000153C" w:rsidP="00C64040">
      <w:pPr>
        <w:pStyle w:val="EndnoteText"/>
        <w:spacing w:before="0" w:after="0"/>
        <w:ind w:left="851" w:hanging="851"/>
      </w:pPr>
      <w:r>
        <w:rPr>
          <w:rStyle w:val="EndnoteReference"/>
        </w:rPr>
        <w:endnoteRef/>
      </w:r>
      <w:r>
        <w:t xml:space="preserve"> Parenting Research Centre (PRC), 2017. </w:t>
      </w:r>
      <w:r w:rsidRPr="002D1792">
        <w:rPr>
          <w:i/>
        </w:rPr>
        <w:t>Parenting Today in Victoria: Report of Key Findings (report produced for the Department of Education and Training, Victoria)</w:t>
      </w:r>
      <w:r>
        <w:t>. PRC, Melbourne.</w:t>
      </w:r>
    </w:p>
  </w:endnote>
  <w:endnote w:id="106">
    <w:p w14:paraId="44A87CA8" w14:textId="77777777" w:rsidR="0000153C" w:rsidRPr="00134DEF" w:rsidRDefault="0000153C" w:rsidP="00C64040">
      <w:pPr>
        <w:pStyle w:val="EndnoteText"/>
        <w:spacing w:before="0" w:after="0"/>
        <w:ind w:left="851" w:hanging="851"/>
      </w:pPr>
      <w:r>
        <w:rPr>
          <w:rStyle w:val="EndnoteReference"/>
        </w:rPr>
        <w:endnoteRef/>
      </w:r>
      <w:r>
        <w:t xml:space="preserve"> AIHW, 2012. </w:t>
      </w:r>
      <w:r w:rsidRPr="002D1792">
        <w:rPr>
          <w:i/>
        </w:rPr>
        <w:t>Experience of perinatal depression: data from the 2010 Australian National Infant Feeding Survey</w:t>
      </w:r>
      <w:r>
        <w:t>. Information Paper. Cat. no. PHE 161. AIHW, Canberra.</w:t>
      </w:r>
    </w:p>
  </w:endnote>
  <w:endnote w:id="107">
    <w:p w14:paraId="0EC3132C" w14:textId="16E5D0EF" w:rsidR="0000153C" w:rsidRPr="00800107" w:rsidRDefault="0000153C" w:rsidP="00C64040">
      <w:pPr>
        <w:pStyle w:val="EndnoteText"/>
        <w:spacing w:before="0" w:after="0"/>
        <w:ind w:left="851" w:hanging="851"/>
      </w:pPr>
      <w:r>
        <w:rPr>
          <w:rStyle w:val="EndnoteReference"/>
        </w:rPr>
        <w:endnoteRef/>
      </w:r>
      <w:r>
        <w:t xml:space="preserve"> Department of Health, 2019. </w:t>
      </w:r>
      <w:r w:rsidRPr="002D1792">
        <w:rPr>
          <w:i/>
        </w:rPr>
        <w:t>Breastfeeding</w:t>
      </w:r>
      <w:r>
        <w:t>. Retrieved from &lt;</w:t>
      </w:r>
      <w:r w:rsidRPr="003804B7">
        <w:t>https://</w:t>
      </w:r>
      <w:r>
        <w:t>www.health.gov.au/breastfeeding&gt;</w:t>
      </w:r>
    </w:p>
  </w:endnote>
  <w:endnote w:id="108">
    <w:p w14:paraId="6CC3462A" w14:textId="065048A1" w:rsidR="0000153C" w:rsidRPr="009E61FF" w:rsidRDefault="0000153C" w:rsidP="00C64040">
      <w:pPr>
        <w:pStyle w:val="EndnoteText"/>
        <w:spacing w:before="0" w:after="0"/>
        <w:ind w:left="851" w:hanging="851"/>
      </w:pPr>
      <w:r w:rsidRPr="00723938">
        <w:rPr>
          <w:vertAlign w:val="superscript"/>
        </w:rPr>
        <w:endnoteRef/>
      </w:r>
      <w:r>
        <w:t xml:space="preserve"> AIHW, 2018. </w:t>
      </w:r>
      <w:r w:rsidRPr="002D1792">
        <w:rPr>
          <w:i/>
        </w:rPr>
        <w:t>Children’s Headline Indicators</w:t>
      </w:r>
      <w:r>
        <w:t>. Retrieved from &lt;</w:t>
      </w:r>
      <w:r w:rsidRPr="003804B7">
        <w:t>https://www.aihw.gov.au/reports/children-youth/childrens-headline-indicators/contents/4-breastfeeding</w:t>
      </w:r>
      <w:r>
        <w:t>&gt;</w:t>
      </w:r>
    </w:p>
  </w:endnote>
  <w:endnote w:id="109">
    <w:p w14:paraId="1A67A887" w14:textId="60518D32" w:rsidR="0000153C" w:rsidRPr="007C664D" w:rsidRDefault="0000153C" w:rsidP="00C64040">
      <w:pPr>
        <w:pStyle w:val="EndnoteText"/>
        <w:spacing w:before="0" w:after="0"/>
        <w:ind w:left="851" w:hanging="851"/>
      </w:pPr>
      <w:r>
        <w:rPr>
          <w:rStyle w:val="EndnoteReference"/>
        </w:rPr>
        <w:endnoteRef/>
      </w:r>
      <w:r>
        <w:t xml:space="preserve"> PRC, 2017. </w:t>
      </w:r>
      <w:r w:rsidRPr="002D1792">
        <w:rPr>
          <w:i/>
        </w:rPr>
        <w:t>Parenting Today in Victoria: Report of Key Findings (report produced for the Department of Education and Training, Victoria)</w:t>
      </w:r>
      <w:r>
        <w:t>. PRC, Melbourne.</w:t>
      </w:r>
    </w:p>
  </w:endnote>
  <w:endnote w:id="110">
    <w:p w14:paraId="15B912D8" w14:textId="0050D1A4" w:rsidR="0000153C" w:rsidRPr="009D0ACE" w:rsidRDefault="0000153C" w:rsidP="00C64040">
      <w:pPr>
        <w:pStyle w:val="EndnoteText"/>
        <w:spacing w:before="0" w:after="0"/>
        <w:ind w:left="851" w:hanging="851"/>
      </w:pPr>
      <w:r>
        <w:rPr>
          <w:rStyle w:val="EndnoteReference"/>
        </w:rPr>
        <w:endnoteRef/>
      </w:r>
      <w:r>
        <w:t xml:space="preserve"> AIFS, 2017. </w:t>
      </w:r>
      <w:r w:rsidRPr="002D1792">
        <w:rPr>
          <w:i/>
        </w:rPr>
        <w:t>Survey finds parents don’t always know if their kids are struggling emotionally</w:t>
      </w:r>
      <w:r>
        <w:t>. Retrieved from &lt;</w:t>
      </w:r>
      <w:r w:rsidRPr="003804B7">
        <w:t>https://aifs.gov.au/cfca/2017/09/06/survey-finds-parents-dont-always-know-if-their-kids-are-struggling-emotionally</w:t>
      </w:r>
      <w:r>
        <w:t>&gt;</w:t>
      </w:r>
    </w:p>
  </w:endnote>
  <w:endnote w:id="111">
    <w:p w14:paraId="7814AD1A" w14:textId="77777777" w:rsidR="0000153C" w:rsidRPr="00EE7652" w:rsidRDefault="0000153C" w:rsidP="00C64040">
      <w:pPr>
        <w:pStyle w:val="EndnoteText"/>
        <w:spacing w:before="0" w:after="0"/>
        <w:ind w:left="851" w:hanging="851"/>
        <w:rPr>
          <w:lang w:val="de-DE"/>
        </w:rPr>
      </w:pPr>
      <w:r w:rsidRPr="002D1792">
        <w:rPr>
          <w:rStyle w:val="EndnoteReference"/>
        </w:rPr>
        <w:endnoteRef/>
      </w:r>
      <w:r w:rsidRPr="002D1792">
        <w:t xml:space="preserve"> PRC, 2018. </w:t>
      </w:r>
      <w:r w:rsidRPr="002D1792">
        <w:rPr>
          <w:i/>
        </w:rPr>
        <w:t>Focus on Fathers. Parenting Today in Victoria</w:t>
      </w:r>
      <w:r w:rsidRPr="002D1792">
        <w:t xml:space="preserve">. </w:t>
      </w:r>
      <w:r w:rsidRPr="002D1792">
        <w:rPr>
          <w:lang w:val="de-DE"/>
        </w:rPr>
        <w:t>PRC, Melbourne.</w:t>
      </w:r>
    </w:p>
  </w:endnote>
  <w:endnote w:id="112">
    <w:p w14:paraId="4C41A6F8" w14:textId="77777777" w:rsidR="0000153C" w:rsidRPr="006D3404" w:rsidRDefault="0000153C" w:rsidP="00C64040">
      <w:pPr>
        <w:pStyle w:val="EndnoteText"/>
        <w:spacing w:before="0" w:after="0"/>
        <w:ind w:left="851" w:hanging="851"/>
      </w:pPr>
      <w:r>
        <w:rPr>
          <w:rStyle w:val="EndnoteReference"/>
        </w:rPr>
        <w:endnoteRef/>
      </w:r>
      <w:r w:rsidRPr="00EE7652">
        <w:rPr>
          <w:lang w:val="de-DE"/>
        </w:rPr>
        <w:t xml:space="preserve"> Zubrick, SR, Smith, GJ, Nicholson, JM, </w:t>
      </w:r>
      <w:r w:rsidRPr="002D1792">
        <w:rPr>
          <w:i/>
          <w:lang w:val="de-DE"/>
        </w:rPr>
        <w:t>et al</w:t>
      </w:r>
      <w:r w:rsidRPr="00EE7652">
        <w:rPr>
          <w:lang w:val="de-DE"/>
        </w:rPr>
        <w:t xml:space="preserve">., 2008. </w:t>
      </w:r>
      <w:r w:rsidRPr="002D1792">
        <w:rPr>
          <w:i/>
        </w:rPr>
        <w:t>Parenting and Families in Australia. Social Policy Research Paper No. 34</w:t>
      </w:r>
      <w:r>
        <w:t>. Department of Families, Housing, Community Services and Indigenous Affairs, Canberra.</w:t>
      </w:r>
    </w:p>
  </w:endnote>
  <w:endnote w:id="113">
    <w:p w14:paraId="0DAF60EC" w14:textId="77777777" w:rsidR="0000153C" w:rsidRDefault="0000153C" w:rsidP="00C64040">
      <w:pPr>
        <w:pStyle w:val="EndnoteText"/>
        <w:spacing w:before="0" w:after="0"/>
        <w:ind w:left="851" w:hanging="851"/>
      </w:pPr>
      <w:r>
        <w:rPr>
          <w:rStyle w:val="EndnoteReference"/>
        </w:rPr>
        <w:endnoteRef/>
      </w:r>
      <w:r>
        <w:t xml:space="preserve"> COAG, 2009. </w:t>
      </w:r>
      <w:r w:rsidRPr="002D1792">
        <w:rPr>
          <w:i/>
        </w:rPr>
        <w:t>Investing in the Early Years – A National Early Childhood Development Strategy</w:t>
      </w:r>
      <w:r>
        <w:t>. Commonwealth of Australia, Canberra.</w:t>
      </w:r>
    </w:p>
  </w:endnote>
  <w:endnote w:id="114">
    <w:p w14:paraId="1C25F5A2" w14:textId="77777777" w:rsidR="0000153C" w:rsidRDefault="0000153C" w:rsidP="00C64040">
      <w:pPr>
        <w:pStyle w:val="EndnoteText"/>
        <w:spacing w:before="0" w:after="0"/>
        <w:ind w:left="851" w:hanging="851"/>
      </w:pPr>
      <w:r>
        <w:rPr>
          <w:rStyle w:val="EndnoteReference"/>
        </w:rPr>
        <w:endnoteRef/>
      </w:r>
      <w:r>
        <w:t xml:space="preserve"> Moore, TG, Arefadib, N, Deery, A, &amp; West, S, 2017. </w:t>
      </w:r>
      <w:r w:rsidRPr="002D1792">
        <w:rPr>
          <w:i/>
        </w:rPr>
        <w:t>The First Thousand Days: An Evidence Paper</w:t>
      </w:r>
      <w:r>
        <w:t>. Centre for Community Child Health, Murdoch Children’s Research Institute, Parkville, Victoria.</w:t>
      </w:r>
    </w:p>
  </w:endnote>
  <w:endnote w:id="115">
    <w:p w14:paraId="774D0EA8" w14:textId="6C3DF984" w:rsidR="0000153C" w:rsidRDefault="0000153C" w:rsidP="00C64040">
      <w:pPr>
        <w:pStyle w:val="EndnoteText"/>
        <w:spacing w:before="0" w:after="0"/>
        <w:ind w:left="851" w:hanging="851"/>
      </w:pPr>
      <w:r>
        <w:rPr>
          <w:rStyle w:val="EndnoteReference"/>
        </w:rPr>
        <w:endnoteRef/>
      </w:r>
      <w:r>
        <w:t xml:space="preserve"> </w:t>
      </w:r>
      <w:r w:rsidRPr="001C161A">
        <w:t xml:space="preserve">Sandall J, Soltani H, Gates S, </w:t>
      </w:r>
      <w:r w:rsidRPr="002D1792">
        <w:rPr>
          <w:i/>
        </w:rPr>
        <w:t>et al</w:t>
      </w:r>
      <w:r w:rsidRPr="001C161A">
        <w:t>.</w:t>
      </w:r>
      <w:r>
        <w:t xml:space="preserve">, 2016. </w:t>
      </w:r>
      <w:r w:rsidRPr="001C161A">
        <w:t>Midwife-led continuity models of care compared with other models of care for women during pregnancy, birth and early parenting</w:t>
      </w:r>
      <w:r>
        <w:t xml:space="preserve">. </w:t>
      </w:r>
      <w:r w:rsidRPr="002D1792">
        <w:rPr>
          <w:i/>
        </w:rPr>
        <w:t>Cochrane Database of Systematic Reviews</w:t>
      </w:r>
      <w:r w:rsidRPr="001C161A">
        <w:t xml:space="preserve"> 2016, Issue 4</w:t>
      </w:r>
      <w:r>
        <w:t xml:space="preserve">. </w:t>
      </w:r>
      <w:r w:rsidRPr="00CB60E3">
        <w:rPr>
          <w:rFonts w:asciiTheme="minorHAnsi" w:hAnsiTheme="minorHAnsi" w:cstheme="minorHAnsi"/>
        </w:rPr>
        <w:t>https://</w:t>
      </w:r>
      <w:r>
        <w:t>doi:</w:t>
      </w:r>
      <w:r w:rsidRPr="00301774">
        <w:t>10.1002/14651858.CD004667.pub5.</w:t>
      </w:r>
    </w:p>
  </w:endnote>
  <w:endnote w:id="116">
    <w:p w14:paraId="623835D2" w14:textId="37872F42" w:rsidR="0000153C" w:rsidRDefault="0000153C" w:rsidP="00C64040">
      <w:pPr>
        <w:pStyle w:val="EndnoteText"/>
        <w:spacing w:before="0" w:after="0"/>
        <w:ind w:left="851" w:hanging="851"/>
      </w:pPr>
      <w:r>
        <w:rPr>
          <w:rStyle w:val="EndnoteReference"/>
        </w:rPr>
        <w:endnoteRef/>
      </w:r>
      <w:r>
        <w:t xml:space="preserve"> Goldfeld S, Price A, Smith C, </w:t>
      </w:r>
      <w:r w:rsidRPr="002D1792">
        <w:rPr>
          <w:i/>
        </w:rPr>
        <w:t>et al</w:t>
      </w:r>
      <w:r>
        <w:t xml:space="preserve">., 2019. Nurse Home Visiting for Families Experiencing Adversity: A Randomized Trial. </w:t>
      </w:r>
      <w:r w:rsidRPr="002D1792">
        <w:rPr>
          <w:i/>
        </w:rPr>
        <w:t>Pediatrics</w:t>
      </w:r>
      <w:r>
        <w:t>, 2019, 143 (1).</w:t>
      </w:r>
    </w:p>
  </w:endnote>
  <w:endnote w:id="117">
    <w:p w14:paraId="21759D9F" w14:textId="77777777" w:rsidR="0000153C" w:rsidRDefault="0000153C" w:rsidP="00C64040">
      <w:pPr>
        <w:pStyle w:val="EndnoteText"/>
        <w:spacing w:before="0" w:after="0"/>
        <w:ind w:left="851" w:hanging="851"/>
      </w:pPr>
      <w:r>
        <w:rPr>
          <w:rStyle w:val="EndnoteReference"/>
        </w:rPr>
        <w:endnoteRef/>
      </w:r>
      <w:r>
        <w:t xml:space="preserve"> The Royal Australian and New Zealand College of Obstetricians and Gynaecologists (RANZCOG), 2017. </w:t>
      </w:r>
      <w:r w:rsidRPr="002D1792">
        <w:rPr>
          <w:i/>
        </w:rPr>
        <w:t>Maternity Care in Australia: A framework for a healthy new generation of Australians</w:t>
      </w:r>
      <w:r>
        <w:t>. RANZCOG, Melbourne.</w:t>
      </w:r>
    </w:p>
  </w:endnote>
  <w:endnote w:id="118">
    <w:p w14:paraId="382C988E" w14:textId="77777777" w:rsidR="0000153C" w:rsidRDefault="0000153C" w:rsidP="00C64040">
      <w:pPr>
        <w:pStyle w:val="EndnoteText"/>
        <w:spacing w:before="0" w:after="0"/>
        <w:ind w:left="851" w:hanging="851"/>
      </w:pPr>
      <w:r>
        <w:rPr>
          <w:rStyle w:val="EndnoteReference"/>
        </w:rPr>
        <w:endnoteRef/>
      </w:r>
      <w:r>
        <w:t xml:space="preserve"> AIHW, 2018. </w:t>
      </w:r>
      <w:r w:rsidRPr="002D1792">
        <w:rPr>
          <w:i/>
        </w:rPr>
        <w:t>Australia’s mothers and babies, 2016</w:t>
      </w:r>
      <w:r>
        <w:t>. AIHW, Canberra.</w:t>
      </w:r>
    </w:p>
  </w:endnote>
  <w:endnote w:id="119">
    <w:p w14:paraId="21E5577B" w14:textId="77777777" w:rsidR="0000153C" w:rsidRDefault="0000153C" w:rsidP="00C64040">
      <w:pPr>
        <w:pStyle w:val="EndnoteText"/>
        <w:spacing w:before="0" w:after="0"/>
        <w:ind w:left="851" w:hanging="851"/>
      </w:pPr>
      <w:r>
        <w:rPr>
          <w:rStyle w:val="EndnoteReference"/>
        </w:rPr>
        <w:endnoteRef/>
      </w:r>
      <w:r>
        <w:t xml:space="preserve"> Ministerial Council for Education, Early Childhood Development and Youth Affairs (MCEECDYA), 2010. </w:t>
      </w:r>
      <w:r w:rsidRPr="002D1792">
        <w:rPr>
          <w:i/>
        </w:rPr>
        <w:t>Engaging Families in the Early Childhood Development Story</w:t>
      </w:r>
      <w:r>
        <w:t>. MCEECDYA, Melbourne.</w:t>
      </w:r>
    </w:p>
  </w:endnote>
  <w:endnote w:id="120">
    <w:p w14:paraId="7659BFA1" w14:textId="77777777" w:rsidR="0000153C" w:rsidRDefault="0000153C" w:rsidP="00C64040">
      <w:pPr>
        <w:pStyle w:val="EndnoteText"/>
        <w:spacing w:before="0" w:after="0"/>
        <w:ind w:left="851" w:hanging="851"/>
      </w:pPr>
      <w:r>
        <w:rPr>
          <w:rStyle w:val="EndnoteReference"/>
        </w:rPr>
        <w:endnoteRef/>
      </w:r>
      <w:r>
        <w:t xml:space="preserve"> PRC, 2018. </w:t>
      </w:r>
      <w:r w:rsidRPr="002D1792">
        <w:rPr>
          <w:i/>
        </w:rPr>
        <w:t>Parenting Support in the Early Years</w:t>
      </w:r>
      <w:r>
        <w:t>. PRC, Melbourne.</w:t>
      </w:r>
    </w:p>
  </w:endnote>
  <w:endnote w:id="121">
    <w:p w14:paraId="277C06BC" w14:textId="77777777" w:rsidR="0000153C" w:rsidRDefault="0000153C" w:rsidP="00C64040">
      <w:pPr>
        <w:pStyle w:val="EndnoteText"/>
        <w:spacing w:before="0" w:after="0"/>
        <w:ind w:left="851" w:hanging="851"/>
      </w:pPr>
    </w:p>
    <w:p w14:paraId="4582524E" w14:textId="77777777" w:rsidR="0000153C" w:rsidRDefault="0000153C" w:rsidP="00C64040">
      <w:pPr>
        <w:pStyle w:val="EndnoteText"/>
        <w:spacing w:before="0" w:after="0"/>
        <w:ind w:left="851" w:hanging="851"/>
      </w:pPr>
    </w:p>
    <w:p w14:paraId="6C197B4C" w14:textId="5C4E5E3E" w:rsidR="0000153C" w:rsidRDefault="0000153C" w:rsidP="00C64040">
      <w:pPr>
        <w:pStyle w:val="EndnoteText"/>
        <w:spacing w:before="0" w:after="0"/>
        <w:ind w:left="851" w:hanging="851"/>
      </w:pPr>
      <w:r>
        <w:rPr>
          <w:rStyle w:val="EndnoteReference"/>
        </w:rPr>
        <w:endnoteRef/>
      </w:r>
      <w:r>
        <w:t xml:space="preserve"> PRC, 2017</w:t>
      </w:r>
      <w:r w:rsidRPr="008D6529">
        <w:t xml:space="preserve">. </w:t>
      </w:r>
      <w:r w:rsidRPr="002D1792">
        <w:rPr>
          <w:i/>
        </w:rPr>
        <w:t>Parenting Today in Victoria: Report of Key Findings (report produced for the Department of Education and Training, Victoria)</w:t>
      </w:r>
      <w:r w:rsidRPr="008D6529">
        <w:t xml:space="preserve">. </w:t>
      </w:r>
      <w:r>
        <w:t xml:space="preserve">PRC, </w:t>
      </w:r>
      <w:r w:rsidRPr="008D6529">
        <w:t>Melbourne</w:t>
      </w:r>
      <w:r>
        <w:t>.</w:t>
      </w:r>
    </w:p>
  </w:endnote>
  <w:endnote w:id="122">
    <w:p w14:paraId="289BFD89" w14:textId="71D425D4" w:rsidR="0000153C" w:rsidRPr="002C2A4B" w:rsidRDefault="0000153C" w:rsidP="00C64040">
      <w:pPr>
        <w:pStyle w:val="EndnoteText"/>
        <w:spacing w:before="0" w:after="0"/>
        <w:ind w:left="851" w:hanging="851"/>
      </w:pPr>
      <w:r>
        <w:rPr>
          <w:rStyle w:val="EndnoteReference"/>
        </w:rPr>
        <w:endnoteRef/>
      </w:r>
      <w:r>
        <w:t xml:space="preserve"> Viner, RM, Ross, D, Hardy, R, </w:t>
      </w:r>
      <w:r w:rsidRPr="002D1792">
        <w:rPr>
          <w:i/>
        </w:rPr>
        <w:t>et al</w:t>
      </w:r>
      <w:r>
        <w:t xml:space="preserve">. 2015. Life course epidemiology: recognising the importance of adolescence. </w:t>
      </w:r>
      <w:r w:rsidRPr="002D1792">
        <w:rPr>
          <w:i/>
        </w:rPr>
        <w:t>Journal of Epidemiol Community Health</w:t>
      </w:r>
      <w:r>
        <w:t xml:space="preserve">, 69 (8), 719-720. </w:t>
      </w:r>
      <w:r w:rsidRPr="00301774">
        <w:t>https://doi.org/10.1136/jech-2014-205300</w:t>
      </w:r>
    </w:p>
  </w:endnote>
  <w:endnote w:id="123">
    <w:p w14:paraId="035A2C0B" w14:textId="77777777" w:rsidR="0000153C" w:rsidRDefault="0000153C" w:rsidP="00C64040">
      <w:pPr>
        <w:pStyle w:val="EndnoteText"/>
        <w:spacing w:before="0" w:after="0"/>
        <w:ind w:left="851" w:hanging="851"/>
      </w:pPr>
      <w:r>
        <w:rPr>
          <w:rStyle w:val="EndnoteReference"/>
        </w:rPr>
        <w:endnoteRef/>
      </w:r>
      <w:r>
        <w:t xml:space="preserve"> AIFS, 2014. </w:t>
      </w:r>
      <w:r w:rsidRPr="002D1792">
        <w:rPr>
          <w:i/>
        </w:rPr>
        <w:t>The Longitudinal Study of Australian Children Annual Statistical Report 2013</w:t>
      </w:r>
      <w:r w:rsidRPr="00B01DBE">
        <w:t xml:space="preserve">. </w:t>
      </w:r>
      <w:r>
        <w:t xml:space="preserve">AIFS, </w:t>
      </w:r>
      <w:r w:rsidRPr="00B01DBE">
        <w:t>Melbourne</w:t>
      </w:r>
      <w:r>
        <w:t>.</w:t>
      </w:r>
      <w:r w:rsidRPr="00B01DBE">
        <w:t xml:space="preserve"> </w:t>
      </w:r>
    </w:p>
  </w:endnote>
  <w:endnote w:id="124">
    <w:p w14:paraId="3558491C" w14:textId="77777777" w:rsidR="0000153C" w:rsidRDefault="0000153C" w:rsidP="00C64040">
      <w:pPr>
        <w:pStyle w:val="EndnoteText"/>
        <w:spacing w:before="0" w:after="0"/>
        <w:ind w:left="851" w:hanging="851"/>
      </w:pPr>
      <w:r>
        <w:rPr>
          <w:rStyle w:val="EndnoteReference"/>
        </w:rPr>
        <w:endnoteRef/>
      </w:r>
      <w:r>
        <w:t xml:space="preserve"> PRC, 2018. </w:t>
      </w:r>
      <w:r w:rsidRPr="002D1792">
        <w:rPr>
          <w:i/>
        </w:rPr>
        <w:t>Focus on Fathers. Parenting Today in Victoria</w:t>
      </w:r>
      <w:r>
        <w:t xml:space="preserve">. </w:t>
      </w:r>
      <w:r w:rsidRPr="00876911">
        <w:t>PRC, Melbourne.</w:t>
      </w:r>
    </w:p>
  </w:endnote>
  <w:endnote w:id="125">
    <w:p w14:paraId="16F989F8" w14:textId="77777777" w:rsidR="0000153C" w:rsidRDefault="0000153C" w:rsidP="00C64040">
      <w:pPr>
        <w:pStyle w:val="EndnoteText"/>
        <w:spacing w:before="0" w:after="0"/>
        <w:ind w:left="851" w:hanging="851"/>
      </w:pPr>
      <w:r>
        <w:rPr>
          <w:rStyle w:val="EndnoteReference"/>
        </w:rPr>
        <w:endnoteRef/>
      </w:r>
      <w:r>
        <w:t xml:space="preserve"> L’Hôte, E, Kendall-Taylor, N, O’Neil, M, </w:t>
      </w:r>
      <w:r w:rsidRPr="002D1792">
        <w:rPr>
          <w:i/>
        </w:rPr>
        <w:t>et al</w:t>
      </w:r>
      <w:r>
        <w:t xml:space="preserve">., 2017. </w:t>
      </w:r>
      <w:r w:rsidRPr="002D1792">
        <w:rPr>
          <w:i/>
        </w:rPr>
        <w:t>Talking about the science of parenting</w:t>
      </w:r>
      <w:r>
        <w:t>. FrameWorks Institute, Washington DC.</w:t>
      </w:r>
    </w:p>
  </w:endnote>
  <w:endnote w:id="126">
    <w:p w14:paraId="7E2EBDEA" w14:textId="77777777" w:rsidR="0000153C" w:rsidRDefault="0000153C" w:rsidP="00C64040">
      <w:pPr>
        <w:pStyle w:val="EndnoteText"/>
        <w:spacing w:before="0" w:after="0"/>
        <w:ind w:left="851" w:hanging="851"/>
      </w:pPr>
      <w:r>
        <w:rPr>
          <w:rStyle w:val="EndnoteReference"/>
        </w:rPr>
        <w:endnoteRef/>
      </w:r>
      <w:r>
        <w:t xml:space="preserve"> AIHW, 2014. </w:t>
      </w:r>
      <w:r w:rsidRPr="002D1792">
        <w:rPr>
          <w:i/>
        </w:rPr>
        <w:t>National outcome measures for early childhood development – phase 2: scoping paper</w:t>
      </w:r>
      <w:r>
        <w:t>. Cat. no. PHE 184. AIHW, Canberra.</w:t>
      </w:r>
    </w:p>
  </w:endnote>
  <w:endnote w:id="127">
    <w:p w14:paraId="6238BD81" w14:textId="4B425740" w:rsidR="0000153C" w:rsidRDefault="0000153C" w:rsidP="00C64040">
      <w:pPr>
        <w:pStyle w:val="EndnoteText"/>
        <w:spacing w:before="0" w:after="0"/>
        <w:ind w:left="851" w:hanging="851"/>
      </w:pPr>
      <w:r>
        <w:rPr>
          <w:rStyle w:val="EndnoteReference"/>
        </w:rPr>
        <w:endnoteRef/>
      </w:r>
      <w:r>
        <w:t xml:space="preserve"> The Royal Hospital for Women, 2015. </w:t>
      </w:r>
      <w:r w:rsidRPr="002D1792">
        <w:rPr>
          <w:i/>
        </w:rPr>
        <w:t>Malabar Community Midwifery Link Service</w:t>
      </w:r>
      <w:r>
        <w:t>. Retrieved from &lt;</w:t>
      </w:r>
      <w:r w:rsidRPr="00301774">
        <w:t>https://www.seslhd.health.nsw.gov.au/royal-hospital-for-women/services-clinics/directory/having-a-baby/im-pregnant/malabar-community-midwifery-link-service</w:t>
      </w:r>
      <w:r>
        <w:t>&gt;</w:t>
      </w:r>
    </w:p>
  </w:endnote>
  <w:endnote w:id="128">
    <w:p w14:paraId="35CAF5AD" w14:textId="41010385" w:rsidR="0000153C" w:rsidRDefault="0000153C" w:rsidP="00C64040">
      <w:pPr>
        <w:pStyle w:val="EndnoteText"/>
        <w:spacing w:before="0" w:after="0"/>
        <w:ind w:left="851" w:hanging="851"/>
      </w:pPr>
      <w:r>
        <w:rPr>
          <w:rStyle w:val="EndnoteReference"/>
        </w:rPr>
        <w:endnoteRef/>
      </w:r>
      <w:r>
        <w:t xml:space="preserve"> ParentWorks, 2016. </w:t>
      </w:r>
      <w:r w:rsidRPr="002D1792">
        <w:rPr>
          <w:i/>
        </w:rPr>
        <w:t>What is ParentWorks</w:t>
      </w:r>
      <w:r>
        <w:t>. Retrieved from &lt;</w:t>
      </w:r>
      <w:r w:rsidRPr="00301774">
        <w:t>https://parentworks.org.au/#/</w:t>
      </w:r>
      <w:r>
        <w:t>&gt;</w:t>
      </w:r>
    </w:p>
  </w:endnote>
  <w:endnote w:id="129">
    <w:p w14:paraId="463FB255" w14:textId="77777777" w:rsidR="0000153C" w:rsidRDefault="0000153C" w:rsidP="00C64040">
      <w:pPr>
        <w:pStyle w:val="EndnoteText"/>
        <w:spacing w:before="0" w:after="0"/>
        <w:ind w:left="851" w:hanging="851"/>
      </w:pPr>
      <w:r>
        <w:rPr>
          <w:rStyle w:val="EndnoteReference"/>
        </w:rPr>
        <w:endnoteRef/>
      </w:r>
      <w:r>
        <w:t xml:space="preserve"> L’Hôte, E, Kendall-Taylor, N, O’Neil, M, </w:t>
      </w:r>
      <w:r w:rsidRPr="002D1792">
        <w:rPr>
          <w:i/>
        </w:rPr>
        <w:t>et al</w:t>
      </w:r>
      <w:r>
        <w:t xml:space="preserve">., 2017. </w:t>
      </w:r>
      <w:r w:rsidRPr="002D1792">
        <w:rPr>
          <w:i/>
        </w:rPr>
        <w:t>Talking about the science of parenting</w:t>
      </w:r>
      <w:r>
        <w:t>. FrameWorks Institute, Washington DC.</w:t>
      </w:r>
    </w:p>
  </w:endnote>
  <w:endnote w:id="130">
    <w:p w14:paraId="14A94178" w14:textId="77777777" w:rsidR="0000153C" w:rsidRDefault="0000153C" w:rsidP="00C64040">
      <w:pPr>
        <w:pStyle w:val="EndnoteText"/>
        <w:spacing w:before="0" w:after="0"/>
        <w:ind w:left="851" w:hanging="851"/>
      </w:pPr>
      <w:r>
        <w:rPr>
          <w:rStyle w:val="EndnoteReference"/>
        </w:rPr>
        <w:endnoteRef/>
      </w:r>
      <w:r>
        <w:t xml:space="preserve"> PRC, 2017</w:t>
      </w:r>
      <w:r w:rsidRPr="008D6529">
        <w:t xml:space="preserve">. </w:t>
      </w:r>
      <w:r w:rsidRPr="002D1792">
        <w:rPr>
          <w:i/>
        </w:rPr>
        <w:t>Parenting Today in Victoria: Report of Key Findings (report produced for the Department of Education and Training, Victoria)</w:t>
      </w:r>
      <w:r w:rsidRPr="008D6529">
        <w:t xml:space="preserve">. </w:t>
      </w:r>
      <w:r>
        <w:t xml:space="preserve">PRC, </w:t>
      </w:r>
      <w:r w:rsidRPr="008D6529">
        <w:t>Melbourne</w:t>
      </w:r>
      <w:r>
        <w:t>.</w:t>
      </w:r>
    </w:p>
  </w:endnote>
  <w:endnote w:id="131">
    <w:p w14:paraId="3C416339" w14:textId="3C2A5855" w:rsidR="0000153C" w:rsidRPr="00B409BE" w:rsidRDefault="0000153C" w:rsidP="00C64040">
      <w:pPr>
        <w:pStyle w:val="EndnoteText"/>
        <w:spacing w:before="0" w:after="0"/>
        <w:ind w:left="851" w:hanging="851"/>
      </w:pPr>
      <w:r>
        <w:rPr>
          <w:rStyle w:val="EndnoteReference"/>
        </w:rPr>
        <w:endnoteRef/>
      </w:r>
      <w:r>
        <w:t xml:space="preserve"> </w:t>
      </w:r>
      <w:r w:rsidRPr="00B409BE">
        <w:t>Lawrence</w:t>
      </w:r>
      <w:r>
        <w:t>,</w:t>
      </w:r>
      <w:r w:rsidRPr="00B409BE">
        <w:t xml:space="preserve"> D, Johnson</w:t>
      </w:r>
      <w:r>
        <w:t>,</w:t>
      </w:r>
      <w:r w:rsidRPr="00B409BE">
        <w:t xml:space="preserve"> S, Hafekost</w:t>
      </w:r>
      <w:r>
        <w:t>,</w:t>
      </w:r>
      <w:r w:rsidRPr="00B409BE">
        <w:t xml:space="preserve"> J, </w:t>
      </w:r>
      <w:r w:rsidRPr="002D1792">
        <w:rPr>
          <w:i/>
        </w:rPr>
        <w:t>et al</w:t>
      </w:r>
      <w:r>
        <w:t>., 2015.</w:t>
      </w:r>
      <w:r w:rsidRPr="00B409BE">
        <w:t xml:space="preserve"> </w:t>
      </w:r>
      <w:r w:rsidRPr="002D1792">
        <w:rPr>
          <w:i/>
        </w:rPr>
        <w:t>The Mental Health of Children and Adolescents. Report on the second Australian Child and Adolescent Survey of Mental Health and Wellbeing</w:t>
      </w:r>
      <w:r w:rsidRPr="00B409BE">
        <w:t>. Department of Health, Canberra.</w:t>
      </w:r>
    </w:p>
  </w:endnote>
  <w:endnote w:id="132">
    <w:p w14:paraId="33885840" w14:textId="6EDEB782" w:rsidR="0000153C" w:rsidRPr="005D5CC5" w:rsidRDefault="0000153C" w:rsidP="00C64040">
      <w:pPr>
        <w:pStyle w:val="EndnoteText"/>
        <w:spacing w:before="0" w:after="0"/>
        <w:ind w:left="851" w:hanging="851"/>
      </w:pPr>
      <w:r>
        <w:rPr>
          <w:rStyle w:val="EndnoteReference"/>
        </w:rPr>
        <w:endnoteRef/>
      </w:r>
      <w:r>
        <w:t xml:space="preserve"> </w:t>
      </w:r>
      <w:r w:rsidRPr="00665D1F">
        <w:rPr>
          <w:rFonts w:asciiTheme="minorHAnsi" w:hAnsiTheme="minorHAnsi" w:cstheme="minorHAnsi"/>
          <w:lang w:val="en-US" w:eastAsia="en-AU"/>
        </w:rPr>
        <w:t xml:space="preserve">Mission Australia and Black Dog Institute, 2017. </w:t>
      </w:r>
      <w:r w:rsidRPr="00665D1F">
        <w:rPr>
          <w:i/>
          <w:lang w:val="en-US"/>
        </w:rPr>
        <w:t>Youth Mental Health Report: Youth Survey 2012-2016</w:t>
      </w:r>
      <w:r w:rsidRPr="00665D1F">
        <w:rPr>
          <w:rFonts w:asciiTheme="minorHAnsi" w:hAnsiTheme="minorHAnsi" w:cstheme="minorHAnsi"/>
          <w:lang w:val="en-US" w:eastAsia="en-AU"/>
        </w:rPr>
        <w:t>.</w:t>
      </w:r>
      <w:r w:rsidRPr="00977321">
        <w:rPr>
          <w:rFonts w:asciiTheme="minorHAnsi" w:hAnsiTheme="minorHAnsi" w:cstheme="minorHAnsi"/>
          <w:lang w:eastAsia="en-AU"/>
        </w:rPr>
        <w:t xml:space="preserve"> </w:t>
      </w:r>
      <w:r>
        <w:rPr>
          <w:rFonts w:asciiTheme="minorHAnsi" w:hAnsiTheme="minorHAnsi" w:cstheme="minorHAnsi"/>
          <w:lang w:eastAsia="en-AU"/>
        </w:rPr>
        <w:t>Retrieved from &lt;</w:t>
      </w:r>
      <w:r w:rsidRPr="00700B5B">
        <w:rPr>
          <w:rFonts w:asciiTheme="minorHAnsi" w:hAnsiTheme="minorHAnsi" w:cstheme="minorHAnsi"/>
          <w:lang w:eastAsia="en-AU"/>
        </w:rPr>
        <w:t>https://blackdoginstitute.org.au/docs/default-source/research/evidence-and-policy-section/2017-youth-mental-health-report_mission-australia-and-black-dog-institute.pdf?sfvrsn=6</w:t>
      </w:r>
      <w:r>
        <w:rPr>
          <w:rFonts w:asciiTheme="minorHAnsi" w:hAnsiTheme="minorHAnsi" w:cstheme="minorHAnsi"/>
          <w:lang w:eastAsia="en-AU"/>
        </w:rPr>
        <w:t>&gt;</w:t>
      </w:r>
    </w:p>
  </w:endnote>
  <w:endnote w:id="133">
    <w:p w14:paraId="10AE613A" w14:textId="4BF3A265" w:rsidR="0000153C" w:rsidRPr="005D5CC5" w:rsidRDefault="0000153C" w:rsidP="00C64040">
      <w:pPr>
        <w:pStyle w:val="EndnoteText"/>
        <w:spacing w:before="0" w:after="0"/>
        <w:ind w:left="851" w:hanging="851"/>
      </w:pPr>
      <w:r>
        <w:rPr>
          <w:rStyle w:val="EndnoteReference"/>
        </w:rPr>
        <w:endnoteRef/>
      </w:r>
      <w:r>
        <w:t xml:space="preserve"> Beyond Blue. </w:t>
      </w:r>
      <w:r w:rsidRPr="002D1792">
        <w:rPr>
          <w:i/>
        </w:rPr>
        <w:t>Stats and Facts</w:t>
      </w:r>
      <w:r>
        <w:t>. Retrieved from &lt;</w:t>
      </w:r>
      <w:r w:rsidRPr="00301774">
        <w:t>https://www.youthbeyondblue.com/footer/stats-and-facts</w:t>
      </w:r>
      <w:r>
        <w:t>&gt;</w:t>
      </w:r>
    </w:p>
  </w:endnote>
  <w:endnote w:id="134">
    <w:p w14:paraId="0CD4969C" w14:textId="77777777" w:rsidR="0000153C" w:rsidRPr="00815291" w:rsidRDefault="0000153C" w:rsidP="00C64040">
      <w:pPr>
        <w:pStyle w:val="EndnoteText"/>
        <w:spacing w:before="0" w:after="0"/>
        <w:ind w:left="851" w:hanging="851"/>
      </w:pPr>
      <w:r>
        <w:rPr>
          <w:rStyle w:val="EndnoteReference"/>
        </w:rPr>
        <w:endnoteRef/>
      </w:r>
      <w:r>
        <w:t xml:space="preserve"> ibid.</w:t>
      </w:r>
    </w:p>
  </w:endnote>
  <w:endnote w:id="135">
    <w:p w14:paraId="52A29C69" w14:textId="77777777" w:rsidR="0000153C" w:rsidRPr="009A1612" w:rsidRDefault="0000153C" w:rsidP="00C64040">
      <w:pPr>
        <w:pStyle w:val="EndnoteText"/>
        <w:spacing w:before="0" w:after="0"/>
        <w:ind w:left="851" w:hanging="851"/>
      </w:pPr>
      <w:r>
        <w:rPr>
          <w:rStyle w:val="EndnoteReference"/>
        </w:rPr>
        <w:endnoteRef/>
      </w:r>
      <w:r>
        <w:t xml:space="preserve"> Mission Australia, 2017</w:t>
      </w:r>
      <w:r w:rsidRPr="002D1792">
        <w:rPr>
          <w:i/>
        </w:rPr>
        <w:t>. Youth mental health and homelessness report</w:t>
      </w:r>
      <w:r>
        <w:t xml:space="preserve">. Mission Australia, Sydney. </w:t>
      </w:r>
    </w:p>
  </w:endnote>
  <w:endnote w:id="136">
    <w:p w14:paraId="43575BC2" w14:textId="77777777" w:rsidR="0000153C" w:rsidRPr="00521BB1" w:rsidRDefault="0000153C" w:rsidP="00C64040">
      <w:pPr>
        <w:pStyle w:val="EndnoteText"/>
        <w:spacing w:before="0" w:after="0"/>
        <w:ind w:left="851" w:hanging="851"/>
      </w:pPr>
      <w:r>
        <w:rPr>
          <w:rStyle w:val="EndnoteReference"/>
        </w:rPr>
        <w:endnoteRef/>
      </w:r>
      <w:r>
        <w:t xml:space="preserve"> </w:t>
      </w:r>
      <w:r w:rsidRPr="00521BB1">
        <w:t>Rosenstreich, G</w:t>
      </w:r>
      <w:r>
        <w:t xml:space="preserve">, </w:t>
      </w:r>
      <w:r w:rsidRPr="00521BB1">
        <w:t>2013</w:t>
      </w:r>
      <w:r>
        <w:t>.</w:t>
      </w:r>
      <w:r w:rsidRPr="00521BB1">
        <w:t xml:space="preserve"> </w:t>
      </w:r>
      <w:r w:rsidRPr="002D1792">
        <w:rPr>
          <w:i/>
        </w:rPr>
        <w:t>LGBTI People Mental Health and Suicide. Revised 2nd Edition</w:t>
      </w:r>
      <w:r w:rsidRPr="00521BB1">
        <w:t>. National LGBTI Health Alliance</w:t>
      </w:r>
      <w:r>
        <w:t xml:space="preserve">, </w:t>
      </w:r>
      <w:r w:rsidRPr="00521BB1">
        <w:t>Sydney</w:t>
      </w:r>
      <w:r>
        <w:t>.</w:t>
      </w:r>
    </w:p>
  </w:endnote>
  <w:endnote w:id="137">
    <w:p w14:paraId="096805BC" w14:textId="50D6F6E9" w:rsidR="0000153C" w:rsidRPr="00815291" w:rsidRDefault="0000153C" w:rsidP="00C64040">
      <w:pPr>
        <w:pStyle w:val="EndnoteText"/>
        <w:spacing w:before="0" w:after="0"/>
        <w:ind w:left="851" w:hanging="851"/>
      </w:pPr>
      <w:r>
        <w:rPr>
          <w:rStyle w:val="EndnoteReference"/>
        </w:rPr>
        <w:endnoteRef/>
      </w:r>
      <w:r>
        <w:t xml:space="preserve"> </w:t>
      </w:r>
      <w:r w:rsidRPr="00B409BE">
        <w:t>Lawrence</w:t>
      </w:r>
      <w:r>
        <w:t>,</w:t>
      </w:r>
      <w:r w:rsidRPr="00B409BE">
        <w:t xml:space="preserve"> D, Johnson</w:t>
      </w:r>
      <w:r>
        <w:t>,</w:t>
      </w:r>
      <w:r w:rsidRPr="00B409BE">
        <w:t xml:space="preserve"> S, Hafekost</w:t>
      </w:r>
      <w:r>
        <w:t>,</w:t>
      </w:r>
      <w:r w:rsidRPr="00B409BE">
        <w:t xml:space="preserve"> J, </w:t>
      </w:r>
      <w:r w:rsidRPr="002D1792">
        <w:rPr>
          <w:i/>
        </w:rPr>
        <w:t>et al</w:t>
      </w:r>
      <w:r>
        <w:t>., 2015.</w:t>
      </w:r>
      <w:r w:rsidRPr="00B409BE">
        <w:t xml:space="preserve"> </w:t>
      </w:r>
      <w:r w:rsidRPr="002D1792">
        <w:rPr>
          <w:i/>
        </w:rPr>
        <w:t>The Mental Health of Children and Adolescents. Report on the second Australian Child and Adolescent Survey of Mental Health and Wellbeing</w:t>
      </w:r>
      <w:r w:rsidRPr="00B409BE">
        <w:t>. Department of Health, Canberra.</w:t>
      </w:r>
    </w:p>
  </w:endnote>
  <w:endnote w:id="138">
    <w:p w14:paraId="76B0B21E" w14:textId="7D1BD41B" w:rsidR="0000153C" w:rsidRPr="00ED1E99" w:rsidRDefault="0000153C" w:rsidP="00C64040">
      <w:pPr>
        <w:pStyle w:val="EndnoteText"/>
        <w:spacing w:before="0" w:after="0"/>
        <w:ind w:left="851" w:hanging="851"/>
      </w:pPr>
      <w:r>
        <w:rPr>
          <w:rStyle w:val="EndnoteReference"/>
        </w:rPr>
        <w:endnoteRef/>
      </w:r>
      <w:r>
        <w:t xml:space="preserve"> </w:t>
      </w:r>
      <w:r w:rsidRPr="00977321">
        <w:rPr>
          <w:rFonts w:cstheme="minorHAnsi"/>
          <w:lang w:eastAsia="en-AU"/>
        </w:rPr>
        <w:t xml:space="preserve">Mission Australia and Black Dog Institute, 2017. </w:t>
      </w:r>
      <w:r w:rsidRPr="002D1792">
        <w:rPr>
          <w:i/>
        </w:rPr>
        <w:t>Youth Mental Health Report: Youth Survey 2012-2016</w:t>
      </w:r>
      <w:r w:rsidRPr="00977321">
        <w:rPr>
          <w:rFonts w:cstheme="minorHAnsi"/>
          <w:lang w:eastAsia="en-AU"/>
        </w:rPr>
        <w:t xml:space="preserve">. </w:t>
      </w:r>
      <w:r>
        <w:rPr>
          <w:rFonts w:cstheme="minorHAnsi"/>
          <w:lang w:eastAsia="en-AU"/>
        </w:rPr>
        <w:t>Retrieved from &lt;</w:t>
      </w:r>
      <w:r w:rsidRPr="00951FE2">
        <w:rPr>
          <w:rFonts w:cstheme="minorHAnsi"/>
          <w:lang w:eastAsia="en-AU"/>
        </w:rPr>
        <w:t>https://blackdoginstitute.org.au/docs/default-source/research/evidence-and-policy-section/2017-youth-mental-health-report_mission-australia-and-black-dog-institute.pdf?sfvrsn=6</w:t>
      </w:r>
      <w:r>
        <w:rPr>
          <w:rFonts w:cstheme="minorHAnsi"/>
          <w:lang w:eastAsia="en-AU"/>
        </w:rPr>
        <w:t>&gt;</w:t>
      </w:r>
    </w:p>
  </w:endnote>
  <w:endnote w:id="139">
    <w:p w14:paraId="73AE2B45" w14:textId="43FC4EF3" w:rsidR="0000153C" w:rsidRPr="00815291" w:rsidRDefault="0000153C" w:rsidP="00C64040">
      <w:pPr>
        <w:pStyle w:val="EndnoteText"/>
        <w:spacing w:before="0" w:after="0"/>
        <w:ind w:left="851" w:hanging="851"/>
      </w:pPr>
      <w:r>
        <w:rPr>
          <w:rStyle w:val="EndnoteReference"/>
        </w:rPr>
        <w:endnoteRef/>
      </w:r>
      <w:r>
        <w:t xml:space="preserve"> </w:t>
      </w:r>
      <w:r w:rsidRPr="00B409BE">
        <w:t>Lawrence</w:t>
      </w:r>
      <w:r>
        <w:t>,</w:t>
      </w:r>
      <w:r w:rsidRPr="00B409BE">
        <w:t xml:space="preserve"> D, Johnson</w:t>
      </w:r>
      <w:r>
        <w:t>,</w:t>
      </w:r>
      <w:r w:rsidRPr="00B409BE">
        <w:t xml:space="preserve"> S, Hafekost</w:t>
      </w:r>
      <w:r>
        <w:t>,</w:t>
      </w:r>
      <w:r w:rsidRPr="00B409BE">
        <w:t xml:space="preserve"> J, </w:t>
      </w:r>
      <w:r w:rsidRPr="002D1792">
        <w:rPr>
          <w:i/>
        </w:rPr>
        <w:t>et al</w:t>
      </w:r>
      <w:r>
        <w:t>., 2015.</w:t>
      </w:r>
      <w:r w:rsidRPr="00B409BE">
        <w:t xml:space="preserve"> </w:t>
      </w:r>
      <w:r w:rsidRPr="002D1792">
        <w:rPr>
          <w:i/>
        </w:rPr>
        <w:t>The Mental Health of Children and Adolescents. Report on the second Australian Child and Adolescent Survey of Mental Health and Wellbeing</w:t>
      </w:r>
      <w:r w:rsidRPr="00B409BE">
        <w:t>. Department of Health, Canberra.</w:t>
      </w:r>
    </w:p>
  </w:endnote>
  <w:endnote w:id="140">
    <w:p w14:paraId="7BBEF85D" w14:textId="77777777" w:rsidR="0000153C" w:rsidRPr="00886FED" w:rsidRDefault="0000153C" w:rsidP="00C64040">
      <w:pPr>
        <w:pStyle w:val="EndnoteText"/>
        <w:spacing w:before="0" w:after="0"/>
        <w:ind w:left="851" w:hanging="851"/>
      </w:pPr>
      <w:r>
        <w:rPr>
          <w:rStyle w:val="EndnoteReference"/>
        </w:rPr>
        <w:endnoteRef/>
      </w:r>
      <w:r>
        <w:t xml:space="preserve"> Department of Health, 2017. </w:t>
      </w:r>
      <w:r w:rsidRPr="002D1792">
        <w:rPr>
          <w:i/>
        </w:rPr>
        <w:t>National Drug Strategy 2017-2026</w:t>
      </w:r>
      <w:r>
        <w:t>. Department of Health, Canberra.</w:t>
      </w:r>
    </w:p>
  </w:endnote>
  <w:endnote w:id="141">
    <w:p w14:paraId="684B0331" w14:textId="75D6E82B" w:rsidR="0000153C" w:rsidRPr="00B409BE" w:rsidRDefault="0000153C" w:rsidP="00C64040">
      <w:pPr>
        <w:pStyle w:val="EndnoteText"/>
        <w:spacing w:before="0" w:after="0"/>
        <w:ind w:left="851" w:hanging="851"/>
      </w:pPr>
      <w:r>
        <w:rPr>
          <w:rStyle w:val="EndnoteReference"/>
        </w:rPr>
        <w:endnoteRef/>
      </w:r>
      <w:r>
        <w:t xml:space="preserve"> </w:t>
      </w:r>
      <w:r w:rsidRPr="00B409BE">
        <w:t>Lawrence</w:t>
      </w:r>
      <w:r>
        <w:t>,</w:t>
      </w:r>
      <w:r w:rsidRPr="00B409BE">
        <w:t xml:space="preserve"> D, Johnson</w:t>
      </w:r>
      <w:r>
        <w:t>,</w:t>
      </w:r>
      <w:r w:rsidRPr="00B409BE">
        <w:t xml:space="preserve"> S, Hafekost</w:t>
      </w:r>
      <w:r>
        <w:t>,</w:t>
      </w:r>
      <w:r w:rsidRPr="00B409BE">
        <w:t xml:space="preserve"> J, </w:t>
      </w:r>
      <w:r w:rsidRPr="002D1792">
        <w:rPr>
          <w:i/>
        </w:rPr>
        <w:t>et al</w:t>
      </w:r>
      <w:r>
        <w:t>., 2015.</w:t>
      </w:r>
      <w:r w:rsidRPr="00B409BE">
        <w:t xml:space="preserve"> </w:t>
      </w:r>
      <w:r w:rsidRPr="002D1792">
        <w:rPr>
          <w:i/>
        </w:rPr>
        <w:t>The Mental Health of Children and Adolescents. Report on the second Australian Child and Adolescent Survey of Mental Health and Wellbeing</w:t>
      </w:r>
      <w:r w:rsidRPr="00B409BE">
        <w:t>. Department of Health, Canberra.</w:t>
      </w:r>
    </w:p>
  </w:endnote>
  <w:endnote w:id="142">
    <w:p w14:paraId="20C64EF0" w14:textId="77777777" w:rsidR="0000153C" w:rsidRPr="00815291" w:rsidRDefault="0000153C" w:rsidP="00C64040">
      <w:pPr>
        <w:pStyle w:val="EndnoteText"/>
        <w:spacing w:before="0" w:after="0"/>
        <w:ind w:left="851" w:hanging="851"/>
      </w:pPr>
      <w:r>
        <w:rPr>
          <w:rStyle w:val="EndnoteReference"/>
        </w:rPr>
        <w:endnoteRef/>
      </w:r>
      <w:r>
        <w:t xml:space="preserve"> ibid.</w:t>
      </w:r>
    </w:p>
  </w:endnote>
  <w:endnote w:id="143">
    <w:p w14:paraId="72CF0262" w14:textId="69F6D9C0" w:rsidR="0000153C" w:rsidRPr="008A30EB" w:rsidRDefault="0000153C" w:rsidP="00C64040">
      <w:pPr>
        <w:pStyle w:val="EndnoteText"/>
        <w:spacing w:before="0" w:after="0"/>
        <w:ind w:left="851" w:hanging="851"/>
      </w:pPr>
      <w:r>
        <w:rPr>
          <w:rStyle w:val="EndnoteReference"/>
        </w:rPr>
        <w:endnoteRef/>
      </w:r>
      <w:r>
        <w:t xml:space="preserve"> Bullying. No Way!, 2019. </w:t>
      </w:r>
      <w:r w:rsidRPr="002D1792">
        <w:rPr>
          <w:i/>
        </w:rPr>
        <w:t>Facts and Figures.</w:t>
      </w:r>
      <w:r>
        <w:t xml:space="preserve"> Retrieved from &lt;</w:t>
      </w:r>
      <w:r w:rsidRPr="00951FE2">
        <w:t>https://bullyingnoway.gov.au/WhatIsBullying/FactsAndFigures</w:t>
      </w:r>
      <w:r>
        <w:t>&gt;</w:t>
      </w:r>
    </w:p>
  </w:endnote>
  <w:endnote w:id="144">
    <w:p w14:paraId="0A9B6875" w14:textId="77777777" w:rsidR="0000153C" w:rsidRPr="002A79DE" w:rsidRDefault="0000153C" w:rsidP="00C64040">
      <w:pPr>
        <w:pStyle w:val="EndnoteText"/>
        <w:spacing w:before="0" w:after="0"/>
        <w:ind w:left="851" w:hanging="851"/>
      </w:pPr>
      <w:r>
        <w:rPr>
          <w:rStyle w:val="EndnoteReference"/>
        </w:rPr>
        <w:endnoteRef/>
      </w:r>
      <w:r>
        <w:t xml:space="preserve"> COAG, 2012. </w:t>
      </w:r>
      <w:r w:rsidRPr="002D1792">
        <w:rPr>
          <w:i/>
        </w:rPr>
        <w:t>The Roadmap for National Mental Health Reform 2012-2022</w:t>
      </w:r>
      <w:r>
        <w:t>. Commonwealth of Australia, Canberra.</w:t>
      </w:r>
    </w:p>
  </w:endnote>
  <w:endnote w:id="145">
    <w:p w14:paraId="070317EA" w14:textId="09950ACC" w:rsidR="0000153C" w:rsidRPr="002A79DE" w:rsidRDefault="0000153C" w:rsidP="00C64040">
      <w:pPr>
        <w:pStyle w:val="EndnoteText"/>
        <w:spacing w:before="0" w:after="0"/>
        <w:ind w:left="851" w:hanging="851"/>
      </w:pPr>
      <w:r>
        <w:rPr>
          <w:rStyle w:val="EndnoteReference"/>
        </w:rPr>
        <w:endnoteRef/>
      </w:r>
      <w:r>
        <w:t xml:space="preserve"> </w:t>
      </w:r>
      <w:r w:rsidRPr="002A79DE">
        <w:t>National Mental Health Commission</w:t>
      </w:r>
      <w:r>
        <w:t xml:space="preserve"> (NMHC)</w:t>
      </w:r>
      <w:r w:rsidRPr="002A79DE">
        <w:t>, 2018</w:t>
      </w:r>
      <w:r>
        <w:t>.</w:t>
      </w:r>
      <w:r w:rsidRPr="002A79DE">
        <w:t xml:space="preserve"> </w:t>
      </w:r>
      <w:r w:rsidRPr="002D1792">
        <w:rPr>
          <w:i/>
        </w:rPr>
        <w:t>Monitoring mental health and suicide prevention reform: National Report 2018</w:t>
      </w:r>
      <w:r w:rsidRPr="002A79DE">
        <w:t xml:space="preserve">. </w:t>
      </w:r>
      <w:r>
        <w:t>NMHC</w:t>
      </w:r>
      <w:r w:rsidRPr="002A79DE">
        <w:t>, Sydney</w:t>
      </w:r>
      <w:r>
        <w:t>.</w:t>
      </w:r>
    </w:p>
  </w:endnote>
  <w:endnote w:id="146">
    <w:p w14:paraId="50B8E22D" w14:textId="77777777" w:rsidR="0000153C" w:rsidRDefault="0000153C" w:rsidP="00C64040">
      <w:pPr>
        <w:pStyle w:val="EndnoteText"/>
        <w:spacing w:before="0" w:after="0"/>
        <w:ind w:left="851" w:hanging="851"/>
      </w:pPr>
    </w:p>
    <w:p w14:paraId="1CB92375" w14:textId="7D1CB0D5" w:rsidR="0000153C" w:rsidRPr="00350E39" w:rsidRDefault="0000153C" w:rsidP="00C64040">
      <w:pPr>
        <w:pStyle w:val="EndnoteText"/>
        <w:spacing w:before="0" w:after="0"/>
        <w:ind w:left="851" w:hanging="851"/>
      </w:pPr>
      <w:r>
        <w:rPr>
          <w:rStyle w:val="EndnoteReference"/>
        </w:rPr>
        <w:endnoteRef/>
      </w:r>
      <w:r>
        <w:t xml:space="preserve"> Austin, M-P, Highet, N and the Expert Working Group, 2017. </w:t>
      </w:r>
      <w:r w:rsidRPr="002D1792">
        <w:rPr>
          <w:i/>
        </w:rPr>
        <w:t>Mental Health Care in the Perinatal Period: Australian Clinical Practice Guideline</w:t>
      </w:r>
      <w:r>
        <w:t>. Centre of Perinatal Excellence, Melbourne.</w:t>
      </w:r>
    </w:p>
  </w:endnote>
  <w:endnote w:id="147">
    <w:p w14:paraId="059202DE" w14:textId="005465D9" w:rsidR="0000153C" w:rsidRPr="00350E39" w:rsidRDefault="0000153C" w:rsidP="00C64040">
      <w:pPr>
        <w:pStyle w:val="EndnoteText"/>
        <w:spacing w:before="0" w:after="0"/>
        <w:ind w:left="851" w:hanging="851"/>
      </w:pPr>
      <w:r>
        <w:rPr>
          <w:rStyle w:val="EndnoteReference"/>
        </w:rPr>
        <w:endnoteRef/>
      </w:r>
      <w:r>
        <w:t xml:space="preserve"> Beyond Blue. </w:t>
      </w:r>
      <w:r w:rsidRPr="002D1792">
        <w:rPr>
          <w:i/>
        </w:rPr>
        <w:t>Perinatal depression and anxiety: Evidence relating to infant cognitive and emotional development</w:t>
      </w:r>
      <w:r>
        <w:t>. Retrieved from &lt;</w:t>
      </w:r>
      <w:r w:rsidRPr="00951FE2">
        <w:t>http://resources.beyondblue.org.au/prism/file?token=BL/0470</w:t>
      </w:r>
      <w:r>
        <w:t>&gt;</w:t>
      </w:r>
    </w:p>
  </w:endnote>
  <w:endnote w:id="148">
    <w:p w14:paraId="4D84BD70" w14:textId="77777777" w:rsidR="0000153C" w:rsidRPr="00D27627" w:rsidRDefault="0000153C" w:rsidP="00C64040">
      <w:pPr>
        <w:pStyle w:val="EndnoteText"/>
        <w:spacing w:before="0" w:after="0"/>
        <w:ind w:left="851" w:hanging="851"/>
      </w:pPr>
      <w:r>
        <w:rPr>
          <w:rStyle w:val="EndnoteReference"/>
        </w:rPr>
        <w:endnoteRef/>
      </w:r>
      <w:r>
        <w:t xml:space="preserve"> The Centre for Adolescent Health, Murdoch Children’s Research Institute, 2018. </w:t>
      </w:r>
      <w:r w:rsidRPr="002D1792">
        <w:rPr>
          <w:i/>
        </w:rPr>
        <w:t>Student Wellbeing, Engagement and Learning across the Middle Years</w:t>
      </w:r>
      <w:r>
        <w:t>. Department of Education and Training, Canberra.</w:t>
      </w:r>
    </w:p>
  </w:endnote>
  <w:endnote w:id="149">
    <w:p w14:paraId="786453C4" w14:textId="77777777" w:rsidR="0000153C" w:rsidRDefault="0000153C" w:rsidP="00C64040">
      <w:pPr>
        <w:pStyle w:val="EndnoteText"/>
        <w:spacing w:before="0" w:after="0"/>
        <w:ind w:left="851" w:hanging="851"/>
      </w:pPr>
      <w:r>
        <w:rPr>
          <w:rStyle w:val="EndnoteReference"/>
        </w:rPr>
        <w:endnoteRef/>
      </w:r>
      <w:r>
        <w:t xml:space="preserve"> Fox, S, Southwell, A, Stafford, N, </w:t>
      </w:r>
      <w:r w:rsidRPr="002D1792">
        <w:rPr>
          <w:i/>
        </w:rPr>
        <w:t>et al</w:t>
      </w:r>
      <w:r>
        <w:t xml:space="preserve">., 2015. </w:t>
      </w:r>
      <w:r w:rsidRPr="002D1792">
        <w:rPr>
          <w:i/>
        </w:rPr>
        <w:t>Better Systems, Better Chances: A Review of Research and Practice for Prevention and Early Intervention</w:t>
      </w:r>
      <w:r w:rsidRPr="00203B09">
        <w:t>.</w:t>
      </w:r>
      <w:r>
        <w:t xml:space="preserve"> </w:t>
      </w:r>
      <w:r w:rsidRPr="00203B09">
        <w:t>ARACY</w:t>
      </w:r>
      <w:r>
        <w:t>, Canberra</w:t>
      </w:r>
    </w:p>
  </w:endnote>
  <w:endnote w:id="150">
    <w:p w14:paraId="3BEE7D7D" w14:textId="0F92A0CF" w:rsidR="0000153C" w:rsidRPr="002C2A4B" w:rsidRDefault="0000153C" w:rsidP="00C64040">
      <w:pPr>
        <w:pStyle w:val="EndnoteText"/>
        <w:spacing w:before="0" w:after="0"/>
        <w:ind w:left="851" w:hanging="851"/>
      </w:pPr>
      <w:r>
        <w:rPr>
          <w:rStyle w:val="EndnoteReference"/>
        </w:rPr>
        <w:endnoteRef/>
      </w:r>
      <w:r>
        <w:t xml:space="preserve"> Viner, RM, Ross, D, Hardy, R, </w:t>
      </w:r>
      <w:r w:rsidRPr="00665D1F">
        <w:rPr>
          <w:i/>
        </w:rPr>
        <w:t>et al.</w:t>
      </w:r>
      <w:r>
        <w:t xml:space="preserve">, 2015. Life course epidemiology: recognising the importance of adolescence. </w:t>
      </w:r>
      <w:r w:rsidRPr="00665D1F">
        <w:rPr>
          <w:i/>
        </w:rPr>
        <w:t>Journal of Epidemiol Community Health</w:t>
      </w:r>
      <w:r>
        <w:t xml:space="preserve">, 69 (8), 719-720. </w:t>
      </w:r>
      <w:r w:rsidRPr="00700B5B">
        <w:t>https://doi.org/10.1136/jech-2014-205300</w:t>
      </w:r>
    </w:p>
  </w:endnote>
  <w:endnote w:id="151">
    <w:p w14:paraId="475104D8" w14:textId="4BC8D31C" w:rsidR="0000153C" w:rsidRPr="005D5CC5" w:rsidRDefault="0000153C" w:rsidP="00C64040">
      <w:pPr>
        <w:pStyle w:val="EndnoteText"/>
        <w:spacing w:before="0" w:after="0"/>
        <w:ind w:left="851" w:hanging="851"/>
      </w:pPr>
      <w:r>
        <w:rPr>
          <w:rStyle w:val="EndnoteReference"/>
        </w:rPr>
        <w:endnoteRef/>
      </w:r>
      <w:r>
        <w:t xml:space="preserve"> Beyond Blue. </w:t>
      </w:r>
      <w:r w:rsidRPr="00665D1F">
        <w:rPr>
          <w:i/>
        </w:rPr>
        <w:t>Stats and Facts</w:t>
      </w:r>
      <w:r>
        <w:t>. Retrieved from &lt;</w:t>
      </w:r>
      <w:r w:rsidRPr="00301774">
        <w:t>https://www.youthbeyondblue.com/footer/stats-and-facts</w:t>
      </w:r>
      <w:r>
        <w:t>&gt;</w:t>
      </w:r>
    </w:p>
  </w:endnote>
  <w:endnote w:id="152">
    <w:p w14:paraId="0A33A38B" w14:textId="08021F4A" w:rsidR="0000153C" w:rsidRPr="00ED1E99" w:rsidRDefault="0000153C" w:rsidP="00C64040">
      <w:pPr>
        <w:pStyle w:val="EndnoteText"/>
        <w:spacing w:before="0" w:after="0"/>
        <w:ind w:left="851" w:hanging="851"/>
      </w:pPr>
      <w:r>
        <w:rPr>
          <w:rStyle w:val="EndnoteReference"/>
        </w:rPr>
        <w:endnoteRef/>
      </w:r>
      <w:r>
        <w:t xml:space="preserve"> </w:t>
      </w:r>
      <w:r w:rsidRPr="00665D1F">
        <w:rPr>
          <w:rFonts w:asciiTheme="minorHAnsi" w:hAnsiTheme="minorHAnsi" w:cstheme="minorHAnsi"/>
          <w:lang w:val="en-US" w:eastAsia="en-AU"/>
        </w:rPr>
        <w:t xml:space="preserve">Mission Australia and Black Dog Institute, 2017. </w:t>
      </w:r>
      <w:r w:rsidRPr="00665D1F">
        <w:rPr>
          <w:i/>
          <w:lang w:val="en-US"/>
        </w:rPr>
        <w:t>Youth Mental Health Report: Youth Survey 2012-2016</w:t>
      </w:r>
      <w:r w:rsidRPr="00665D1F">
        <w:rPr>
          <w:rFonts w:asciiTheme="minorHAnsi" w:hAnsiTheme="minorHAnsi" w:cstheme="minorHAnsi"/>
          <w:lang w:val="en-US" w:eastAsia="en-AU"/>
        </w:rPr>
        <w:t>.</w:t>
      </w:r>
      <w:r w:rsidRPr="00977321">
        <w:rPr>
          <w:rFonts w:asciiTheme="minorHAnsi" w:hAnsiTheme="minorHAnsi" w:cstheme="minorHAnsi"/>
          <w:lang w:eastAsia="en-AU"/>
        </w:rPr>
        <w:t xml:space="preserve"> </w:t>
      </w:r>
      <w:r>
        <w:rPr>
          <w:rFonts w:asciiTheme="minorHAnsi" w:hAnsiTheme="minorHAnsi" w:cstheme="minorHAnsi"/>
          <w:lang w:eastAsia="en-AU"/>
        </w:rPr>
        <w:t>Retrieved from &lt;</w:t>
      </w:r>
      <w:r w:rsidRPr="00700B5B">
        <w:rPr>
          <w:rFonts w:asciiTheme="minorHAnsi" w:hAnsiTheme="minorHAnsi" w:cstheme="minorHAnsi"/>
          <w:lang w:eastAsia="en-AU"/>
        </w:rPr>
        <w:t>https://blackdoginstitute.org.au/docs/default-source/research/evidence-and-policy-section/2017-youth-mental-health-report_mission-australia-and-black-dog-institute.pdf?sfvrsn=6</w:t>
      </w:r>
      <w:r>
        <w:rPr>
          <w:rFonts w:asciiTheme="minorHAnsi" w:hAnsiTheme="minorHAnsi" w:cstheme="minorHAnsi"/>
          <w:lang w:eastAsia="en-AU"/>
        </w:rPr>
        <w:t>&gt;</w:t>
      </w:r>
    </w:p>
  </w:endnote>
  <w:endnote w:id="153">
    <w:p w14:paraId="7A15D380" w14:textId="77777777" w:rsidR="0000153C" w:rsidRPr="00521BB1" w:rsidRDefault="0000153C" w:rsidP="00C64040">
      <w:pPr>
        <w:pStyle w:val="EndnoteText"/>
        <w:spacing w:before="0" w:after="0"/>
        <w:ind w:left="851" w:hanging="851"/>
      </w:pPr>
      <w:r>
        <w:rPr>
          <w:rStyle w:val="EndnoteReference"/>
        </w:rPr>
        <w:endnoteRef/>
      </w:r>
      <w:r>
        <w:t xml:space="preserve"> </w:t>
      </w:r>
      <w:r w:rsidRPr="00521BB1">
        <w:t>Rosenstreich, G</w:t>
      </w:r>
      <w:r>
        <w:t xml:space="preserve">, </w:t>
      </w:r>
      <w:r w:rsidRPr="00521BB1">
        <w:t>2013</w:t>
      </w:r>
      <w:r>
        <w:t>.</w:t>
      </w:r>
      <w:r w:rsidRPr="00521BB1">
        <w:t xml:space="preserve"> </w:t>
      </w:r>
      <w:r w:rsidRPr="002D1792">
        <w:rPr>
          <w:i/>
        </w:rPr>
        <w:t>LGBTI People Mental Health and Suicide. Revised 2nd Edition</w:t>
      </w:r>
      <w:r w:rsidRPr="00521BB1">
        <w:t>. National LGBTI Health Alliance</w:t>
      </w:r>
      <w:r>
        <w:t xml:space="preserve">, </w:t>
      </w:r>
      <w:r w:rsidRPr="00521BB1">
        <w:t>Sydney</w:t>
      </w:r>
      <w:r>
        <w:t>.</w:t>
      </w:r>
    </w:p>
  </w:endnote>
  <w:endnote w:id="154">
    <w:p w14:paraId="325FC4B2" w14:textId="77777777" w:rsidR="0000153C" w:rsidRPr="0076663D" w:rsidRDefault="0000153C" w:rsidP="00C64040">
      <w:pPr>
        <w:pStyle w:val="EndnoteText"/>
        <w:spacing w:before="0" w:after="0"/>
        <w:ind w:left="851" w:hanging="851"/>
      </w:pPr>
      <w:r>
        <w:rPr>
          <w:rStyle w:val="EndnoteReference"/>
        </w:rPr>
        <w:endnoteRef/>
      </w:r>
      <w:r>
        <w:t xml:space="preserve"> COAG, 2012. </w:t>
      </w:r>
      <w:r w:rsidRPr="002D1792">
        <w:rPr>
          <w:i/>
        </w:rPr>
        <w:t>The Roadmap for National Mental Health Reform 2012-2022</w:t>
      </w:r>
      <w:r>
        <w:t>. Commonwealth of Australia, Canberra.</w:t>
      </w:r>
    </w:p>
  </w:endnote>
  <w:endnote w:id="155">
    <w:p w14:paraId="1F09A96C" w14:textId="6A1AFFC8" w:rsidR="0000153C" w:rsidRPr="0076663D" w:rsidRDefault="0000153C" w:rsidP="00C64040">
      <w:pPr>
        <w:pStyle w:val="EndnoteText"/>
        <w:spacing w:before="0" w:after="0"/>
        <w:ind w:left="851" w:hanging="851"/>
      </w:pPr>
      <w:r>
        <w:rPr>
          <w:rStyle w:val="EndnoteReference"/>
        </w:rPr>
        <w:endnoteRef/>
      </w:r>
      <w:r>
        <w:t xml:space="preserve"> </w:t>
      </w:r>
      <w:r w:rsidRPr="00665D1F">
        <w:rPr>
          <w:rFonts w:asciiTheme="minorHAnsi" w:hAnsiTheme="minorHAnsi" w:cstheme="minorHAnsi"/>
          <w:lang w:val="en-US" w:eastAsia="en-AU"/>
        </w:rPr>
        <w:t xml:space="preserve">Mission Australia and Black Dog Institute, 2017. </w:t>
      </w:r>
      <w:r w:rsidRPr="00665D1F">
        <w:rPr>
          <w:i/>
          <w:lang w:val="en-US"/>
        </w:rPr>
        <w:t>Youth Mental Health Report: Youth Survey 2012-2016</w:t>
      </w:r>
      <w:r w:rsidRPr="00665D1F">
        <w:rPr>
          <w:rFonts w:asciiTheme="minorHAnsi" w:hAnsiTheme="minorHAnsi" w:cstheme="minorHAnsi"/>
          <w:lang w:val="en-US" w:eastAsia="en-AU"/>
        </w:rPr>
        <w:t>.</w:t>
      </w:r>
      <w:r w:rsidRPr="00977321">
        <w:rPr>
          <w:rFonts w:asciiTheme="minorHAnsi" w:hAnsiTheme="minorHAnsi" w:cstheme="minorHAnsi"/>
          <w:lang w:eastAsia="en-AU"/>
        </w:rPr>
        <w:t xml:space="preserve"> </w:t>
      </w:r>
      <w:r>
        <w:rPr>
          <w:rFonts w:asciiTheme="minorHAnsi" w:hAnsiTheme="minorHAnsi" w:cstheme="minorHAnsi"/>
          <w:lang w:eastAsia="en-AU"/>
        </w:rPr>
        <w:t>Retrieved from &lt;</w:t>
      </w:r>
      <w:r w:rsidRPr="00700B5B">
        <w:rPr>
          <w:rFonts w:asciiTheme="minorHAnsi" w:hAnsiTheme="minorHAnsi" w:cstheme="minorHAnsi"/>
          <w:lang w:eastAsia="en-AU"/>
        </w:rPr>
        <w:t>https://blackdoginstitute.org.au/docs/default-source/research/evidence-and-policy-section/2017-youth-mental-health-report_mission-australia-and-black-dog-institute.pdf?sfvrsn=6</w:t>
      </w:r>
      <w:r>
        <w:rPr>
          <w:rFonts w:asciiTheme="minorHAnsi" w:hAnsiTheme="minorHAnsi" w:cstheme="minorHAnsi"/>
          <w:lang w:eastAsia="en-AU"/>
        </w:rPr>
        <w:t>&gt;</w:t>
      </w:r>
    </w:p>
  </w:endnote>
  <w:endnote w:id="156">
    <w:p w14:paraId="50B55605" w14:textId="39DCEDA8" w:rsidR="0000153C" w:rsidRDefault="0000153C" w:rsidP="00C64040">
      <w:pPr>
        <w:pStyle w:val="EndnoteText"/>
        <w:spacing w:before="0" w:after="0"/>
        <w:ind w:left="851" w:hanging="851"/>
      </w:pPr>
      <w:r>
        <w:rPr>
          <w:rStyle w:val="EndnoteReference"/>
        </w:rPr>
        <w:endnoteRef/>
      </w:r>
      <w:r>
        <w:t xml:space="preserve"> Bullying. No Way!, 2019. </w:t>
      </w:r>
      <w:r w:rsidRPr="00665D1F">
        <w:rPr>
          <w:i/>
        </w:rPr>
        <w:t>Facts and Figures.</w:t>
      </w:r>
      <w:r>
        <w:t xml:space="preserve"> Retrieved from &lt;</w:t>
      </w:r>
      <w:r w:rsidRPr="00951FE2">
        <w:t>https://bullyingnoway.gov.au/WhatIsBullying/FactsAndFigures</w:t>
      </w:r>
      <w:r>
        <w:t>&gt;</w:t>
      </w:r>
    </w:p>
  </w:endnote>
  <w:endnote w:id="157">
    <w:p w14:paraId="57B1EA16" w14:textId="77717547" w:rsidR="0000153C" w:rsidRDefault="0000153C" w:rsidP="00C64040">
      <w:pPr>
        <w:pStyle w:val="EndnoteText"/>
        <w:spacing w:before="0" w:after="0"/>
        <w:ind w:left="851" w:hanging="851"/>
      </w:pPr>
      <w:r>
        <w:rPr>
          <w:rStyle w:val="EndnoteReference"/>
        </w:rPr>
        <w:endnoteRef/>
      </w:r>
      <w:r>
        <w:t xml:space="preserve"> Beyond Blue. </w:t>
      </w:r>
      <w:r w:rsidRPr="002D1792">
        <w:rPr>
          <w:i/>
        </w:rPr>
        <w:t>About Be You</w:t>
      </w:r>
      <w:r>
        <w:t>. Retrieved from &lt;</w:t>
      </w:r>
      <w:r w:rsidRPr="00951FE2">
        <w:t>https://beyou.edu.au/about-be-you</w:t>
      </w:r>
      <w:r>
        <w:t>&gt;</w:t>
      </w:r>
    </w:p>
  </w:endnote>
  <w:endnote w:id="158">
    <w:p w14:paraId="5F6E39E3" w14:textId="4B09A10A" w:rsidR="0000153C" w:rsidRDefault="0000153C" w:rsidP="00C64040">
      <w:pPr>
        <w:pStyle w:val="EndnoteText"/>
        <w:spacing w:before="0" w:after="0"/>
        <w:ind w:left="851" w:hanging="851"/>
      </w:pPr>
      <w:r>
        <w:rPr>
          <w:rStyle w:val="EndnoteReference"/>
        </w:rPr>
        <w:endnoteRef/>
      </w:r>
      <w:r>
        <w:t xml:space="preserve"> Big Brothers Big Sisters of Australia, 2018. </w:t>
      </w:r>
      <w:r w:rsidRPr="002D1792">
        <w:rPr>
          <w:i/>
        </w:rPr>
        <w:t>Impact</w:t>
      </w:r>
      <w:r>
        <w:t>. Retrieved from &lt;</w:t>
      </w:r>
      <w:r w:rsidRPr="00951FE2">
        <w:t>https://www.bigbrothersbigsisters.org.au/why-mentoring/impact</w:t>
      </w:r>
      <w:r>
        <w:t>&gt;</w:t>
      </w:r>
    </w:p>
  </w:endnote>
  <w:endnote w:id="159">
    <w:p w14:paraId="22AFA8E3" w14:textId="36C1127F" w:rsidR="0000153C" w:rsidRPr="005E6334" w:rsidRDefault="0000153C" w:rsidP="00C64040">
      <w:pPr>
        <w:pStyle w:val="EndnoteText"/>
        <w:spacing w:before="0" w:after="0"/>
        <w:ind w:left="851" w:hanging="851"/>
      </w:pPr>
      <w:r>
        <w:rPr>
          <w:rStyle w:val="EndnoteReference"/>
        </w:rPr>
        <w:endnoteRef/>
      </w:r>
      <w:r>
        <w:t xml:space="preserve"> Ridani, R, Torok, M, Shand, F, </w:t>
      </w:r>
      <w:r w:rsidRPr="002D1792">
        <w:rPr>
          <w:i/>
        </w:rPr>
        <w:t>et al</w:t>
      </w:r>
      <w:r>
        <w:t xml:space="preserve">., 2016. </w:t>
      </w:r>
      <w:r w:rsidRPr="002D1792">
        <w:rPr>
          <w:i/>
        </w:rPr>
        <w:t>An evidence-based systems approach to suicide prevention: guidance on planning, commissioning, and monitoring</w:t>
      </w:r>
      <w:r>
        <w:t>. Sydney: Black Dog Institute.</w:t>
      </w:r>
    </w:p>
  </w:endnote>
  <w:endnote w:id="160">
    <w:p w14:paraId="47EEC3C3" w14:textId="23D24CBD" w:rsidR="0000153C" w:rsidRPr="002D4E00" w:rsidRDefault="0000153C" w:rsidP="00C64040">
      <w:pPr>
        <w:pStyle w:val="EndnoteText"/>
        <w:spacing w:before="0" w:after="0"/>
        <w:ind w:left="851" w:hanging="851"/>
      </w:pPr>
      <w:r>
        <w:rPr>
          <w:rStyle w:val="EndnoteReference"/>
        </w:rPr>
        <w:endnoteRef/>
      </w:r>
      <w:r>
        <w:t xml:space="preserve"> Robinson, J, Bailey, E, Browne, V, Cox, G, &amp; Hooper, C, 2016. </w:t>
      </w:r>
      <w:r w:rsidRPr="002D1792">
        <w:rPr>
          <w:i/>
        </w:rPr>
        <w:t>Raising the bar for youth suicide prevention</w:t>
      </w:r>
      <w:r>
        <w:t>. Orygen, The National Centre of Excellence in Youth Mental Health, Melbourne.</w:t>
      </w:r>
    </w:p>
  </w:endnote>
  <w:endnote w:id="161">
    <w:p w14:paraId="2DD8EBA1" w14:textId="77777777" w:rsidR="0000153C" w:rsidRDefault="0000153C" w:rsidP="00C64040">
      <w:pPr>
        <w:pStyle w:val="EndnoteText"/>
        <w:spacing w:before="0" w:after="0"/>
        <w:ind w:left="851" w:hanging="851"/>
      </w:pPr>
      <w:r>
        <w:rPr>
          <w:rStyle w:val="EndnoteReference"/>
        </w:rPr>
        <w:endnoteRef/>
      </w:r>
      <w:r>
        <w:t xml:space="preserve"> COAG, 2012. </w:t>
      </w:r>
      <w:r w:rsidRPr="002D1792">
        <w:rPr>
          <w:i/>
        </w:rPr>
        <w:t>The Roadmap for National Mental Health Reform 2012-2022</w:t>
      </w:r>
      <w:r>
        <w:t>. Commonwealth of Australia, Canberra.</w:t>
      </w:r>
    </w:p>
  </w:endnote>
  <w:endnote w:id="162">
    <w:p w14:paraId="75D44684" w14:textId="77777777" w:rsidR="0000153C" w:rsidRDefault="0000153C" w:rsidP="00C64040">
      <w:pPr>
        <w:pStyle w:val="EndnoteText"/>
        <w:spacing w:before="0" w:after="0"/>
        <w:ind w:left="851" w:hanging="851"/>
      </w:pPr>
      <w:r>
        <w:rPr>
          <w:rStyle w:val="EndnoteReference"/>
        </w:rPr>
        <w:endnoteRef/>
      </w:r>
      <w:r>
        <w:t xml:space="preserve"> Department of Health, 2018. </w:t>
      </w:r>
      <w:r w:rsidRPr="002D1792">
        <w:rPr>
          <w:i/>
        </w:rPr>
        <w:t>National Alcohol Strategy 2018-2026. Consultation Draft</w:t>
      </w:r>
      <w:r>
        <w:t>. Department of Health, Canberra.</w:t>
      </w:r>
    </w:p>
  </w:endnote>
  <w:endnote w:id="163">
    <w:p w14:paraId="6BA23DA5" w14:textId="77777777" w:rsidR="0000153C" w:rsidRDefault="0000153C" w:rsidP="00C64040">
      <w:pPr>
        <w:pStyle w:val="EndnoteText"/>
        <w:spacing w:before="0" w:after="0"/>
        <w:ind w:left="851" w:hanging="851"/>
      </w:pPr>
      <w:r>
        <w:rPr>
          <w:rStyle w:val="EndnoteReference"/>
        </w:rPr>
        <w:endnoteRef/>
      </w:r>
      <w:r>
        <w:t xml:space="preserve"> Department of Health, 2017. </w:t>
      </w:r>
      <w:r w:rsidRPr="002D1792">
        <w:rPr>
          <w:i/>
        </w:rPr>
        <w:t>National Drug Strategy 2017-2026</w:t>
      </w:r>
      <w:r>
        <w:t>. Department of Health, Canberra.</w:t>
      </w:r>
    </w:p>
  </w:endnote>
  <w:endnote w:id="164">
    <w:p w14:paraId="4A23E158" w14:textId="068AC188" w:rsidR="0000153C" w:rsidRPr="008F00A6" w:rsidRDefault="0000153C" w:rsidP="00C64040">
      <w:pPr>
        <w:pStyle w:val="EndnoteText"/>
        <w:spacing w:before="0" w:after="0"/>
        <w:ind w:left="851" w:hanging="851"/>
      </w:pPr>
      <w:r>
        <w:rPr>
          <w:rStyle w:val="EndnoteReference"/>
        </w:rPr>
        <w:endnoteRef/>
      </w:r>
      <w:r>
        <w:t xml:space="preserve"> AHMAC</w:t>
      </w:r>
      <w:r w:rsidRPr="008F00A6">
        <w:t>, 2017</w:t>
      </w:r>
      <w:r>
        <w:t xml:space="preserve">. </w:t>
      </w:r>
      <w:r w:rsidRPr="002D1792">
        <w:rPr>
          <w:i/>
        </w:rPr>
        <w:t>National Strategic Framework for Chronic Conditions</w:t>
      </w:r>
      <w:r w:rsidRPr="008F00A6">
        <w:t>. Australian Government</w:t>
      </w:r>
      <w:r>
        <w:t>,</w:t>
      </w:r>
      <w:r w:rsidRPr="008F00A6">
        <w:t xml:space="preserve"> Canberra.</w:t>
      </w:r>
    </w:p>
  </w:endnote>
  <w:endnote w:id="165">
    <w:p w14:paraId="5D88D74A" w14:textId="77777777" w:rsidR="0000153C" w:rsidRPr="008F00A6" w:rsidRDefault="0000153C" w:rsidP="00C64040">
      <w:pPr>
        <w:pStyle w:val="EndnoteText"/>
        <w:spacing w:before="0" w:after="0"/>
        <w:ind w:left="851" w:hanging="851"/>
      </w:pPr>
      <w:r>
        <w:rPr>
          <w:rStyle w:val="EndnoteReference"/>
        </w:rPr>
        <w:endnoteRef/>
      </w:r>
      <w:r>
        <w:t xml:space="preserve"> AIHW, 2018. </w:t>
      </w:r>
      <w:r w:rsidRPr="002D1792">
        <w:rPr>
          <w:i/>
        </w:rPr>
        <w:t>Australia’s Health 2018</w:t>
      </w:r>
      <w:r>
        <w:t>. Australia’s health series no. 16. AUS 221. AIHW, Canberra.</w:t>
      </w:r>
    </w:p>
  </w:endnote>
  <w:endnote w:id="166">
    <w:p w14:paraId="65B8286B" w14:textId="77777777" w:rsidR="0000153C" w:rsidRPr="006127A3" w:rsidRDefault="0000153C" w:rsidP="00C64040">
      <w:pPr>
        <w:pStyle w:val="EndnoteText"/>
        <w:spacing w:before="0" w:after="0"/>
        <w:ind w:left="851" w:hanging="851"/>
      </w:pPr>
      <w:r>
        <w:rPr>
          <w:rStyle w:val="EndnoteReference"/>
        </w:rPr>
        <w:endnoteRef/>
      </w:r>
      <w:r>
        <w:t xml:space="preserve"> ibid. </w:t>
      </w:r>
    </w:p>
  </w:endnote>
  <w:endnote w:id="167">
    <w:p w14:paraId="64F37858" w14:textId="7379872C" w:rsidR="0000153C" w:rsidRPr="006127A3" w:rsidRDefault="0000153C" w:rsidP="00C64040">
      <w:pPr>
        <w:pStyle w:val="EndnoteText"/>
        <w:spacing w:before="0" w:after="0"/>
        <w:ind w:left="851" w:hanging="851"/>
      </w:pPr>
      <w:r>
        <w:rPr>
          <w:rStyle w:val="EndnoteReference"/>
        </w:rPr>
        <w:endnoteRef/>
      </w:r>
      <w:r>
        <w:t xml:space="preserve"> Cancer Australia, 2015. </w:t>
      </w:r>
      <w:r w:rsidRPr="002D1792">
        <w:rPr>
          <w:i/>
        </w:rPr>
        <w:t>Children’s Cancer: Statistics</w:t>
      </w:r>
      <w:r>
        <w:t>. Retrieved from &lt;</w:t>
      </w:r>
      <w:r w:rsidRPr="00AC4818">
        <w:t>https://childrenscancer.canceraustralia.gov.au/about-childrens-cancer/statistics</w:t>
      </w:r>
      <w:r>
        <w:t>&gt;</w:t>
      </w:r>
    </w:p>
  </w:endnote>
  <w:endnote w:id="168">
    <w:p w14:paraId="6B5CC240" w14:textId="762016E0" w:rsidR="0000153C" w:rsidRPr="006C234E" w:rsidRDefault="0000153C" w:rsidP="00C64040">
      <w:pPr>
        <w:pStyle w:val="EndnoteText"/>
        <w:spacing w:before="0" w:after="0"/>
        <w:ind w:left="851" w:hanging="851"/>
      </w:pPr>
      <w:r>
        <w:rPr>
          <w:rStyle w:val="EndnoteReference"/>
        </w:rPr>
        <w:endnoteRef/>
      </w:r>
      <w:r>
        <w:t xml:space="preserve"> Children’s Cancer Institute. </w:t>
      </w:r>
      <w:r w:rsidRPr="002D1792">
        <w:rPr>
          <w:i/>
        </w:rPr>
        <w:t>Childhood Cancer: the facts</w:t>
      </w:r>
      <w:r>
        <w:t>. Retrieved from &lt;</w:t>
      </w:r>
      <w:r w:rsidRPr="00AC4818">
        <w:t>https://childrenscancer.canceraustralia.gov.au/about-childrens-cancer/statistics</w:t>
      </w:r>
      <w:r>
        <w:t>&gt;</w:t>
      </w:r>
    </w:p>
  </w:endnote>
  <w:endnote w:id="169">
    <w:p w14:paraId="6094FBDF" w14:textId="77777777" w:rsidR="0000153C" w:rsidRPr="005E637D" w:rsidRDefault="0000153C" w:rsidP="00C64040">
      <w:pPr>
        <w:pStyle w:val="EndnoteText"/>
        <w:spacing w:before="0" w:after="0"/>
        <w:ind w:left="851" w:hanging="851"/>
      </w:pPr>
      <w:r>
        <w:rPr>
          <w:rStyle w:val="EndnoteReference"/>
        </w:rPr>
        <w:endnoteRef/>
      </w:r>
      <w:r>
        <w:t xml:space="preserve"> AHMAC</w:t>
      </w:r>
      <w:r w:rsidRPr="008F00A6">
        <w:t>, 2017</w:t>
      </w:r>
      <w:r>
        <w:t xml:space="preserve">. </w:t>
      </w:r>
      <w:r w:rsidRPr="002D1792">
        <w:rPr>
          <w:i/>
        </w:rPr>
        <w:t>National Strategic Framework for Chronic Conditions</w:t>
      </w:r>
      <w:r w:rsidRPr="008F00A6">
        <w:t>. Australian Government</w:t>
      </w:r>
      <w:r>
        <w:t>,</w:t>
      </w:r>
      <w:r w:rsidRPr="008F00A6">
        <w:t xml:space="preserve"> Canberra.</w:t>
      </w:r>
    </w:p>
  </w:endnote>
  <w:endnote w:id="170">
    <w:p w14:paraId="4E8F8622" w14:textId="77777777" w:rsidR="0000153C" w:rsidRPr="005E637D" w:rsidRDefault="0000153C" w:rsidP="00C64040">
      <w:pPr>
        <w:pStyle w:val="EndnoteText"/>
        <w:spacing w:before="0" w:after="0"/>
        <w:ind w:left="851" w:hanging="851"/>
      </w:pPr>
      <w:r>
        <w:rPr>
          <w:rStyle w:val="EndnoteReference"/>
        </w:rPr>
        <w:endnoteRef/>
      </w:r>
      <w:r>
        <w:t xml:space="preserve"> </w:t>
      </w:r>
      <w:r w:rsidRPr="00977321">
        <w:t xml:space="preserve">ARACY, 2018. </w:t>
      </w:r>
      <w:r w:rsidRPr="002D1792">
        <w:rPr>
          <w:i/>
        </w:rPr>
        <w:t>Report Card 2018: The Wellbeing of Young Australians</w:t>
      </w:r>
      <w:r w:rsidRPr="00977321">
        <w:t>. ARACY, Canberra.</w:t>
      </w:r>
    </w:p>
  </w:endnote>
  <w:endnote w:id="171">
    <w:p w14:paraId="7319A44F" w14:textId="3A00C0C2" w:rsidR="0000153C" w:rsidRPr="00FE5723" w:rsidRDefault="0000153C" w:rsidP="00C64040">
      <w:pPr>
        <w:pStyle w:val="EndnoteText"/>
        <w:spacing w:before="0" w:after="0"/>
        <w:ind w:left="851" w:hanging="851"/>
      </w:pPr>
      <w:r>
        <w:rPr>
          <w:rStyle w:val="EndnoteReference"/>
        </w:rPr>
        <w:endnoteRef/>
      </w:r>
      <w:r>
        <w:t xml:space="preserve"> AIHW, 2018. </w:t>
      </w:r>
      <w:r w:rsidRPr="002D1792">
        <w:rPr>
          <w:i/>
        </w:rPr>
        <w:t>Children’s Headline Indicators</w:t>
      </w:r>
      <w:r>
        <w:t>. Retrieved from &lt;</w:t>
      </w:r>
      <w:r w:rsidRPr="00AC4818">
        <w:t>https://www.aihw.gov.au/reports/children-youth/childrens-headline-indicators/contents/5-immunisation</w:t>
      </w:r>
      <w:r>
        <w:t>&gt;</w:t>
      </w:r>
    </w:p>
  </w:endnote>
  <w:endnote w:id="172">
    <w:p w14:paraId="39C1625C" w14:textId="12945C34" w:rsidR="0000153C" w:rsidRPr="00A26BE4" w:rsidRDefault="0000153C" w:rsidP="00C64040">
      <w:pPr>
        <w:pStyle w:val="EndnoteText"/>
        <w:spacing w:before="0" w:after="0"/>
        <w:ind w:left="851" w:hanging="851"/>
      </w:pPr>
      <w:r>
        <w:rPr>
          <w:rStyle w:val="EndnoteReference"/>
        </w:rPr>
        <w:endnoteRef/>
      </w:r>
      <w:r>
        <w:t xml:space="preserve"> Department of Health, 2019. </w:t>
      </w:r>
      <w:r w:rsidRPr="002D1792">
        <w:rPr>
          <w:i/>
        </w:rPr>
        <w:t>Immunisation</w:t>
      </w:r>
      <w:r>
        <w:t>. Retrieved from &lt;</w:t>
      </w:r>
      <w:r w:rsidRPr="00AC4818">
        <w:t>http://www.health.gov.au/internet/main/publishing.nsf/Content/MC14-004203-Immunisation</w:t>
      </w:r>
      <w:r>
        <w:t>&gt;</w:t>
      </w:r>
    </w:p>
  </w:endnote>
  <w:endnote w:id="173">
    <w:p w14:paraId="4AE74068" w14:textId="055A6609" w:rsidR="0000153C" w:rsidRDefault="0000153C" w:rsidP="00C64040">
      <w:pPr>
        <w:pStyle w:val="EndnoteText"/>
        <w:spacing w:before="0" w:after="0"/>
        <w:ind w:left="851" w:hanging="851"/>
      </w:pPr>
      <w:r>
        <w:rPr>
          <w:rStyle w:val="EndnoteReference"/>
        </w:rPr>
        <w:endnoteRef/>
      </w:r>
      <w:r>
        <w:t xml:space="preserve"> US National Library of Medicine, 2019. </w:t>
      </w:r>
      <w:r w:rsidRPr="002D1792">
        <w:rPr>
          <w:i/>
        </w:rPr>
        <w:t>What are the benefits of genetic testing?</w:t>
      </w:r>
      <w:r>
        <w:t xml:space="preserve"> Retrieved from &lt;</w:t>
      </w:r>
      <w:r w:rsidRPr="00AC4818">
        <w:t>https://ghr.nlm.nih.gov/primer/testing/benefits</w:t>
      </w:r>
      <w:r>
        <w:t>&gt;</w:t>
      </w:r>
    </w:p>
  </w:endnote>
  <w:endnote w:id="174">
    <w:p w14:paraId="249EBF95" w14:textId="22EAD487" w:rsidR="0000153C" w:rsidRDefault="0000153C" w:rsidP="00C64040">
      <w:pPr>
        <w:pStyle w:val="EndnoteText"/>
        <w:spacing w:before="0" w:after="0"/>
        <w:ind w:left="851" w:hanging="851"/>
      </w:pPr>
      <w:r>
        <w:rPr>
          <w:rStyle w:val="EndnoteReference"/>
        </w:rPr>
        <w:endnoteRef/>
      </w:r>
      <w:r>
        <w:t xml:space="preserve"> Raising Children Network, 2019. </w:t>
      </w:r>
      <w:r w:rsidRPr="002D1792">
        <w:rPr>
          <w:i/>
        </w:rPr>
        <w:t>Genetic testing: a guide for parents</w:t>
      </w:r>
      <w:r>
        <w:t>. Retrieved from &lt;</w:t>
      </w:r>
      <w:r w:rsidRPr="00AC4818">
        <w:t>https://raisingchildren.net.au/disability/services-support/services/genetic-testing</w:t>
      </w:r>
      <w:r>
        <w:t>&gt;</w:t>
      </w:r>
    </w:p>
  </w:endnote>
  <w:endnote w:id="175">
    <w:p w14:paraId="79287CE2" w14:textId="55535B7D" w:rsidR="0000153C" w:rsidRDefault="0000153C" w:rsidP="00C64040">
      <w:pPr>
        <w:pStyle w:val="EndnoteText"/>
        <w:spacing w:before="0" w:after="0"/>
        <w:ind w:left="851" w:hanging="851"/>
      </w:pPr>
      <w:r>
        <w:rPr>
          <w:rStyle w:val="EndnoteReference"/>
        </w:rPr>
        <w:endnoteRef/>
      </w:r>
      <w:r>
        <w:t xml:space="preserve"> Wilson, E, 2017. </w:t>
      </w:r>
      <w:r w:rsidRPr="000263F6">
        <w:t>Engaging young people with a chronic illness</w:t>
      </w:r>
      <w:r>
        <w:t xml:space="preserve">. </w:t>
      </w:r>
      <w:r w:rsidRPr="002D1792">
        <w:rPr>
          <w:i/>
        </w:rPr>
        <w:t>Australian Family Physician</w:t>
      </w:r>
      <w:r>
        <w:t xml:space="preserve">, 46(8), 572-576. </w:t>
      </w:r>
      <w:r w:rsidRPr="00AC4818">
        <w:t xml:space="preserve">Retrieved from </w:t>
      </w:r>
      <w:r>
        <w:t>&lt;</w:t>
      </w:r>
      <w:r w:rsidRPr="00AC4818">
        <w:t>http://search.proquest.com/docview/1934942995/</w:t>
      </w:r>
      <w:r>
        <w:t>&gt;</w:t>
      </w:r>
    </w:p>
  </w:endnote>
  <w:endnote w:id="176">
    <w:p w14:paraId="214BEE6D" w14:textId="3C45C646" w:rsidR="0000153C" w:rsidRDefault="0000153C" w:rsidP="00C64040">
      <w:pPr>
        <w:pStyle w:val="EndnoteText"/>
        <w:spacing w:before="0" w:after="0"/>
        <w:ind w:left="851" w:hanging="851"/>
      </w:pPr>
      <w:r>
        <w:rPr>
          <w:rStyle w:val="EndnoteReference"/>
        </w:rPr>
        <w:endnoteRef/>
      </w:r>
      <w:r>
        <w:t xml:space="preserve"> Cushing, C, Brannon, E, Suorsa, K &amp; Wilson, D, 2014. Systematic Review </w:t>
      </w:r>
      <w:r w:rsidRPr="002D779B">
        <w:t>and Meta-Analysis of Health Promotion Interventions for Children and Adolescents Using an Ecological Framework</w:t>
      </w:r>
      <w:r>
        <w:t xml:space="preserve">. </w:t>
      </w:r>
      <w:r w:rsidRPr="002D1792">
        <w:rPr>
          <w:i/>
        </w:rPr>
        <w:t>Journal of Pediatric Psychology</w:t>
      </w:r>
      <w:r>
        <w:t xml:space="preserve">, 39 (8), 949-962. </w:t>
      </w:r>
      <w:r w:rsidR="00130D25">
        <w:t>&lt;</w:t>
      </w:r>
      <w:r w:rsidRPr="00130D25">
        <w:rPr>
          <w:rStyle w:val="Hyperlink"/>
        </w:rPr>
        <w:t>https</w:t>
      </w:r>
      <w:r w:rsidR="00130D25">
        <w:rPr>
          <w:rStyle w:val="Hyperlink"/>
        </w:rPr>
        <w:t>://doi.org/10.1093/jpepsy/jsu04</w:t>
      </w:r>
    </w:p>
    <w:p w14:paraId="01DD5A75" w14:textId="77777777" w:rsidR="0000153C" w:rsidRDefault="0000153C" w:rsidP="00C64040">
      <w:pPr>
        <w:pStyle w:val="EndnoteText"/>
        <w:spacing w:before="0" w:after="0"/>
        <w:ind w:left="851" w:hanging="851"/>
      </w:pPr>
    </w:p>
  </w:endnote>
  <w:endnote w:id="177">
    <w:p w14:paraId="79069D0B" w14:textId="582AA617" w:rsidR="0000153C" w:rsidRDefault="0000153C" w:rsidP="00C64040">
      <w:pPr>
        <w:pStyle w:val="EndnoteText"/>
        <w:spacing w:before="0" w:after="0"/>
        <w:ind w:left="851" w:hanging="851"/>
      </w:pPr>
      <w:r>
        <w:rPr>
          <w:rStyle w:val="EndnoteReference"/>
        </w:rPr>
        <w:endnoteRef/>
      </w:r>
      <w:r>
        <w:t xml:space="preserve"> Government of Western Australia Department of Health, 2015. </w:t>
      </w:r>
      <w:r w:rsidRPr="002D1792">
        <w:rPr>
          <w:i/>
        </w:rPr>
        <w:t>Health promotion in schools</w:t>
      </w:r>
      <w:r>
        <w:t>. Retrieved from &lt;</w:t>
      </w:r>
      <w:r w:rsidRPr="008601E9">
        <w:t>https://ww2.health.wa.gov.au/~/media/Files/Corporate/general%20documents/CACH/CHM/CACH.SH.HealthPromotionInSchools.pdf</w:t>
      </w:r>
      <w:r>
        <w:t>&gt;</w:t>
      </w:r>
    </w:p>
  </w:endnote>
  <w:endnote w:id="178">
    <w:p w14:paraId="0DC399D9" w14:textId="054093DB" w:rsidR="0000153C" w:rsidRDefault="0000153C" w:rsidP="00C64040">
      <w:pPr>
        <w:pStyle w:val="EndnoteText"/>
        <w:spacing w:before="0" w:after="0"/>
        <w:ind w:left="851" w:hanging="851"/>
      </w:pPr>
      <w:r>
        <w:rPr>
          <w:rStyle w:val="EndnoteReference"/>
        </w:rPr>
        <w:endnoteRef/>
      </w:r>
      <w:r>
        <w:t xml:space="preserve"> W</w:t>
      </w:r>
      <w:r w:rsidRPr="009827A1">
        <w:t>inters, M</w:t>
      </w:r>
      <w:r>
        <w:t>,</w:t>
      </w:r>
      <w:r w:rsidRPr="009827A1">
        <w:t xml:space="preserve"> Buehler, R &amp; Götschi, T</w:t>
      </w:r>
      <w:r>
        <w:t>, 2017</w:t>
      </w:r>
      <w:r w:rsidRPr="009827A1">
        <w:t xml:space="preserve">. Policies to Promote Active Travel: Evidence from Reviews of the Literature. </w:t>
      </w:r>
      <w:r w:rsidRPr="002D1792">
        <w:rPr>
          <w:i/>
        </w:rPr>
        <w:t>Current Environmental Health Reports</w:t>
      </w:r>
      <w:r>
        <w:t xml:space="preserve">, </w:t>
      </w:r>
      <w:r w:rsidRPr="009827A1">
        <w:t>4</w:t>
      </w:r>
      <w:r>
        <w:t xml:space="preserve"> (3), </w:t>
      </w:r>
      <w:r w:rsidRPr="009827A1">
        <w:t>278–285</w:t>
      </w:r>
      <w:r>
        <w:t>.</w:t>
      </w:r>
      <w:r w:rsidRPr="009827A1">
        <w:t xml:space="preserve"> </w:t>
      </w:r>
      <w:r w:rsidRPr="008601E9">
        <w:t>https://doi.org/10.1007/s40572-017-0148-x</w:t>
      </w:r>
    </w:p>
  </w:endnote>
  <w:endnote w:id="179">
    <w:p w14:paraId="23F1CE35" w14:textId="330EE3C8" w:rsidR="0000153C" w:rsidRDefault="0000153C" w:rsidP="00C64040">
      <w:pPr>
        <w:pStyle w:val="EndnoteText"/>
        <w:spacing w:before="0" w:after="0"/>
        <w:ind w:left="851" w:hanging="851"/>
      </w:pPr>
      <w:r>
        <w:rPr>
          <w:rStyle w:val="EndnoteReference"/>
        </w:rPr>
        <w:endnoteRef/>
      </w:r>
      <w:r>
        <w:t xml:space="preserve"> UNICEF. </w:t>
      </w:r>
      <w:r w:rsidRPr="002D1792">
        <w:rPr>
          <w:i/>
        </w:rPr>
        <w:t>Child Friendly Cities Initiative</w:t>
      </w:r>
      <w:r>
        <w:t>. Retrieved from &lt;</w:t>
      </w:r>
      <w:r w:rsidRPr="008601E9">
        <w:t>https://childfriendlycities.org/</w:t>
      </w:r>
      <w:r>
        <w:t>&gt;</w:t>
      </w:r>
    </w:p>
  </w:endnote>
  <w:endnote w:id="180">
    <w:p w14:paraId="0E809FD3" w14:textId="77777777" w:rsidR="0000153C" w:rsidRDefault="0000153C" w:rsidP="00C64040">
      <w:pPr>
        <w:pStyle w:val="EndnoteText"/>
        <w:spacing w:before="0" w:after="0"/>
        <w:ind w:left="851" w:hanging="851"/>
      </w:pPr>
      <w:r>
        <w:rPr>
          <w:rStyle w:val="EndnoteReference"/>
        </w:rPr>
        <w:endnoteRef/>
      </w:r>
      <w:r>
        <w:t xml:space="preserve"> COAG, 2015. </w:t>
      </w:r>
      <w:r w:rsidRPr="002D1792">
        <w:rPr>
          <w:i/>
        </w:rPr>
        <w:t>Healthy Mouths, Healthy Lives: Australia’s National Oral Health Plan 2015-2024</w:t>
      </w:r>
      <w:r>
        <w:t>. Commonwealth of Australia, Canberra.</w:t>
      </w:r>
    </w:p>
  </w:endnote>
  <w:endnote w:id="181">
    <w:p w14:paraId="77800996" w14:textId="77777777" w:rsidR="0000153C" w:rsidRDefault="0000153C" w:rsidP="00C64040">
      <w:pPr>
        <w:pStyle w:val="EndnoteText"/>
        <w:spacing w:before="0" w:after="0"/>
        <w:ind w:left="851" w:hanging="851"/>
      </w:pPr>
      <w:r>
        <w:rPr>
          <w:rStyle w:val="EndnoteReference"/>
        </w:rPr>
        <w:endnoteRef/>
      </w:r>
      <w:r>
        <w:t xml:space="preserve"> Department of Health, 2018. </w:t>
      </w:r>
      <w:r w:rsidRPr="002D1792">
        <w:rPr>
          <w:i/>
        </w:rPr>
        <w:t>National Immunisation Strategy for Australia 2019–2024</w:t>
      </w:r>
      <w:r>
        <w:t>. Department of Health, Canberra.</w:t>
      </w:r>
    </w:p>
  </w:endnote>
  <w:endnote w:id="182">
    <w:p w14:paraId="05FCB895" w14:textId="77777777" w:rsidR="0000153C" w:rsidRDefault="0000153C" w:rsidP="00C64040">
      <w:pPr>
        <w:pStyle w:val="EndnoteText"/>
        <w:spacing w:before="0" w:after="0"/>
        <w:ind w:left="851" w:hanging="851"/>
      </w:pPr>
      <w:r>
        <w:rPr>
          <w:rStyle w:val="EndnoteReference"/>
        </w:rPr>
        <w:endnoteRef/>
      </w:r>
      <w:r>
        <w:t xml:space="preserve"> AHMAC</w:t>
      </w:r>
      <w:r w:rsidRPr="008F00A6">
        <w:t>, 2017</w:t>
      </w:r>
      <w:r>
        <w:t xml:space="preserve">. </w:t>
      </w:r>
      <w:r w:rsidRPr="002D1792">
        <w:rPr>
          <w:i/>
        </w:rPr>
        <w:t>National Strategic Framework for Chronic Conditions</w:t>
      </w:r>
      <w:r w:rsidRPr="008F00A6">
        <w:t>. Australian Government</w:t>
      </w:r>
      <w:r>
        <w:t>,</w:t>
      </w:r>
      <w:r w:rsidRPr="008F00A6">
        <w:t xml:space="preserve"> Canberra.</w:t>
      </w:r>
    </w:p>
  </w:endnote>
  <w:endnote w:id="183">
    <w:p w14:paraId="4B41CD9F" w14:textId="77777777" w:rsidR="0000153C" w:rsidRDefault="0000153C" w:rsidP="00C64040">
      <w:pPr>
        <w:pStyle w:val="EndnoteText"/>
        <w:spacing w:before="0" w:after="0"/>
        <w:ind w:left="851" w:hanging="851"/>
      </w:pPr>
      <w:r>
        <w:rPr>
          <w:rStyle w:val="EndnoteReference"/>
        </w:rPr>
        <w:endnoteRef/>
      </w:r>
      <w:r>
        <w:t xml:space="preserve"> COAG, 2015. </w:t>
      </w:r>
      <w:r w:rsidRPr="002D1792">
        <w:rPr>
          <w:i/>
        </w:rPr>
        <w:t>Healthy Mouths, Healthy Lives: Australia’s National Oral Health Plan 2015-2024</w:t>
      </w:r>
      <w:r>
        <w:t>. Commonwealth of Australia, Canberra.</w:t>
      </w:r>
    </w:p>
  </w:endnote>
  <w:endnote w:id="184">
    <w:p w14:paraId="367A2E05" w14:textId="77777777" w:rsidR="0000153C" w:rsidRDefault="0000153C" w:rsidP="00C64040">
      <w:pPr>
        <w:pStyle w:val="EndnoteText"/>
        <w:spacing w:before="0" w:after="0"/>
        <w:ind w:left="851" w:hanging="851"/>
      </w:pPr>
      <w:r>
        <w:rPr>
          <w:rStyle w:val="EndnoteReference"/>
        </w:rPr>
        <w:endnoteRef/>
      </w:r>
      <w:r>
        <w:t xml:space="preserve"> Department of Health, 2018. </w:t>
      </w:r>
      <w:r w:rsidRPr="002D1792">
        <w:rPr>
          <w:i/>
        </w:rPr>
        <w:t>National Immunisation Strategy for Australia 2019–2024</w:t>
      </w:r>
      <w:r>
        <w:t>. Department of Health, Canberra.</w:t>
      </w:r>
    </w:p>
  </w:endnote>
  <w:endnote w:id="185">
    <w:p w14:paraId="084446D1" w14:textId="77777777" w:rsidR="0000153C" w:rsidRPr="00CA3B6C" w:rsidRDefault="0000153C" w:rsidP="00C64040">
      <w:pPr>
        <w:pStyle w:val="EndnoteText"/>
        <w:spacing w:before="0" w:after="0"/>
        <w:ind w:left="851" w:hanging="851"/>
      </w:pPr>
      <w:r>
        <w:rPr>
          <w:rStyle w:val="EndnoteReference"/>
        </w:rPr>
        <w:endnoteRef/>
      </w:r>
      <w:r>
        <w:t xml:space="preserve"> COAG, 2009. </w:t>
      </w:r>
      <w:r w:rsidRPr="002D1792">
        <w:rPr>
          <w:i/>
        </w:rPr>
        <w:t>Investing in the Early Years – A National Early Childhood Development Strategy</w:t>
      </w:r>
      <w:r>
        <w:t>. Commonwealth of Australia, Canberra.</w:t>
      </w:r>
    </w:p>
  </w:endnote>
  <w:endnote w:id="186">
    <w:p w14:paraId="3E5D80F7" w14:textId="77777777" w:rsidR="0000153C" w:rsidRPr="00CA3B6C" w:rsidRDefault="0000153C" w:rsidP="00C64040">
      <w:pPr>
        <w:pStyle w:val="EndnoteText"/>
        <w:spacing w:before="0" w:after="0"/>
        <w:ind w:left="851" w:hanging="851"/>
      </w:pPr>
      <w:r>
        <w:rPr>
          <w:rStyle w:val="EndnoteReference"/>
        </w:rPr>
        <w:endnoteRef/>
      </w:r>
      <w:r>
        <w:t xml:space="preserve"> ACSQHC, 2011</w:t>
      </w:r>
      <w:r w:rsidRPr="002D1792">
        <w:rPr>
          <w:i/>
        </w:rPr>
        <w:t>. Patient-centred care: Improving quality and safety through partnerships with patients and consumers.</w:t>
      </w:r>
      <w:r>
        <w:t xml:space="preserve"> ACSQHC, Sydney.</w:t>
      </w:r>
    </w:p>
  </w:endnote>
  <w:endnote w:id="187">
    <w:p w14:paraId="242950AF" w14:textId="77777777" w:rsidR="0000153C" w:rsidRPr="00B900F3" w:rsidRDefault="0000153C" w:rsidP="00C64040">
      <w:pPr>
        <w:pStyle w:val="EndnoteText"/>
        <w:spacing w:before="0" w:after="0"/>
        <w:ind w:left="851" w:hanging="851"/>
      </w:pPr>
      <w:r>
        <w:rPr>
          <w:rStyle w:val="EndnoteReference"/>
        </w:rPr>
        <w:endnoteRef/>
      </w:r>
      <w:r>
        <w:t xml:space="preserve"> </w:t>
      </w:r>
      <w:r w:rsidRPr="00977321">
        <w:rPr>
          <w:rFonts w:asciiTheme="minorHAnsi" w:hAnsiTheme="minorHAnsi" w:cstheme="minorHAnsi"/>
        </w:rPr>
        <w:t xml:space="preserve">RACP, 2018. </w:t>
      </w:r>
      <w:r w:rsidRPr="002D1792">
        <w:rPr>
          <w:rFonts w:asciiTheme="minorHAnsi" w:hAnsiTheme="minorHAnsi" w:cstheme="minorHAnsi"/>
          <w:i/>
        </w:rPr>
        <w:t>Inequities in Child Health – Position Statement</w:t>
      </w:r>
      <w:r w:rsidRPr="00977321">
        <w:rPr>
          <w:rFonts w:asciiTheme="minorHAnsi" w:hAnsiTheme="minorHAnsi" w:cstheme="minorHAnsi"/>
        </w:rPr>
        <w:t>. RACP, Sydney.</w:t>
      </w:r>
    </w:p>
  </w:endnote>
  <w:endnote w:id="188">
    <w:p w14:paraId="600911F4" w14:textId="77777777" w:rsidR="0000153C" w:rsidRPr="00CF369D" w:rsidRDefault="0000153C" w:rsidP="00C64040">
      <w:pPr>
        <w:pStyle w:val="EndnoteText"/>
        <w:spacing w:before="0" w:after="0"/>
        <w:ind w:left="851" w:hanging="851"/>
      </w:pPr>
      <w:r>
        <w:rPr>
          <w:rStyle w:val="EndnoteReference"/>
        </w:rPr>
        <w:endnoteRef/>
      </w:r>
      <w:r>
        <w:t xml:space="preserve"> AHMAC, 2011. </w:t>
      </w:r>
      <w:r w:rsidRPr="002D1792">
        <w:rPr>
          <w:i/>
        </w:rPr>
        <w:t>National Framework for Universal Child and Family Health Services</w:t>
      </w:r>
      <w:r>
        <w:t xml:space="preserve">. </w:t>
      </w:r>
      <w:r w:rsidRPr="008F00A6">
        <w:t>Australian Government</w:t>
      </w:r>
      <w:r>
        <w:t>,</w:t>
      </w:r>
      <w:r w:rsidRPr="008F00A6">
        <w:t xml:space="preserve"> Canberra.</w:t>
      </w:r>
    </w:p>
  </w:endnote>
  <w:endnote w:id="189">
    <w:p w14:paraId="5702A950" w14:textId="45CE028F" w:rsidR="0000153C" w:rsidRPr="00CF369D" w:rsidRDefault="0000153C" w:rsidP="00C64040">
      <w:pPr>
        <w:pStyle w:val="EndnoteText"/>
        <w:spacing w:before="0" w:after="0"/>
        <w:ind w:left="851" w:hanging="851"/>
      </w:pPr>
      <w:r>
        <w:rPr>
          <w:rStyle w:val="EndnoteReference"/>
        </w:rPr>
        <w:endnoteRef/>
      </w:r>
      <w:r>
        <w:t xml:space="preserve"> Department of Health, 2019. </w:t>
      </w:r>
      <w:r w:rsidRPr="002D1792">
        <w:rPr>
          <w:i/>
        </w:rPr>
        <w:t>Health Workforce.</w:t>
      </w:r>
      <w:r>
        <w:t xml:space="preserve"> Retrieved from &lt;</w:t>
      </w:r>
      <w:r w:rsidRPr="008601E9">
        <w:t>http://www.health.gov.au/internet/main/publishing.nsf/Content/work-prog</w:t>
      </w:r>
      <w:r>
        <w:t>&gt;</w:t>
      </w:r>
    </w:p>
  </w:endnote>
  <w:endnote w:id="190">
    <w:p w14:paraId="1C263C94" w14:textId="77777777" w:rsidR="0000153C" w:rsidRPr="00C672FC" w:rsidRDefault="0000153C" w:rsidP="00C64040">
      <w:pPr>
        <w:pStyle w:val="EndnoteText"/>
        <w:spacing w:before="0" w:after="0"/>
        <w:ind w:left="851" w:hanging="851"/>
      </w:pPr>
      <w:r>
        <w:rPr>
          <w:rStyle w:val="EndnoteReference"/>
        </w:rPr>
        <w:endnoteRef/>
      </w:r>
      <w:r>
        <w:t xml:space="preserve"> Wall, L, Higgins, D, &amp; Hunter, C, 2016. </w:t>
      </w:r>
      <w:r w:rsidRPr="002D1792">
        <w:rPr>
          <w:i/>
        </w:rPr>
        <w:t>Trauma-informed care in child/family welfare services</w:t>
      </w:r>
      <w:r>
        <w:t>. AIFS, Melbourne.</w:t>
      </w:r>
    </w:p>
  </w:endnote>
  <w:endnote w:id="191">
    <w:p w14:paraId="01EEBD6E" w14:textId="3D9F02AE" w:rsidR="0000153C" w:rsidRPr="004349D6" w:rsidRDefault="0000153C" w:rsidP="00C64040">
      <w:pPr>
        <w:pStyle w:val="EndnoteText"/>
        <w:spacing w:before="0" w:after="0"/>
        <w:ind w:left="851" w:hanging="851"/>
      </w:pPr>
      <w:r>
        <w:rPr>
          <w:rStyle w:val="EndnoteReference"/>
        </w:rPr>
        <w:endnoteRef/>
      </w:r>
      <w:r>
        <w:t xml:space="preserve"> Mental Health Australia, 2014. </w:t>
      </w:r>
      <w:r w:rsidRPr="002D1792">
        <w:rPr>
          <w:i/>
        </w:rPr>
        <w:t>Trauma informed practice</w:t>
      </w:r>
      <w:r>
        <w:t>. Retrieved from &lt;</w:t>
      </w:r>
      <w:r w:rsidRPr="008601E9">
        <w:t>https://mhaustralia.org/general/trauma-informed-practice</w:t>
      </w:r>
      <w:r>
        <w:t>&gt;</w:t>
      </w:r>
    </w:p>
  </w:endnote>
  <w:endnote w:id="192">
    <w:p w14:paraId="3EE5D943" w14:textId="5493A2D6" w:rsidR="0000153C" w:rsidRPr="005D5CC5" w:rsidRDefault="0000153C" w:rsidP="00C64040">
      <w:pPr>
        <w:pStyle w:val="EndnoteText"/>
        <w:spacing w:before="0" w:after="0"/>
        <w:ind w:left="851" w:hanging="851"/>
      </w:pPr>
      <w:r>
        <w:rPr>
          <w:rStyle w:val="EndnoteReference"/>
        </w:rPr>
        <w:endnoteRef/>
      </w:r>
      <w:r>
        <w:t xml:space="preserve"> Beyond Blue, 2017. </w:t>
      </w:r>
      <w:r w:rsidRPr="00665D1F">
        <w:rPr>
          <w:i/>
        </w:rPr>
        <w:t>Stats and Facts</w:t>
      </w:r>
      <w:r>
        <w:t>. Retrieved from &lt;</w:t>
      </w:r>
      <w:r w:rsidRPr="00301774">
        <w:t>https://www.youthbeyondblue.com/footer/stats-and-facts</w:t>
      </w:r>
      <w:r>
        <w:t>&gt;</w:t>
      </w:r>
    </w:p>
  </w:endnote>
  <w:endnote w:id="193">
    <w:p w14:paraId="12CCB0F1" w14:textId="77777777" w:rsidR="0000153C" w:rsidRPr="00D56C0A" w:rsidRDefault="0000153C" w:rsidP="00C64040">
      <w:pPr>
        <w:pStyle w:val="EndnoteText"/>
        <w:spacing w:before="0" w:after="0"/>
        <w:ind w:left="851" w:hanging="851"/>
      </w:pPr>
      <w:r>
        <w:rPr>
          <w:rStyle w:val="EndnoteReference"/>
        </w:rPr>
        <w:endnoteRef/>
      </w:r>
      <w:r>
        <w:t xml:space="preserve"> </w:t>
      </w:r>
      <w:r w:rsidRPr="00977321">
        <w:rPr>
          <w:rFonts w:asciiTheme="minorHAnsi" w:hAnsiTheme="minorHAnsi" w:cstheme="minorHAnsi"/>
        </w:rPr>
        <w:t xml:space="preserve">RACP, 2018. </w:t>
      </w:r>
      <w:r w:rsidRPr="002D1792">
        <w:rPr>
          <w:rFonts w:asciiTheme="minorHAnsi" w:hAnsiTheme="minorHAnsi" w:cstheme="minorHAnsi"/>
          <w:i/>
        </w:rPr>
        <w:t>Inequities in Child Health – Position Statement</w:t>
      </w:r>
      <w:r w:rsidRPr="00977321">
        <w:rPr>
          <w:rFonts w:asciiTheme="minorHAnsi" w:hAnsiTheme="minorHAnsi" w:cstheme="minorHAnsi"/>
        </w:rPr>
        <w:t>. RACP, Sydney.</w:t>
      </w:r>
    </w:p>
  </w:endnote>
  <w:endnote w:id="194">
    <w:p w14:paraId="51ACD09C" w14:textId="77777777" w:rsidR="0000153C" w:rsidRPr="00DA7F63" w:rsidRDefault="0000153C" w:rsidP="00C64040">
      <w:pPr>
        <w:pStyle w:val="EndnoteText"/>
        <w:spacing w:before="0" w:after="0"/>
        <w:ind w:left="851" w:hanging="851"/>
      </w:pPr>
      <w:r>
        <w:rPr>
          <w:rStyle w:val="EndnoteReference"/>
        </w:rPr>
        <w:endnoteRef/>
      </w:r>
      <w:r>
        <w:t xml:space="preserve"> ADHA, 2017. </w:t>
      </w:r>
      <w:r w:rsidRPr="002D1792">
        <w:rPr>
          <w:i/>
        </w:rPr>
        <w:t>Safe, seamless and secure: evolving health and care to meet the needs of modern Australia</w:t>
      </w:r>
      <w:r w:rsidRPr="00740669">
        <w:t>.</w:t>
      </w:r>
      <w:r>
        <w:t xml:space="preserve"> </w:t>
      </w:r>
      <w:r w:rsidRPr="00740669">
        <w:t>Australia’s National Digital Health Strateg</w:t>
      </w:r>
      <w:r>
        <w:t>y. ADHA, Sydney.</w:t>
      </w:r>
    </w:p>
  </w:endnote>
  <w:endnote w:id="195">
    <w:p w14:paraId="6DCBE050" w14:textId="77777777" w:rsidR="0000153C" w:rsidRPr="00D364C6" w:rsidRDefault="0000153C" w:rsidP="00C64040">
      <w:pPr>
        <w:pStyle w:val="EndnoteText"/>
        <w:spacing w:before="0" w:after="0"/>
        <w:ind w:left="851" w:hanging="851"/>
      </w:pPr>
      <w:r>
        <w:rPr>
          <w:rStyle w:val="EndnoteReference"/>
        </w:rPr>
        <w:endnoteRef/>
      </w:r>
      <w:r>
        <w:t xml:space="preserve"> ACSQHC, 2014. </w:t>
      </w:r>
      <w:r w:rsidRPr="002D1792">
        <w:rPr>
          <w:i/>
        </w:rPr>
        <w:t>Health literacy: Taking action to improve safety and quality</w:t>
      </w:r>
      <w:r>
        <w:t>. ACSQHC, Sydney.</w:t>
      </w:r>
    </w:p>
  </w:endnote>
  <w:endnote w:id="196">
    <w:p w14:paraId="41694FA1" w14:textId="77777777" w:rsidR="0000153C" w:rsidRPr="00D364C6" w:rsidRDefault="0000153C" w:rsidP="00C64040">
      <w:pPr>
        <w:pStyle w:val="EndnoteText"/>
        <w:spacing w:before="0" w:after="0"/>
        <w:ind w:left="851" w:hanging="851"/>
      </w:pPr>
      <w:r>
        <w:rPr>
          <w:rStyle w:val="EndnoteReference"/>
        </w:rPr>
        <w:endnoteRef/>
      </w:r>
      <w:r>
        <w:t xml:space="preserve"> Victorian Government Department of Health and Human Services, 2017. </w:t>
      </w:r>
      <w:r w:rsidRPr="002D1792">
        <w:rPr>
          <w:i/>
        </w:rPr>
        <w:t>Children and Families Research Strategy 2017-2019. Supporting the Roadmap to Reform</w:t>
      </w:r>
      <w:r>
        <w:t>. Victorian Government, Melbourne.</w:t>
      </w:r>
    </w:p>
  </w:endnote>
  <w:endnote w:id="197">
    <w:p w14:paraId="0020A2FE" w14:textId="6F356D8F" w:rsidR="0000153C" w:rsidRPr="005E6334" w:rsidRDefault="0000153C" w:rsidP="00C64040">
      <w:pPr>
        <w:pStyle w:val="EndnoteText"/>
        <w:spacing w:before="0" w:after="0"/>
        <w:ind w:left="851" w:hanging="851"/>
      </w:pPr>
      <w:r>
        <w:rPr>
          <w:rStyle w:val="EndnoteReference"/>
        </w:rPr>
        <w:endnoteRef/>
      </w:r>
      <w:r>
        <w:t xml:space="preserve"> Ridani, R, Torok, M, Shand, F, </w:t>
      </w:r>
      <w:r w:rsidRPr="00665D1F">
        <w:rPr>
          <w:i/>
        </w:rPr>
        <w:t>et al</w:t>
      </w:r>
      <w:r>
        <w:t xml:space="preserve">., 2016. </w:t>
      </w:r>
      <w:r w:rsidRPr="00665D1F">
        <w:rPr>
          <w:i/>
        </w:rPr>
        <w:t>An evidence-based systems approach to suicide prevention: guidance on planning, commissioning, and monitoring</w:t>
      </w:r>
      <w:r>
        <w:t>. Sydney: Black Dog Institute.</w:t>
      </w:r>
    </w:p>
  </w:endnote>
  <w:endnote w:id="198">
    <w:p w14:paraId="7F199308" w14:textId="0D8B6CE2" w:rsidR="0000153C" w:rsidRPr="005E6334" w:rsidRDefault="0000153C" w:rsidP="00C64040">
      <w:pPr>
        <w:pStyle w:val="EndnoteText"/>
        <w:spacing w:before="0" w:after="0"/>
        <w:ind w:left="851" w:hanging="851"/>
      </w:pPr>
      <w:r>
        <w:rPr>
          <w:rStyle w:val="EndnoteReference"/>
        </w:rPr>
        <w:endnoteRef/>
      </w:r>
      <w:r>
        <w:t xml:space="preserve"> ibid.</w:t>
      </w:r>
    </w:p>
  </w:endnote>
  <w:endnote w:id="199">
    <w:p w14:paraId="132A92EC" w14:textId="1058B747" w:rsidR="0000153C" w:rsidRPr="00216E96" w:rsidRDefault="0000153C" w:rsidP="00C64040">
      <w:pPr>
        <w:pStyle w:val="EndnoteText"/>
        <w:spacing w:before="0" w:after="0"/>
        <w:ind w:left="851" w:hanging="851"/>
      </w:pPr>
      <w:r>
        <w:rPr>
          <w:rStyle w:val="EndnoteReference"/>
        </w:rPr>
        <w:endnoteRef/>
      </w:r>
      <w:r>
        <w:t xml:space="preserve"> Department of Health, 2014. </w:t>
      </w:r>
      <w:r w:rsidRPr="002D1792">
        <w:rPr>
          <w:i/>
        </w:rPr>
        <w:t>Medicare Health Assessment for Aboriginal and Torres Strait Islander People (MBS Item 715) Child Health Assessment (0-14).</w:t>
      </w:r>
      <w:r>
        <w:t xml:space="preserve"> Retrieved from &lt;</w:t>
      </w:r>
      <w:r w:rsidRPr="008601E9">
        <w:t>http://www.health.gov.au/internet/main/publishing.nsf/Content/61D28A6649DBD87FCA257BF0001F954E/$File/Child-Health-Check-Proforma.pdf</w:t>
      </w:r>
      <w:r>
        <w:t>&gt;</w:t>
      </w:r>
    </w:p>
  </w:endnote>
  <w:endnote w:id="200">
    <w:p w14:paraId="635310B8" w14:textId="77777777" w:rsidR="0000153C" w:rsidRPr="00D56C0A" w:rsidRDefault="0000153C" w:rsidP="00C64040">
      <w:pPr>
        <w:pStyle w:val="EndnoteText"/>
        <w:spacing w:before="0" w:after="0"/>
        <w:ind w:left="851" w:hanging="851"/>
      </w:pPr>
      <w:r>
        <w:rPr>
          <w:rStyle w:val="EndnoteReference"/>
        </w:rPr>
        <w:endnoteRef/>
      </w:r>
      <w:r>
        <w:t xml:space="preserve"> ADHA, 2017. </w:t>
      </w:r>
      <w:r w:rsidRPr="002D1792">
        <w:rPr>
          <w:i/>
        </w:rPr>
        <w:t>Safe, seamless and secure: evolving health and care to meet the needs of modern Australia</w:t>
      </w:r>
      <w:r w:rsidRPr="00740669">
        <w:t>.</w:t>
      </w:r>
      <w:r>
        <w:t xml:space="preserve"> </w:t>
      </w:r>
      <w:r w:rsidRPr="00740669">
        <w:t>Australia’s National Digital Health Strateg</w:t>
      </w:r>
      <w:r>
        <w:t>y. ADHA, Sydney.</w:t>
      </w:r>
    </w:p>
  </w:endnote>
  <w:endnote w:id="201">
    <w:p w14:paraId="04B54A66" w14:textId="233CDA6A" w:rsidR="0000153C" w:rsidRPr="00BA700E" w:rsidRDefault="0000153C" w:rsidP="00C64040">
      <w:pPr>
        <w:pStyle w:val="EndnoteText"/>
        <w:spacing w:before="0" w:after="0"/>
        <w:ind w:left="851" w:hanging="851"/>
      </w:pPr>
      <w:r>
        <w:rPr>
          <w:rStyle w:val="EndnoteReference"/>
        </w:rPr>
        <w:endnoteRef/>
      </w:r>
      <w:r>
        <w:t xml:space="preserve"> ACSQHC, 2014. </w:t>
      </w:r>
      <w:r w:rsidRPr="002D1792">
        <w:rPr>
          <w:i/>
        </w:rPr>
        <w:t>National Statement of Health Literacy</w:t>
      </w:r>
      <w:r>
        <w:t>. Retrieved from &lt;</w:t>
      </w:r>
      <w:r w:rsidRPr="008601E9">
        <w:t>https://www.safetyandquality.gov.au/wp-content/uploads/2014/08/Health-Literacy-National-Statement.pdf</w:t>
      </w:r>
      <w:r>
        <w:t>&gt;</w:t>
      </w:r>
    </w:p>
  </w:endnote>
  <w:endnote w:id="202">
    <w:p w14:paraId="39F3DF95" w14:textId="77777777" w:rsidR="0000153C" w:rsidRPr="00BA700E" w:rsidRDefault="0000153C" w:rsidP="00C64040">
      <w:pPr>
        <w:pStyle w:val="EndnoteText"/>
        <w:spacing w:before="0" w:after="0"/>
        <w:ind w:left="851" w:hanging="851"/>
      </w:pPr>
      <w:r>
        <w:rPr>
          <w:rStyle w:val="EndnoteReference"/>
        </w:rPr>
        <w:endnoteRef/>
      </w:r>
      <w:r>
        <w:t xml:space="preserve"> ACSQHC, 2014. </w:t>
      </w:r>
      <w:r w:rsidRPr="002D1792">
        <w:rPr>
          <w:i/>
        </w:rPr>
        <w:t>Health literacy: Taking action to improve safety and quality</w:t>
      </w:r>
      <w:r>
        <w:t>. ACSQHC, Sydney.</w:t>
      </w:r>
    </w:p>
  </w:endnote>
  <w:endnote w:id="203">
    <w:p w14:paraId="5BD51744" w14:textId="77777777" w:rsidR="0000153C" w:rsidRPr="00481217" w:rsidRDefault="0000153C" w:rsidP="00C64040">
      <w:pPr>
        <w:pStyle w:val="EndnoteText"/>
        <w:spacing w:before="0" w:after="0"/>
        <w:ind w:left="851" w:hanging="851"/>
      </w:pPr>
      <w:r>
        <w:rPr>
          <w:rStyle w:val="EndnoteReference"/>
        </w:rPr>
        <w:endnoteRef/>
      </w:r>
      <w:r>
        <w:t xml:space="preserve"> Victorian Government Department of Health and Human Services, 2017. </w:t>
      </w:r>
      <w:r w:rsidRPr="002D1792">
        <w:rPr>
          <w:i/>
        </w:rPr>
        <w:t>Children and Families Research Strategy 2017-2019. Supporting the Roadmap to Reform</w:t>
      </w:r>
      <w:r>
        <w:t>. Victorian Government, Melbourne.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MT">
    <w:altName w:val="Arial"/>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1820E" w14:textId="77777777" w:rsidR="000340B0" w:rsidRDefault="00034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DE0A0" w14:textId="3782B62F" w:rsidR="0000153C" w:rsidRPr="00FD4AB1" w:rsidRDefault="009676B0" w:rsidP="00FD4AB1">
    <w:pPr>
      <w:pStyle w:val="Footer"/>
      <w:rPr>
        <w:rFonts w:ascii="Segoe UI Semibold" w:hAnsi="Segoe UI Semibold" w:cs="Segoe UI"/>
        <w:b/>
      </w:rPr>
    </w:pPr>
    <w:r>
      <w:rPr>
        <w:color w:val="808080" w:themeColor="background1" w:themeShade="80"/>
        <w:szCs w:val="15"/>
        <w:lang w:val="en-AU" w:eastAsia="en-AU"/>
      </w:rPr>
      <w:t>National Action Plan for the Health of Children and Young People</w:t>
    </w:r>
    <w:r w:rsidR="0000153C">
      <w:rPr>
        <w:color w:val="808080" w:themeColor="background1" w:themeShade="80"/>
        <w:szCs w:val="15"/>
        <w:lang w:val="en-AU" w:eastAsia="en-AU"/>
      </w:rPr>
      <w:t xml:space="preserve"> </w:t>
    </w:r>
    <w:r w:rsidR="0000153C" w:rsidRPr="00FD4AB1">
      <w:rPr>
        <w:rFonts w:ascii="Segoe UI Semibold" w:hAnsi="Segoe UI Semibold" w:cs="Segoe UI"/>
        <w:color w:val="A5A5A5"/>
      </w:rPr>
      <w:ptab w:relativeTo="margin" w:alignment="right" w:leader="none"/>
    </w:r>
    <w:r w:rsidR="0000153C" w:rsidRPr="00FD4AB1">
      <w:rPr>
        <w:rFonts w:cs="Segoe UI"/>
        <w:color w:val="A5A5A5"/>
      </w:rPr>
      <w:t xml:space="preserve">| </w:t>
    </w:r>
    <w:r w:rsidR="0000153C" w:rsidRPr="003B464C">
      <w:rPr>
        <w:rFonts w:cs="Segoe UI"/>
        <w:b/>
        <w:color w:val="A5A5A5"/>
        <w:sz w:val="16"/>
        <w:szCs w:val="16"/>
      </w:rPr>
      <w:fldChar w:fldCharType="begin"/>
    </w:r>
    <w:r w:rsidR="0000153C" w:rsidRPr="003B464C">
      <w:rPr>
        <w:rFonts w:cs="Segoe UI"/>
        <w:color w:val="A5A5A5"/>
        <w:sz w:val="16"/>
        <w:szCs w:val="16"/>
      </w:rPr>
      <w:instrText xml:space="preserve"> PAGE  \* roman  \* MERGEFORMAT </w:instrText>
    </w:r>
    <w:r w:rsidR="0000153C" w:rsidRPr="003B464C">
      <w:rPr>
        <w:rFonts w:cs="Segoe UI"/>
        <w:b/>
        <w:color w:val="A5A5A5"/>
        <w:sz w:val="16"/>
        <w:szCs w:val="16"/>
      </w:rPr>
      <w:fldChar w:fldCharType="separate"/>
    </w:r>
    <w:r w:rsidR="0000153C" w:rsidRPr="009E23E5">
      <w:rPr>
        <w:rFonts w:cs="Segoe UI"/>
        <w:b/>
        <w:noProof/>
        <w:color w:val="A5A5A5"/>
        <w:sz w:val="16"/>
        <w:szCs w:val="16"/>
      </w:rPr>
      <w:t>ii</w:t>
    </w:r>
    <w:r w:rsidR="0000153C" w:rsidRPr="003B464C">
      <w:rPr>
        <w:rFonts w:cs="Segoe UI"/>
        <w:b/>
        <w:color w:val="A5A5A5"/>
        <w:sz w:val="16"/>
        <w:szCs w:val="16"/>
      </w:rPr>
      <w:fldChar w:fldCharType="end"/>
    </w:r>
    <w:r w:rsidR="0000153C" w:rsidRPr="003B464C">
      <w:rPr>
        <w:rFonts w:cs="Segoe UI"/>
        <w:color w:val="A5A5A5"/>
        <w:sz w:val="16"/>
        <w:szCs w:val="16"/>
      </w:rPr>
      <w:t xml:space="preserve"> </w:t>
    </w:r>
    <w:r w:rsidR="0000153C"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25F24" w14:textId="5D129965" w:rsidR="0000153C" w:rsidRDefault="0000153C">
    <w:pPr>
      <w:pStyle w:val="Footer"/>
    </w:pPr>
  </w:p>
  <w:p w14:paraId="43589662" w14:textId="77777777" w:rsidR="0000153C" w:rsidRDefault="000015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5FAE9" w14:textId="442F88F7" w:rsidR="0000153C" w:rsidRPr="00FD4AB1" w:rsidRDefault="0000153C" w:rsidP="00FD4AB1">
    <w:pPr>
      <w:pStyle w:val="Footer"/>
      <w:rPr>
        <w:rFonts w:ascii="Segoe UI Semibold" w:hAnsi="Segoe UI Semibold" w:cs="Segoe UI"/>
        <w:b/>
      </w:rPr>
    </w:pPr>
    <w:r>
      <w:rPr>
        <w:color w:val="808080" w:themeColor="background1" w:themeShade="80"/>
        <w:szCs w:val="15"/>
        <w:lang w:val="en-AU" w:eastAsia="en-AU"/>
      </w:rPr>
      <w:t xml:space="preserve"> </w:t>
    </w:r>
    <w:r w:rsidR="009676B0">
      <w:rPr>
        <w:color w:val="808080" w:themeColor="background1" w:themeShade="80"/>
        <w:szCs w:val="15"/>
        <w:lang w:val="en-AU" w:eastAsia="en-AU"/>
      </w:rPr>
      <w:t>National Action Plan for the Health of Children and Young People</w:t>
    </w:r>
    <w:r w:rsidRPr="00FD4AB1">
      <w:rPr>
        <w:rFonts w:ascii="Segoe UI Semibold" w:hAnsi="Segoe UI Semibold" w:cs="Segoe UI"/>
        <w:color w:val="A5A5A5"/>
      </w:rPr>
      <w:ptab w:relativeTo="margin" w:alignment="right" w:leader="none"/>
    </w:r>
  </w:p>
  <w:p w14:paraId="5AE79762" w14:textId="77777777" w:rsidR="0000153C" w:rsidRDefault="0000153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92B5" w14:textId="7CE456E7" w:rsidR="0000153C" w:rsidRPr="00FD4AB1" w:rsidRDefault="0000153C" w:rsidP="00FD4AB1">
    <w:pPr>
      <w:pStyle w:val="Footer"/>
      <w:rPr>
        <w:rFonts w:ascii="Segoe UI Semibold" w:hAnsi="Segoe UI Semibold" w:cs="Segoe UI"/>
        <w:b/>
      </w:rPr>
    </w:pPr>
    <w:r>
      <w:rPr>
        <w:color w:val="808080" w:themeColor="background1" w:themeShade="80"/>
        <w:szCs w:val="15"/>
        <w:lang w:val="en-AU" w:eastAsia="en-AU"/>
      </w:rPr>
      <w:t xml:space="preserve"> </w:t>
    </w:r>
    <w:r w:rsidR="009676B0">
      <w:rPr>
        <w:color w:val="808080" w:themeColor="background1" w:themeShade="80"/>
        <w:szCs w:val="15"/>
        <w:lang w:val="en-AU" w:eastAsia="en-AU"/>
      </w:rPr>
      <w:t>National Action Plan for the Health of Children and Young People</w:t>
    </w:r>
    <w:r w:rsidRPr="00FD4AB1">
      <w:rPr>
        <w:rFonts w:ascii="Segoe UI Semibold" w:hAnsi="Segoe UI Semibold" w:cs="Segoe UI"/>
        <w:color w:val="A5A5A5"/>
      </w:rPr>
      <w:ptab w:relativeTo="margin" w:alignment="right" w:leader="none"/>
    </w:r>
  </w:p>
  <w:p w14:paraId="263CE2B4" w14:textId="77777777" w:rsidR="0000153C" w:rsidRDefault="0000153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1F2E3" w14:textId="7EC10C9B" w:rsidR="0000153C" w:rsidRPr="00DD4037" w:rsidRDefault="0000153C" w:rsidP="00DD4037">
    <w:pPr>
      <w:pStyle w:val="Footer"/>
      <w:jc w:val="right"/>
    </w:pPr>
    <w:r>
      <w:rPr>
        <w:color w:val="808080" w:themeColor="background1" w:themeShade="80"/>
        <w:szCs w:val="15"/>
        <w:lang w:val="en-AU" w:eastAsia="en-AU"/>
      </w:rPr>
      <w:t xml:space="preserve"> </w:t>
    </w:r>
    <w:r w:rsidR="009676B0">
      <w:rPr>
        <w:color w:val="808080" w:themeColor="background1" w:themeShade="80"/>
        <w:szCs w:val="15"/>
        <w:lang w:val="en-AU" w:eastAsia="en-AU"/>
      </w:rPr>
      <w:t>National Action Plan for the Health of Children and Young People</w:t>
    </w:r>
    <w:r w:rsidRPr="00FD4AB1">
      <w:rPr>
        <w:rFonts w:ascii="Segoe UI Semibold" w:hAnsi="Segoe UI Semibold" w:cs="Segoe UI"/>
        <w:color w:val="A5A5A5"/>
      </w:rPr>
      <w:ptab w:relativeTo="margin" w:alignment="right" w:leader="none"/>
    </w:r>
    <w:r w:rsidRPr="00DD4037">
      <w:t xml:space="preserve"> </w:t>
    </w:r>
    <w:sdt>
      <w:sdtPr>
        <w:id w:val="18087453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340B0">
          <w:rPr>
            <w:noProof/>
          </w:rPr>
          <w:t>13</w:t>
        </w:r>
        <w:r>
          <w:rPr>
            <w:noProof/>
          </w:rPr>
          <w:fldChar w:fldCharType="end"/>
        </w:r>
      </w:sdtContent>
    </w:sdt>
  </w:p>
  <w:p w14:paraId="3F6FD02C" w14:textId="77777777" w:rsidR="0000153C" w:rsidRDefault="000015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7F650" w14:textId="77777777" w:rsidR="0000153C" w:rsidRDefault="0000153C" w:rsidP="00302076">
      <w:r>
        <w:separator/>
      </w:r>
    </w:p>
    <w:p w14:paraId="3E312577" w14:textId="77777777" w:rsidR="0000153C" w:rsidRDefault="0000153C"/>
  </w:footnote>
  <w:footnote w:type="continuationSeparator" w:id="0">
    <w:p w14:paraId="3D356BC5" w14:textId="77777777" w:rsidR="0000153C" w:rsidRDefault="0000153C" w:rsidP="00302076">
      <w:r>
        <w:continuationSeparator/>
      </w:r>
    </w:p>
    <w:p w14:paraId="4574326B" w14:textId="77777777" w:rsidR="0000153C" w:rsidRDefault="0000153C"/>
  </w:footnote>
  <w:footnote w:type="continuationNotice" w:id="1">
    <w:p w14:paraId="5BC22606" w14:textId="77777777" w:rsidR="0000153C" w:rsidRDefault="0000153C"/>
    <w:p w14:paraId="42399330" w14:textId="77777777" w:rsidR="0000153C" w:rsidRDefault="000015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964DE" w14:textId="77777777" w:rsidR="000340B0" w:rsidRDefault="00034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A001" w14:textId="77777777" w:rsidR="000340B0" w:rsidRDefault="000340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CA1F3" w14:textId="5D79DA0F" w:rsidR="0000153C" w:rsidRDefault="0000153C" w:rsidP="008F21A0">
    <w:pPr>
      <w:tabs>
        <w:tab w:val="left" w:pos="1758"/>
      </w:tabs>
      <w:jc w:val="right"/>
    </w:pPr>
    <w:r>
      <w:tab/>
    </w:r>
  </w:p>
  <w:p w14:paraId="77CDAB62" w14:textId="01FF916B" w:rsidR="0000153C" w:rsidRDefault="0000153C" w:rsidP="008F21A0">
    <w:pPr>
      <w:tabs>
        <w:tab w:val="left" w:pos="1758"/>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36ED" w14:textId="57EF094A" w:rsidR="0000153C" w:rsidRPr="00A922D4" w:rsidRDefault="0000153C" w:rsidP="00A922D4">
    <w:pPr>
      <w:pStyle w:val="Header"/>
      <w:spacing w:before="0" w:after="0"/>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1A2"/>
    <w:multiLevelType w:val="multilevel"/>
    <w:tmpl w:val="8B441C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9C746B1"/>
    <w:multiLevelType w:val="hybridMultilevel"/>
    <w:tmpl w:val="93ACABEC"/>
    <w:lvl w:ilvl="0" w:tplc="4F168A72">
      <w:start w:val="1"/>
      <w:numFmt w:val="decimal"/>
      <w:lvlText w:val="%1."/>
      <w:lvlJc w:val="left"/>
      <w:pPr>
        <w:ind w:left="720" w:hanging="360"/>
      </w:pPr>
      <w:rPr>
        <w:b w:val="0"/>
      </w:rPr>
    </w:lvl>
    <w:lvl w:ilvl="1" w:tplc="2D161E00">
      <w:start w:val="1"/>
      <w:numFmt w:val="lowerLetter"/>
      <w:lvlText w:val="%2."/>
      <w:lvlJc w:val="left"/>
      <w:pPr>
        <w:ind w:left="1440" w:hanging="360"/>
      </w:pPr>
      <w:rPr>
        <w:sz w:val="18"/>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D6350FD"/>
    <w:multiLevelType w:val="hybridMultilevel"/>
    <w:tmpl w:val="72C6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96473"/>
    <w:multiLevelType w:val="hybridMultilevel"/>
    <w:tmpl w:val="5A34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E0076"/>
    <w:multiLevelType w:val="hybridMultilevel"/>
    <w:tmpl w:val="D982FF2C"/>
    <w:lvl w:ilvl="0" w:tplc="2FBC9364">
      <w:start w:val="1"/>
      <w:numFmt w:val="bullet"/>
      <w:pStyle w:val="Tabletextbullet"/>
      <w:lvlText w:val=""/>
      <w:lvlJc w:val="left"/>
      <w:pPr>
        <w:ind w:left="446"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B7420"/>
    <w:multiLevelType w:val="hybridMultilevel"/>
    <w:tmpl w:val="64DA9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7187D"/>
    <w:multiLevelType w:val="hybridMultilevel"/>
    <w:tmpl w:val="7234A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826EC7"/>
    <w:multiLevelType w:val="hybridMultilevel"/>
    <w:tmpl w:val="12CEE1A2"/>
    <w:lvl w:ilvl="0" w:tplc="74AEBC52">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1BCF7A44"/>
    <w:multiLevelType w:val="hybridMultilevel"/>
    <w:tmpl w:val="C890EFAE"/>
    <w:lvl w:ilvl="0" w:tplc="9E0CDB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C600CD"/>
    <w:multiLevelType w:val="hybridMultilevel"/>
    <w:tmpl w:val="AEF0D7B2"/>
    <w:lvl w:ilvl="0" w:tplc="A6128486">
      <w:start w:val="1"/>
      <w:numFmt w:val="bullet"/>
      <w:pStyle w:val="NormalBullet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337068"/>
    <w:multiLevelType w:val="hybridMultilevel"/>
    <w:tmpl w:val="389AC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D67A0"/>
    <w:multiLevelType w:val="hybridMultilevel"/>
    <w:tmpl w:val="45843558"/>
    <w:lvl w:ilvl="0" w:tplc="8F985E5C">
      <w:numFmt w:val="bullet"/>
      <w:lvlText w:val="•"/>
      <w:lvlJc w:val="left"/>
      <w:pPr>
        <w:ind w:left="786" w:hanging="360"/>
      </w:pPr>
      <w:rPr>
        <w:rFonts w:ascii="Segoe UI" w:eastAsiaTheme="minorHAnsi" w:hAnsi="Segoe UI" w:cs="Segoe U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15:restartNumberingAfterBreak="0">
    <w:nsid w:val="31F36953"/>
    <w:multiLevelType w:val="hybridMultilevel"/>
    <w:tmpl w:val="1E6697A6"/>
    <w:lvl w:ilvl="0" w:tplc="27509192">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771A7"/>
    <w:multiLevelType w:val="hybridMultilevel"/>
    <w:tmpl w:val="EA8EDB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A72572"/>
    <w:multiLevelType w:val="multilevel"/>
    <w:tmpl w:val="9338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841B12"/>
    <w:multiLevelType w:val="hybridMultilevel"/>
    <w:tmpl w:val="675EF366"/>
    <w:lvl w:ilvl="0" w:tplc="3464574C">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FF4D23"/>
    <w:multiLevelType w:val="multilevel"/>
    <w:tmpl w:val="DAB0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1413D"/>
    <w:multiLevelType w:val="multilevel"/>
    <w:tmpl w:val="71646EC4"/>
    <w:lvl w:ilvl="0">
      <w:start w:val="1"/>
      <w:numFmt w:val="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lvl>
    <w:lvl w:ilvl="5">
      <w:start w:val="1"/>
      <w:numFmt w:val="lowerRoman"/>
      <w:lvlText w:val="(%6)"/>
      <w:lvlJc w:val="left"/>
      <w:pPr>
        <w:ind w:left="1020" w:hanging="170"/>
      </w:pPr>
    </w:lvl>
    <w:lvl w:ilvl="6">
      <w:start w:val="1"/>
      <w:numFmt w:val="decimal"/>
      <w:lvlText w:val="%7."/>
      <w:lvlJc w:val="left"/>
      <w:pPr>
        <w:ind w:left="1190" w:hanging="170"/>
      </w:pPr>
    </w:lvl>
    <w:lvl w:ilvl="7">
      <w:start w:val="1"/>
      <w:numFmt w:val="lowerLetter"/>
      <w:lvlText w:val="%8."/>
      <w:lvlJc w:val="left"/>
      <w:pPr>
        <w:ind w:left="1360" w:hanging="170"/>
      </w:pPr>
    </w:lvl>
    <w:lvl w:ilvl="8">
      <w:start w:val="1"/>
      <w:numFmt w:val="lowerRoman"/>
      <w:lvlText w:val="%9."/>
      <w:lvlJc w:val="left"/>
      <w:pPr>
        <w:ind w:left="1530" w:hanging="170"/>
      </w:pPr>
    </w:lvl>
  </w:abstractNum>
  <w:abstractNum w:abstractNumId="21" w15:restartNumberingAfterBreak="0">
    <w:nsid w:val="3BBE2EC6"/>
    <w:multiLevelType w:val="hybridMultilevel"/>
    <w:tmpl w:val="459E5262"/>
    <w:lvl w:ilvl="0" w:tplc="3464574C">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D62854"/>
    <w:multiLevelType w:val="hybridMultilevel"/>
    <w:tmpl w:val="CC94D4EE"/>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3" w15:restartNumberingAfterBreak="0">
    <w:nsid w:val="4F0F3225"/>
    <w:multiLevelType w:val="hybridMultilevel"/>
    <w:tmpl w:val="8D3EF046"/>
    <w:lvl w:ilvl="0" w:tplc="A1A2688E">
      <w:start w:val="5"/>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234083"/>
    <w:multiLevelType w:val="hybridMultilevel"/>
    <w:tmpl w:val="716829F6"/>
    <w:lvl w:ilvl="0" w:tplc="77D2326A">
      <w:start w:val="1"/>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AE45BC"/>
    <w:multiLevelType w:val="hybridMultilevel"/>
    <w:tmpl w:val="EBD0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5808ED"/>
    <w:multiLevelType w:val="hybridMultilevel"/>
    <w:tmpl w:val="49E42C2C"/>
    <w:lvl w:ilvl="0" w:tplc="77D2326A">
      <w:start w:val="1"/>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5943B8"/>
    <w:multiLevelType w:val="hybridMultilevel"/>
    <w:tmpl w:val="3560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2B1179"/>
    <w:multiLevelType w:val="multilevel"/>
    <w:tmpl w:val="F544D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E0C7E94"/>
    <w:multiLevelType w:val="hybridMultilevel"/>
    <w:tmpl w:val="B38CA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D81686"/>
    <w:multiLevelType w:val="hybridMultilevel"/>
    <w:tmpl w:val="77F4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A16EBA"/>
    <w:multiLevelType w:val="multilevel"/>
    <w:tmpl w:val="D060ABD0"/>
    <w:lvl w:ilvl="0">
      <w:start w:val="1"/>
      <w:numFmt w:val="upperLetter"/>
      <w:pStyle w:val="xAppendixLevel1"/>
      <w:lvlText w:val="Appendix %1"/>
      <w:lvlJc w:val="left"/>
      <w:pPr>
        <w:ind w:left="2552" w:hanging="2268"/>
      </w:pPr>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 w:hanging="851"/>
      </w:pPr>
      <w:rPr>
        <w:rFonts w:hint="default"/>
        <w:color w:val="00264D"/>
        <w:sz w:val="34"/>
        <w:szCs w:val="34"/>
      </w:rPr>
    </w:lvl>
    <w:lvl w:ilvl="2">
      <w:start w:val="1"/>
      <w:numFmt w:val="decimal"/>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33" w15:restartNumberingAfterBreak="0">
    <w:nsid w:val="751916DB"/>
    <w:multiLevelType w:val="hybridMultilevel"/>
    <w:tmpl w:val="2876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105AE4"/>
    <w:multiLevelType w:val="hybridMultilevel"/>
    <w:tmpl w:val="5CC8CD8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784133EA"/>
    <w:multiLevelType w:val="hybridMultilevel"/>
    <w:tmpl w:val="A84CE156"/>
    <w:lvl w:ilvl="0" w:tplc="A0D6DCD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B7218E"/>
    <w:multiLevelType w:val="hybridMultilevel"/>
    <w:tmpl w:val="742EA52A"/>
    <w:lvl w:ilvl="0" w:tplc="BB7622A2">
      <w:start w:val="1"/>
      <w:numFmt w:val="bullet"/>
      <w:pStyle w:val="Bullet"/>
      <w:lvlText w:val=""/>
      <w:lvlJc w:val="left"/>
      <w:pPr>
        <w:ind w:left="340" w:hanging="340"/>
      </w:pPr>
      <w:rPr>
        <w:rFonts w:ascii="Symbol" w:hAnsi="Symbol" w:hint="default"/>
        <w:sz w:val="16"/>
      </w:rPr>
    </w:lvl>
    <w:lvl w:ilvl="1" w:tplc="FFDC5F0E">
      <w:numFmt w:val="bullet"/>
      <w:lvlText w:val="‒"/>
      <w:lvlJc w:val="left"/>
      <w:pPr>
        <w:ind w:left="680" w:hanging="340"/>
      </w:pPr>
      <w:rPr>
        <w:rFonts w:ascii="Arial" w:eastAsiaTheme="minorHAnsi" w:hAnsi="Aria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93111A"/>
    <w:multiLevelType w:val="hybridMultilevel"/>
    <w:tmpl w:val="7E365CD6"/>
    <w:lvl w:ilvl="0" w:tplc="74AEBC52">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0"/>
  </w:num>
  <w:num w:numId="4">
    <w:abstractNumId w:val="32"/>
  </w:num>
  <w:num w:numId="5">
    <w:abstractNumId w:val="5"/>
  </w:num>
  <w:num w:numId="6">
    <w:abstractNumId w:val="18"/>
  </w:num>
  <w:num w:numId="7">
    <w:abstractNumId w:val="24"/>
  </w:num>
  <w:num w:numId="8">
    <w:abstractNumId w:val="16"/>
  </w:num>
  <w:num w:numId="9">
    <w:abstractNumId w:val="4"/>
  </w:num>
  <w:num w:numId="10">
    <w:abstractNumId w:val="11"/>
  </w:num>
  <w:num w:numId="11">
    <w:abstractNumId w:val="13"/>
  </w:num>
  <w:num w:numId="12">
    <w:abstractNumId w:val="9"/>
  </w:num>
  <w:num w:numId="13">
    <w:abstractNumId w:val="30"/>
  </w:num>
  <w:num w:numId="14">
    <w:abstractNumId w:val="10"/>
  </w:num>
  <w:num w:numId="15">
    <w:abstractNumId w:val="31"/>
  </w:num>
  <w:num w:numId="16">
    <w:abstractNumId w:val="8"/>
  </w:num>
  <w:num w:numId="17">
    <w:abstractNumId w:val="6"/>
  </w:num>
  <w:num w:numId="18">
    <w:abstractNumId w:val="25"/>
  </w:num>
  <w:num w:numId="19">
    <w:abstractNumId w:val="33"/>
  </w:num>
  <w:num w:numId="20">
    <w:abstractNumId w:val="7"/>
  </w:num>
  <w:num w:numId="21">
    <w:abstractNumId w:val="14"/>
  </w:num>
  <w:num w:numId="22">
    <w:abstractNumId w:val="17"/>
  </w:num>
  <w:num w:numId="23">
    <w:abstractNumId w:val="2"/>
  </w:num>
  <w:num w:numId="24">
    <w:abstractNumId w:val="21"/>
  </w:num>
  <w:num w:numId="25">
    <w:abstractNumId w:val="23"/>
  </w:num>
  <w:num w:numId="26">
    <w:abstractNumId w:val="12"/>
  </w:num>
  <w:num w:numId="27">
    <w:abstractNumId w:val="35"/>
  </w:num>
  <w:num w:numId="28">
    <w:abstractNumId w:val="27"/>
  </w:num>
  <w:num w:numId="29">
    <w:abstractNumId w:val="3"/>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9"/>
  </w:num>
  <w:num w:numId="36">
    <w:abstractNumId w:val="2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8"/>
  </w:num>
  <w:num w:numId="39">
    <w:abstractNumId w:val="37"/>
  </w:num>
  <w:num w:numId="40">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D1"/>
    <w:rsid w:val="00000765"/>
    <w:rsid w:val="00000E6A"/>
    <w:rsid w:val="0000141B"/>
    <w:rsid w:val="0000153C"/>
    <w:rsid w:val="0000161B"/>
    <w:rsid w:val="00001F88"/>
    <w:rsid w:val="00004DFC"/>
    <w:rsid w:val="00005639"/>
    <w:rsid w:val="000058CE"/>
    <w:rsid w:val="00005FAF"/>
    <w:rsid w:val="000066B2"/>
    <w:rsid w:val="00006776"/>
    <w:rsid w:val="000079BF"/>
    <w:rsid w:val="00007C3D"/>
    <w:rsid w:val="00007E1D"/>
    <w:rsid w:val="000103AA"/>
    <w:rsid w:val="00010A5C"/>
    <w:rsid w:val="00010AB7"/>
    <w:rsid w:val="00010D1C"/>
    <w:rsid w:val="00010DE6"/>
    <w:rsid w:val="00010F9A"/>
    <w:rsid w:val="00011155"/>
    <w:rsid w:val="00011865"/>
    <w:rsid w:val="0001195A"/>
    <w:rsid w:val="00011F69"/>
    <w:rsid w:val="000126B3"/>
    <w:rsid w:val="000137FA"/>
    <w:rsid w:val="00013BA9"/>
    <w:rsid w:val="000140CA"/>
    <w:rsid w:val="000141E7"/>
    <w:rsid w:val="00014D55"/>
    <w:rsid w:val="00014DC4"/>
    <w:rsid w:val="00015B9D"/>
    <w:rsid w:val="00016F9C"/>
    <w:rsid w:val="000177B5"/>
    <w:rsid w:val="00020504"/>
    <w:rsid w:val="000223E5"/>
    <w:rsid w:val="000226C5"/>
    <w:rsid w:val="000242C9"/>
    <w:rsid w:val="00024C04"/>
    <w:rsid w:val="00025072"/>
    <w:rsid w:val="000263F6"/>
    <w:rsid w:val="0002694A"/>
    <w:rsid w:val="00027250"/>
    <w:rsid w:val="00027565"/>
    <w:rsid w:val="000300D8"/>
    <w:rsid w:val="000302AC"/>
    <w:rsid w:val="00030892"/>
    <w:rsid w:val="000308EE"/>
    <w:rsid w:val="00030EC8"/>
    <w:rsid w:val="00031583"/>
    <w:rsid w:val="00031CDC"/>
    <w:rsid w:val="0003250A"/>
    <w:rsid w:val="000340B0"/>
    <w:rsid w:val="00034188"/>
    <w:rsid w:val="00034AE6"/>
    <w:rsid w:val="000356F0"/>
    <w:rsid w:val="00035A8F"/>
    <w:rsid w:val="000370B6"/>
    <w:rsid w:val="000371AE"/>
    <w:rsid w:val="000378D6"/>
    <w:rsid w:val="00037B83"/>
    <w:rsid w:val="00037C03"/>
    <w:rsid w:val="0004033A"/>
    <w:rsid w:val="000417E0"/>
    <w:rsid w:val="000419D7"/>
    <w:rsid w:val="000421C9"/>
    <w:rsid w:val="00042795"/>
    <w:rsid w:val="0004291B"/>
    <w:rsid w:val="00042B16"/>
    <w:rsid w:val="000441B0"/>
    <w:rsid w:val="00044CD4"/>
    <w:rsid w:val="00044EA9"/>
    <w:rsid w:val="000456CE"/>
    <w:rsid w:val="00045FAB"/>
    <w:rsid w:val="00047145"/>
    <w:rsid w:val="00052381"/>
    <w:rsid w:val="0005291E"/>
    <w:rsid w:val="00052F8D"/>
    <w:rsid w:val="000537E0"/>
    <w:rsid w:val="0005389E"/>
    <w:rsid w:val="00053F9E"/>
    <w:rsid w:val="00054166"/>
    <w:rsid w:val="00054439"/>
    <w:rsid w:val="000556D2"/>
    <w:rsid w:val="0005570C"/>
    <w:rsid w:val="000557FD"/>
    <w:rsid w:val="00056996"/>
    <w:rsid w:val="000574D9"/>
    <w:rsid w:val="00057BA6"/>
    <w:rsid w:val="000603AE"/>
    <w:rsid w:val="0006082D"/>
    <w:rsid w:val="000619E7"/>
    <w:rsid w:val="000631AE"/>
    <w:rsid w:val="00064298"/>
    <w:rsid w:val="00064B26"/>
    <w:rsid w:val="000668A2"/>
    <w:rsid w:val="00066ADB"/>
    <w:rsid w:val="00066C26"/>
    <w:rsid w:val="0006709F"/>
    <w:rsid w:val="00067B12"/>
    <w:rsid w:val="00067CF7"/>
    <w:rsid w:val="00070002"/>
    <w:rsid w:val="00070710"/>
    <w:rsid w:val="00071729"/>
    <w:rsid w:val="00071A7F"/>
    <w:rsid w:val="00071DFF"/>
    <w:rsid w:val="0007267B"/>
    <w:rsid w:val="000729DF"/>
    <w:rsid w:val="00073C60"/>
    <w:rsid w:val="00073E29"/>
    <w:rsid w:val="00073EDB"/>
    <w:rsid w:val="0007597F"/>
    <w:rsid w:val="00075B46"/>
    <w:rsid w:val="00075BD5"/>
    <w:rsid w:val="0007685A"/>
    <w:rsid w:val="00076CC4"/>
    <w:rsid w:val="000801F5"/>
    <w:rsid w:val="00080C96"/>
    <w:rsid w:val="0008110C"/>
    <w:rsid w:val="00081381"/>
    <w:rsid w:val="00081C48"/>
    <w:rsid w:val="00081D79"/>
    <w:rsid w:val="0008200F"/>
    <w:rsid w:val="00082296"/>
    <w:rsid w:val="0008233A"/>
    <w:rsid w:val="00082860"/>
    <w:rsid w:val="00082927"/>
    <w:rsid w:val="000830C7"/>
    <w:rsid w:val="00083F64"/>
    <w:rsid w:val="00084075"/>
    <w:rsid w:val="00084FE2"/>
    <w:rsid w:val="00085082"/>
    <w:rsid w:val="000856E5"/>
    <w:rsid w:val="00087054"/>
    <w:rsid w:val="000874FE"/>
    <w:rsid w:val="00087E7B"/>
    <w:rsid w:val="000900CF"/>
    <w:rsid w:val="00090A03"/>
    <w:rsid w:val="00091318"/>
    <w:rsid w:val="00091AD1"/>
    <w:rsid w:val="00092244"/>
    <w:rsid w:val="00092C8F"/>
    <w:rsid w:val="0009394D"/>
    <w:rsid w:val="00093EED"/>
    <w:rsid w:val="000945B1"/>
    <w:rsid w:val="0009469D"/>
    <w:rsid w:val="00095385"/>
    <w:rsid w:val="00095B48"/>
    <w:rsid w:val="00096648"/>
    <w:rsid w:val="00096A3F"/>
    <w:rsid w:val="00096E20"/>
    <w:rsid w:val="00097190"/>
    <w:rsid w:val="00097C19"/>
    <w:rsid w:val="000A091E"/>
    <w:rsid w:val="000A0B91"/>
    <w:rsid w:val="000A100E"/>
    <w:rsid w:val="000A1CB8"/>
    <w:rsid w:val="000A1DC0"/>
    <w:rsid w:val="000A2268"/>
    <w:rsid w:val="000A2F48"/>
    <w:rsid w:val="000A39AA"/>
    <w:rsid w:val="000A3B8C"/>
    <w:rsid w:val="000A4235"/>
    <w:rsid w:val="000A5877"/>
    <w:rsid w:val="000A5B35"/>
    <w:rsid w:val="000A5D27"/>
    <w:rsid w:val="000A660A"/>
    <w:rsid w:val="000A6AC1"/>
    <w:rsid w:val="000A7920"/>
    <w:rsid w:val="000A794E"/>
    <w:rsid w:val="000A7A31"/>
    <w:rsid w:val="000B0004"/>
    <w:rsid w:val="000B0425"/>
    <w:rsid w:val="000B05AC"/>
    <w:rsid w:val="000B08C2"/>
    <w:rsid w:val="000B09C8"/>
    <w:rsid w:val="000B0FEA"/>
    <w:rsid w:val="000B0FF7"/>
    <w:rsid w:val="000B1D8B"/>
    <w:rsid w:val="000B2ADB"/>
    <w:rsid w:val="000B2B8D"/>
    <w:rsid w:val="000B2D10"/>
    <w:rsid w:val="000B4933"/>
    <w:rsid w:val="000B5227"/>
    <w:rsid w:val="000B5464"/>
    <w:rsid w:val="000B54E7"/>
    <w:rsid w:val="000B5866"/>
    <w:rsid w:val="000B5A50"/>
    <w:rsid w:val="000B5AB5"/>
    <w:rsid w:val="000B6478"/>
    <w:rsid w:val="000B6882"/>
    <w:rsid w:val="000B6F81"/>
    <w:rsid w:val="000B78A5"/>
    <w:rsid w:val="000B79DA"/>
    <w:rsid w:val="000C0171"/>
    <w:rsid w:val="000C03D8"/>
    <w:rsid w:val="000C0545"/>
    <w:rsid w:val="000C12A5"/>
    <w:rsid w:val="000C18A6"/>
    <w:rsid w:val="000C1986"/>
    <w:rsid w:val="000C38C4"/>
    <w:rsid w:val="000C398A"/>
    <w:rsid w:val="000C3EAF"/>
    <w:rsid w:val="000C4188"/>
    <w:rsid w:val="000C472F"/>
    <w:rsid w:val="000C4FA5"/>
    <w:rsid w:val="000C5DD4"/>
    <w:rsid w:val="000C6DE0"/>
    <w:rsid w:val="000C6E73"/>
    <w:rsid w:val="000D0756"/>
    <w:rsid w:val="000D0B91"/>
    <w:rsid w:val="000D0E37"/>
    <w:rsid w:val="000D1805"/>
    <w:rsid w:val="000D3987"/>
    <w:rsid w:val="000D47BA"/>
    <w:rsid w:val="000D50BA"/>
    <w:rsid w:val="000D5779"/>
    <w:rsid w:val="000D5938"/>
    <w:rsid w:val="000D5CE3"/>
    <w:rsid w:val="000D67F5"/>
    <w:rsid w:val="000D70E5"/>
    <w:rsid w:val="000D7A9F"/>
    <w:rsid w:val="000D7DE9"/>
    <w:rsid w:val="000E0306"/>
    <w:rsid w:val="000E046B"/>
    <w:rsid w:val="000E0765"/>
    <w:rsid w:val="000E0892"/>
    <w:rsid w:val="000E0AAB"/>
    <w:rsid w:val="000E12B5"/>
    <w:rsid w:val="000E1B60"/>
    <w:rsid w:val="000E2151"/>
    <w:rsid w:val="000E2BC6"/>
    <w:rsid w:val="000E3350"/>
    <w:rsid w:val="000E364D"/>
    <w:rsid w:val="000E37A7"/>
    <w:rsid w:val="000E397D"/>
    <w:rsid w:val="000E39F7"/>
    <w:rsid w:val="000E53B5"/>
    <w:rsid w:val="000E6676"/>
    <w:rsid w:val="000E759B"/>
    <w:rsid w:val="000E7936"/>
    <w:rsid w:val="000E7EDF"/>
    <w:rsid w:val="000F0338"/>
    <w:rsid w:val="000F0476"/>
    <w:rsid w:val="000F055D"/>
    <w:rsid w:val="000F0570"/>
    <w:rsid w:val="000F1935"/>
    <w:rsid w:val="000F1D68"/>
    <w:rsid w:val="000F1F2D"/>
    <w:rsid w:val="000F1FC8"/>
    <w:rsid w:val="000F284C"/>
    <w:rsid w:val="000F2918"/>
    <w:rsid w:val="000F2F6E"/>
    <w:rsid w:val="000F3120"/>
    <w:rsid w:val="000F331A"/>
    <w:rsid w:val="000F374F"/>
    <w:rsid w:val="000F3801"/>
    <w:rsid w:val="000F4233"/>
    <w:rsid w:val="000F60FC"/>
    <w:rsid w:val="000F63E2"/>
    <w:rsid w:val="000F6501"/>
    <w:rsid w:val="000F6B44"/>
    <w:rsid w:val="000F7129"/>
    <w:rsid w:val="00102E70"/>
    <w:rsid w:val="001032BE"/>
    <w:rsid w:val="00103448"/>
    <w:rsid w:val="00103B6B"/>
    <w:rsid w:val="0010449F"/>
    <w:rsid w:val="0010462B"/>
    <w:rsid w:val="00104A30"/>
    <w:rsid w:val="00106040"/>
    <w:rsid w:val="00106CC1"/>
    <w:rsid w:val="001075C2"/>
    <w:rsid w:val="001076A4"/>
    <w:rsid w:val="00107ECD"/>
    <w:rsid w:val="0011001B"/>
    <w:rsid w:val="00111154"/>
    <w:rsid w:val="00111DF3"/>
    <w:rsid w:val="001135A0"/>
    <w:rsid w:val="00114197"/>
    <w:rsid w:val="0011426E"/>
    <w:rsid w:val="00114E36"/>
    <w:rsid w:val="00114E8F"/>
    <w:rsid w:val="001158C7"/>
    <w:rsid w:val="00115982"/>
    <w:rsid w:val="00116258"/>
    <w:rsid w:val="001162AF"/>
    <w:rsid w:val="00117C12"/>
    <w:rsid w:val="00117C4F"/>
    <w:rsid w:val="00120075"/>
    <w:rsid w:val="00120C25"/>
    <w:rsid w:val="00120C48"/>
    <w:rsid w:val="00120FF0"/>
    <w:rsid w:val="00121040"/>
    <w:rsid w:val="0012133D"/>
    <w:rsid w:val="00121604"/>
    <w:rsid w:val="00121E0A"/>
    <w:rsid w:val="00121EE4"/>
    <w:rsid w:val="001236B5"/>
    <w:rsid w:val="00125CE9"/>
    <w:rsid w:val="0012607A"/>
    <w:rsid w:val="00126248"/>
    <w:rsid w:val="00126850"/>
    <w:rsid w:val="0012751B"/>
    <w:rsid w:val="00127A7C"/>
    <w:rsid w:val="00127AFE"/>
    <w:rsid w:val="0013089D"/>
    <w:rsid w:val="00130AF2"/>
    <w:rsid w:val="00130BFB"/>
    <w:rsid w:val="00130D25"/>
    <w:rsid w:val="001310D3"/>
    <w:rsid w:val="00131B67"/>
    <w:rsid w:val="00131BED"/>
    <w:rsid w:val="001322B7"/>
    <w:rsid w:val="00132720"/>
    <w:rsid w:val="00132755"/>
    <w:rsid w:val="00132B3B"/>
    <w:rsid w:val="0013316B"/>
    <w:rsid w:val="00133E47"/>
    <w:rsid w:val="001348A7"/>
    <w:rsid w:val="00134B11"/>
    <w:rsid w:val="00134DEF"/>
    <w:rsid w:val="00134FD1"/>
    <w:rsid w:val="0013544A"/>
    <w:rsid w:val="001358A4"/>
    <w:rsid w:val="00135A27"/>
    <w:rsid w:val="0013691E"/>
    <w:rsid w:val="0013697F"/>
    <w:rsid w:val="00136D25"/>
    <w:rsid w:val="001371A5"/>
    <w:rsid w:val="00137E3E"/>
    <w:rsid w:val="001401CB"/>
    <w:rsid w:val="001405C6"/>
    <w:rsid w:val="00141421"/>
    <w:rsid w:val="00142A7E"/>
    <w:rsid w:val="00144214"/>
    <w:rsid w:val="001443E7"/>
    <w:rsid w:val="00144C3B"/>
    <w:rsid w:val="00144F41"/>
    <w:rsid w:val="00145A3D"/>
    <w:rsid w:val="00145EA4"/>
    <w:rsid w:val="00146DAD"/>
    <w:rsid w:val="001472CE"/>
    <w:rsid w:val="001500C2"/>
    <w:rsid w:val="001503FF"/>
    <w:rsid w:val="00150525"/>
    <w:rsid w:val="001509EE"/>
    <w:rsid w:val="00151A7E"/>
    <w:rsid w:val="001522B8"/>
    <w:rsid w:val="00153242"/>
    <w:rsid w:val="001542DA"/>
    <w:rsid w:val="0015598F"/>
    <w:rsid w:val="00155CCF"/>
    <w:rsid w:val="00155FCA"/>
    <w:rsid w:val="00156174"/>
    <w:rsid w:val="0015630B"/>
    <w:rsid w:val="00156D3D"/>
    <w:rsid w:val="001574B9"/>
    <w:rsid w:val="00157D42"/>
    <w:rsid w:val="00161BB3"/>
    <w:rsid w:val="001620C2"/>
    <w:rsid w:val="001628E9"/>
    <w:rsid w:val="001636CD"/>
    <w:rsid w:val="00163B17"/>
    <w:rsid w:val="00165298"/>
    <w:rsid w:val="001700D8"/>
    <w:rsid w:val="00170382"/>
    <w:rsid w:val="001706F4"/>
    <w:rsid w:val="00170AB3"/>
    <w:rsid w:val="00171013"/>
    <w:rsid w:val="001713D9"/>
    <w:rsid w:val="00171D2A"/>
    <w:rsid w:val="00172794"/>
    <w:rsid w:val="0017284B"/>
    <w:rsid w:val="00172BE8"/>
    <w:rsid w:val="00173026"/>
    <w:rsid w:val="00173BCC"/>
    <w:rsid w:val="00174DD5"/>
    <w:rsid w:val="00174FAC"/>
    <w:rsid w:val="001756BC"/>
    <w:rsid w:val="001758A9"/>
    <w:rsid w:val="0017660C"/>
    <w:rsid w:val="00176AB0"/>
    <w:rsid w:val="00177038"/>
    <w:rsid w:val="00177039"/>
    <w:rsid w:val="001773EC"/>
    <w:rsid w:val="00177658"/>
    <w:rsid w:val="00180B56"/>
    <w:rsid w:val="0018243F"/>
    <w:rsid w:val="00182533"/>
    <w:rsid w:val="00182F93"/>
    <w:rsid w:val="00183EF8"/>
    <w:rsid w:val="00184E28"/>
    <w:rsid w:val="00184E5E"/>
    <w:rsid w:val="00184FFF"/>
    <w:rsid w:val="00185B0C"/>
    <w:rsid w:val="00186BD1"/>
    <w:rsid w:val="0018732F"/>
    <w:rsid w:val="0018749F"/>
    <w:rsid w:val="00187D7A"/>
    <w:rsid w:val="0019064D"/>
    <w:rsid w:val="0019130C"/>
    <w:rsid w:val="00192C3A"/>
    <w:rsid w:val="00193179"/>
    <w:rsid w:val="001940F6"/>
    <w:rsid w:val="00194B38"/>
    <w:rsid w:val="00194CE5"/>
    <w:rsid w:val="00194E02"/>
    <w:rsid w:val="0019570F"/>
    <w:rsid w:val="00196354"/>
    <w:rsid w:val="0019646A"/>
    <w:rsid w:val="00196B65"/>
    <w:rsid w:val="00196E9A"/>
    <w:rsid w:val="00197506"/>
    <w:rsid w:val="001A011F"/>
    <w:rsid w:val="001A0657"/>
    <w:rsid w:val="001A06B0"/>
    <w:rsid w:val="001A06D0"/>
    <w:rsid w:val="001A0F46"/>
    <w:rsid w:val="001A126F"/>
    <w:rsid w:val="001A139B"/>
    <w:rsid w:val="001A19D2"/>
    <w:rsid w:val="001A2C92"/>
    <w:rsid w:val="001A4076"/>
    <w:rsid w:val="001A5520"/>
    <w:rsid w:val="001A56DF"/>
    <w:rsid w:val="001A5B2E"/>
    <w:rsid w:val="001A62F0"/>
    <w:rsid w:val="001A6315"/>
    <w:rsid w:val="001A6C79"/>
    <w:rsid w:val="001A704B"/>
    <w:rsid w:val="001A71A5"/>
    <w:rsid w:val="001A7686"/>
    <w:rsid w:val="001B00E0"/>
    <w:rsid w:val="001B0A09"/>
    <w:rsid w:val="001B0BDB"/>
    <w:rsid w:val="001B16F7"/>
    <w:rsid w:val="001B194F"/>
    <w:rsid w:val="001B2A85"/>
    <w:rsid w:val="001B2E87"/>
    <w:rsid w:val="001B3B1B"/>
    <w:rsid w:val="001B3E78"/>
    <w:rsid w:val="001B4BF6"/>
    <w:rsid w:val="001B5100"/>
    <w:rsid w:val="001B5FE9"/>
    <w:rsid w:val="001B60A8"/>
    <w:rsid w:val="001B65D6"/>
    <w:rsid w:val="001B7483"/>
    <w:rsid w:val="001C161A"/>
    <w:rsid w:val="001C18C9"/>
    <w:rsid w:val="001C218C"/>
    <w:rsid w:val="001C2191"/>
    <w:rsid w:val="001C23EE"/>
    <w:rsid w:val="001C24BF"/>
    <w:rsid w:val="001C45F5"/>
    <w:rsid w:val="001C5192"/>
    <w:rsid w:val="001C53D8"/>
    <w:rsid w:val="001C5E98"/>
    <w:rsid w:val="001C70E4"/>
    <w:rsid w:val="001D0025"/>
    <w:rsid w:val="001D00BF"/>
    <w:rsid w:val="001D117B"/>
    <w:rsid w:val="001D1302"/>
    <w:rsid w:val="001D17BA"/>
    <w:rsid w:val="001D18E0"/>
    <w:rsid w:val="001D2157"/>
    <w:rsid w:val="001D228D"/>
    <w:rsid w:val="001D2806"/>
    <w:rsid w:val="001D35A2"/>
    <w:rsid w:val="001D382E"/>
    <w:rsid w:val="001D44CA"/>
    <w:rsid w:val="001D4D65"/>
    <w:rsid w:val="001D5166"/>
    <w:rsid w:val="001D54E0"/>
    <w:rsid w:val="001D5987"/>
    <w:rsid w:val="001D6DF0"/>
    <w:rsid w:val="001D70D4"/>
    <w:rsid w:val="001D7438"/>
    <w:rsid w:val="001D7775"/>
    <w:rsid w:val="001E0323"/>
    <w:rsid w:val="001E0409"/>
    <w:rsid w:val="001E0F05"/>
    <w:rsid w:val="001E1C6B"/>
    <w:rsid w:val="001E22F6"/>
    <w:rsid w:val="001E2B56"/>
    <w:rsid w:val="001E2EE0"/>
    <w:rsid w:val="001E302A"/>
    <w:rsid w:val="001E38D8"/>
    <w:rsid w:val="001E4382"/>
    <w:rsid w:val="001E43D9"/>
    <w:rsid w:val="001E4EB2"/>
    <w:rsid w:val="001E581C"/>
    <w:rsid w:val="001E6077"/>
    <w:rsid w:val="001E60E5"/>
    <w:rsid w:val="001E740F"/>
    <w:rsid w:val="001E7D44"/>
    <w:rsid w:val="001F0CB1"/>
    <w:rsid w:val="001F1F57"/>
    <w:rsid w:val="001F34DB"/>
    <w:rsid w:val="001F4028"/>
    <w:rsid w:val="001F4AC2"/>
    <w:rsid w:val="001F537B"/>
    <w:rsid w:val="001F53FD"/>
    <w:rsid w:val="0020000D"/>
    <w:rsid w:val="00200321"/>
    <w:rsid w:val="00200B9C"/>
    <w:rsid w:val="00201C85"/>
    <w:rsid w:val="00201E1D"/>
    <w:rsid w:val="00203ABD"/>
    <w:rsid w:val="00203B09"/>
    <w:rsid w:val="00203B2D"/>
    <w:rsid w:val="00203E60"/>
    <w:rsid w:val="002041C8"/>
    <w:rsid w:val="0020526E"/>
    <w:rsid w:val="00206479"/>
    <w:rsid w:val="00206525"/>
    <w:rsid w:val="00207EAD"/>
    <w:rsid w:val="00210349"/>
    <w:rsid w:val="002108BB"/>
    <w:rsid w:val="00210FCE"/>
    <w:rsid w:val="00211A7A"/>
    <w:rsid w:val="00211D91"/>
    <w:rsid w:val="0021311F"/>
    <w:rsid w:val="00214AB4"/>
    <w:rsid w:val="00214C96"/>
    <w:rsid w:val="0021585A"/>
    <w:rsid w:val="00215EE6"/>
    <w:rsid w:val="0021619D"/>
    <w:rsid w:val="0021652C"/>
    <w:rsid w:val="002167DA"/>
    <w:rsid w:val="00216E34"/>
    <w:rsid w:val="00216E96"/>
    <w:rsid w:val="00220299"/>
    <w:rsid w:val="002205C5"/>
    <w:rsid w:val="002208AC"/>
    <w:rsid w:val="002212F8"/>
    <w:rsid w:val="00221D0F"/>
    <w:rsid w:val="00221E1F"/>
    <w:rsid w:val="00221E24"/>
    <w:rsid w:val="0022249B"/>
    <w:rsid w:val="00224577"/>
    <w:rsid w:val="00224C41"/>
    <w:rsid w:val="00225814"/>
    <w:rsid w:val="00225993"/>
    <w:rsid w:val="0022656A"/>
    <w:rsid w:val="00227374"/>
    <w:rsid w:val="002309C1"/>
    <w:rsid w:val="00230C12"/>
    <w:rsid w:val="00230FC1"/>
    <w:rsid w:val="00231A13"/>
    <w:rsid w:val="002323B6"/>
    <w:rsid w:val="00232FE1"/>
    <w:rsid w:val="0023329D"/>
    <w:rsid w:val="00233DC7"/>
    <w:rsid w:val="00234850"/>
    <w:rsid w:val="00234E92"/>
    <w:rsid w:val="002353B5"/>
    <w:rsid w:val="00235AE2"/>
    <w:rsid w:val="0023677E"/>
    <w:rsid w:val="0024039D"/>
    <w:rsid w:val="00240663"/>
    <w:rsid w:val="002416A7"/>
    <w:rsid w:val="00241F76"/>
    <w:rsid w:val="00242808"/>
    <w:rsid w:val="00242F22"/>
    <w:rsid w:val="002439AA"/>
    <w:rsid w:val="0024417E"/>
    <w:rsid w:val="002443E0"/>
    <w:rsid w:val="002446A2"/>
    <w:rsid w:val="00246063"/>
    <w:rsid w:val="00247523"/>
    <w:rsid w:val="0024795E"/>
    <w:rsid w:val="00247D68"/>
    <w:rsid w:val="002502D7"/>
    <w:rsid w:val="00250A8F"/>
    <w:rsid w:val="002516AF"/>
    <w:rsid w:val="00252540"/>
    <w:rsid w:val="00252CFE"/>
    <w:rsid w:val="002539D6"/>
    <w:rsid w:val="0025497D"/>
    <w:rsid w:val="00254A53"/>
    <w:rsid w:val="00255617"/>
    <w:rsid w:val="002556AA"/>
    <w:rsid w:val="00255BCC"/>
    <w:rsid w:val="002564AE"/>
    <w:rsid w:val="00256C49"/>
    <w:rsid w:val="00256CD3"/>
    <w:rsid w:val="002572B2"/>
    <w:rsid w:val="002576E5"/>
    <w:rsid w:val="00260101"/>
    <w:rsid w:val="002607C1"/>
    <w:rsid w:val="00261474"/>
    <w:rsid w:val="00261563"/>
    <w:rsid w:val="00261701"/>
    <w:rsid w:val="00261D99"/>
    <w:rsid w:val="00262097"/>
    <w:rsid w:val="00262B9B"/>
    <w:rsid w:val="00263305"/>
    <w:rsid w:val="00263F1A"/>
    <w:rsid w:val="00264AA0"/>
    <w:rsid w:val="00264EA2"/>
    <w:rsid w:val="002652A8"/>
    <w:rsid w:val="002657D2"/>
    <w:rsid w:val="00266561"/>
    <w:rsid w:val="00267665"/>
    <w:rsid w:val="0027033A"/>
    <w:rsid w:val="00270477"/>
    <w:rsid w:val="00273109"/>
    <w:rsid w:val="002736DE"/>
    <w:rsid w:val="00273767"/>
    <w:rsid w:val="00273956"/>
    <w:rsid w:val="0027450D"/>
    <w:rsid w:val="00274DD2"/>
    <w:rsid w:val="00274EFE"/>
    <w:rsid w:val="002757E5"/>
    <w:rsid w:val="00276B4E"/>
    <w:rsid w:val="00276C16"/>
    <w:rsid w:val="00280602"/>
    <w:rsid w:val="002817B9"/>
    <w:rsid w:val="00281B33"/>
    <w:rsid w:val="00282A5F"/>
    <w:rsid w:val="00282D43"/>
    <w:rsid w:val="00283AAE"/>
    <w:rsid w:val="00283F68"/>
    <w:rsid w:val="002850EF"/>
    <w:rsid w:val="0028564E"/>
    <w:rsid w:val="00285CDC"/>
    <w:rsid w:val="002869DA"/>
    <w:rsid w:val="00286B88"/>
    <w:rsid w:val="00287C9F"/>
    <w:rsid w:val="00290088"/>
    <w:rsid w:val="002906C7"/>
    <w:rsid w:val="002915EB"/>
    <w:rsid w:val="0029320C"/>
    <w:rsid w:val="00293AFB"/>
    <w:rsid w:val="00293CAA"/>
    <w:rsid w:val="002947A4"/>
    <w:rsid w:val="00294B2F"/>
    <w:rsid w:val="00294C07"/>
    <w:rsid w:val="00294C7F"/>
    <w:rsid w:val="00295163"/>
    <w:rsid w:val="0029540F"/>
    <w:rsid w:val="002954DD"/>
    <w:rsid w:val="00295B0B"/>
    <w:rsid w:val="002964F5"/>
    <w:rsid w:val="002965F9"/>
    <w:rsid w:val="00296E21"/>
    <w:rsid w:val="00296EE8"/>
    <w:rsid w:val="00297193"/>
    <w:rsid w:val="002972CE"/>
    <w:rsid w:val="00297811"/>
    <w:rsid w:val="00297C2F"/>
    <w:rsid w:val="00297E13"/>
    <w:rsid w:val="002A01D1"/>
    <w:rsid w:val="002A0241"/>
    <w:rsid w:val="002A1303"/>
    <w:rsid w:val="002A16E2"/>
    <w:rsid w:val="002A2349"/>
    <w:rsid w:val="002A2FB3"/>
    <w:rsid w:val="002A31AB"/>
    <w:rsid w:val="002A40F9"/>
    <w:rsid w:val="002A46CD"/>
    <w:rsid w:val="002A4707"/>
    <w:rsid w:val="002A5281"/>
    <w:rsid w:val="002A58AC"/>
    <w:rsid w:val="002A5911"/>
    <w:rsid w:val="002A6F69"/>
    <w:rsid w:val="002A731F"/>
    <w:rsid w:val="002A7347"/>
    <w:rsid w:val="002A79DE"/>
    <w:rsid w:val="002B0093"/>
    <w:rsid w:val="002B0099"/>
    <w:rsid w:val="002B187E"/>
    <w:rsid w:val="002B221D"/>
    <w:rsid w:val="002B28EE"/>
    <w:rsid w:val="002B2B97"/>
    <w:rsid w:val="002B3276"/>
    <w:rsid w:val="002B421B"/>
    <w:rsid w:val="002B44CF"/>
    <w:rsid w:val="002B51F3"/>
    <w:rsid w:val="002B57EE"/>
    <w:rsid w:val="002B5822"/>
    <w:rsid w:val="002B59B6"/>
    <w:rsid w:val="002B5CA8"/>
    <w:rsid w:val="002B6898"/>
    <w:rsid w:val="002B6D4E"/>
    <w:rsid w:val="002B6DB8"/>
    <w:rsid w:val="002B735C"/>
    <w:rsid w:val="002B7E71"/>
    <w:rsid w:val="002B7EE0"/>
    <w:rsid w:val="002C011C"/>
    <w:rsid w:val="002C07BB"/>
    <w:rsid w:val="002C157D"/>
    <w:rsid w:val="002C27F2"/>
    <w:rsid w:val="002C2A4B"/>
    <w:rsid w:val="002C2EC8"/>
    <w:rsid w:val="002C3B6C"/>
    <w:rsid w:val="002C483F"/>
    <w:rsid w:val="002C4AEC"/>
    <w:rsid w:val="002C52F2"/>
    <w:rsid w:val="002C578E"/>
    <w:rsid w:val="002C6AC8"/>
    <w:rsid w:val="002C7D1D"/>
    <w:rsid w:val="002D1181"/>
    <w:rsid w:val="002D1502"/>
    <w:rsid w:val="002D1792"/>
    <w:rsid w:val="002D2056"/>
    <w:rsid w:val="002D207E"/>
    <w:rsid w:val="002D2596"/>
    <w:rsid w:val="002D2A3C"/>
    <w:rsid w:val="002D33E9"/>
    <w:rsid w:val="002D4B1B"/>
    <w:rsid w:val="002D4C51"/>
    <w:rsid w:val="002D4E97"/>
    <w:rsid w:val="002D52C9"/>
    <w:rsid w:val="002D5389"/>
    <w:rsid w:val="002D5E2C"/>
    <w:rsid w:val="002D5FCF"/>
    <w:rsid w:val="002D61C6"/>
    <w:rsid w:val="002D643C"/>
    <w:rsid w:val="002D6585"/>
    <w:rsid w:val="002D665F"/>
    <w:rsid w:val="002D779B"/>
    <w:rsid w:val="002E0800"/>
    <w:rsid w:val="002E215E"/>
    <w:rsid w:val="002E3828"/>
    <w:rsid w:val="002E4D45"/>
    <w:rsid w:val="002E5495"/>
    <w:rsid w:val="002E59A3"/>
    <w:rsid w:val="002E5A10"/>
    <w:rsid w:val="002E5CDA"/>
    <w:rsid w:val="002E611B"/>
    <w:rsid w:val="002E6490"/>
    <w:rsid w:val="002E69FA"/>
    <w:rsid w:val="002E6B96"/>
    <w:rsid w:val="002E71AC"/>
    <w:rsid w:val="002E7533"/>
    <w:rsid w:val="002E7876"/>
    <w:rsid w:val="002E7F44"/>
    <w:rsid w:val="002F032A"/>
    <w:rsid w:val="002F1166"/>
    <w:rsid w:val="002F1FE7"/>
    <w:rsid w:val="002F276C"/>
    <w:rsid w:val="002F28AA"/>
    <w:rsid w:val="002F37EC"/>
    <w:rsid w:val="002F3DB6"/>
    <w:rsid w:val="002F46CF"/>
    <w:rsid w:val="002F5085"/>
    <w:rsid w:val="002F59F8"/>
    <w:rsid w:val="002F70C4"/>
    <w:rsid w:val="00301374"/>
    <w:rsid w:val="003016DA"/>
    <w:rsid w:val="00301774"/>
    <w:rsid w:val="00302076"/>
    <w:rsid w:val="00303467"/>
    <w:rsid w:val="003036BD"/>
    <w:rsid w:val="003036F0"/>
    <w:rsid w:val="00303F10"/>
    <w:rsid w:val="00304DA8"/>
    <w:rsid w:val="0030544B"/>
    <w:rsid w:val="0030557E"/>
    <w:rsid w:val="003058CA"/>
    <w:rsid w:val="00305ACD"/>
    <w:rsid w:val="00305DF3"/>
    <w:rsid w:val="00306205"/>
    <w:rsid w:val="003067DB"/>
    <w:rsid w:val="00306DAD"/>
    <w:rsid w:val="0030750F"/>
    <w:rsid w:val="00310017"/>
    <w:rsid w:val="003102A2"/>
    <w:rsid w:val="00310A69"/>
    <w:rsid w:val="003114BB"/>
    <w:rsid w:val="00312628"/>
    <w:rsid w:val="003139D3"/>
    <w:rsid w:val="003145B0"/>
    <w:rsid w:val="0031494D"/>
    <w:rsid w:val="00314977"/>
    <w:rsid w:val="00314AA3"/>
    <w:rsid w:val="00314D1C"/>
    <w:rsid w:val="003152BD"/>
    <w:rsid w:val="00315776"/>
    <w:rsid w:val="00315942"/>
    <w:rsid w:val="00315C7E"/>
    <w:rsid w:val="00316D42"/>
    <w:rsid w:val="00316DC9"/>
    <w:rsid w:val="0031708A"/>
    <w:rsid w:val="00320609"/>
    <w:rsid w:val="0032099F"/>
    <w:rsid w:val="00321122"/>
    <w:rsid w:val="00321575"/>
    <w:rsid w:val="0032157E"/>
    <w:rsid w:val="00322586"/>
    <w:rsid w:val="00323256"/>
    <w:rsid w:val="00324035"/>
    <w:rsid w:val="00324544"/>
    <w:rsid w:val="00324B28"/>
    <w:rsid w:val="00325A42"/>
    <w:rsid w:val="003260D7"/>
    <w:rsid w:val="00326B94"/>
    <w:rsid w:val="0033101B"/>
    <w:rsid w:val="00331ABC"/>
    <w:rsid w:val="0033235E"/>
    <w:rsid w:val="003327D3"/>
    <w:rsid w:val="003330B2"/>
    <w:rsid w:val="00334003"/>
    <w:rsid w:val="00334F73"/>
    <w:rsid w:val="0033502B"/>
    <w:rsid w:val="00335220"/>
    <w:rsid w:val="003356D6"/>
    <w:rsid w:val="00335735"/>
    <w:rsid w:val="00335890"/>
    <w:rsid w:val="00335BD7"/>
    <w:rsid w:val="003374AD"/>
    <w:rsid w:val="003377FD"/>
    <w:rsid w:val="00337947"/>
    <w:rsid w:val="003411FD"/>
    <w:rsid w:val="00341366"/>
    <w:rsid w:val="003417A5"/>
    <w:rsid w:val="00341AA0"/>
    <w:rsid w:val="00342BB0"/>
    <w:rsid w:val="00344233"/>
    <w:rsid w:val="00344DE6"/>
    <w:rsid w:val="00344F4B"/>
    <w:rsid w:val="00344FEE"/>
    <w:rsid w:val="00345373"/>
    <w:rsid w:val="00345430"/>
    <w:rsid w:val="00345497"/>
    <w:rsid w:val="00345851"/>
    <w:rsid w:val="00345A1F"/>
    <w:rsid w:val="00346653"/>
    <w:rsid w:val="00347671"/>
    <w:rsid w:val="003478EE"/>
    <w:rsid w:val="00347B45"/>
    <w:rsid w:val="00347EC6"/>
    <w:rsid w:val="00350147"/>
    <w:rsid w:val="00350E39"/>
    <w:rsid w:val="00350F0D"/>
    <w:rsid w:val="00351894"/>
    <w:rsid w:val="0035259D"/>
    <w:rsid w:val="00353119"/>
    <w:rsid w:val="00353A9D"/>
    <w:rsid w:val="00353AA9"/>
    <w:rsid w:val="00354AE8"/>
    <w:rsid w:val="0035558D"/>
    <w:rsid w:val="00355A25"/>
    <w:rsid w:val="00355E78"/>
    <w:rsid w:val="00356103"/>
    <w:rsid w:val="0035619B"/>
    <w:rsid w:val="003564DA"/>
    <w:rsid w:val="00356DFB"/>
    <w:rsid w:val="003573FC"/>
    <w:rsid w:val="0035742D"/>
    <w:rsid w:val="00357719"/>
    <w:rsid w:val="00360679"/>
    <w:rsid w:val="00360AE6"/>
    <w:rsid w:val="00362554"/>
    <w:rsid w:val="00363EE1"/>
    <w:rsid w:val="0036485C"/>
    <w:rsid w:val="00364CD9"/>
    <w:rsid w:val="003651F0"/>
    <w:rsid w:val="0036560F"/>
    <w:rsid w:val="00365C39"/>
    <w:rsid w:val="003706A2"/>
    <w:rsid w:val="00370780"/>
    <w:rsid w:val="00370904"/>
    <w:rsid w:val="00370A94"/>
    <w:rsid w:val="003716A9"/>
    <w:rsid w:val="0037170D"/>
    <w:rsid w:val="00371C4E"/>
    <w:rsid w:val="00371D34"/>
    <w:rsid w:val="003722CE"/>
    <w:rsid w:val="003727EB"/>
    <w:rsid w:val="00372988"/>
    <w:rsid w:val="00372B2F"/>
    <w:rsid w:val="0037375A"/>
    <w:rsid w:val="003738B3"/>
    <w:rsid w:val="0037418C"/>
    <w:rsid w:val="00374382"/>
    <w:rsid w:val="003746AA"/>
    <w:rsid w:val="003749A1"/>
    <w:rsid w:val="00374EE9"/>
    <w:rsid w:val="0037558D"/>
    <w:rsid w:val="00375ADC"/>
    <w:rsid w:val="003764C6"/>
    <w:rsid w:val="003764F2"/>
    <w:rsid w:val="00376D79"/>
    <w:rsid w:val="00377695"/>
    <w:rsid w:val="003778A5"/>
    <w:rsid w:val="003778E8"/>
    <w:rsid w:val="003804B7"/>
    <w:rsid w:val="00381287"/>
    <w:rsid w:val="0038253A"/>
    <w:rsid w:val="00382CBB"/>
    <w:rsid w:val="0038302C"/>
    <w:rsid w:val="0038359F"/>
    <w:rsid w:val="003854C7"/>
    <w:rsid w:val="003855EC"/>
    <w:rsid w:val="00386349"/>
    <w:rsid w:val="00386F36"/>
    <w:rsid w:val="003878F9"/>
    <w:rsid w:val="00387A11"/>
    <w:rsid w:val="00387AFF"/>
    <w:rsid w:val="00387B64"/>
    <w:rsid w:val="00390E4D"/>
    <w:rsid w:val="00392431"/>
    <w:rsid w:val="00393AB5"/>
    <w:rsid w:val="00393BD9"/>
    <w:rsid w:val="00394027"/>
    <w:rsid w:val="003944C1"/>
    <w:rsid w:val="0039451B"/>
    <w:rsid w:val="003951D2"/>
    <w:rsid w:val="003951EE"/>
    <w:rsid w:val="00395495"/>
    <w:rsid w:val="00395D6D"/>
    <w:rsid w:val="003961C0"/>
    <w:rsid w:val="003966CD"/>
    <w:rsid w:val="003978A2"/>
    <w:rsid w:val="00397BAB"/>
    <w:rsid w:val="003A00DC"/>
    <w:rsid w:val="003A0163"/>
    <w:rsid w:val="003A0255"/>
    <w:rsid w:val="003A117B"/>
    <w:rsid w:val="003A1C35"/>
    <w:rsid w:val="003A2CD4"/>
    <w:rsid w:val="003A32BE"/>
    <w:rsid w:val="003A35B4"/>
    <w:rsid w:val="003A3A45"/>
    <w:rsid w:val="003A423C"/>
    <w:rsid w:val="003A43E7"/>
    <w:rsid w:val="003A4E4B"/>
    <w:rsid w:val="003A55D2"/>
    <w:rsid w:val="003A5979"/>
    <w:rsid w:val="003A5C2A"/>
    <w:rsid w:val="003A6439"/>
    <w:rsid w:val="003A64BF"/>
    <w:rsid w:val="003A6644"/>
    <w:rsid w:val="003A761D"/>
    <w:rsid w:val="003A76F1"/>
    <w:rsid w:val="003A781A"/>
    <w:rsid w:val="003A7B15"/>
    <w:rsid w:val="003A7D25"/>
    <w:rsid w:val="003B0247"/>
    <w:rsid w:val="003B02F8"/>
    <w:rsid w:val="003B0706"/>
    <w:rsid w:val="003B0BC9"/>
    <w:rsid w:val="003B1250"/>
    <w:rsid w:val="003B1DB5"/>
    <w:rsid w:val="003B1DCF"/>
    <w:rsid w:val="003B1EA9"/>
    <w:rsid w:val="003B23B3"/>
    <w:rsid w:val="003B418E"/>
    <w:rsid w:val="003B45B9"/>
    <w:rsid w:val="003B464C"/>
    <w:rsid w:val="003B4DBF"/>
    <w:rsid w:val="003B4DC1"/>
    <w:rsid w:val="003B4EA9"/>
    <w:rsid w:val="003B5785"/>
    <w:rsid w:val="003B590B"/>
    <w:rsid w:val="003B5C3A"/>
    <w:rsid w:val="003B7D64"/>
    <w:rsid w:val="003C032A"/>
    <w:rsid w:val="003C0A80"/>
    <w:rsid w:val="003C13C5"/>
    <w:rsid w:val="003C1E0E"/>
    <w:rsid w:val="003C2A4C"/>
    <w:rsid w:val="003C3644"/>
    <w:rsid w:val="003C3EFE"/>
    <w:rsid w:val="003C4751"/>
    <w:rsid w:val="003C4990"/>
    <w:rsid w:val="003C4C71"/>
    <w:rsid w:val="003C5098"/>
    <w:rsid w:val="003C5282"/>
    <w:rsid w:val="003C5A5F"/>
    <w:rsid w:val="003C72E1"/>
    <w:rsid w:val="003C75ED"/>
    <w:rsid w:val="003C772C"/>
    <w:rsid w:val="003C7899"/>
    <w:rsid w:val="003C7B52"/>
    <w:rsid w:val="003C7F66"/>
    <w:rsid w:val="003D0513"/>
    <w:rsid w:val="003D0B7D"/>
    <w:rsid w:val="003D256A"/>
    <w:rsid w:val="003D3513"/>
    <w:rsid w:val="003D3687"/>
    <w:rsid w:val="003D3CE0"/>
    <w:rsid w:val="003D4C4D"/>
    <w:rsid w:val="003D5463"/>
    <w:rsid w:val="003D5790"/>
    <w:rsid w:val="003D6BDD"/>
    <w:rsid w:val="003E00E2"/>
    <w:rsid w:val="003E04F0"/>
    <w:rsid w:val="003E07F5"/>
    <w:rsid w:val="003E163E"/>
    <w:rsid w:val="003E1CDA"/>
    <w:rsid w:val="003E2379"/>
    <w:rsid w:val="003E281B"/>
    <w:rsid w:val="003E29E5"/>
    <w:rsid w:val="003E3A5E"/>
    <w:rsid w:val="003E4D9C"/>
    <w:rsid w:val="003E5924"/>
    <w:rsid w:val="003E5949"/>
    <w:rsid w:val="003E59C6"/>
    <w:rsid w:val="003E628B"/>
    <w:rsid w:val="003E635E"/>
    <w:rsid w:val="003E64A6"/>
    <w:rsid w:val="003E73B9"/>
    <w:rsid w:val="003F06F6"/>
    <w:rsid w:val="003F09FD"/>
    <w:rsid w:val="003F0E5A"/>
    <w:rsid w:val="003F183C"/>
    <w:rsid w:val="003F1E81"/>
    <w:rsid w:val="003F21EC"/>
    <w:rsid w:val="003F22C3"/>
    <w:rsid w:val="003F2950"/>
    <w:rsid w:val="003F3FB2"/>
    <w:rsid w:val="003F41D4"/>
    <w:rsid w:val="003F5034"/>
    <w:rsid w:val="003F52D3"/>
    <w:rsid w:val="003F533B"/>
    <w:rsid w:val="003F57B7"/>
    <w:rsid w:val="003F5F20"/>
    <w:rsid w:val="003F6321"/>
    <w:rsid w:val="003F72D1"/>
    <w:rsid w:val="003F7498"/>
    <w:rsid w:val="003F7930"/>
    <w:rsid w:val="003F7A66"/>
    <w:rsid w:val="003F7AF7"/>
    <w:rsid w:val="003F7F2C"/>
    <w:rsid w:val="004001AC"/>
    <w:rsid w:val="004005A9"/>
    <w:rsid w:val="00400CF0"/>
    <w:rsid w:val="004013FD"/>
    <w:rsid w:val="00401759"/>
    <w:rsid w:val="0040188C"/>
    <w:rsid w:val="00401D56"/>
    <w:rsid w:val="00402055"/>
    <w:rsid w:val="0040209C"/>
    <w:rsid w:val="004026B6"/>
    <w:rsid w:val="004031DD"/>
    <w:rsid w:val="00403E6E"/>
    <w:rsid w:val="00404123"/>
    <w:rsid w:val="00405324"/>
    <w:rsid w:val="00405496"/>
    <w:rsid w:val="00405586"/>
    <w:rsid w:val="004057CC"/>
    <w:rsid w:val="00405CA4"/>
    <w:rsid w:val="00406246"/>
    <w:rsid w:val="0040687E"/>
    <w:rsid w:val="00407627"/>
    <w:rsid w:val="00407D81"/>
    <w:rsid w:val="004104A1"/>
    <w:rsid w:val="00410C8E"/>
    <w:rsid w:val="00411905"/>
    <w:rsid w:val="00411BEE"/>
    <w:rsid w:val="00411FDC"/>
    <w:rsid w:val="004120BE"/>
    <w:rsid w:val="004125A3"/>
    <w:rsid w:val="00412E26"/>
    <w:rsid w:val="0041308B"/>
    <w:rsid w:val="00413C91"/>
    <w:rsid w:val="004149EB"/>
    <w:rsid w:val="00414B56"/>
    <w:rsid w:val="004153C9"/>
    <w:rsid w:val="00416105"/>
    <w:rsid w:val="00416159"/>
    <w:rsid w:val="00416338"/>
    <w:rsid w:val="004167B9"/>
    <w:rsid w:val="00416BFB"/>
    <w:rsid w:val="00416C05"/>
    <w:rsid w:val="00417E9F"/>
    <w:rsid w:val="00420194"/>
    <w:rsid w:val="004203C1"/>
    <w:rsid w:val="00420802"/>
    <w:rsid w:val="00421CB7"/>
    <w:rsid w:val="00421E3D"/>
    <w:rsid w:val="0042265E"/>
    <w:rsid w:val="00423637"/>
    <w:rsid w:val="00423A4B"/>
    <w:rsid w:val="00423A89"/>
    <w:rsid w:val="00423A96"/>
    <w:rsid w:val="0042447B"/>
    <w:rsid w:val="004244AB"/>
    <w:rsid w:val="00424C9C"/>
    <w:rsid w:val="00424E57"/>
    <w:rsid w:val="00426072"/>
    <w:rsid w:val="00426FCA"/>
    <w:rsid w:val="004272BF"/>
    <w:rsid w:val="00430E18"/>
    <w:rsid w:val="0043110D"/>
    <w:rsid w:val="0043120D"/>
    <w:rsid w:val="004324F1"/>
    <w:rsid w:val="00432528"/>
    <w:rsid w:val="00432A1D"/>
    <w:rsid w:val="00432A9F"/>
    <w:rsid w:val="00433557"/>
    <w:rsid w:val="00433896"/>
    <w:rsid w:val="00434493"/>
    <w:rsid w:val="004349D6"/>
    <w:rsid w:val="00434C04"/>
    <w:rsid w:val="00437965"/>
    <w:rsid w:val="0044024C"/>
    <w:rsid w:val="00440B5D"/>
    <w:rsid w:val="00440B69"/>
    <w:rsid w:val="00440D32"/>
    <w:rsid w:val="00440D93"/>
    <w:rsid w:val="00441060"/>
    <w:rsid w:val="0044286B"/>
    <w:rsid w:val="00442D6C"/>
    <w:rsid w:val="00443997"/>
    <w:rsid w:val="00443F89"/>
    <w:rsid w:val="00444094"/>
    <w:rsid w:val="00445D77"/>
    <w:rsid w:val="00445FC9"/>
    <w:rsid w:val="00446623"/>
    <w:rsid w:val="00447A99"/>
    <w:rsid w:val="0045052F"/>
    <w:rsid w:val="00450AFD"/>
    <w:rsid w:val="00451297"/>
    <w:rsid w:val="00451A5C"/>
    <w:rsid w:val="00451DC4"/>
    <w:rsid w:val="0045237A"/>
    <w:rsid w:val="00452B4E"/>
    <w:rsid w:val="00453B7D"/>
    <w:rsid w:val="00453F32"/>
    <w:rsid w:val="00455448"/>
    <w:rsid w:val="004559DB"/>
    <w:rsid w:val="00455A32"/>
    <w:rsid w:val="00455BE8"/>
    <w:rsid w:val="004560DB"/>
    <w:rsid w:val="004563E9"/>
    <w:rsid w:val="0045676F"/>
    <w:rsid w:val="0045726F"/>
    <w:rsid w:val="00457DFA"/>
    <w:rsid w:val="004604F1"/>
    <w:rsid w:val="004608A6"/>
    <w:rsid w:val="00460D66"/>
    <w:rsid w:val="00460D90"/>
    <w:rsid w:val="004610B7"/>
    <w:rsid w:val="004610DC"/>
    <w:rsid w:val="004619CC"/>
    <w:rsid w:val="00461B05"/>
    <w:rsid w:val="00461D06"/>
    <w:rsid w:val="00462264"/>
    <w:rsid w:val="004629B5"/>
    <w:rsid w:val="004630CA"/>
    <w:rsid w:val="004632A3"/>
    <w:rsid w:val="00463B88"/>
    <w:rsid w:val="00464F1F"/>
    <w:rsid w:val="0046522E"/>
    <w:rsid w:val="00466448"/>
    <w:rsid w:val="00466CB7"/>
    <w:rsid w:val="004673AD"/>
    <w:rsid w:val="00470812"/>
    <w:rsid w:val="00470D7B"/>
    <w:rsid w:val="0047154D"/>
    <w:rsid w:val="00471822"/>
    <w:rsid w:val="00472387"/>
    <w:rsid w:val="00472CA9"/>
    <w:rsid w:val="00472E57"/>
    <w:rsid w:val="00473400"/>
    <w:rsid w:val="0047370E"/>
    <w:rsid w:val="00473EB5"/>
    <w:rsid w:val="004741F7"/>
    <w:rsid w:val="004746DE"/>
    <w:rsid w:val="00474D01"/>
    <w:rsid w:val="004753EB"/>
    <w:rsid w:val="00475481"/>
    <w:rsid w:val="00475C52"/>
    <w:rsid w:val="004768C7"/>
    <w:rsid w:val="00476A7C"/>
    <w:rsid w:val="00477876"/>
    <w:rsid w:val="00477B0A"/>
    <w:rsid w:val="004804F8"/>
    <w:rsid w:val="00480A80"/>
    <w:rsid w:val="00481217"/>
    <w:rsid w:val="004814D0"/>
    <w:rsid w:val="00481892"/>
    <w:rsid w:val="00483576"/>
    <w:rsid w:val="00483B69"/>
    <w:rsid w:val="00484310"/>
    <w:rsid w:val="0048452A"/>
    <w:rsid w:val="00484794"/>
    <w:rsid w:val="004852AB"/>
    <w:rsid w:val="00485AB3"/>
    <w:rsid w:val="00485D7E"/>
    <w:rsid w:val="00486415"/>
    <w:rsid w:val="0048669B"/>
    <w:rsid w:val="0048688A"/>
    <w:rsid w:val="00486DBC"/>
    <w:rsid w:val="004870F3"/>
    <w:rsid w:val="00487443"/>
    <w:rsid w:val="00487B5D"/>
    <w:rsid w:val="00487CA3"/>
    <w:rsid w:val="00487EF3"/>
    <w:rsid w:val="00491A7B"/>
    <w:rsid w:val="004923EC"/>
    <w:rsid w:val="00492A72"/>
    <w:rsid w:val="00492A76"/>
    <w:rsid w:val="00493DFC"/>
    <w:rsid w:val="0049436A"/>
    <w:rsid w:val="0049469E"/>
    <w:rsid w:val="004947EC"/>
    <w:rsid w:val="004949C6"/>
    <w:rsid w:val="00494A36"/>
    <w:rsid w:val="00495BA4"/>
    <w:rsid w:val="00496038"/>
    <w:rsid w:val="00496683"/>
    <w:rsid w:val="00496707"/>
    <w:rsid w:val="00497265"/>
    <w:rsid w:val="00497641"/>
    <w:rsid w:val="004976C1"/>
    <w:rsid w:val="00497958"/>
    <w:rsid w:val="00497CA1"/>
    <w:rsid w:val="004A0568"/>
    <w:rsid w:val="004A05B3"/>
    <w:rsid w:val="004A073F"/>
    <w:rsid w:val="004A0DF7"/>
    <w:rsid w:val="004A2EAD"/>
    <w:rsid w:val="004A480D"/>
    <w:rsid w:val="004A4E80"/>
    <w:rsid w:val="004A51D2"/>
    <w:rsid w:val="004A5E4D"/>
    <w:rsid w:val="004A60F1"/>
    <w:rsid w:val="004A620E"/>
    <w:rsid w:val="004A66C5"/>
    <w:rsid w:val="004A6C73"/>
    <w:rsid w:val="004A7097"/>
    <w:rsid w:val="004A7D4F"/>
    <w:rsid w:val="004B0701"/>
    <w:rsid w:val="004B1AC5"/>
    <w:rsid w:val="004B2391"/>
    <w:rsid w:val="004B2866"/>
    <w:rsid w:val="004B3482"/>
    <w:rsid w:val="004B356C"/>
    <w:rsid w:val="004B3B0E"/>
    <w:rsid w:val="004B3B27"/>
    <w:rsid w:val="004B3DE6"/>
    <w:rsid w:val="004B4499"/>
    <w:rsid w:val="004B4A30"/>
    <w:rsid w:val="004B5343"/>
    <w:rsid w:val="004B6AA9"/>
    <w:rsid w:val="004B6DEC"/>
    <w:rsid w:val="004B733C"/>
    <w:rsid w:val="004C0CE9"/>
    <w:rsid w:val="004C1293"/>
    <w:rsid w:val="004C14E7"/>
    <w:rsid w:val="004C23C1"/>
    <w:rsid w:val="004C277B"/>
    <w:rsid w:val="004C3BBA"/>
    <w:rsid w:val="004C43AE"/>
    <w:rsid w:val="004C4727"/>
    <w:rsid w:val="004C4A67"/>
    <w:rsid w:val="004C4E4D"/>
    <w:rsid w:val="004C64EE"/>
    <w:rsid w:val="004C6579"/>
    <w:rsid w:val="004C748A"/>
    <w:rsid w:val="004C7848"/>
    <w:rsid w:val="004C7E3C"/>
    <w:rsid w:val="004D1C9C"/>
    <w:rsid w:val="004D1E2D"/>
    <w:rsid w:val="004D2A15"/>
    <w:rsid w:val="004D2A27"/>
    <w:rsid w:val="004D3139"/>
    <w:rsid w:val="004D3676"/>
    <w:rsid w:val="004D3D53"/>
    <w:rsid w:val="004D4B86"/>
    <w:rsid w:val="004D4FC6"/>
    <w:rsid w:val="004D50E0"/>
    <w:rsid w:val="004D5309"/>
    <w:rsid w:val="004D55BC"/>
    <w:rsid w:val="004D61FF"/>
    <w:rsid w:val="004D65BD"/>
    <w:rsid w:val="004D69A4"/>
    <w:rsid w:val="004D6F06"/>
    <w:rsid w:val="004D7272"/>
    <w:rsid w:val="004D7DF6"/>
    <w:rsid w:val="004E0060"/>
    <w:rsid w:val="004E0526"/>
    <w:rsid w:val="004E0B05"/>
    <w:rsid w:val="004E0E1D"/>
    <w:rsid w:val="004E1246"/>
    <w:rsid w:val="004E12BB"/>
    <w:rsid w:val="004E1425"/>
    <w:rsid w:val="004E1591"/>
    <w:rsid w:val="004E1B91"/>
    <w:rsid w:val="004E1C01"/>
    <w:rsid w:val="004E2003"/>
    <w:rsid w:val="004E2975"/>
    <w:rsid w:val="004E3257"/>
    <w:rsid w:val="004E3E75"/>
    <w:rsid w:val="004E4093"/>
    <w:rsid w:val="004E5B6D"/>
    <w:rsid w:val="004E5B94"/>
    <w:rsid w:val="004E6087"/>
    <w:rsid w:val="004E6220"/>
    <w:rsid w:val="004F081C"/>
    <w:rsid w:val="004F085A"/>
    <w:rsid w:val="004F1620"/>
    <w:rsid w:val="004F19F6"/>
    <w:rsid w:val="004F1FEF"/>
    <w:rsid w:val="004F2AC9"/>
    <w:rsid w:val="004F3354"/>
    <w:rsid w:val="004F3B8E"/>
    <w:rsid w:val="004F5387"/>
    <w:rsid w:val="004F58FB"/>
    <w:rsid w:val="004F6215"/>
    <w:rsid w:val="004F676A"/>
    <w:rsid w:val="004F68CD"/>
    <w:rsid w:val="004F6D14"/>
    <w:rsid w:val="004F709A"/>
    <w:rsid w:val="004F797E"/>
    <w:rsid w:val="0050026A"/>
    <w:rsid w:val="0050120D"/>
    <w:rsid w:val="0050131E"/>
    <w:rsid w:val="005014DE"/>
    <w:rsid w:val="005016E0"/>
    <w:rsid w:val="005017A3"/>
    <w:rsid w:val="00501A38"/>
    <w:rsid w:val="00501D7B"/>
    <w:rsid w:val="00502603"/>
    <w:rsid w:val="0050280F"/>
    <w:rsid w:val="00502973"/>
    <w:rsid w:val="005030AB"/>
    <w:rsid w:val="00503B7F"/>
    <w:rsid w:val="00503B97"/>
    <w:rsid w:val="00503CB8"/>
    <w:rsid w:val="00503D59"/>
    <w:rsid w:val="00504832"/>
    <w:rsid w:val="005058A4"/>
    <w:rsid w:val="0050662F"/>
    <w:rsid w:val="005067AC"/>
    <w:rsid w:val="00506ED6"/>
    <w:rsid w:val="00506F68"/>
    <w:rsid w:val="0050711A"/>
    <w:rsid w:val="005075A7"/>
    <w:rsid w:val="005079FE"/>
    <w:rsid w:val="00507B54"/>
    <w:rsid w:val="00507BAB"/>
    <w:rsid w:val="00507E6C"/>
    <w:rsid w:val="005104F8"/>
    <w:rsid w:val="00510647"/>
    <w:rsid w:val="00510EF8"/>
    <w:rsid w:val="005115A2"/>
    <w:rsid w:val="00511980"/>
    <w:rsid w:val="005119ED"/>
    <w:rsid w:val="005122AC"/>
    <w:rsid w:val="00512C9D"/>
    <w:rsid w:val="00513B46"/>
    <w:rsid w:val="00513F8C"/>
    <w:rsid w:val="0051409C"/>
    <w:rsid w:val="00514DD8"/>
    <w:rsid w:val="00514FAF"/>
    <w:rsid w:val="00515837"/>
    <w:rsid w:val="00515FFF"/>
    <w:rsid w:val="005172EC"/>
    <w:rsid w:val="005179CF"/>
    <w:rsid w:val="00520610"/>
    <w:rsid w:val="00520677"/>
    <w:rsid w:val="005208DA"/>
    <w:rsid w:val="0052094D"/>
    <w:rsid w:val="00520B26"/>
    <w:rsid w:val="00520CC0"/>
    <w:rsid w:val="005213AC"/>
    <w:rsid w:val="00521BB1"/>
    <w:rsid w:val="00523D28"/>
    <w:rsid w:val="00523EF7"/>
    <w:rsid w:val="00523FCC"/>
    <w:rsid w:val="0052408E"/>
    <w:rsid w:val="00525776"/>
    <w:rsid w:val="005258C0"/>
    <w:rsid w:val="0052598F"/>
    <w:rsid w:val="00525BB5"/>
    <w:rsid w:val="00525CAB"/>
    <w:rsid w:val="00527442"/>
    <w:rsid w:val="00527492"/>
    <w:rsid w:val="00530254"/>
    <w:rsid w:val="00530470"/>
    <w:rsid w:val="0053183D"/>
    <w:rsid w:val="00531944"/>
    <w:rsid w:val="00531A86"/>
    <w:rsid w:val="005326DF"/>
    <w:rsid w:val="00534287"/>
    <w:rsid w:val="005344B7"/>
    <w:rsid w:val="00534CC0"/>
    <w:rsid w:val="00534EF9"/>
    <w:rsid w:val="00535B80"/>
    <w:rsid w:val="005360EC"/>
    <w:rsid w:val="005366CD"/>
    <w:rsid w:val="00536993"/>
    <w:rsid w:val="00537170"/>
    <w:rsid w:val="0053728B"/>
    <w:rsid w:val="005374CA"/>
    <w:rsid w:val="005374F1"/>
    <w:rsid w:val="0053767A"/>
    <w:rsid w:val="005377A2"/>
    <w:rsid w:val="00537B61"/>
    <w:rsid w:val="005402BC"/>
    <w:rsid w:val="0054037B"/>
    <w:rsid w:val="00540AF8"/>
    <w:rsid w:val="00540BF1"/>
    <w:rsid w:val="00541645"/>
    <w:rsid w:val="00541765"/>
    <w:rsid w:val="005417A9"/>
    <w:rsid w:val="00541CBA"/>
    <w:rsid w:val="005446BD"/>
    <w:rsid w:val="00544824"/>
    <w:rsid w:val="00544D84"/>
    <w:rsid w:val="00545354"/>
    <w:rsid w:val="005455FC"/>
    <w:rsid w:val="005459B5"/>
    <w:rsid w:val="00546A2A"/>
    <w:rsid w:val="0054715D"/>
    <w:rsid w:val="0054719F"/>
    <w:rsid w:val="00547704"/>
    <w:rsid w:val="005501E0"/>
    <w:rsid w:val="005504DC"/>
    <w:rsid w:val="00550841"/>
    <w:rsid w:val="005508EC"/>
    <w:rsid w:val="0055113C"/>
    <w:rsid w:val="005515FB"/>
    <w:rsid w:val="0055185D"/>
    <w:rsid w:val="00551EAD"/>
    <w:rsid w:val="005526C6"/>
    <w:rsid w:val="005532ED"/>
    <w:rsid w:val="00553C47"/>
    <w:rsid w:val="00553C94"/>
    <w:rsid w:val="00554628"/>
    <w:rsid w:val="005548BB"/>
    <w:rsid w:val="00554D24"/>
    <w:rsid w:val="00555B9B"/>
    <w:rsid w:val="00555FF3"/>
    <w:rsid w:val="005562E4"/>
    <w:rsid w:val="00557E40"/>
    <w:rsid w:val="005600BB"/>
    <w:rsid w:val="00561490"/>
    <w:rsid w:val="005619BC"/>
    <w:rsid w:val="00562126"/>
    <w:rsid w:val="005621C8"/>
    <w:rsid w:val="00562934"/>
    <w:rsid w:val="005634A5"/>
    <w:rsid w:val="005639D1"/>
    <w:rsid w:val="00563E72"/>
    <w:rsid w:val="005650A2"/>
    <w:rsid w:val="00565A8B"/>
    <w:rsid w:val="005665DE"/>
    <w:rsid w:val="00566869"/>
    <w:rsid w:val="0056691A"/>
    <w:rsid w:val="00567729"/>
    <w:rsid w:val="00567750"/>
    <w:rsid w:val="00567F7D"/>
    <w:rsid w:val="005703C6"/>
    <w:rsid w:val="0057046C"/>
    <w:rsid w:val="00571840"/>
    <w:rsid w:val="00571C83"/>
    <w:rsid w:val="00571E82"/>
    <w:rsid w:val="00572049"/>
    <w:rsid w:val="00573C7B"/>
    <w:rsid w:val="005742AE"/>
    <w:rsid w:val="0057627C"/>
    <w:rsid w:val="005765ED"/>
    <w:rsid w:val="00577E90"/>
    <w:rsid w:val="00580390"/>
    <w:rsid w:val="00580EEA"/>
    <w:rsid w:val="00581427"/>
    <w:rsid w:val="00581540"/>
    <w:rsid w:val="00581C36"/>
    <w:rsid w:val="00581C85"/>
    <w:rsid w:val="00581CA0"/>
    <w:rsid w:val="00581D5F"/>
    <w:rsid w:val="00583281"/>
    <w:rsid w:val="005833D9"/>
    <w:rsid w:val="00583E6F"/>
    <w:rsid w:val="005846D8"/>
    <w:rsid w:val="00585337"/>
    <w:rsid w:val="0058563D"/>
    <w:rsid w:val="0058636F"/>
    <w:rsid w:val="005867D5"/>
    <w:rsid w:val="0058706F"/>
    <w:rsid w:val="00587475"/>
    <w:rsid w:val="005874D8"/>
    <w:rsid w:val="005876BD"/>
    <w:rsid w:val="00587993"/>
    <w:rsid w:val="00587C24"/>
    <w:rsid w:val="005912E7"/>
    <w:rsid w:val="00591312"/>
    <w:rsid w:val="005918EB"/>
    <w:rsid w:val="00591EF0"/>
    <w:rsid w:val="0059221F"/>
    <w:rsid w:val="00593C35"/>
    <w:rsid w:val="00594653"/>
    <w:rsid w:val="00594ABD"/>
    <w:rsid w:val="005950B7"/>
    <w:rsid w:val="0059522E"/>
    <w:rsid w:val="00596739"/>
    <w:rsid w:val="00596CF5"/>
    <w:rsid w:val="005A009C"/>
    <w:rsid w:val="005A02DB"/>
    <w:rsid w:val="005A0760"/>
    <w:rsid w:val="005A07DD"/>
    <w:rsid w:val="005A0C86"/>
    <w:rsid w:val="005A1F31"/>
    <w:rsid w:val="005A21D9"/>
    <w:rsid w:val="005A3CA3"/>
    <w:rsid w:val="005A42B9"/>
    <w:rsid w:val="005A58ED"/>
    <w:rsid w:val="005A5A0A"/>
    <w:rsid w:val="005A6009"/>
    <w:rsid w:val="005A624C"/>
    <w:rsid w:val="005A6A7B"/>
    <w:rsid w:val="005A7082"/>
    <w:rsid w:val="005A77B2"/>
    <w:rsid w:val="005B0864"/>
    <w:rsid w:val="005B0D04"/>
    <w:rsid w:val="005B0D62"/>
    <w:rsid w:val="005B0DC1"/>
    <w:rsid w:val="005B133C"/>
    <w:rsid w:val="005B14FF"/>
    <w:rsid w:val="005B174A"/>
    <w:rsid w:val="005B1DF4"/>
    <w:rsid w:val="005B24C0"/>
    <w:rsid w:val="005B25B5"/>
    <w:rsid w:val="005B2D4B"/>
    <w:rsid w:val="005B353D"/>
    <w:rsid w:val="005B463A"/>
    <w:rsid w:val="005B485B"/>
    <w:rsid w:val="005B48AF"/>
    <w:rsid w:val="005B516A"/>
    <w:rsid w:val="005B5A62"/>
    <w:rsid w:val="005B5D95"/>
    <w:rsid w:val="005B5E3A"/>
    <w:rsid w:val="005B789D"/>
    <w:rsid w:val="005B7B02"/>
    <w:rsid w:val="005C042C"/>
    <w:rsid w:val="005C05DF"/>
    <w:rsid w:val="005C0686"/>
    <w:rsid w:val="005C0A6C"/>
    <w:rsid w:val="005C1918"/>
    <w:rsid w:val="005C1BDC"/>
    <w:rsid w:val="005C1F2F"/>
    <w:rsid w:val="005C3D04"/>
    <w:rsid w:val="005C3F13"/>
    <w:rsid w:val="005C4046"/>
    <w:rsid w:val="005C427B"/>
    <w:rsid w:val="005C4797"/>
    <w:rsid w:val="005C72CF"/>
    <w:rsid w:val="005C77CF"/>
    <w:rsid w:val="005D0A39"/>
    <w:rsid w:val="005D1469"/>
    <w:rsid w:val="005D2024"/>
    <w:rsid w:val="005D2A97"/>
    <w:rsid w:val="005D30BC"/>
    <w:rsid w:val="005D4738"/>
    <w:rsid w:val="005D4837"/>
    <w:rsid w:val="005D49A2"/>
    <w:rsid w:val="005D533C"/>
    <w:rsid w:val="005D5693"/>
    <w:rsid w:val="005D5CC5"/>
    <w:rsid w:val="005D5FE3"/>
    <w:rsid w:val="005D642F"/>
    <w:rsid w:val="005D6E0B"/>
    <w:rsid w:val="005D6F1C"/>
    <w:rsid w:val="005D7008"/>
    <w:rsid w:val="005D751D"/>
    <w:rsid w:val="005D7645"/>
    <w:rsid w:val="005E02C9"/>
    <w:rsid w:val="005E039B"/>
    <w:rsid w:val="005E0650"/>
    <w:rsid w:val="005E08A7"/>
    <w:rsid w:val="005E08EF"/>
    <w:rsid w:val="005E12F6"/>
    <w:rsid w:val="005E18B1"/>
    <w:rsid w:val="005E24BA"/>
    <w:rsid w:val="005E279C"/>
    <w:rsid w:val="005E308E"/>
    <w:rsid w:val="005E356B"/>
    <w:rsid w:val="005E3DBA"/>
    <w:rsid w:val="005E4565"/>
    <w:rsid w:val="005E487A"/>
    <w:rsid w:val="005E50E7"/>
    <w:rsid w:val="005E5450"/>
    <w:rsid w:val="005E59A0"/>
    <w:rsid w:val="005E5C53"/>
    <w:rsid w:val="005E61D7"/>
    <w:rsid w:val="005E637D"/>
    <w:rsid w:val="005E64A0"/>
    <w:rsid w:val="005E7E51"/>
    <w:rsid w:val="005F07DD"/>
    <w:rsid w:val="005F16FD"/>
    <w:rsid w:val="005F1E49"/>
    <w:rsid w:val="005F22BF"/>
    <w:rsid w:val="005F2696"/>
    <w:rsid w:val="005F3040"/>
    <w:rsid w:val="005F30BB"/>
    <w:rsid w:val="005F4120"/>
    <w:rsid w:val="005F512B"/>
    <w:rsid w:val="005F5751"/>
    <w:rsid w:val="005F58E1"/>
    <w:rsid w:val="005F5A2E"/>
    <w:rsid w:val="005F6511"/>
    <w:rsid w:val="005F6D31"/>
    <w:rsid w:val="005F72BC"/>
    <w:rsid w:val="005F7E87"/>
    <w:rsid w:val="00600625"/>
    <w:rsid w:val="0060066D"/>
    <w:rsid w:val="00600CDB"/>
    <w:rsid w:val="00601AEB"/>
    <w:rsid w:val="00602862"/>
    <w:rsid w:val="00603723"/>
    <w:rsid w:val="00603CD4"/>
    <w:rsid w:val="006040CD"/>
    <w:rsid w:val="006050A1"/>
    <w:rsid w:val="006052D5"/>
    <w:rsid w:val="006056EE"/>
    <w:rsid w:val="00605F63"/>
    <w:rsid w:val="00606245"/>
    <w:rsid w:val="006063C1"/>
    <w:rsid w:val="00606620"/>
    <w:rsid w:val="006066A8"/>
    <w:rsid w:val="006070CE"/>
    <w:rsid w:val="006105E8"/>
    <w:rsid w:val="006127A3"/>
    <w:rsid w:val="006130C9"/>
    <w:rsid w:val="00613524"/>
    <w:rsid w:val="006136AC"/>
    <w:rsid w:val="00613701"/>
    <w:rsid w:val="00613DBD"/>
    <w:rsid w:val="00614029"/>
    <w:rsid w:val="00614A45"/>
    <w:rsid w:val="0061544D"/>
    <w:rsid w:val="00615C1C"/>
    <w:rsid w:val="00615D93"/>
    <w:rsid w:val="00616485"/>
    <w:rsid w:val="00616924"/>
    <w:rsid w:val="00617900"/>
    <w:rsid w:val="00620277"/>
    <w:rsid w:val="00620ED2"/>
    <w:rsid w:val="00621443"/>
    <w:rsid w:val="00621CEB"/>
    <w:rsid w:val="00622787"/>
    <w:rsid w:val="00623A81"/>
    <w:rsid w:val="00624AF6"/>
    <w:rsid w:val="006250FC"/>
    <w:rsid w:val="0062512A"/>
    <w:rsid w:val="0062673A"/>
    <w:rsid w:val="0062684C"/>
    <w:rsid w:val="00626896"/>
    <w:rsid w:val="006271B0"/>
    <w:rsid w:val="006276CE"/>
    <w:rsid w:val="00627807"/>
    <w:rsid w:val="006279E0"/>
    <w:rsid w:val="00627EDD"/>
    <w:rsid w:val="00627F0C"/>
    <w:rsid w:val="00627FCF"/>
    <w:rsid w:val="00630303"/>
    <w:rsid w:val="00630BC9"/>
    <w:rsid w:val="0063164B"/>
    <w:rsid w:val="00632490"/>
    <w:rsid w:val="006328E6"/>
    <w:rsid w:val="0063296E"/>
    <w:rsid w:val="00632B66"/>
    <w:rsid w:val="00632E8F"/>
    <w:rsid w:val="0063337B"/>
    <w:rsid w:val="00633C14"/>
    <w:rsid w:val="00634D2D"/>
    <w:rsid w:val="00634E01"/>
    <w:rsid w:val="00634E8D"/>
    <w:rsid w:val="00635163"/>
    <w:rsid w:val="006356F0"/>
    <w:rsid w:val="00635CD0"/>
    <w:rsid w:val="00635D9E"/>
    <w:rsid w:val="0063731A"/>
    <w:rsid w:val="00637F4A"/>
    <w:rsid w:val="0064064A"/>
    <w:rsid w:val="006408BB"/>
    <w:rsid w:val="006418C7"/>
    <w:rsid w:val="00641AE6"/>
    <w:rsid w:val="00641F00"/>
    <w:rsid w:val="00643F51"/>
    <w:rsid w:val="00644174"/>
    <w:rsid w:val="006451FD"/>
    <w:rsid w:val="00645AA2"/>
    <w:rsid w:val="00646355"/>
    <w:rsid w:val="00646A9E"/>
    <w:rsid w:val="00647932"/>
    <w:rsid w:val="00647939"/>
    <w:rsid w:val="00647BBF"/>
    <w:rsid w:val="00647E8D"/>
    <w:rsid w:val="00650219"/>
    <w:rsid w:val="00651475"/>
    <w:rsid w:val="0065151A"/>
    <w:rsid w:val="006518A3"/>
    <w:rsid w:val="00652944"/>
    <w:rsid w:val="00653916"/>
    <w:rsid w:val="00654237"/>
    <w:rsid w:val="006549CF"/>
    <w:rsid w:val="00654A08"/>
    <w:rsid w:val="00655A1F"/>
    <w:rsid w:val="00655A4F"/>
    <w:rsid w:val="00655BB3"/>
    <w:rsid w:val="00655E04"/>
    <w:rsid w:val="006565AC"/>
    <w:rsid w:val="006573E6"/>
    <w:rsid w:val="0065788E"/>
    <w:rsid w:val="00657DA0"/>
    <w:rsid w:val="006609D6"/>
    <w:rsid w:val="00660BD2"/>
    <w:rsid w:val="006614DD"/>
    <w:rsid w:val="006618C9"/>
    <w:rsid w:val="006637BA"/>
    <w:rsid w:val="00663EBE"/>
    <w:rsid w:val="006643AE"/>
    <w:rsid w:val="00664A27"/>
    <w:rsid w:val="00664B3F"/>
    <w:rsid w:val="00664BDA"/>
    <w:rsid w:val="0066500C"/>
    <w:rsid w:val="00665B74"/>
    <w:rsid w:val="00665E53"/>
    <w:rsid w:val="00665E77"/>
    <w:rsid w:val="00666416"/>
    <w:rsid w:val="006670AE"/>
    <w:rsid w:val="006671DE"/>
    <w:rsid w:val="006679BC"/>
    <w:rsid w:val="00667AAA"/>
    <w:rsid w:val="006708EA"/>
    <w:rsid w:val="00670ADA"/>
    <w:rsid w:val="00670BE9"/>
    <w:rsid w:val="006710E7"/>
    <w:rsid w:val="00671105"/>
    <w:rsid w:val="00671647"/>
    <w:rsid w:val="00671FB2"/>
    <w:rsid w:val="006728FF"/>
    <w:rsid w:val="00672BA4"/>
    <w:rsid w:val="00673C58"/>
    <w:rsid w:val="00673FC5"/>
    <w:rsid w:val="00674320"/>
    <w:rsid w:val="006743EF"/>
    <w:rsid w:val="006757FF"/>
    <w:rsid w:val="00676D0D"/>
    <w:rsid w:val="00677918"/>
    <w:rsid w:val="00677D1A"/>
    <w:rsid w:val="00677E0E"/>
    <w:rsid w:val="006801DE"/>
    <w:rsid w:val="00680C3F"/>
    <w:rsid w:val="00680CD9"/>
    <w:rsid w:val="00680D8B"/>
    <w:rsid w:val="0068164C"/>
    <w:rsid w:val="00682E28"/>
    <w:rsid w:val="006832D4"/>
    <w:rsid w:val="00683ACA"/>
    <w:rsid w:val="0068438A"/>
    <w:rsid w:val="00684DE9"/>
    <w:rsid w:val="006854F0"/>
    <w:rsid w:val="00685AA4"/>
    <w:rsid w:val="00687636"/>
    <w:rsid w:val="00687D6D"/>
    <w:rsid w:val="00687F98"/>
    <w:rsid w:val="00690F84"/>
    <w:rsid w:val="00691356"/>
    <w:rsid w:val="00691721"/>
    <w:rsid w:val="00691B04"/>
    <w:rsid w:val="00692BB4"/>
    <w:rsid w:val="00692EBA"/>
    <w:rsid w:val="00693348"/>
    <w:rsid w:val="006937F2"/>
    <w:rsid w:val="006943B6"/>
    <w:rsid w:val="006944C1"/>
    <w:rsid w:val="0069461E"/>
    <w:rsid w:val="006948F6"/>
    <w:rsid w:val="006954B4"/>
    <w:rsid w:val="00695E06"/>
    <w:rsid w:val="00696554"/>
    <w:rsid w:val="00696BB6"/>
    <w:rsid w:val="00697C94"/>
    <w:rsid w:val="00697D2F"/>
    <w:rsid w:val="006A03C8"/>
    <w:rsid w:val="006A056C"/>
    <w:rsid w:val="006A0BED"/>
    <w:rsid w:val="006A0F8A"/>
    <w:rsid w:val="006A17E3"/>
    <w:rsid w:val="006A1C68"/>
    <w:rsid w:val="006A1ED7"/>
    <w:rsid w:val="006A249C"/>
    <w:rsid w:val="006A3384"/>
    <w:rsid w:val="006A3F4B"/>
    <w:rsid w:val="006A4519"/>
    <w:rsid w:val="006A4D1D"/>
    <w:rsid w:val="006A4D1F"/>
    <w:rsid w:val="006A4F65"/>
    <w:rsid w:val="006A53B3"/>
    <w:rsid w:val="006A59CC"/>
    <w:rsid w:val="006A5D08"/>
    <w:rsid w:val="006A5F57"/>
    <w:rsid w:val="006A656F"/>
    <w:rsid w:val="006A67EC"/>
    <w:rsid w:val="006A6AB3"/>
    <w:rsid w:val="006A7470"/>
    <w:rsid w:val="006B0CF5"/>
    <w:rsid w:val="006B0E61"/>
    <w:rsid w:val="006B16C8"/>
    <w:rsid w:val="006B1A6D"/>
    <w:rsid w:val="006B1E41"/>
    <w:rsid w:val="006B2002"/>
    <w:rsid w:val="006B2567"/>
    <w:rsid w:val="006B2B9D"/>
    <w:rsid w:val="006B2C9A"/>
    <w:rsid w:val="006B3072"/>
    <w:rsid w:val="006B326D"/>
    <w:rsid w:val="006B406E"/>
    <w:rsid w:val="006B469D"/>
    <w:rsid w:val="006B49CF"/>
    <w:rsid w:val="006B4BD7"/>
    <w:rsid w:val="006B5265"/>
    <w:rsid w:val="006B587A"/>
    <w:rsid w:val="006B5A58"/>
    <w:rsid w:val="006B6602"/>
    <w:rsid w:val="006B67C4"/>
    <w:rsid w:val="006B6BEC"/>
    <w:rsid w:val="006B6FBB"/>
    <w:rsid w:val="006B7112"/>
    <w:rsid w:val="006C1BBC"/>
    <w:rsid w:val="006C234E"/>
    <w:rsid w:val="006C2742"/>
    <w:rsid w:val="006C2A64"/>
    <w:rsid w:val="006C3035"/>
    <w:rsid w:val="006C3625"/>
    <w:rsid w:val="006C39FF"/>
    <w:rsid w:val="006C42E9"/>
    <w:rsid w:val="006C5681"/>
    <w:rsid w:val="006C5EB2"/>
    <w:rsid w:val="006C636E"/>
    <w:rsid w:val="006C64B1"/>
    <w:rsid w:val="006C6966"/>
    <w:rsid w:val="006C6DD3"/>
    <w:rsid w:val="006C7618"/>
    <w:rsid w:val="006C7FF8"/>
    <w:rsid w:val="006D0091"/>
    <w:rsid w:val="006D0AC6"/>
    <w:rsid w:val="006D0FC5"/>
    <w:rsid w:val="006D1123"/>
    <w:rsid w:val="006D1600"/>
    <w:rsid w:val="006D1BFE"/>
    <w:rsid w:val="006D1FB1"/>
    <w:rsid w:val="006D249E"/>
    <w:rsid w:val="006D3404"/>
    <w:rsid w:val="006D3842"/>
    <w:rsid w:val="006D3AB9"/>
    <w:rsid w:val="006D3E2E"/>
    <w:rsid w:val="006D4446"/>
    <w:rsid w:val="006D4715"/>
    <w:rsid w:val="006D51C0"/>
    <w:rsid w:val="006D54E7"/>
    <w:rsid w:val="006D5D76"/>
    <w:rsid w:val="006D64BA"/>
    <w:rsid w:val="006D688C"/>
    <w:rsid w:val="006E11D3"/>
    <w:rsid w:val="006E166E"/>
    <w:rsid w:val="006E1AA5"/>
    <w:rsid w:val="006E1DD7"/>
    <w:rsid w:val="006E1E19"/>
    <w:rsid w:val="006E262C"/>
    <w:rsid w:val="006E3026"/>
    <w:rsid w:val="006E36E3"/>
    <w:rsid w:val="006E37FF"/>
    <w:rsid w:val="006E4480"/>
    <w:rsid w:val="006E49F3"/>
    <w:rsid w:val="006E4DEF"/>
    <w:rsid w:val="006E666A"/>
    <w:rsid w:val="006E6BAB"/>
    <w:rsid w:val="006E7533"/>
    <w:rsid w:val="006E754C"/>
    <w:rsid w:val="006F065F"/>
    <w:rsid w:val="006F092B"/>
    <w:rsid w:val="006F0C18"/>
    <w:rsid w:val="006F2DF6"/>
    <w:rsid w:val="006F5507"/>
    <w:rsid w:val="006F5BB5"/>
    <w:rsid w:val="006F5F2F"/>
    <w:rsid w:val="006F6400"/>
    <w:rsid w:val="006F66AD"/>
    <w:rsid w:val="006F7842"/>
    <w:rsid w:val="006F7A38"/>
    <w:rsid w:val="006F7FCB"/>
    <w:rsid w:val="00700771"/>
    <w:rsid w:val="00700979"/>
    <w:rsid w:val="00700B5B"/>
    <w:rsid w:val="00700D2E"/>
    <w:rsid w:val="00700D43"/>
    <w:rsid w:val="0070139D"/>
    <w:rsid w:val="00701453"/>
    <w:rsid w:val="007018ED"/>
    <w:rsid w:val="0070289E"/>
    <w:rsid w:val="007029C5"/>
    <w:rsid w:val="00702E63"/>
    <w:rsid w:val="007031D3"/>
    <w:rsid w:val="00703AB7"/>
    <w:rsid w:val="00703C0D"/>
    <w:rsid w:val="007040B7"/>
    <w:rsid w:val="007042FD"/>
    <w:rsid w:val="00704507"/>
    <w:rsid w:val="00704597"/>
    <w:rsid w:val="007062C6"/>
    <w:rsid w:val="0070668E"/>
    <w:rsid w:val="00706AD5"/>
    <w:rsid w:val="0070711A"/>
    <w:rsid w:val="00707553"/>
    <w:rsid w:val="00707724"/>
    <w:rsid w:val="007104E1"/>
    <w:rsid w:val="00710537"/>
    <w:rsid w:val="00710FEF"/>
    <w:rsid w:val="0071100C"/>
    <w:rsid w:val="00712DFF"/>
    <w:rsid w:val="00714DE7"/>
    <w:rsid w:val="0071522B"/>
    <w:rsid w:val="007152C8"/>
    <w:rsid w:val="00715328"/>
    <w:rsid w:val="0071540B"/>
    <w:rsid w:val="00715C81"/>
    <w:rsid w:val="00715F4B"/>
    <w:rsid w:val="0071662D"/>
    <w:rsid w:val="00717ED6"/>
    <w:rsid w:val="007200A6"/>
    <w:rsid w:val="0072017F"/>
    <w:rsid w:val="0072045C"/>
    <w:rsid w:val="007206BF"/>
    <w:rsid w:val="007206FB"/>
    <w:rsid w:val="007212CD"/>
    <w:rsid w:val="007213F2"/>
    <w:rsid w:val="007237E9"/>
    <w:rsid w:val="00723938"/>
    <w:rsid w:val="00723981"/>
    <w:rsid w:val="007240AB"/>
    <w:rsid w:val="00725192"/>
    <w:rsid w:val="00725741"/>
    <w:rsid w:val="00725808"/>
    <w:rsid w:val="00725A86"/>
    <w:rsid w:val="00725B98"/>
    <w:rsid w:val="00726418"/>
    <w:rsid w:val="0072644C"/>
    <w:rsid w:val="007266FD"/>
    <w:rsid w:val="00727E84"/>
    <w:rsid w:val="0073030E"/>
    <w:rsid w:val="00730B7A"/>
    <w:rsid w:val="00730BF9"/>
    <w:rsid w:val="00730EEC"/>
    <w:rsid w:val="00731009"/>
    <w:rsid w:val="00731266"/>
    <w:rsid w:val="007312D9"/>
    <w:rsid w:val="007313EF"/>
    <w:rsid w:val="00731982"/>
    <w:rsid w:val="007319F1"/>
    <w:rsid w:val="007329C1"/>
    <w:rsid w:val="00732E0B"/>
    <w:rsid w:val="00732F9D"/>
    <w:rsid w:val="0073336C"/>
    <w:rsid w:val="00733476"/>
    <w:rsid w:val="0073350B"/>
    <w:rsid w:val="0073410B"/>
    <w:rsid w:val="00734236"/>
    <w:rsid w:val="007351EA"/>
    <w:rsid w:val="007352C5"/>
    <w:rsid w:val="007356DB"/>
    <w:rsid w:val="00736923"/>
    <w:rsid w:val="00736BF3"/>
    <w:rsid w:val="007374D8"/>
    <w:rsid w:val="00740669"/>
    <w:rsid w:val="00740762"/>
    <w:rsid w:val="007414E1"/>
    <w:rsid w:val="0074281B"/>
    <w:rsid w:val="00742C0F"/>
    <w:rsid w:val="00742CCB"/>
    <w:rsid w:val="00742F1D"/>
    <w:rsid w:val="00742FF3"/>
    <w:rsid w:val="007437A2"/>
    <w:rsid w:val="00745145"/>
    <w:rsid w:val="007452F0"/>
    <w:rsid w:val="00745409"/>
    <w:rsid w:val="00745D6D"/>
    <w:rsid w:val="00746A07"/>
    <w:rsid w:val="00746DE5"/>
    <w:rsid w:val="00747A0A"/>
    <w:rsid w:val="00747CF2"/>
    <w:rsid w:val="00750427"/>
    <w:rsid w:val="00750441"/>
    <w:rsid w:val="007509CC"/>
    <w:rsid w:val="007509D7"/>
    <w:rsid w:val="00750AC8"/>
    <w:rsid w:val="00751085"/>
    <w:rsid w:val="00751759"/>
    <w:rsid w:val="00752BB9"/>
    <w:rsid w:val="007531FE"/>
    <w:rsid w:val="007532C2"/>
    <w:rsid w:val="007533D6"/>
    <w:rsid w:val="00753A80"/>
    <w:rsid w:val="0075445C"/>
    <w:rsid w:val="00754FB5"/>
    <w:rsid w:val="0075504A"/>
    <w:rsid w:val="00755FDE"/>
    <w:rsid w:val="007561E0"/>
    <w:rsid w:val="007571C2"/>
    <w:rsid w:val="007576DA"/>
    <w:rsid w:val="00760B7A"/>
    <w:rsid w:val="00760DDA"/>
    <w:rsid w:val="007616C1"/>
    <w:rsid w:val="007628D5"/>
    <w:rsid w:val="00762992"/>
    <w:rsid w:val="0076383F"/>
    <w:rsid w:val="00763B25"/>
    <w:rsid w:val="00764501"/>
    <w:rsid w:val="00764F61"/>
    <w:rsid w:val="00765A71"/>
    <w:rsid w:val="0076663D"/>
    <w:rsid w:val="007666AF"/>
    <w:rsid w:val="00767154"/>
    <w:rsid w:val="00767243"/>
    <w:rsid w:val="00767FDE"/>
    <w:rsid w:val="0077068C"/>
    <w:rsid w:val="007708FE"/>
    <w:rsid w:val="007726EB"/>
    <w:rsid w:val="00772BF1"/>
    <w:rsid w:val="00773208"/>
    <w:rsid w:val="00774385"/>
    <w:rsid w:val="00774E87"/>
    <w:rsid w:val="007759D4"/>
    <w:rsid w:val="00775DA0"/>
    <w:rsid w:val="00776615"/>
    <w:rsid w:val="00777714"/>
    <w:rsid w:val="00777F3F"/>
    <w:rsid w:val="00780799"/>
    <w:rsid w:val="00780EEF"/>
    <w:rsid w:val="007812A4"/>
    <w:rsid w:val="00783948"/>
    <w:rsid w:val="007842C4"/>
    <w:rsid w:val="007844E6"/>
    <w:rsid w:val="00784A9B"/>
    <w:rsid w:val="00784C52"/>
    <w:rsid w:val="00785849"/>
    <w:rsid w:val="00785BAF"/>
    <w:rsid w:val="00785D64"/>
    <w:rsid w:val="0078775B"/>
    <w:rsid w:val="00787EEA"/>
    <w:rsid w:val="0079033B"/>
    <w:rsid w:val="00791A32"/>
    <w:rsid w:val="00791E36"/>
    <w:rsid w:val="0079224C"/>
    <w:rsid w:val="0079380E"/>
    <w:rsid w:val="00794281"/>
    <w:rsid w:val="0079486B"/>
    <w:rsid w:val="00794A08"/>
    <w:rsid w:val="007953E5"/>
    <w:rsid w:val="00795666"/>
    <w:rsid w:val="00795D4C"/>
    <w:rsid w:val="00795F27"/>
    <w:rsid w:val="00796CE7"/>
    <w:rsid w:val="00797C0C"/>
    <w:rsid w:val="00797D1F"/>
    <w:rsid w:val="007A0494"/>
    <w:rsid w:val="007A13DF"/>
    <w:rsid w:val="007A14DC"/>
    <w:rsid w:val="007A2752"/>
    <w:rsid w:val="007A2AAF"/>
    <w:rsid w:val="007A36A7"/>
    <w:rsid w:val="007A372E"/>
    <w:rsid w:val="007A4C43"/>
    <w:rsid w:val="007A63AC"/>
    <w:rsid w:val="007A71DA"/>
    <w:rsid w:val="007B0C05"/>
    <w:rsid w:val="007B0E53"/>
    <w:rsid w:val="007B1000"/>
    <w:rsid w:val="007B1BFE"/>
    <w:rsid w:val="007B2366"/>
    <w:rsid w:val="007B2E44"/>
    <w:rsid w:val="007B3B1A"/>
    <w:rsid w:val="007B3BC6"/>
    <w:rsid w:val="007B3D13"/>
    <w:rsid w:val="007B515E"/>
    <w:rsid w:val="007B5327"/>
    <w:rsid w:val="007B55ED"/>
    <w:rsid w:val="007B5799"/>
    <w:rsid w:val="007B679F"/>
    <w:rsid w:val="007B6B8B"/>
    <w:rsid w:val="007B756B"/>
    <w:rsid w:val="007C0A05"/>
    <w:rsid w:val="007C317D"/>
    <w:rsid w:val="007C352D"/>
    <w:rsid w:val="007C353F"/>
    <w:rsid w:val="007C38D2"/>
    <w:rsid w:val="007C4990"/>
    <w:rsid w:val="007C5414"/>
    <w:rsid w:val="007C563E"/>
    <w:rsid w:val="007C664D"/>
    <w:rsid w:val="007C6677"/>
    <w:rsid w:val="007C6C56"/>
    <w:rsid w:val="007C6CE3"/>
    <w:rsid w:val="007C70DD"/>
    <w:rsid w:val="007D05D4"/>
    <w:rsid w:val="007D0734"/>
    <w:rsid w:val="007D088E"/>
    <w:rsid w:val="007D0F50"/>
    <w:rsid w:val="007D0F64"/>
    <w:rsid w:val="007D11C9"/>
    <w:rsid w:val="007D17FB"/>
    <w:rsid w:val="007D1F01"/>
    <w:rsid w:val="007D212A"/>
    <w:rsid w:val="007D2182"/>
    <w:rsid w:val="007D2DEC"/>
    <w:rsid w:val="007D3D49"/>
    <w:rsid w:val="007D3D8E"/>
    <w:rsid w:val="007D3DE4"/>
    <w:rsid w:val="007D41C0"/>
    <w:rsid w:val="007D4360"/>
    <w:rsid w:val="007D4BAB"/>
    <w:rsid w:val="007D4D2F"/>
    <w:rsid w:val="007D5852"/>
    <w:rsid w:val="007D5934"/>
    <w:rsid w:val="007D5EE9"/>
    <w:rsid w:val="007D603B"/>
    <w:rsid w:val="007D723B"/>
    <w:rsid w:val="007D7554"/>
    <w:rsid w:val="007E11EE"/>
    <w:rsid w:val="007E158A"/>
    <w:rsid w:val="007E236D"/>
    <w:rsid w:val="007E2862"/>
    <w:rsid w:val="007E2B76"/>
    <w:rsid w:val="007E2B7D"/>
    <w:rsid w:val="007E2CA7"/>
    <w:rsid w:val="007E3177"/>
    <w:rsid w:val="007E3324"/>
    <w:rsid w:val="007E36FD"/>
    <w:rsid w:val="007E4FF0"/>
    <w:rsid w:val="007E526C"/>
    <w:rsid w:val="007E620A"/>
    <w:rsid w:val="007E75F4"/>
    <w:rsid w:val="007E7A87"/>
    <w:rsid w:val="007E7D07"/>
    <w:rsid w:val="007E7D3E"/>
    <w:rsid w:val="007F05EA"/>
    <w:rsid w:val="007F0C28"/>
    <w:rsid w:val="007F0FC6"/>
    <w:rsid w:val="007F116D"/>
    <w:rsid w:val="007F1560"/>
    <w:rsid w:val="007F3BA8"/>
    <w:rsid w:val="007F3D04"/>
    <w:rsid w:val="007F3D08"/>
    <w:rsid w:val="007F3D49"/>
    <w:rsid w:val="007F4428"/>
    <w:rsid w:val="007F4533"/>
    <w:rsid w:val="007F49E6"/>
    <w:rsid w:val="007F5249"/>
    <w:rsid w:val="007F588E"/>
    <w:rsid w:val="007F5EBE"/>
    <w:rsid w:val="007F6934"/>
    <w:rsid w:val="007F77AE"/>
    <w:rsid w:val="007F7A60"/>
    <w:rsid w:val="00800107"/>
    <w:rsid w:val="00800308"/>
    <w:rsid w:val="00800392"/>
    <w:rsid w:val="00800F9B"/>
    <w:rsid w:val="008016B7"/>
    <w:rsid w:val="00801B89"/>
    <w:rsid w:val="008022D7"/>
    <w:rsid w:val="00802613"/>
    <w:rsid w:val="0080291F"/>
    <w:rsid w:val="00803502"/>
    <w:rsid w:val="00804300"/>
    <w:rsid w:val="008047C9"/>
    <w:rsid w:val="00804806"/>
    <w:rsid w:val="00804ABA"/>
    <w:rsid w:val="00805303"/>
    <w:rsid w:val="0080533D"/>
    <w:rsid w:val="00805481"/>
    <w:rsid w:val="0080562D"/>
    <w:rsid w:val="008058FE"/>
    <w:rsid w:val="00805C9C"/>
    <w:rsid w:val="00806057"/>
    <w:rsid w:val="008063EC"/>
    <w:rsid w:val="00806495"/>
    <w:rsid w:val="00806A5B"/>
    <w:rsid w:val="008076AE"/>
    <w:rsid w:val="008079C7"/>
    <w:rsid w:val="00807AC7"/>
    <w:rsid w:val="00807E30"/>
    <w:rsid w:val="008110C6"/>
    <w:rsid w:val="00812C1F"/>
    <w:rsid w:val="008134B9"/>
    <w:rsid w:val="0081397C"/>
    <w:rsid w:val="00814732"/>
    <w:rsid w:val="00815291"/>
    <w:rsid w:val="0081600C"/>
    <w:rsid w:val="008162E3"/>
    <w:rsid w:val="00816BC8"/>
    <w:rsid w:val="00817561"/>
    <w:rsid w:val="008200E2"/>
    <w:rsid w:val="008209C1"/>
    <w:rsid w:val="00821189"/>
    <w:rsid w:val="00821395"/>
    <w:rsid w:val="00821E82"/>
    <w:rsid w:val="00821EBD"/>
    <w:rsid w:val="008224AD"/>
    <w:rsid w:val="008224F0"/>
    <w:rsid w:val="00822E8C"/>
    <w:rsid w:val="00823217"/>
    <w:rsid w:val="00823F83"/>
    <w:rsid w:val="00824949"/>
    <w:rsid w:val="00824B2D"/>
    <w:rsid w:val="00824DCC"/>
    <w:rsid w:val="0082556D"/>
    <w:rsid w:val="00825EF9"/>
    <w:rsid w:val="008268A8"/>
    <w:rsid w:val="00826B4C"/>
    <w:rsid w:val="00826CB1"/>
    <w:rsid w:val="00827306"/>
    <w:rsid w:val="0082757C"/>
    <w:rsid w:val="008278DC"/>
    <w:rsid w:val="00827E56"/>
    <w:rsid w:val="00827EEC"/>
    <w:rsid w:val="00830066"/>
    <w:rsid w:val="0083073E"/>
    <w:rsid w:val="008314EE"/>
    <w:rsid w:val="00831528"/>
    <w:rsid w:val="00831734"/>
    <w:rsid w:val="008319FD"/>
    <w:rsid w:val="00831AAB"/>
    <w:rsid w:val="008332CE"/>
    <w:rsid w:val="0083394C"/>
    <w:rsid w:val="00833A60"/>
    <w:rsid w:val="0083568F"/>
    <w:rsid w:val="0083674F"/>
    <w:rsid w:val="00836AA0"/>
    <w:rsid w:val="008371A8"/>
    <w:rsid w:val="00837907"/>
    <w:rsid w:val="00837BC3"/>
    <w:rsid w:val="00840FDC"/>
    <w:rsid w:val="00841703"/>
    <w:rsid w:val="00841791"/>
    <w:rsid w:val="00841F39"/>
    <w:rsid w:val="008420D5"/>
    <w:rsid w:val="00842150"/>
    <w:rsid w:val="00842943"/>
    <w:rsid w:val="00842FF9"/>
    <w:rsid w:val="008432EE"/>
    <w:rsid w:val="008438B5"/>
    <w:rsid w:val="00845358"/>
    <w:rsid w:val="0084588C"/>
    <w:rsid w:val="008464D8"/>
    <w:rsid w:val="00846CF9"/>
    <w:rsid w:val="00847C9D"/>
    <w:rsid w:val="0085085F"/>
    <w:rsid w:val="00850A47"/>
    <w:rsid w:val="00850BE4"/>
    <w:rsid w:val="00850C5F"/>
    <w:rsid w:val="00850C98"/>
    <w:rsid w:val="00851131"/>
    <w:rsid w:val="008512D8"/>
    <w:rsid w:val="008517B7"/>
    <w:rsid w:val="008517C5"/>
    <w:rsid w:val="008517D8"/>
    <w:rsid w:val="00851CAF"/>
    <w:rsid w:val="00852AB8"/>
    <w:rsid w:val="0085340F"/>
    <w:rsid w:val="0085409E"/>
    <w:rsid w:val="00855110"/>
    <w:rsid w:val="0085522C"/>
    <w:rsid w:val="00856972"/>
    <w:rsid w:val="008569A7"/>
    <w:rsid w:val="00856E06"/>
    <w:rsid w:val="008576A6"/>
    <w:rsid w:val="00857803"/>
    <w:rsid w:val="00857C29"/>
    <w:rsid w:val="008601E9"/>
    <w:rsid w:val="00860D17"/>
    <w:rsid w:val="00860F3A"/>
    <w:rsid w:val="00861658"/>
    <w:rsid w:val="0086198D"/>
    <w:rsid w:val="008627EC"/>
    <w:rsid w:val="008634A8"/>
    <w:rsid w:val="008634E0"/>
    <w:rsid w:val="00864597"/>
    <w:rsid w:val="00865659"/>
    <w:rsid w:val="00865A27"/>
    <w:rsid w:val="00865FB8"/>
    <w:rsid w:val="00866104"/>
    <w:rsid w:val="008664AE"/>
    <w:rsid w:val="00866C70"/>
    <w:rsid w:val="0086740A"/>
    <w:rsid w:val="008677C3"/>
    <w:rsid w:val="0087001F"/>
    <w:rsid w:val="008702A0"/>
    <w:rsid w:val="0087146D"/>
    <w:rsid w:val="0087224D"/>
    <w:rsid w:val="00872B03"/>
    <w:rsid w:val="00872E8B"/>
    <w:rsid w:val="008739F6"/>
    <w:rsid w:val="00873DD6"/>
    <w:rsid w:val="00874CA0"/>
    <w:rsid w:val="008753A4"/>
    <w:rsid w:val="00875ED7"/>
    <w:rsid w:val="008766ED"/>
    <w:rsid w:val="00876911"/>
    <w:rsid w:val="00876C2D"/>
    <w:rsid w:val="00877F02"/>
    <w:rsid w:val="00880A5A"/>
    <w:rsid w:val="00880F2F"/>
    <w:rsid w:val="008818AA"/>
    <w:rsid w:val="00881DE4"/>
    <w:rsid w:val="00883237"/>
    <w:rsid w:val="008836C8"/>
    <w:rsid w:val="00883873"/>
    <w:rsid w:val="00883B17"/>
    <w:rsid w:val="00883C6A"/>
    <w:rsid w:val="00883D72"/>
    <w:rsid w:val="008842A4"/>
    <w:rsid w:val="008842E3"/>
    <w:rsid w:val="00884461"/>
    <w:rsid w:val="00884C71"/>
    <w:rsid w:val="00884F91"/>
    <w:rsid w:val="00885054"/>
    <w:rsid w:val="00885B24"/>
    <w:rsid w:val="00885E1E"/>
    <w:rsid w:val="008863B9"/>
    <w:rsid w:val="008866AB"/>
    <w:rsid w:val="00886A24"/>
    <w:rsid w:val="00886B7D"/>
    <w:rsid w:val="00886FED"/>
    <w:rsid w:val="008870F0"/>
    <w:rsid w:val="00887702"/>
    <w:rsid w:val="0089076A"/>
    <w:rsid w:val="00890D2C"/>
    <w:rsid w:val="008917C8"/>
    <w:rsid w:val="00891986"/>
    <w:rsid w:val="00891B62"/>
    <w:rsid w:val="00892038"/>
    <w:rsid w:val="0089204F"/>
    <w:rsid w:val="00893A9A"/>
    <w:rsid w:val="00893C52"/>
    <w:rsid w:val="0089411D"/>
    <w:rsid w:val="00894367"/>
    <w:rsid w:val="008945E0"/>
    <w:rsid w:val="008946A0"/>
    <w:rsid w:val="00895429"/>
    <w:rsid w:val="00895C2A"/>
    <w:rsid w:val="00896FF0"/>
    <w:rsid w:val="0089795D"/>
    <w:rsid w:val="00897A1C"/>
    <w:rsid w:val="008A05F8"/>
    <w:rsid w:val="008A14EF"/>
    <w:rsid w:val="008A1958"/>
    <w:rsid w:val="008A28A1"/>
    <w:rsid w:val="008A2F53"/>
    <w:rsid w:val="008A30EB"/>
    <w:rsid w:val="008A334C"/>
    <w:rsid w:val="008A4363"/>
    <w:rsid w:val="008A4506"/>
    <w:rsid w:val="008A4A41"/>
    <w:rsid w:val="008A5B35"/>
    <w:rsid w:val="008A5C2E"/>
    <w:rsid w:val="008A6787"/>
    <w:rsid w:val="008A686A"/>
    <w:rsid w:val="008A698C"/>
    <w:rsid w:val="008A721C"/>
    <w:rsid w:val="008B0081"/>
    <w:rsid w:val="008B0E39"/>
    <w:rsid w:val="008B14D3"/>
    <w:rsid w:val="008B1A5E"/>
    <w:rsid w:val="008B1BD4"/>
    <w:rsid w:val="008B30E7"/>
    <w:rsid w:val="008B3A60"/>
    <w:rsid w:val="008B3A99"/>
    <w:rsid w:val="008B3CE4"/>
    <w:rsid w:val="008B3E93"/>
    <w:rsid w:val="008B4D36"/>
    <w:rsid w:val="008B52CB"/>
    <w:rsid w:val="008B5730"/>
    <w:rsid w:val="008B57E0"/>
    <w:rsid w:val="008B5A18"/>
    <w:rsid w:val="008B7DAC"/>
    <w:rsid w:val="008B7E05"/>
    <w:rsid w:val="008B7EF9"/>
    <w:rsid w:val="008C0973"/>
    <w:rsid w:val="008C0B65"/>
    <w:rsid w:val="008C0D29"/>
    <w:rsid w:val="008C1991"/>
    <w:rsid w:val="008C19F4"/>
    <w:rsid w:val="008C1EAA"/>
    <w:rsid w:val="008C272E"/>
    <w:rsid w:val="008C2A28"/>
    <w:rsid w:val="008C31DE"/>
    <w:rsid w:val="008C3E17"/>
    <w:rsid w:val="008C4059"/>
    <w:rsid w:val="008C40FF"/>
    <w:rsid w:val="008C447D"/>
    <w:rsid w:val="008C4608"/>
    <w:rsid w:val="008C4CC2"/>
    <w:rsid w:val="008C558C"/>
    <w:rsid w:val="008C5A2C"/>
    <w:rsid w:val="008C5DF0"/>
    <w:rsid w:val="008C69C7"/>
    <w:rsid w:val="008C7A63"/>
    <w:rsid w:val="008C7D7F"/>
    <w:rsid w:val="008D1003"/>
    <w:rsid w:val="008D15FF"/>
    <w:rsid w:val="008D1A0F"/>
    <w:rsid w:val="008D21BC"/>
    <w:rsid w:val="008D2B95"/>
    <w:rsid w:val="008D2F3C"/>
    <w:rsid w:val="008D3542"/>
    <w:rsid w:val="008D37F7"/>
    <w:rsid w:val="008D39FC"/>
    <w:rsid w:val="008D3D9D"/>
    <w:rsid w:val="008D493C"/>
    <w:rsid w:val="008D4A08"/>
    <w:rsid w:val="008D54B6"/>
    <w:rsid w:val="008D55B0"/>
    <w:rsid w:val="008D5FC3"/>
    <w:rsid w:val="008D6529"/>
    <w:rsid w:val="008D6911"/>
    <w:rsid w:val="008D7879"/>
    <w:rsid w:val="008D7A14"/>
    <w:rsid w:val="008E0765"/>
    <w:rsid w:val="008E08B3"/>
    <w:rsid w:val="008E0D51"/>
    <w:rsid w:val="008E1284"/>
    <w:rsid w:val="008E251D"/>
    <w:rsid w:val="008E334F"/>
    <w:rsid w:val="008E34E1"/>
    <w:rsid w:val="008E34E5"/>
    <w:rsid w:val="008E420C"/>
    <w:rsid w:val="008E44D6"/>
    <w:rsid w:val="008E4E05"/>
    <w:rsid w:val="008E5C29"/>
    <w:rsid w:val="008E7D6E"/>
    <w:rsid w:val="008F00A6"/>
    <w:rsid w:val="008F020F"/>
    <w:rsid w:val="008F089D"/>
    <w:rsid w:val="008F15F8"/>
    <w:rsid w:val="008F1965"/>
    <w:rsid w:val="008F21A0"/>
    <w:rsid w:val="008F24B6"/>
    <w:rsid w:val="008F2C01"/>
    <w:rsid w:val="008F341E"/>
    <w:rsid w:val="008F3634"/>
    <w:rsid w:val="008F38F5"/>
    <w:rsid w:val="008F3BDF"/>
    <w:rsid w:val="008F3E85"/>
    <w:rsid w:val="008F407F"/>
    <w:rsid w:val="008F50E6"/>
    <w:rsid w:val="008F523F"/>
    <w:rsid w:val="008F60B1"/>
    <w:rsid w:val="008F6173"/>
    <w:rsid w:val="008F6984"/>
    <w:rsid w:val="008F69E6"/>
    <w:rsid w:val="008F751C"/>
    <w:rsid w:val="008F7930"/>
    <w:rsid w:val="008F7992"/>
    <w:rsid w:val="008F7EBC"/>
    <w:rsid w:val="00900170"/>
    <w:rsid w:val="00901237"/>
    <w:rsid w:val="00902200"/>
    <w:rsid w:val="0090220E"/>
    <w:rsid w:val="00902DB6"/>
    <w:rsid w:val="00902F1D"/>
    <w:rsid w:val="00903965"/>
    <w:rsid w:val="00904301"/>
    <w:rsid w:val="00905033"/>
    <w:rsid w:val="00905D98"/>
    <w:rsid w:val="0090635F"/>
    <w:rsid w:val="00906701"/>
    <w:rsid w:val="00906D28"/>
    <w:rsid w:val="00907C1F"/>
    <w:rsid w:val="00910410"/>
    <w:rsid w:val="00910CCC"/>
    <w:rsid w:val="0091185E"/>
    <w:rsid w:val="00911CE4"/>
    <w:rsid w:val="00911D0C"/>
    <w:rsid w:val="00911EDA"/>
    <w:rsid w:val="009129A2"/>
    <w:rsid w:val="00913D89"/>
    <w:rsid w:val="00913F13"/>
    <w:rsid w:val="00914DA2"/>
    <w:rsid w:val="00915935"/>
    <w:rsid w:val="00915B5B"/>
    <w:rsid w:val="00915DA6"/>
    <w:rsid w:val="00916702"/>
    <w:rsid w:val="00916A99"/>
    <w:rsid w:val="00917691"/>
    <w:rsid w:val="00917B2A"/>
    <w:rsid w:val="00917B6B"/>
    <w:rsid w:val="00920686"/>
    <w:rsid w:val="00920769"/>
    <w:rsid w:val="009209BA"/>
    <w:rsid w:val="00921E4B"/>
    <w:rsid w:val="00921ED9"/>
    <w:rsid w:val="00921FC2"/>
    <w:rsid w:val="009220B8"/>
    <w:rsid w:val="009221A7"/>
    <w:rsid w:val="0092297A"/>
    <w:rsid w:val="009236F5"/>
    <w:rsid w:val="0092378A"/>
    <w:rsid w:val="009243ED"/>
    <w:rsid w:val="00924837"/>
    <w:rsid w:val="0092511F"/>
    <w:rsid w:val="00926A78"/>
    <w:rsid w:val="009304E3"/>
    <w:rsid w:val="009305A1"/>
    <w:rsid w:val="00930C45"/>
    <w:rsid w:val="00932316"/>
    <w:rsid w:val="00932668"/>
    <w:rsid w:val="009331DC"/>
    <w:rsid w:val="00933B68"/>
    <w:rsid w:val="00934085"/>
    <w:rsid w:val="00935541"/>
    <w:rsid w:val="00935899"/>
    <w:rsid w:val="0093637A"/>
    <w:rsid w:val="00936ACD"/>
    <w:rsid w:val="00937546"/>
    <w:rsid w:val="0093764E"/>
    <w:rsid w:val="00937AAE"/>
    <w:rsid w:val="00937CC0"/>
    <w:rsid w:val="00940517"/>
    <w:rsid w:val="009406C9"/>
    <w:rsid w:val="00940DD9"/>
    <w:rsid w:val="00941185"/>
    <w:rsid w:val="00941BF4"/>
    <w:rsid w:val="00942386"/>
    <w:rsid w:val="00942D09"/>
    <w:rsid w:val="0094316D"/>
    <w:rsid w:val="00943692"/>
    <w:rsid w:val="00944EB0"/>
    <w:rsid w:val="00945B82"/>
    <w:rsid w:val="0094646C"/>
    <w:rsid w:val="009464B1"/>
    <w:rsid w:val="00947738"/>
    <w:rsid w:val="00950F56"/>
    <w:rsid w:val="00951784"/>
    <w:rsid w:val="00951FE2"/>
    <w:rsid w:val="0095234B"/>
    <w:rsid w:val="00952A44"/>
    <w:rsid w:val="00952D04"/>
    <w:rsid w:val="00952DDC"/>
    <w:rsid w:val="00953290"/>
    <w:rsid w:val="00953630"/>
    <w:rsid w:val="00953F2C"/>
    <w:rsid w:val="00953F8B"/>
    <w:rsid w:val="0095465B"/>
    <w:rsid w:val="00954927"/>
    <w:rsid w:val="00954ED6"/>
    <w:rsid w:val="00954F5C"/>
    <w:rsid w:val="00955153"/>
    <w:rsid w:val="009555F7"/>
    <w:rsid w:val="00955C93"/>
    <w:rsid w:val="009562AE"/>
    <w:rsid w:val="0095647D"/>
    <w:rsid w:val="009566C1"/>
    <w:rsid w:val="00956CF6"/>
    <w:rsid w:val="00957D61"/>
    <w:rsid w:val="00957E07"/>
    <w:rsid w:val="009603FD"/>
    <w:rsid w:val="00960484"/>
    <w:rsid w:val="00960978"/>
    <w:rsid w:val="0096111E"/>
    <w:rsid w:val="009611C0"/>
    <w:rsid w:val="00961A2A"/>
    <w:rsid w:val="00961C9C"/>
    <w:rsid w:val="00961DC3"/>
    <w:rsid w:val="00962344"/>
    <w:rsid w:val="0096275C"/>
    <w:rsid w:val="00962C5A"/>
    <w:rsid w:val="00962F0D"/>
    <w:rsid w:val="0096356A"/>
    <w:rsid w:val="00963670"/>
    <w:rsid w:val="009637D0"/>
    <w:rsid w:val="00963DC1"/>
    <w:rsid w:val="00963E8A"/>
    <w:rsid w:val="0096415A"/>
    <w:rsid w:val="009644A0"/>
    <w:rsid w:val="0096467D"/>
    <w:rsid w:val="00964869"/>
    <w:rsid w:val="009659E0"/>
    <w:rsid w:val="00965DCA"/>
    <w:rsid w:val="0096636A"/>
    <w:rsid w:val="00966523"/>
    <w:rsid w:val="00966DA2"/>
    <w:rsid w:val="009671A5"/>
    <w:rsid w:val="00967259"/>
    <w:rsid w:val="00967615"/>
    <w:rsid w:val="009676B0"/>
    <w:rsid w:val="009704DA"/>
    <w:rsid w:val="00970558"/>
    <w:rsid w:val="009705F8"/>
    <w:rsid w:val="009718CF"/>
    <w:rsid w:val="00972EE4"/>
    <w:rsid w:val="0097349D"/>
    <w:rsid w:val="009734A3"/>
    <w:rsid w:val="00973AEA"/>
    <w:rsid w:val="00973E6C"/>
    <w:rsid w:val="00973E87"/>
    <w:rsid w:val="00973F68"/>
    <w:rsid w:val="00974B9C"/>
    <w:rsid w:val="0097511A"/>
    <w:rsid w:val="009759A5"/>
    <w:rsid w:val="00975E0E"/>
    <w:rsid w:val="0097603E"/>
    <w:rsid w:val="00976C90"/>
    <w:rsid w:val="00977321"/>
    <w:rsid w:val="00980043"/>
    <w:rsid w:val="009802E3"/>
    <w:rsid w:val="0098065E"/>
    <w:rsid w:val="009813DD"/>
    <w:rsid w:val="00981A68"/>
    <w:rsid w:val="00982690"/>
    <w:rsid w:val="00982776"/>
    <w:rsid w:val="009827A1"/>
    <w:rsid w:val="00982926"/>
    <w:rsid w:val="00983605"/>
    <w:rsid w:val="0098387D"/>
    <w:rsid w:val="0098439D"/>
    <w:rsid w:val="009847FC"/>
    <w:rsid w:val="00984A3A"/>
    <w:rsid w:val="009850AB"/>
    <w:rsid w:val="009851AD"/>
    <w:rsid w:val="00986852"/>
    <w:rsid w:val="009876E5"/>
    <w:rsid w:val="00987D60"/>
    <w:rsid w:val="00990B06"/>
    <w:rsid w:val="00991061"/>
    <w:rsid w:val="00991238"/>
    <w:rsid w:val="0099159A"/>
    <w:rsid w:val="009925DF"/>
    <w:rsid w:val="00992631"/>
    <w:rsid w:val="009926EE"/>
    <w:rsid w:val="00992CE4"/>
    <w:rsid w:val="0099321D"/>
    <w:rsid w:val="009936BD"/>
    <w:rsid w:val="00993A8B"/>
    <w:rsid w:val="00994127"/>
    <w:rsid w:val="009942B7"/>
    <w:rsid w:val="00994815"/>
    <w:rsid w:val="0099494E"/>
    <w:rsid w:val="00994DF9"/>
    <w:rsid w:val="00995C86"/>
    <w:rsid w:val="00996190"/>
    <w:rsid w:val="0099712B"/>
    <w:rsid w:val="009971A0"/>
    <w:rsid w:val="00997B53"/>
    <w:rsid w:val="00997CC6"/>
    <w:rsid w:val="009A07BC"/>
    <w:rsid w:val="009A0ADB"/>
    <w:rsid w:val="009A0D46"/>
    <w:rsid w:val="009A1097"/>
    <w:rsid w:val="009A127A"/>
    <w:rsid w:val="009A1612"/>
    <w:rsid w:val="009A1CD1"/>
    <w:rsid w:val="009A212B"/>
    <w:rsid w:val="009A26ED"/>
    <w:rsid w:val="009A27E9"/>
    <w:rsid w:val="009A2E5B"/>
    <w:rsid w:val="009A4198"/>
    <w:rsid w:val="009A42D7"/>
    <w:rsid w:val="009A58B9"/>
    <w:rsid w:val="009A5D30"/>
    <w:rsid w:val="009A637C"/>
    <w:rsid w:val="009A7612"/>
    <w:rsid w:val="009A7682"/>
    <w:rsid w:val="009B1043"/>
    <w:rsid w:val="009B1635"/>
    <w:rsid w:val="009B1995"/>
    <w:rsid w:val="009B2765"/>
    <w:rsid w:val="009B3302"/>
    <w:rsid w:val="009B3A2E"/>
    <w:rsid w:val="009B3AA4"/>
    <w:rsid w:val="009B513C"/>
    <w:rsid w:val="009B5265"/>
    <w:rsid w:val="009B54DA"/>
    <w:rsid w:val="009B5635"/>
    <w:rsid w:val="009B728D"/>
    <w:rsid w:val="009B7D07"/>
    <w:rsid w:val="009C17A5"/>
    <w:rsid w:val="009C17C0"/>
    <w:rsid w:val="009C209F"/>
    <w:rsid w:val="009C2F0D"/>
    <w:rsid w:val="009C3046"/>
    <w:rsid w:val="009C3604"/>
    <w:rsid w:val="009C3E54"/>
    <w:rsid w:val="009C3F77"/>
    <w:rsid w:val="009C48DD"/>
    <w:rsid w:val="009C5A8F"/>
    <w:rsid w:val="009C6580"/>
    <w:rsid w:val="009C66BE"/>
    <w:rsid w:val="009C6E6F"/>
    <w:rsid w:val="009C776A"/>
    <w:rsid w:val="009C7F08"/>
    <w:rsid w:val="009D09B3"/>
    <w:rsid w:val="009D0ACE"/>
    <w:rsid w:val="009D0E45"/>
    <w:rsid w:val="009D1875"/>
    <w:rsid w:val="009D1F50"/>
    <w:rsid w:val="009D27C5"/>
    <w:rsid w:val="009D2E1D"/>
    <w:rsid w:val="009D2FC7"/>
    <w:rsid w:val="009D2FF7"/>
    <w:rsid w:val="009D419D"/>
    <w:rsid w:val="009D422F"/>
    <w:rsid w:val="009D4440"/>
    <w:rsid w:val="009D4C80"/>
    <w:rsid w:val="009D4D18"/>
    <w:rsid w:val="009D551B"/>
    <w:rsid w:val="009D5742"/>
    <w:rsid w:val="009D5940"/>
    <w:rsid w:val="009D5951"/>
    <w:rsid w:val="009D6A6A"/>
    <w:rsid w:val="009E063D"/>
    <w:rsid w:val="009E19AB"/>
    <w:rsid w:val="009E20AD"/>
    <w:rsid w:val="009E23E5"/>
    <w:rsid w:val="009E296B"/>
    <w:rsid w:val="009E29B6"/>
    <w:rsid w:val="009E2A4A"/>
    <w:rsid w:val="009E2DCC"/>
    <w:rsid w:val="009E2E5D"/>
    <w:rsid w:val="009E3091"/>
    <w:rsid w:val="009E3749"/>
    <w:rsid w:val="009E3858"/>
    <w:rsid w:val="009E3CB6"/>
    <w:rsid w:val="009E59F6"/>
    <w:rsid w:val="009E61B2"/>
    <w:rsid w:val="009E61FF"/>
    <w:rsid w:val="009E6221"/>
    <w:rsid w:val="009E645D"/>
    <w:rsid w:val="009E6CCD"/>
    <w:rsid w:val="009F016A"/>
    <w:rsid w:val="009F2904"/>
    <w:rsid w:val="009F2BB9"/>
    <w:rsid w:val="009F2D0C"/>
    <w:rsid w:val="009F2EB8"/>
    <w:rsid w:val="009F327B"/>
    <w:rsid w:val="009F61BA"/>
    <w:rsid w:val="009F6567"/>
    <w:rsid w:val="009F65CC"/>
    <w:rsid w:val="009F6A70"/>
    <w:rsid w:val="009F6D38"/>
    <w:rsid w:val="009F7384"/>
    <w:rsid w:val="00A000D8"/>
    <w:rsid w:val="00A0017E"/>
    <w:rsid w:val="00A00BEB"/>
    <w:rsid w:val="00A00F96"/>
    <w:rsid w:val="00A015CC"/>
    <w:rsid w:val="00A0189C"/>
    <w:rsid w:val="00A02039"/>
    <w:rsid w:val="00A02640"/>
    <w:rsid w:val="00A0277C"/>
    <w:rsid w:val="00A03070"/>
    <w:rsid w:val="00A03A82"/>
    <w:rsid w:val="00A04655"/>
    <w:rsid w:val="00A046F0"/>
    <w:rsid w:val="00A047FE"/>
    <w:rsid w:val="00A04F1E"/>
    <w:rsid w:val="00A051C2"/>
    <w:rsid w:val="00A05402"/>
    <w:rsid w:val="00A0567D"/>
    <w:rsid w:val="00A0618B"/>
    <w:rsid w:val="00A066CB"/>
    <w:rsid w:val="00A06A41"/>
    <w:rsid w:val="00A06D80"/>
    <w:rsid w:val="00A0707A"/>
    <w:rsid w:val="00A07AD5"/>
    <w:rsid w:val="00A07CE4"/>
    <w:rsid w:val="00A07EF1"/>
    <w:rsid w:val="00A10340"/>
    <w:rsid w:val="00A103AC"/>
    <w:rsid w:val="00A12BD1"/>
    <w:rsid w:val="00A12BF8"/>
    <w:rsid w:val="00A12F31"/>
    <w:rsid w:val="00A133C0"/>
    <w:rsid w:val="00A145FB"/>
    <w:rsid w:val="00A14EE9"/>
    <w:rsid w:val="00A14FF8"/>
    <w:rsid w:val="00A15664"/>
    <w:rsid w:val="00A15BA5"/>
    <w:rsid w:val="00A1652B"/>
    <w:rsid w:val="00A16B37"/>
    <w:rsid w:val="00A1720C"/>
    <w:rsid w:val="00A17298"/>
    <w:rsid w:val="00A17F86"/>
    <w:rsid w:val="00A21330"/>
    <w:rsid w:val="00A21697"/>
    <w:rsid w:val="00A217B8"/>
    <w:rsid w:val="00A22606"/>
    <w:rsid w:val="00A226A5"/>
    <w:rsid w:val="00A23930"/>
    <w:rsid w:val="00A23BC9"/>
    <w:rsid w:val="00A2447D"/>
    <w:rsid w:val="00A256AE"/>
    <w:rsid w:val="00A25B14"/>
    <w:rsid w:val="00A26305"/>
    <w:rsid w:val="00A26B4C"/>
    <w:rsid w:val="00A26BE4"/>
    <w:rsid w:val="00A26BE7"/>
    <w:rsid w:val="00A27301"/>
    <w:rsid w:val="00A27583"/>
    <w:rsid w:val="00A27B8D"/>
    <w:rsid w:val="00A27CD3"/>
    <w:rsid w:val="00A307C6"/>
    <w:rsid w:val="00A3197E"/>
    <w:rsid w:val="00A31D62"/>
    <w:rsid w:val="00A322E7"/>
    <w:rsid w:val="00A327C9"/>
    <w:rsid w:val="00A33163"/>
    <w:rsid w:val="00A33338"/>
    <w:rsid w:val="00A339E4"/>
    <w:rsid w:val="00A3479F"/>
    <w:rsid w:val="00A34F0F"/>
    <w:rsid w:val="00A352E3"/>
    <w:rsid w:val="00A36034"/>
    <w:rsid w:val="00A37B17"/>
    <w:rsid w:val="00A37B7C"/>
    <w:rsid w:val="00A403E7"/>
    <w:rsid w:val="00A4083C"/>
    <w:rsid w:val="00A408CE"/>
    <w:rsid w:val="00A40E7B"/>
    <w:rsid w:val="00A40E85"/>
    <w:rsid w:val="00A410A0"/>
    <w:rsid w:val="00A41596"/>
    <w:rsid w:val="00A4193E"/>
    <w:rsid w:val="00A41F1F"/>
    <w:rsid w:val="00A42CB1"/>
    <w:rsid w:val="00A43239"/>
    <w:rsid w:val="00A44C50"/>
    <w:rsid w:val="00A45836"/>
    <w:rsid w:val="00A45B79"/>
    <w:rsid w:val="00A461A5"/>
    <w:rsid w:val="00A47C4D"/>
    <w:rsid w:val="00A47C5F"/>
    <w:rsid w:val="00A518C6"/>
    <w:rsid w:val="00A5265B"/>
    <w:rsid w:val="00A53F57"/>
    <w:rsid w:val="00A540A5"/>
    <w:rsid w:val="00A54417"/>
    <w:rsid w:val="00A56AF4"/>
    <w:rsid w:val="00A57A6B"/>
    <w:rsid w:val="00A57B4C"/>
    <w:rsid w:val="00A57CFF"/>
    <w:rsid w:val="00A60761"/>
    <w:rsid w:val="00A6102A"/>
    <w:rsid w:val="00A61305"/>
    <w:rsid w:val="00A614B4"/>
    <w:rsid w:val="00A64BBC"/>
    <w:rsid w:val="00A65515"/>
    <w:rsid w:val="00A65796"/>
    <w:rsid w:val="00A66B25"/>
    <w:rsid w:val="00A67118"/>
    <w:rsid w:val="00A67283"/>
    <w:rsid w:val="00A706DB"/>
    <w:rsid w:val="00A70CF8"/>
    <w:rsid w:val="00A72350"/>
    <w:rsid w:val="00A723C6"/>
    <w:rsid w:val="00A724D2"/>
    <w:rsid w:val="00A72DC6"/>
    <w:rsid w:val="00A73796"/>
    <w:rsid w:val="00A738F4"/>
    <w:rsid w:val="00A73A2D"/>
    <w:rsid w:val="00A73CB4"/>
    <w:rsid w:val="00A7457C"/>
    <w:rsid w:val="00A74657"/>
    <w:rsid w:val="00A7495B"/>
    <w:rsid w:val="00A75724"/>
    <w:rsid w:val="00A75A4E"/>
    <w:rsid w:val="00A76C02"/>
    <w:rsid w:val="00A77399"/>
    <w:rsid w:val="00A77662"/>
    <w:rsid w:val="00A776B0"/>
    <w:rsid w:val="00A77C8A"/>
    <w:rsid w:val="00A8075E"/>
    <w:rsid w:val="00A80BCF"/>
    <w:rsid w:val="00A812AA"/>
    <w:rsid w:val="00A8149C"/>
    <w:rsid w:val="00A8169A"/>
    <w:rsid w:val="00A8176F"/>
    <w:rsid w:val="00A8211F"/>
    <w:rsid w:val="00A82377"/>
    <w:rsid w:val="00A82B93"/>
    <w:rsid w:val="00A82EA3"/>
    <w:rsid w:val="00A8366A"/>
    <w:rsid w:val="00A83B08"/>
    <w:rsid w:val="00A83B7C"/>
    <w:rsid w:val="00A84603"/>
    <w:rsid w:val="00A846C7"/>
    <w:rsid w:val="00A84F28"/>
    <w:rsid w:val="00A85B46"/>
    <w:rsid w:val="00A85CC8"/>
    <w:rsid w:val="00A86148"/>
    <w:rsid w:val="00A865C0"/>
    <w:rsid w:val="00A86EE6"/>
    <w:rsid w:val="00A875A0"/>
    <w:rsid w:val="00A87812"/>
    <w:rsid w:val="00A9032D"/>
    <w:rsid w:val="00A90E81"/>
    <w:rsid w:val="00A914C2"/>
    <w:rsid w:val="00A922D4"/>
    <w:rsid w:val="00A9248D"/>
    <w:rsid w:val="00A92A11"/>
    <w:rsid w:val="00A931B9"/>
    <w:rsid w:val="00A93CAA"/>
    <w:rsid w:val="00A95149"/>
    <w:rsid w:val="00A95973"/>
    <w:rsid w:val="00A9599B"/>
    <w:rsid w:val="00A95E1B"/>
    <w:rsid w:val="00A96C4A"/>
    <w:rsid w:val="00A97329"/>
    <w:rsid w:val="00A9732A"/>
    <w:rsid w:val="00A97534"/>
    <w:rsid w:val="00A9782D"/>
    <w:rsid w:val="00AA0C56"/>
    <w:rsid w:val="00AA0FF1"/>
    <w:rsid w:val="00AA175C"/>
    <w:rsid w:val="00AA1782"/>
    <w:rsid w:val="00AA1ED5"/>
    <w:rsid w:val="00AA2370"/>
    <w:rsid w:val="00AA2492"/>
    <w:rsid w:val="00AA27BD"/>
    <w:rsid w:val="00AA2B7B"/>
    <w:rsid w:val="00AA2E87"/>
    <w:rsid w:val="00AA3CB0"/>
    <w:rsid w:val="00AA3E7E"/>
    <w:rsid w:val="00AA408C"/>
    <w:rsid w:val="00AA4643"/>
    <w:rsid w:val="00AA566F"/>
    <w:rsid w:val="00AA6955"/>
    <w:rsid w:val="00AA696D"/>
    <w:rsid w:val="00AA699B"/>
    <w:rsid w:val="00AA6CBC"/>
    <w:rsid w:val="00AA6ED8"/>
    <w:rsid w:val="00AA71C3"/>
    <w:rsid w:val="00AA7749"/>
    <w:rsid w:val="00AB0A13"/>
    <w:rsid w:val="00AB0A52"/>
    <w:rsid w:val="00AB15EE"/>
    <w:rsid w:val="00AB2B6F"/>
    <w:rsid w:val="00AB2C8A"/>
    <w:rsid w:val="00AB34E4"/>
    <w:rsid w:val="00AB37A1"/>
    <w:rsid w:val="00AB3823"/>
    <w:rsid w:val="00AB397E"/>
    <w:rsid w:val="00AB4672"/>
    <w:rsid w:val="00AB4CFF"/>
    <w:rsid w:val="00AB4F12"/>
    <w:rsid w:val="00AB7405"/>
    <w:rsid w:val="00AC012F"/>
    <w:rsid w:val="00AC03A0"/>
    <w:rsid w:val="00AC05CD"/>
    <w:rsid w:val="00AC0878"/>
    <w:rsid w:val="00AC097F"/>
    <w:rsid w:val="00AC0F86"/>
    <w:rsid w:val="00AC11F9"/>
    <w:rsid w:val="00AC2796"/>
    <w:rsid w:val="00AC2FA8"/>
    <w:rsid w:val="00AC30F4"/>
    <w:rsid w:val="00AC4000"/>
    <w:rsid w:val="00AC4818"/>
    <w:rsid w:val="00AC4877"/>
    <w:rsid w:val="00AC5959"/>
    <w:rsid w:val="00AC5E44"/>
    <w:rsid w:val="00AC608F"/>
    <w:rsid w:val="00AC69E1"/>
    <w:rsid w:val="00AC6B19"/>
    <w:rsid w:val="00AC6EE1"/>
    <w:rsid w:val="00AC7675"/>
    <w:rsid w:val="00AC7D50"/>
    <w:rsid w:val="00AC7FE7"/>
    <w:rsid w:val="00AD1742"/>
    <w:rsid w:val="00AD1AFB"/>
    <w:rsid w:val="00AD1F4D"/>
    <w:rsid w:val="00AD2C23"/>
    <w:rsid w:val="00AD2C2D"/>
    <w:rsid w:val="00AD333B"/>
    <w:rsid w:val="00AD3B7E"/>
    <w:rsid w:val="00AD43A3"/>
    <w:rsid w:val="00AD533E"/>
    <w:rsid w:val="00AD55B8"/>
    <w:rsid w:val="00AD64BC"/>
    <w:rsid w:val="00AD6D69"/>
    <w:rsid w:val="00AD7391"/>
    <w:rsid w:val="00AD75B2"/>
    <w:rsid w:val="00AD75EB"/>
    <w:rsid w:val="00AD7FBC"/>
    <w:rsid w:val="00AE00A9"/>
    <w:rsid w:val="00AE02F1"/>
    <w:rsid w:val="00AE06FC"/>
    <w:rsid w:val="00AE082B"/>
    <w:rsid w:val="00AE0D2D"/>
    <w:rsid w:val="00AE0D7C"/>
    <w:rsid w:val="00AE17BE"/>
    <w:rsid w:val="00AE18E2"/>
    <w:rsid w:val="00AE2054"/>
    <w:rsid w:val="00AE2A54"/>
    <w:rsid w:val="00AE2C95"/>
    <w:rsid w:val="00AE3644"/>
    <w:rsid w:val="00AE3AF5"/>
    <w:rsid w:val="00AE4CD1"/>
    <w:rsid w:val="00AE52F9"/>
    <w:rsid w:val="00AE56AA"/>
    <w:rsid w:val="00AE5BCE"/>
    <w:rsid w:val="00AE6375"/>
    <w:rsid w:val="00AE6913"/>
    <w:rsid w:val="00AE70B4"/>
    <w:rsid w:val="00AE7537"/>
    <w:rsid w:val="00AE7D68"/>
    <w:rsid w:val="00AF11D1"/>
    <w:rsid w:val="00AF1533"/>
    <w:rsid w:val="00AF16A3"/>
    <w:rsid w:val="00AF19FF"/>
    <w:rsid w:val="00AF1D9E"/>
    <w:rsid w:val="00AF1E55"/>
    <w:rsid w:val="00AF24F3"/>
    <w:rsid w:val="00AF264E"/>
    <w:rsid w:val="00AF26D5"/>
    <w:rsid w:val="00AF31C6"/>
    <w:rsid w:val="00AF335A"/>
    <w:rsid w:val="00AF3491"/>
    <w:rsid w:val="00AF34D1"/>
    <w:rsid w:val="00AF37A0"/>
    <w:rsid w:val="00AF3939"/>
    <w:rsid w:val="00AF401F"/>
    <w:rsid w:val="00AF4B58"/>
    <w:rsid w:val="00AF4DC5"/>
    <w:rsid w:val="00AF569D"/>
    <w:rsid w:val="00AF5CDB"/>
    <w:rsid w:val="00AF5EE0"/>
    <w:rsid w:val="00AF7F7D"/>
    <w:rsid w:val="00B005C4"/>
    <w:rsid w:val="00B00788"/>
    <w:rsid w:val="00B00CB3"/>
    <w:rsid w:val="00B01396"/>
    <w:rsid w:val="00B014A4"/>
    <w:rsid w:val="00B01950"/>
    <w:rsid w:val="00B01DBE"/>
    <w:rsid w:val="00B01EB7"/>
    <w:rsid w:val="00B02EB3"/>
    <w:rsid w:val="00B03C10"/>
    <w:rsid w:val="00B04089"/>
    <w:rsid w:val="00B042B6"/>
    <w:rsid w:val="00B04533"/>
    <w:rsid w:val="00B04573"/>
    <w:rsid w:val="00B045D2"/>
    <w:rsid w:val="00B055E0"/>
    <w:rsid w:val="00B0601A"/>
    <w:rsid w:val="00B062E8"/>
    <w:rsid w:val="00B066CB"/>
    <w:rsid w:val="00B0745F"/>
    <w:rsid w:val="00B07580"/>
    <w:rsid w:val="00B076F1"/>
    <w:rsid w:val="00B07F6D"/>
    <w:rsid w:val="00B111C6"/>
    <w:rsid w:val="00B115F3"/>
    <w:rsid w:val="00B116CF"/>
    <w:rsid w:val="00B11AC5"/>
    <w:rsid w:val="00B11FD6"/>
    <w:rsid w:val="00B12DB0"/>
    <w:rsid w:val="00B12E40"/>
    <w:rsid w:val="00B1415F"/>
    <w:rsid w:val="00B150C4"/>
    <w:rsid w:val="00B174D4"/>
    <w:rsid w:val="00B1796C"/>
    <w:rsid w:val="00B17E06"/>
    <w:rsid w:val="00B218E4"/>
    <w:rsid w:val="00B21B28"/>
    <w:rsid w:val="00B21C7C"/>
    <w:rsid w:val="00B21D64"/>
    <w:rsid w:val="00B21FEA"/>
    <w:rsid w:val="00B225E8"/>
    <w:rsid w:val="00B23677"/>
    <w:rsid w:val="00B24A18"/>
    <w:rsid w:val="00B24DE7"/>
    <w:rsid w:val="00B25087"/>
    <w:rsid w:val="00B254FB"/>
    <w:rsid w:val="00B257CB"/>
    <w:rsid w:val="00B25EAA"/>
    <w:rsid w:val="00B26711"/>
    <w:rsid w:val="00B27BB9"/>
    <w:rsid w:val="00B3094B"/>
    <w:rsid w:val="00B30FA1"/>
    <w:rsid w:val="00B3121D"/>
    <w:rsid w:val="00B31DF4"/>
    <w:rsid w:val="00B328AC"/>
    <w:rsid w:val="00B33184"/>
    <w:rsid w:val="00B33B8D"/>
    <w:rsid w:val="00B34AB6"/>
    <w:rsid w:val="00B34CCE"/>
    <w:rsid w:val="00B36067"/>
    <w:rsid w:val="00B36793"/>
    <w:rsid w:val="00B36ECC"/>
    <w:rsid w:val="00B37916"/>
    <w:rsid w:val="00B37BA9"/>
    <w:rsid w:val="00B37F75"/>
    <w:rsid w:val="00B409BE"/>
    <w:rsid w:val="00B40E0C"/>
    <w:rsid w:val="00B40E86"/>
    <w:rsid w:val="00B413F2"/>
    <w:rsid w:val="00B41671"/>
    <w:rsid w:val="00B422A5"/>
    <w:rsid w:val="00B42831"/>
    <w:rsid w:val="00B42A4B"/>
    <w:rsid w:val="00B42E75"/>
    <w:rsid w:val="00B43C04"/>
    <w:rsid w:val="00B4418C"/>
    <w:rsid w:val="00B44B66"/>
    <w:rsid w:val="00B4523F"/>
    <w:rsid w:val="00B45856"/>
    <w:rsid w:val="00B45988"/>
    <w:rsid w:val="00B45CD4"/>
    <w:rsid w:val="00B464B9"/>
    <w:rsid w:val="00B4737A"/>
    <w:rsid w:val="00B47747"/>
    <w:rsid w:val="00B47976"/>
    <w:rsid w:val="00B47C38"/>
    <w:rsid w:val="00B47F12"/>
    <w:rsid w:val="00B5086E"/>
    <w:rsid w:val="00B51B5F"/>
    <w:rsid w:val="00B520D9"/>
    <w:rsid w:val="00B52635"/>
    <w:rsid w:val="00B53214"/>
    <w:rsid w:val="00B532AF"/>
    <w:rsid w:val="00B53746"/>
    <w:rsid w:val="00B53E62"/>
    <w:rsid w:val="00B54B8E"/>
    <w:rsid w:val="00B54FE4"/>
    <w:rsid w:val="00B5514D"/>
    <w:rsid w:val="00B558B7"/>
    <w:rsid w:val="00B56A19"/>
    <w:rsid w:val="00B5780A"/>
    <w:rsid w:val="00B61289"/>
    <w:rsid w:val="00B61B98"/>
    <w:rsid w:val="00B61C4D"/>
    <w:rsid w:val="00B61D5B"/>
    <w:rsid w:val="00B61F46"/>
    <w:rsid w:val="00B62BDE"/>
    <w:rsid w:val="00B646C4"/>
    <w:rsid w:val="00B650D5"/>
    <w:rsid w:val="00B65156"/>
    <w:rsid w:val="00B6540B"/>
    <w:rsid w:val="00B65B56"/>
    <w:rsid w:val="00B66155"/>
    <w:rsid w:val="00B66CC8"/>
    <w:rsid w:val="00B67A54"/>
    <w:rsid w:val="00B67B6C"/>
    <w:rsid w:val="00B67C34"/>
    <w:rsid w:val="00B7016B"/>
    <w:rsid w:val="00B70FAA"/>
    <w:rsid w:val="00B71279"/>
    <w:rsid w:val="00B722A9"/>
    <w:rsid w:val="00B72334"/>
    <w:rsid w:val="00B73154"/>
    <w:rsid w:val="00B74019"/>
    <w:rsid w:val="00B740DC"/>
    <w:rsid w:val="00B7427A"/>
    <w:rsid w:val="00B742DD"/>
    <w:rsid w:val="00B74978"/>
    <w:rsid w:val="00B75672"/>
    <w:rsid w:val="00B758DF"/>
    <w:rsid w:val="00B75CAA"/>
    <w:rsid w:val="00B76CF5"/>
    <w:rsid w:val="00B772B7"/>
    <w:rsid w:val="00B77C20"/>
    <w:rsid w:val="00B80DBA"/>
    <w:rsid w:val="00B80FC8"/>
    <w:rsid w:val="00B81545"/>
    <w:rsid w:val="00B815E7"/>
    <w:rsid w:val="00B81B87"/>
    <w:rsid w:val="00B82005"/>
    <w:rsid w:val="00B820E0"/>
    <w:rsid w:val="00B82808"/>
    <w:rsid w:val="00B82EBE"/>
    <w:rsid w:val="00B82F8E"/>
    <w:rsid w:val="00B8386F"/>
    <w:rsid w:val="00B84844"/>
    <w:rsid w:val="00B85041"/>
    <w:rsid w:val="00B859D9"/>
    <w:rsid w:val="00B86845"/>
    <w:rsid w:val="00B900F3"/>
    <w:rsid w:val="00B90CE9"/>
    <w:rsid w:val="00B913C7"/>
    <w:rsid w:val="00B91BEC"/>
    <w:rsid w:val="00B91F89"/>
    <w:rsid w:val="00B91FB0"/>
    <w:rsid w:val="00B93323"/>
    <w:rsid w:val="00B9349F"/>
    <w:rsid w:val="00B93CE9"/>
    <w:rsid w:val="00B94129"/>
    <w:rsid w:val="00B94215"/>
    <w:rsid w:val="00B94254"/>
    <w:rsid w:val="00B9437F"/>
    <w:rsid w:val="00B94AB6"/>
    <w:rsid w:val="00B94B40"/>
    <w:rsid w:val="00B94BAA"/>
    <w:rsid w:val="00B94DA6"/>
    <w:rsid w:val="00B94DA7"/>
    <w:rsid w:val="00B954B0"/>
    <w:rsid w:val="00B960E0"/>
    <w:rsid w:val="00B963DF"/>
    <w:rsid w:val="00B96698"/>
    <w:rsid w:val="00B96970"/>
    <w:rsid w:val="00B96A4F"/>
    <w:rsid w:val="00B975F5"/>
    <w:rsid w:val="00B977D7"/>
    <w:rsid w:val="00BA00BE"/>
    <w:rsid w:val="00BA04C8"/>
    <w:rsid w:val="00BA0D94"/>
    <w:rsid w:val="00BA1182"/>
    <w:rsid w:val="00BA2C69"/>
    <w:rsid w:val="00BA30E8"/>
    <w:rsid w:val="00BA3DB6"/>
    <w:rsid w:val="00BA44F6"/>
    <w:rsid w:val="00BA491A"/>
    <w:rsid w:val="00BA4CF0"/>
    <w:rsid w:val="00BA4E6A"/>
    <w:rsid w:val="00BA4EDB"/>
    <w:rsid w:val="00BA55A4"/>
    <w:rsid w:val="00BA57FD"/>
    <w:rsid w:val="00BA5AAB"/>
    <w:rsid w:val="00BA5AF8"/>
    <w:rsid w:val="00BA5CD4"/>
    <w:rsid w:val="00BA6D49"/>
    <w:rsid w:val="00BA700E"/>
    <w:rsid w:val="00BA7111"/>
    <w:rsid w:val="00BA72B2"/>
    <w:rsid w:val="00BA72C6"/>
    <w:rsid w:val="00BA73EF"/>
    <w:rsid w:val="00BB10B2"/>
    <w:rsid w:val="00BB131A"/>
    <w:rsid w:val="00BB3129"/>
    <w:rsid w:val="00BB380E"/>
    <w:rsid w:val="00BB44CC"/>
    <w:rsid w:val="00BB47AC"/>
    <w:rsid w:val="00BB4E9A"/>
    <w:rsid w:val="00BB4EB6"/>
    <w:rsid w:val="00BB5124"/>
    <w:rsid w:val="00BB5DE5"/>
    <w:rsid w:val="00BB7398"/>
    <w:rsid w:val="00BC0602"/>
    <w:rsid w:val="00BC0838"/>
    <w:rsid w:val="00BC0CD1"/>
    <w:rsid w:val="00BC0F96"/>
    <w:rsid w:val="00BC1203"/>
    <w:rsid w:val="00BC1545"/>
    <w:rsid w:val="00BC1675"/>
    <w:rsid w:val="00BC228B"/>
    <w:rsid w:val="00BC273D"/>
    <w:rsid w:val="00BC282A"/>
    <w:rsid w:val="00BC336E"/>
    <w:rsid w:val="00BC39F4"/>
    <w:rsid w:val="00BC3B3C"/>
    <w:rsid w:val="00BC46BC"/>
    <w:rsid w:val="00BC4F72"/>
    <w:rsid w:val="00BC5E52"/>
    <w:rsid w:val="00BC6A21"/>
    <w:rsid w:val="00BC7289"/>
    <w:rsid w:val="00BC79EF"/>
    <w:rsid w:val="00BC7EC8"/>
    <w:rsid w:val="00BD005E"/>
    <w:rsid w:val="00BD01AF"/>
    <w:rsid w:val="00BD0E8F"/>
    <w:rsid w:val="00BD1A1C"/>
    <w:rsid w:val="00BD29D9"/>
    <w:rsid w:val="00BD2C66"/>
    <w:rsid w:val="00BD349E"/>
    <w:rsid w:val="00BD3BDD"/>
    <w:rsid w:val="00BD3F8D"/>
    <w:rsid w:val="00BD436F"/>
    <w:rsid w:val="00BD46EA"/>
    <w:rsid w:val="00BD4BDA"/>
    <w:rsid w:val="00BD64C1"/>
    <w:rsid w:val="00BD6F0E"/>
    <w:rsid w:val="00BD7C00"/>
    <w:rsid w:val="00BD7C6E"/>
    <w:rsid w:val="00BD7CAD"/>
    <w:rsid w:val="00BE0424"/>
    <w:rsid w:val="00BE06A7"/>
    <w:rsid w:val="00BE071B"/>
    <w:rsid w:val="00BE164A"/>
    <w:rsid w:val="00BE25FB"/>
    <w:rsid w:val="00BE3B4D"/>
    <w:rsid w:val="00BE4C32"/>
    <w:rsid w:val="00BE52FE"/>
    <w:rsid w:val="00BE5423"/>
    <w:rsid w:val="00BE559F"/>
    <w:rsid w:val="00BE67F9"/>
    <w:rsid w:val="00BE75B0"/>
    <w:rsid w:val="00BF0BB1"/>
    <w:rsid w:val="00BF0CA3"/>
    <w:rsid w:val="00BF0D36"/>
    <w:rsid w:val="00BF1123"/>
    <w:rsid w:val="00BF15F1"/>
    <w:rsid w:val="00BF1A4D"/>
    <w:rsid w:val="00BF1DB1"/>
    <w:rsid w:val="00BF2314"/>
    <w:rsid w:val="00BF2F8B"/>
    <w:rsid w:val="00BF3089"/>
    <w:rsid w:val="00BF395B"/>
    <w:rsid w:val="00BF3F33"/>
    <w:rsid w:val="00BF3FC2"/>
    <w:rsid w:val="00BF4AEE"/>
    <w:rsid w:val="00BF6382"/>
    <w:rsid w:val="00BF640D"/>
    <w:rsid w:val="00BF6D48"/>
    <w:rsid w:val="00BF7F81"/>
    <w:rsid w:val="00C00A5E"/>
    <w:rsid w:val="00C00F58"/>
    <w:rsid w:val="00C01E35"/>
    <w:rsid w:val="00C028B5"/>
    <w:rsid w:val="00C03706"/>
    <w:rsid w:val="00C03B0E"/>
    <w:rsid w:val="00C03DD9"/>
    <w:rsid w:val="00C05174"/>
    <w:rsid w:val="00C0600B"/>
    <w:rsid w:val="00C069BC"/>
    <w:rsid w:val="00C06BBA"/>
    <w:rsid w:val="00C070FE"/>
    <w:rsid w:val="00C07384"/>
    <w:rsid w:val="00C073C2"/>
    <w:rsid w:val="00C0760E"/>
    <w:rsid w:val="00C10508"/>
    <w:rsid w:val="00C10721"/>
    <w:rsid w:val="00C10960"/>
    <w:rsid w:val="00C109E7"/>
    <w:rsid w:val="00C11857"/>
    <w:rsid w:val="00C118F2"/>
    <w:rsid w:val="00C1250A"/>
    <w:rsid w:val="00C1284A"/>
    <w:rsid w:val="00C1436E"/>
    <w:rsid w:val="00C14B3A"/>
    <w:rsid w:val="00C150C4"/>
    <w:rsid w:val="00C15212"/>
    <w:rsid w:val="00C15A19"/>
    <w:rsid w:val="00C160BA"/>
    <w:rsid w:val="00C16C71"/>
    <w:rsid w:val="00C17864"/>
    <w:rsid w:val="00C20245"/>
    <w:rsid w:val="00C2120D"/>
    <w:rsid w:val="00C2324D"/>
    <w:rsid w:val="00C2373F"/>
    <w:rsid w:val="00C23769"/>
    <w:rsid w:val="00C23AFC"/>
    <w:rsid w:val="00C24689"/>
    <w:rsid w:val="00C249AF"/>
    <w:rsid w:val="00C24FAF"/>
    <w:rsid w:val="00C254EE"/>
    <w:rsid w:val="00C2635C"/>
    <w:rsid w:val="00C267B7"/>
    <w:rsid w:val="00C2720C"/>
    <w:rsid w:val="00C27307"/>
    <w:rsid w:val="00C27CDE"/>
    <w:rsid w:val="00C30336"/>
    <w:rsid w:val="00C3045D"/>
    <w:rsid w:val="00C30B12"/>
    <w:rsid w:val="00C30F5A"/>
    <w:rsid w:val="00C327A8"/>
    <w:rsid w:val="00C32831"/>
    <w:rsid w:val="00C3283D"/>
    <w:rsid w:val="00C3380A"/>
    <w:rsid w:val="00C33AC9"/>
    <w:rsid w:val="00C33CA0"/>
    <w:rsid w:val="00C341C8"/>
    <w:rsid w:val="00C3457A"/>
    <w:rsid w:val="00C349BF"/>
    <w:rsid w:val="00C359F8"/>
    <w:rsid w:val="00C35A88"/>
    <w:rsid w:val="00C35CB9"/>
    <w:rsid w:val="00C3604B"/>
    <w:rsid w:val="00C36054"/>
    <w:rsid w:val="00C36702"/>
    <w:rsid w:val="00C36703"/>
    <w:rsid w:val="00C36CDD"/>
    <w:rsid w:val="00C36F48"/>
    <w:rsid w:val="00C37CCD"/>
    <w:rsid w:val="00C37FD3"/>
    <w:rsid w:val="00C40C21"/>
    <w:rsid w:val="00C41743"/>
    <w:rsid w:val="00C41C28"/>
    <w:rsid w:val="00C42074"/>
    <w:rsid w:val="00C4227E"/>
    <w:rsid w:val="00C43983"/>
    <w:rsid w:val="00C44158"/>
    <w:rsid w:val="00C4516F"/>
    <w:rsid w:val="00C45FFB"/>
    <w:rsid w:val="00C46CA6"/>
    <w:rsid w:val="00C47D1F"/>
    <w:rsid w:val="00C500C3"/>
    <w:rsid w:val="00C50B6A"/>
    <w:rsid w:val="00C50CE2"/>
    <w:rsid w:val="00C50CFB"/>
    <w:rsid w:val="00C5191A"/>
    <w:rsid w:val="00C51E05"/>
    <w:rsid w:val="00C520FB"/>
    <w:rsid w:val="00C52240"/>
    <w:rsid w:val="00C52E76"/>
    <w:rsid w:val="00C543CF"/>
    <w:rsid w:val="00C5487B"/>
    <w:rsid w:val="00C560B8"/>
    <w:rsid w:val="00C57F01"/>
    <w:rsid w:val="00C60297"/>
    <w:rsid w:val="00C608B8"/>
    <w:rsid w:val="00C61A61"/>
    <w:rsid w:val="00C62816"/>
    <w:rsid w:val="00C62C61"/>
    <w:rsid w:val="00C631EE"/>
    <w:rsid w:val="00C63DFB"/>
    <w:rsid w:val="00C64040"/>
    <w:rsid w:val="00C6404B"/>
    <w:rsid w:val="00C64A00"/>
    <w:rsid w:val="00C64B23"/>
    <w:rsid w:val="00C64F76"/>
    <w:rsid w:val="00C65572"/>
    <w:rsid w:val="00C65632"/>
    <w:rsid w:val="00C6576E"/>
    <w:rsid w:val="00C65B15"/>
    <w:rsid w:val="00C6648D"/>
    <w:rsid w:val="00C672FC"/>
    <w:rsid w:val="00C675E8"/>
    <w:rsid w:val="00C70D94"/>
    <w:rsid w:val="00C70F63"/>
    <w:rsid w:val="00C71035"/>
    <w:rsid w:val="00C710A1"/>
    <w:rsid w:val="00C726D9"/>
    <w:rsid w:val="00C72737"/>
    <w:rsid w:val="00C72936"/>
    <w:rsid w:val="00C7337D"/>
    <w:rsid w:val="00C73A60"/>
    <w:rsid w:val="00C73E37"/>
    <w:rsid w:val="00C73EF2"/>
    <w:rsid w:val="00C7432F"/>
    <w:rsid w:val="00C74DC2"/>
    <w:rsid w:val="00C74EF1"/>
    <w:rsid w:val="00C76651"/>
    <w:rsid w:val="00C769A7"/>
    <w:rsid w:val="00C769CE"/>
    <w:rsid w:val="00C76C34"/>
    <w:rsid w:val="00C7702E"/>
    <w:rsid w:val="00C77F19"/>
    <w:rsid w:val="00C80415"/>
    <w:rsid w:val="00C80872"/>
    <w:rsid w:val="00C810A8"/>
    <w:rsid w:val="00C81C5A"/>
    <w:rsid w:val="00C81E58"/>
    <w:rsid w:val="00C82BA9"/>
    <w:rsid w:val="00C82D2C"/>
    <w:rsid w:val="00C82E35"/>
    <w:rsid w:val="00C838E7"/>
    <w:rsid w:val="00C84BEF"/>
    <w:rsid w:val="00C84D4A"/>
    <w:rsid w:val="00C85445"/>
    <w:rsid w:val="00C85D5C"/>
    <w:rsid w:val="00C8630B"/>
    <w:rsid w:val="00C86BFE"/>
    <w:rsid w:val="00C86E2C"/>
    <w:rsid w:val="00C8789A"/>
    <w:rsid w:val="00C87C29"/>
    <w:rsid w:val="00C915E8"/>
    <w:rsid w:val="00C92263"/>
    <w:rsid w:val="00C93D82"/>
    <w:rsid w:val="00C93FBE"/>
    <w:rsid w:val="00C9527C"/>
    <w:rsid w:val="00C9577B"/>
    <w:rsid w:val="00C95AF6"/>
    <w:rsid w:val="00C96084"/>
    <w:rsid w:val="00C9608A"/>
    <w:rsid w:val="00C97E23"/>
    <w:rsid w:val="00CA020A"/>
    <w:rsid w:val="00CA0CDF"/>
    <w:rsid w:val="00CA0ED6"/>
    <w:rsid w:val="00CA1139"/>
    <w:rsid w:val="00CA135D"/>
    <w:rsid w:val="00CA17F4"/>
    <w:rsid w:val="00CA2B47"/>
    <w:rsid w:val="00CA30F0"/>
    <w:rsid w:val="00CA3B6C"/>
    <w:rsid w:val="00CA414B"/>
    <w:rsid w:val="00CA489B"/>
    <w:rsid w:val="00CA4BA5"/>
    <w:rsid w:val="00CA4CD8"/>
    <w:rsid w:val="00CA4FC9"/>
    <w:rsid w:val="00CA54DF"/>
    <w:rsid w:val="00CA565D"/>
    <w:rsid w:val="00CA5FDA"/>
    <w:rsid w:val="00CA6B05"/>
    <w:rsid w:val="00CA7C7E"/>
    <w:rsid w:val="00CB02EA"/>
    <w:rsid w:val="00CB14A2"/>
    <w:rsid w:val="00CB1628"/>
    <w:rsid w:val="00CB1AD1"/>
    <w:rsid w:val="00CB2DAC"/>
    <w:rsid w:val="00CB3478"/>
    <w:rsid w:val="00CB3B5B"/>
    <w:rsid w:val="00CB4E8B"/>
    <w:rsid w:val="00CB4FF7"/>
    <w:rsid w:val="00CB5BCA"/>
    <w:rsid w:val="00CB5D11"/>
    <w:rsid w:val="00CB60E3"/>
    <w:rsid w:val="00CB688B"/>
    <w:rsid w:val="00CB6971"/>
    <w:rsid w:val="00CB6C17"/>
    <w:rsid w:val="00CC02D9"/>
    <w:rsid w:val="00CC04B8"/>
    <w:rsid w:val="00CC082A"/>
    <w:rsid w:val="00CC0AF1"/>
    <w:rsid w:val="00CC0E2D"/>
    <w:rsid w:val="00CC12D5"/>
    <w:rsid w:val="00CC14C8"/>
    <w:rsid w:val="00CC19BC"/>
    <w:rsid w:val="00CC1E1D"/>
    <w:rsid w:val="00CC249F"/>
    <w:rsid w:val="00CC30C0"/>
    <w:rsid w:val="00CC326D"/>
    <w:rsid w:val="00CC37E2"/>
    <w:rsid w:val="00CC3DB7"/>
    <w:rsid w:val="00CC3F39"/>
    <w:rsid w:val="00CC4161"/>
    <w:rsid w:val="00CC575A"/>
    <w:rsid w:val="00CC6217"/>
    <w:rsid w:val="00CC69E9"/>
    <w:rsid w:val="00CC7F41"/>
    <w:rsid w:val="00CD028E"/>
    <w:rsid w:val="00CD0760"/>
    <w:rsid w:val="00CD10F2"/>
    <w:rsid w:val="00CD145E"/>
    <w:rsid w:val="00CD22E0"/>
    <w:rsid w:val="00CD41CC"/>
    <w:rsid w:val="00CD4741"/>
    <w:rsid w:val="00CD4C22"/>
    <w:rsid w:val="00CD5368"/>
    <w:rsid w:val="00CD570F"/>
    <w:rsid w:val="00CD5F4F"/>
    <w:rsid w:val="00CD6122"/>
    <w:rsid w:val="00CD630F"/>
    <w:rsid w:val="00CD64F0"/>
    <w:rsid w:val="00CD6B26"/>
    <w:rsid w:val="00CD76E0"/>
    <w:rsid w:val="00CD7952"/>
    <w:rsid w:val="00CD7E0E"/>
    <w:rsid w:val="00CD7EAF"/>
    <w:rsid w:val="00CE01A9"/>
    <w:rsid w:val="00CE05B5"/>
    <w:rsid w:val="00CE0F13"/>
    <w:rsid w:val="00CE13C6"/>
    <w:rsid w:val="00CE1510"/>
    <w:rsid w:val="00CE18ED"/>
    <w:rsid w:val="00CE1C9D"/>
    <w:rsid w:val="00CE3279"/>
    <w:rsid w:val="00CE383B"/>
    <w:rsid w:val="00CE3CBF"/>
    <w:rsid w:val="00CE4523"/>
    <w:rsid w:val="00CE4663"/>
    <w:rsid w:val="00CE4755"/>
    <w:rsid w:val="00CE4980"/>
    <w:rsid w:val="00CE4CAD"/>
    <w:rsid w:val="00CE4FB4"/>
    <w:rsid w:val="00CE677A"/>
    <w:rsid w:val="00CE68BB"/>
    <w:rsid w:val="00CE68E6"/>
    <w:rsid w:val="00CE6C72"/>
    <w:rsid w:val="00CE6FC6"/>
    <w:rsid w:val="00CE79A8"/>
    <w:rsid w:val="00CF068D"/>
    <w:rsid w:val="00CF0A4D"/>
    <w:rsid w:val="00CF0B88"/>
    <w:rsid w:val="00CF0DF1"/>
    <w:rsid w:val="00CF1EBB"/>
    <w:rsid w:val="00CF2344"/>
    <w:rsid w:val="00CF2C01"/>
    <w:rsid w:val="00CF30A3"/>
    <w:rsid w:val="00CF369D"/>
    <w:rsid w:val="00CF4CF7"/>
    <w:rsid w:val="00CF5239"/>
    <w:rsid w:val="00CF6187"/>
    <w:rsid w:val="00CF6384"/>
    <w:rsid w:val="00CF662C"/>
    <w:rsid w:val="00CF6CDD"/>
    <w:rsid w:val="00CF759F"/>
    <w:rsid w:val="00CF763A"/>
    <w:rsid w:val="00CF7BA0"/>
    <w:rsid w:val="00D0085D"/>
    <w:rsid w:val="00D0224A"/>
    <w:rsid w:val="00D022A0"/>
    <w:rsid w:val="00D02736"/>
    <w:rsid w:val="00D02A64"/>
    <w:rsid w:val="00D03226"/>
    <w:rsid w:val="00D039BE"/>
    <w:rsid w:val="00D04092"/>
    <w:rsid w:val="00D04AE4"/>
    <w:rsid w:val="00D04D2E"/>
    <w:rsid w:val="00D05426"/>
    <w:rsid w:val="00D0592C"/>
    <w:rsid w:val="00D059CA"/>
    <w:rsid w:val="00D06377"/>
    <w:rsid w:val="00D06887"/>
    <w:rsid w:val="00D06D72"/>
    <w:rsid w:val="00D06EBF"/>
    <w:rsid w:val="00D0715D"/>
    <w:rsid w:val="00D07167"/>
    <w:rsid w:val="00D073E4"/>
    <w:rsid w:val="00D0791B"/>
    <w:rsid w:val="00D102E0"/>
    <w:rsid w:val="00D10CE7"/>
    <w:rsid w:val="00D110A0"/>
    <w:rsid w:val="00D118F8"/>
    <w:rsid w:val="00D12568"/>
    <w:rsid w:val="00D12990"/>
    <w:rsid w:val="00D1345F"/>
    <w:rsid w:val="00D14C89"/>
    <w:rsid w:val="00D14EE8"/>
    <w:rsid w:val="00D151DB"/>
    <w:rsid w:val="00D154B3"/>
    <w:rsid w:val="00D16676"/>
    <w:rsid w:val="00D1677F"/>
    <w:rsid w:val="00D16F71"/>
    <w:rsid w:val="00D17184"/>
    <w:rsid w:val="00D17715"/>
    <w:rsid w:val="00D17CFB"/>
    <w:rsid w:val="00D17E49"/>
    <w:rsid w:val="00D17EEA"/>
    <w:rsid w:val="00D21284"/>
    <w:rsid w:val="00D2138D"/>
    <w:rsid w:val="00D213C5"/>
    <w:rsid w:val="00D21446"/>
    <w:rsid w:val="00D21612"/>
    <w:rsid w:val="00D22011"/>
    <w:rsid w:val="00D22826"/>
    <w:rsid w:val="00D23337"/>
    <w:rsid w:val="00D24222"/>
    <w:rsid w:val="00D259DE"/>
    <w:rsid w:val="00D261CA"/>
    <w:rsid w:val="00D26659"/>
    <w:rsid w:val="00D26B79"/>
    <w:rsid w:val="00D26C29"/>
    <w:rsid w:val="00D26E82"/>
    <w:rsid w:val="00D27275"/>
    <w:rsid w:val="00D27627"/>
    <w:rsid w:val="00D278B9"/>
    <w:rsid w:val="00D27EF6"/>
    <w:rsid w:val="00D3050B"/>
    <w:rsid w:val="00D31996"/>
    <w:rsid w:val="00D324EF"/>
    <w:rsid w:val="00D33903"/>
    <w:rsid w:val="00D33BE6"/>
    <w:rsid w:val="00D34B4B"/>
    <w:rsid w:val="00D3582D"/>
    <w:rsid w:val="00D36082"/>
    <w:rsid w:val="00D364C6"/>
    <w:rsid w:val="00D368A1"/>
    <w:rsid w:val="00D3772D"/>
    <w:rsid w:val="00D37D05"/>
    <w:rsid w:val="00D400D0"/>
    <w:rsid w:val="00D40225"/>
    <w:rsid w:val="00D416C3"/>
    <w:rsid w:val="00D41779"/>
    <w:rsid w:val="00D41BE0"/>
    <w:rsid w:val="00D41C3E"/>
    <w:rsid w:val="00D42536"/>
    <w:rsid w:val="00D426F3"/>
    <w:rsid w:val="00D4345B"/>
    <w:rsid w:val="00D4539B"/>
    <w:rsid w:val="00D45526"/>
    <w:rsid w:val="00D45736"/>
    <w:rsid w:val="00D45C6A"/>
    <w:rsid w:val="00D45F6C"/>
    <w:rsid w:val="00D47B75"/>
    <w:rsid w:val="00D47BDD"/>
    <w:rsid w:val="00D502C6"/>
    <w:rsid w:val="00D5141E"/>
    <w:rsid w:val="00D516FC"/>
    <w:rsid w:val="00D51DFE"/>
    <w:rsid w:val="00D51F3A"/>
    <w:rsid w:val="00D52272"/>
    <w:rsid w:val="00D526CB"/>
    <w:rsid w:val="00D53A23"/>
    <w:rsid w:val="00D546AC"/>
    <w:rsid w:val="00D54C2C"/>
    <w:rsid w:val="00D555DF"/>
    <w:rsid w:val="00D558CA"/>
    <w:rsid w:val="00D5629D"/>
    <w:rsid w:val="00D56BF5"/>
    <w:rsid w:val="00D56C0A"/>
    <w:rsid w:val="00D620F1"/>
    <w:rsid w:val="00D6230C"/>
    <w:rsid w:val="00D62C89"/>
    <w:rsid w:val="00D6302D"/>
    <w:rsid w:val="00D63084"/>
    <w:rsid w:val="00D63185"/>
    <w:rsid w:val="00D63720"/>
    <w:rsid w:val="00D63AE8"/>
    <w:rsid w:val="00D63C54"/>
    <w:rsid w:val="00D64FC4"/>
    <w:rsid w:val="00D66838"/>
    <w:rsid w:val="00D668B0"/>
    <w:rsid w:val="00D66977"/>
    <w:rsid w:val="00D673BF"/>
    <w:rsid w:val="00D67EDD"/>
    <w:rsid w:val="00D67FBF"/>
    <w:rsid w:val="00D70008"/>
    <w:rsid w:val="00D70075"/>
    <w:rsid w:val="00D7113C"/>
    <w:rsid w:val="00D7126B"/>
    <w:rsid w:val="00D71518"/>
    <w:rsid w:val="00D7186D"/>
    <w:rsid w:val="00D7239F"/>
    <w:rsid w:val="00D72438"/>
    <w:rsid w:val="00D72691"/>
    <w:rsid w:val="00D72C3D"/>
    <w:rsid w:val="00D72C65"/>
    <w:rsid w:val="00D72F29"/>
    <w:rsid w:val="00D73B18"/>
    <w:rsid w:val="00D73D55"/>
    <w:rsid w:val="00D74314"/>
    <w:rsid w:val="00D74462"/>
    <w:rsid w:val="00D746EE"/>
    <w:rsid w:val="00D74E67"/>
    <w:rsid w:val="00D7522A"/>
    <w:rsid w:val="00D756B3"/>
    <w:rsid w:val="00D75996"/>
    <w:rsid w:val="00D759DF"/>
    <w:rsid w:val="00D75EDE"/>
    <w:rsid w:val="00D76802"/>
    <w:rsid w:val="00D76B41"/>
    <w:rsid w:val="00D77E7A"/>
    <w:rsid w:val="00D80474"/>
    <w:rsid w:val="00D809B9"/>
    <w:rsid w:val="00D80B71"/>
    <w:rsid w:val="00D80DB2"/>
    <w:rsid w:val="00D80F13"/>
    <w:rsid w:val="00D81871"/>
    <w:rsid w:val="00D81905"/>
    <w:rsid w:val="00D819D3"/>
    <w:rsid w:val="00D82134"/>
    <w:rsid w:val="00D82B0A"/>
    <w:rsid w:val="00D82F6E"/>
    <w:rsid w:val="00D83956"/>
    <w:rsid w:val="00D83A4B"/>
    <w:rsid w:val="00D83E87"/>
    <w:rsid w:val="00D851A4"/>
    <w:rsid w:val="00D8535D"/>
    <w:rsid w:val="00D8581E"/>
    <w:rsid w:val="00D85E25"/>
    <w:rsid w:val="00D869EC"/>
    <w:rsid w:val="00D86EEC"/>
    <w:rsid w:val="00D86F34"/>
    <w:rsid w:val="00D87D9B"/>
    <w:rsid w:val="00D90C05"/>
    <w:rsid w:val="00D91200"/>
    <w:rsid w:val="00D919B3"/>
    <w:rsid w:val="00D91C83"/>
    <w:rsid w:val="00D929C7"/>
    <w:rsid w:val="00D92F24"/>
    <w:rsid w:val="00D931B5"/>
    <w:rsid w:val="00D936F7"/>
    <w:rsid w:val="00D94589"/>
    <w:rsid w:val="00D946A4"/>
    <w:rsid w:val="00D9513F"/>
    <w:rsid w:val="00D95219"/>
    <w:rsid w:val="00D95D10"/>
    <w:rsid w:val="00D96435"/>
    <w:rsid w:val="00D97344"/>
    <w:rsid w:val="00D97B82"/>
    <w:rsid w:val="00D97C88"/>
    <w:rsid w:val="00DA0AAB"/>
    <w:rsid w:val="00DA1234"/>
    <w:rsid w:val="00DA2B57"/>
    <w:rsid w:val="00DA2DED"/>
    <w:rsid w:val="00DA2FA7"/>
    <w:rsid w:val="00DA3C02"/>
    <w:rsid w:val="00DA47C8"/>
    <w:rsid w:val="00DA47FD"/>
    <w:rsid w:val="00DA48ED"/>
    <w:rsid w:val="00DA4BF7"/>
    <w:rsid w:val="00DA4CD5"/>
    <w:rsid w:val="00DA511D"/>
    <w:rsid w:val="00DA5705"/>
    <w:rsid w:val="00DA5AD6"/>
    <w:rsid w:val="00DA60FA"/>
    <w:rsid w:val="00DA7F63"/>
    <w:rsid w:val="00DB1340"/>
    <w:rsid w:val="00DB1C17"/>
    <w:rsid w:val="00DB1F46"/>
    <w:rsid w:val="00DB23D0"/>
    <w:rsid w:val="00DB2913"/>
    <w:rsid w:val="00DB37AF"/>
    <w:rsid w:val="00DB3AEA"/>
    <w:rsid w:val="00DB3C18"/>
    <w:rsid w:val="00DB4816"/>
    <w:rsid w:val="00DB4ABC"/>
    <w:rsid w:val="00DB4B3C"/>
    <w:rsid w:val="00DB5A42"/>
    <w:rsid w:val="00DB5F4A"/>
    <w:rsid w:val="00DB6239"/>
    <w:rsid w:val="00DB7B67"/>
    <w:rsid w:val="00DC00FD"/>
    <w:rsid w:val="00DC02B2"/>
    <w:rsid w:val="00DC177F"/>
    <w:rsid w:val="00DC2873"/>
    <w:rsid w:val="00DC295E"/>
    <w:rsid w:val="00DC2EAC"/>
    <w:rsid w:val="00DC3D98"/>
    <w:rsid w:val="00DC4BAE"/>
    <w:rsid w:val="00DC4D5F"/>
    <w:rsid w:val="00DC5D5B"/>
    <w:rsid w:val="00DC61D0"/>
    <w:rsid w:val="00DC63FC"/>
    <w:rsid w:val="00DC678B"/>
    <w:rsid w:val="00DC7343"/>
    <w:rsid w:val="00DC740B"/>
    <w:rsid w:val="00DD0006"/>
    <w:rsid w:val="00DD0066"/>
    <w:rsid w:val="00DD034A"/>
    <w:rsid w:val="00DD047E"/>
    <w:rsid w:val="00DD160F"/>
    <w:rsid w:val="00DD2667"/>
    <w:rsid w:val="00DD2713"/>
    <w:rsid w:val="00DD2790"/>
    <w:rsid w:val="00DD285D"/>
    <w:rsid w:val="00DD3AC8"/>
    <w:rsid w:val="00DD3BFA"/>
    <w:rsid w:val="00DD4037"/>
    <w:rsid w:val="00DD4D19"/>
    <w:rsid w:val="00DD50D6"/>
    <w:rsid w:val="00DD533D"/>
    <w:rsid w:val="00DD658E"/>
    <w:rsid w:val="00DD675A"/>
    <w:rsid w:val="00DD6C6B"/>
    <w:rsid w:val="00DD75CE"/>
    <w:rsid w:val="00DD7624"/>
    <w:rsid w:val="00DE0410"/>
    <w:rsid w:val="00DE0CB7"/>
    <w:rsid w:val="00DE0EFC"/>
    <w:rsid w:val="00DE129E"/>
    <w:rsid w:val="00DE28EF"/>
    <w:rsid w:val="00DE2995"/>
    <w:rsid w:val="00DE3021"/>
    <w:rsid w:val="00DE39AA"/>
    <w:rsid w:val="00DE3B20"/>
    <w:rsid w:val="00DE3C63"/>
    <w:rsid w:val="00DE3F7A"/>
    <w:rsid w:val="00DE4653"/>
    <w:rsid w:val="00DE488C"/>
    <w:rsid w:val="00DE4F2E"/>
    <w:rsid w:val="00DE5343"/>
    <w:rsid w:val="00DE5D53"/>
    <w:rsid w:val="00DE6BE3"/>
    <w:rsid w:val="00DE77D2"/>
    <w:rsid w:val="00DF0064"/>
    <w:rsid w:val="00DF010B"/>
    <w:rsid w:val="00DF0BE9"/>
    <w:rsid w:val="00DF0E40"/>
    <w:rsid w:val="00DF10F0"/>
    <w:rsid w:val="00DF13E9"/>
    <w:rsid w:val="00DF1485"/>
    <w:rsid w:val="00DF2453"/>
    <w:rsid w:val="00DF2489"/>
    <w:rsid w:val="00DF2A87"/>
    <w:rsid w:val="00DF2C50"/>
    <w:rsid w:val="00DF36CE"/>
    <w:rsid w:val="00DF37C7"/>
    <w:rsid w:val="00DF3FA2"/>
    <w:rsid w:val="00DF5DCB"/>
    <w:rsid w:val="00DF6376"/>
    <w:rsid w:val="00DF63C9"/>
    <w:rsid w:val="00DF70C7"/>
    <w:rsid w:val="00DF7238"/>
    <w:rsid w:val="00DF7855"/>
    <w:rsid w:val="00DF7B20"/>
    <w:rsid w:val="00E002F2"/>
    <w:rsid w:val="00E00F12"/>
    <w:rsid w:val="00E01581"/>
    <w:rsid w:val="00E01F65"/>
    <w:rsid w:val="00E0248D"/>
    <w:rsid w:val="00E0272F"/>
    <w:rsid w:val="00E0378C"/>
    <w:rsid w:val="00E03F33"/>
    <w:rsid w:val="00E04F7C"/>
    <w:rsid w:val="00E04FBE"/>
    <w:rsid w:val="00E062F2"/>
    <w:rsid w:val="00E06444"/>
    <w:rsid w:val="00E06581"/>
    <w:rsid w:val="00E0671E"/>
    <w:rsid w:val="00E07EDE"/>
    <w:rsid w:val="00E107BB"/>
    <w:rsid w:val="00E10834"/>
    <w:rsid w:val="00E1090E"/>
    <w:rsid w:val="00E10A68"/>
    <w:rsid w:val="00E10D38"/>
    <w:rsid w:val="00E110CF"/>
    <w:rsid w:val="00E11243"/>
    <w:rsid w:val="00E113CB"/>
    <w:rsid w:val="00E1198A"/>
    <w:rsid w:val="00E128E3"/>
    <w:rsid w:val="00E12D85"/>
    <w:rsid w:val="00E12FF4"/>
    <w:rsid w:val="00E13082"/>
    <w:rsid w:val="00E13367"/>
    <w:rsid w:val="00E133B2"/>
    <w:rsid w:val="00E13694"/>
    <w:rsid w:val="00E15432"/>
    <w:rsid w:val="00E15B32"/>
    <w:rsid w:val="00E1652F"/>
    <w:rsid w:val="00E16DB9"/>
    <w:rsid w:val="00E16EDB"/>
    <w:rsid w:val="00E17158"/>
    <w:rsid w:val="00E174AD"/>
    <w:rsid w:val="00E1777A"/>
    <w:rsid w:val="00E17A6B"/>
    <w:rsid w:val="00E17A93"/>
    <w:rsid w:val="00E17B10"/>
    <w:rsid w:val="00E20495"/>
    <w:rsid w:val="00E20B2B"/>
    <w:rsid w:val="00E21951"/>
    <w:rsid w:val="00E21994"/>
    <w:rsid w:val="00E21CC5"/>
    <w:rsid w:val="00E2259D"/>
    <w:rsid w:val="00E22B17"/>
    <w:rsid w:val="00E22E46"/>
    <w:rsid w:val="00E2308E"/>
    <w:rsid w:val="00E231AB"/>
    <w:rsid w:val="00E23EE3"/>
    <w:rsid w:val="00E2412D"/>
    <w:rsid w:val="00E245CF"/>
    <w:rsid w:val="00E24C51"/>
    <w:rsid w:val="00E24C60"/>
    <w:rsid w:val="00E254D6"/>
    <w:rsid w:val="00E26A08"/>
    <w:rsid w:val="00E278CE"/>
    <w:rsid w:val="00E31B14"/>
    <w:rsid w:val="00E31FC0"/>
    <w:rsid w:val="00E32646"/>
    <w:rsid w:val="00E32A8D"/>
    <w:rsid w:val="00E32B53"/>
    <w:rsid w:val="00E32EE3"/>
    <w:rsid w:val="00E33A92"/>
    <w:rsid w:val="00E33DA9"/>
    <w:rsid w:val="00E33E1C"/>
    <w:rsid w:val="00E347CC"/>
    <w:rsid w:val="00E35142"/>
    <w:rsid w:val="00E35BAD"/>
    <w:rsid w:val="00E360EC"/>
    <w:rsid w:val="00E362BA"/>
    <w:rsid w:val="00E3709D"/>
    <w:rsid w:val="00E37550"/>
    <w:rsid w:val="00E37595"/>
    <w:rsid w:val="00E37665"/>
    <w:rsid w:val="00E37686"/>
    <w:rsid w:val="00E405CC"/>
    <w:rsid w:val="00E40A20"/>
    <w:rsid w:val="00E40C39"/>
    <w:rsid w:val="00E40F9B"/>
    <w:rsid w:val="00E41734"/>
    <w:rsid w:val="00E426FA"/>
    <w:rsid w:val="00E42D3E"/>
    <w:rsid w:val="00E43581"/>
    <w:rsid w:val="00E436AC"/>
    <w:rsid w:val="00E437D8"/>
    <w:rsid w:val="00E440EE"/>
    <w:rsid w:val="00E442A8"/>
    <w:rsid w:val="00E4463B"/>
    <w:rsid w:val="00E45FF2"/>
    <w:rsid w:val="00E463E2"/>
    <w:rsid w:val="00E46481"/>
    <w:rsid w:val="00E46993"/>
    <w:rsid w:val="00E479D3"/>
    <w:rsid w:val="00E47BC1"/>
    <w:rsid w:val="00E5007A"/>
    <w:rsid w:val="00E50358"/>
    <w:rsid w:val="00E5277F"/>
    <w:rsid w:val="00E52BC4"/>
    <w:rsid w:val="00E5357B"/>
    <w:rsid w:val="00E53852"/>
    <w:rsid w:val="00E53C69"/>
    <w:rsid w:val="00E54B6C"/>
    <w:rsid w:val="00E54CB3"/>
    <w:rsid w:val="00E553FC"/>
    <w:rsid w:val="00E5544D"/>
    <w:rsid w:val="00E5580C"/>
    <w:rsid w:val="00E56278"/>
    <w:rsid w:val="00E5708A"/>
    <w:rsid w:val="00E60702"/>
    <w:rsid w:val="00E60A33"/>
    <w:rsid w:val="00E6162A"/>
    <w:rsid w:val="00E62474"/>
    <w:rsid w:val="00E631F1"/>
    <w:rsid w:val="00E6321A"/>
    <w:rsid w:val="00E6356E"/>
    <w:rsid w:val="00E63A63"/>
    <w:rsid w:val="00E64016"/>
    <w:rsid w:val="00E642BD"/>
    <w:rsid w:val="00E64AF9"/>
    <w:rsid w:val="00E654CA"/>
    <w:rsid w:val="00E65533"/>
    <w:rsid w:val="00E65749"/>
    <w:rsid w:val="00E66A3B"/>
    <w:rsid w:val="00E66BDA"/>
    <w:rsid w:val="00E66DCF"/>
    <w:rsid w:val="00E66E62"/>
    <w:rsid w:val="00E67237"/>
    <w:rsid w:val="00E6735C"/>
    <w:rsid w:val="00E675A9"/>
    <w:rsid w:val="00E70262"/>
    <w:rsid w:val="00E70457"/>
    <w:rsid w:val="00E704B2"/>
    <w:rsid w:val="00E70F74"/>
    <w:rsid w:val="00E710F8"/>
    <w:rsid w:val="00E71A49"/>
    <w:rsid w:val="00E71E99"/>
    <w:rsid w:val="00E7201D"/>
    <w:rsid w:val="00E72568"/>
    <w:rsid w:val="00E7270B"/>
    <w:rsid w:val="00E73613"/>
    <w:rsid w:val="00E744CF"/>
    <w:rsid w:val="00E7476B"/>
    <w:rsid w:val="00E74ED4"/>
    <w:rsid w:val="00E754CA"/>
    <w:rsid w:val="00E76D9A"/>
    <w:rsid w:val="00E76EBB"/>
    <w:rsid w:val="00E80238"/>
    <w:rsid w:val="00E80D85"/>
    <w:rsid w:val="00E816C9"/>
    <w:rsid w:val="00E823F8"/>
    <w:rsid w:val="00E82770"/>
    <w:rsid w:val="00E82A9C"/>
    <w:rsid w:val="00E830C0"/>
    <w:rsid w:val="00E83DEF"/>
    <w:rsid w:val="00E84328"/>
    <w:rsid w:val="00E844FD"/>
    <w:rsid w:val="00E8480C"/>
    <w:rsid w:val="00E85FCA"/>
    <w:rsid w:val="00E861C3"/>
    <w:rsid w:val="00E861CF"/>
    <w:rsid w:val="00E861D5"/>
    <w:rsid w:val="00E90704"/>
    <w:rsid w:val="00E917E2"/>
    <w:rsid w:val="00E919A2"/>
    <w:rsid w:val="00E91C67"/>
    <w:rsid w:val="00E93337"/>
    <w:rsid w:val="00E933AF"/>
    <w:rsid w:val="00E93D90"/>
    <w:rsid w:val="00E95374"/>
    <w:rsid w:val="00E95428"/>
    <w:rsid w:val="00E955C2"/>
    <w:rsid w:val="00E95770"/>
    <w:rsid w:val="00E95CB5"/>
    <w:rsid w:val="00E95F0C"/>
    <w:rsid w:val="00E963CF"/>
    <w:rsid w:val="00E96D07"/>
    <w:rsid w:val="00E97732"/>
    <w:rsid w:val="00E9774B"/>
    <w:rsid w:val="00E97F46"/>
    <w:rsid w:val="00EA01D9"/>
    <w:rsid w:val="00EA04F2"/>
    <w:rsid w:val="00EA0841"/>
    <w:rsid w:val="00EA0A00"/>
    <w:rsid w:val="00EA1D68"/>
    <w:rsid w:val="00EA26C5"/>
    <w:rsid w:val="00EA30CF"/>
    <w:rsid w:val="00EA3C1D"/>
    <w:rsid w:val="00EA3E20"/>
    <w:rsid w:val="00EA4067"/>
    <w:rsid w:val="00EA517F"/>
    <w:rsid w:val="00EA5C3E"/>
    <w:rsid w:val="00EA609D"/>
    <w:rsid w:val="00EA6ABF"/>
    <w:rsid w:val="00EA7700"/>
    <w:rsid w:val="00EB02D7"/>
    <w:rsid w:val="00EB04C8"/>
    <w:rsid w:val="00EB0F42"/>
    <w:rsid w:val="00EB1223"/>
    <w:rsid w:val="00EB172E"/>
    <w:rsid w:val="00EB1EAD"/>
    <w:rsid w:val="00EB2326"/>
    <w:rsid w:val="00EB259E"/>
    <w:rsid w:val="00EB2CFB"/>
    <w:rsid w:val="00EB3BE3"/>
    <w:rsid w:val="00EB40F4"/>
    <w:rsid w:val="00EB4833"/>
    <w:rsid w:val="00EB4A1A"/>
    <w:rsid w:val="00EB510C"/>
    <w:rsid w:val="00EB5561"/>
    <w:rsid w:val="00EB5703"/>
    <w:rsid w:val="00EB5895"/>
    <w:rsid w:val="00EB61F3"/>
    <w:rsid w:val="00EB622E"/>
    <w:rsid w:val="00EB66DD"/>
    <w:rsid w:val="00EB6B9E"/>
    <w:rsid w:val="00EB6E00"/>
    <w:rsid w:val="00EB7875"/>
    <w:rsid w:val="00EC1199"/>
    <w:rsid w:val="00EC1753"/>
    <w:rsid w:val="00EC1A3D"/>
    <w:rsid w:val="00EC25CC"/>
    <w:rsid w:val="00EC332B"/>
    <w:rsid w:val="00EC38C2"/>
    <w:rsid w:val="00EC4393"/>
    <w:rsid w:val="00EC4956"/>
    <w:rsid w:val="00EC4DB1"/>
    <w:rsid w:val="00EC52A2"/>
    <w:rsid w:val="00EC572D"/>
    <w:rsid w:val="00EC5927"/>
    <w:rsid w:val="00EC5D79"/>
    <w:rsid w:val="00EC6A1D"/>
    <w:rsid w:val="00EC6A2A"/>
    <w:rsid w:val="00ED030F"/>
    <w:rsid w:val="00ED06EF"/>
    <w:rsid w:val="00ED0B2D"/>
    <w:rsid w:val="00ED1470"/>
    <w:rsid w:val="00ED17FC"/>
    <w:rsid w:val="00ED1AEC"/>
    <w:rsid w:val="00ED1B51"/>
    <w:rsid w:val="00ED274E"/>
    <w:rsid w:val="00ED316C"/>
    <w:rsid w:val="00ED3458"/>
    <w:rsid w:val="00ED38BB"/>
    <w:rsid w:val="00ED40CB"/>
    <w:rsid w:val="00ED4296"/>
    <w:rsid w:val="00ED4C3E"/>
    <w:rsid w:val="00ED5B8F"/>
    <w:rsid w:val="00ED60B0"/>
    <w:rsid w:val="00ED6F49"/>
    <w:rsid w:val="00ED6FD8"/>
    <w:rsid w:val="00ED7686"/>
    <w:rsid w:val="00ED7909"/>
    <w:rsid w:val="00ED7B90"/>
    <w:rsid w:val="00ED7E38"/>
    <w:rsid w:val="00EE0134"/>
    <w:rsid w:val="00EE2A26"/>
    <w:rsid w:val="00EE304E"/>
    <w:rsid w:val="00EE33DD"/>
    <w:rsid w:val="00EE384A"/>
    <w:rsid w:val="00EE3F3A"/>
    <w:rsid w:val="00EE3F6B"/>
    <w:rsid w:val="00EE40CE"/>
    <w:rsid w:val="00EE49F7"/>
    <w:rsid w:val="00EE5A0E"/>
    <w:rsid w:val="00EE6221"/>
    <w:rsid w:val="00EE628A"/>
    <w:rsid w:val="00EE6512"/>
    <w:rsid w:val="00EE6B86"/>
    <w:rsid w:val="00EE7395"/>
    <w:rsid w:val="00EE74AE"/>
    <w:rsid w:val="00EE7652"/>
    <w:rsid w:val="00EE76A2"/>
    <w:rsid w:val="00EE7E4A"/>
    <w:rsid w:val="00EF00F4"/>
    <w:rsid w:val="00EF05FE"/>
    <w:rsid w:val="00EF26BA"/>
    <w:rsid w:val="00EF2C1B"/>
    <w:rsid w:val="00EF2D42"/>
    <w:rsid w:val="00EF3394"/>
    <w:rsid w:val="00EF3823"/>
    <w:rsid w:val="00EF43F0"/>
    <w:rsid w:val="00EF46DA"/>
    <w:rsid w:val="00EF4B8F"/>
    <w:rsid w:val="00EF5468"/>
    <w:rsid w:val="00EF6437"/>
    <w:rsid w:val="00EF6D1D"/>
    <w:rsid w:val="00EF714C"/>
    <w:rsid w:val="00F011A9"/>
    <w:rsid w:val="00F017C7"/>
    <w:rsid w:val="00F01C03"/>
    <w:rsid w:val="00F01EC9"/>
    <w:rsid w:val="00F0278A"/>
    <w:rsid w:val="00F046B4"/>
    <w:rsid w:val="00F048F3"/>
    <w:rsid w:val="00F05812"/>
    <w:rsid w:val="00F05D53"/>
    <w:rsid w:val="00F0629B"/>
    <w:rsid w:val="00F06D2F"/>
    <w:rsid w:val="00F07550"/>
    <w:rsid w:val="00F0763E"/>
    <w:rsid w:val="00F078CA"/>
    <w:rsid w:val="00F07A4D"/>
    <w:rsid w:val="00F102D1"/>
    <w:rsid w:val="00F10349"/>
    <w:rsid w:val="00F10B0D"/>
    <w:rsid w:val="00F1103A"/>
    <w:rsid w:val="00F115C1"/>
    <w:rsid w:val="00F124ED"/>
    <w:rsid w:val="00F1258C"/>
    <w:rsid w:val="00F12A31"/>
    <w:rsid w:val="00F132D7"/>
    <w:rsid w:val="00F140A8"/>
    <w:rsid w:val="00F145F4"/>
    <w:rsid w:val="00F1488F"/>
    <w:rsid w:val="00F14B25"/>
    <w:rsid w:val="00F154EB"/>
    <w:rsid w:val="00F15B7B"/>
    <w:rsid w:val="00F1672E"/>
    <w:rsid w:val="00F17086"/>
    <w:rsid w:val="00F177E1"/>
    <w:rsid w:val="00F17FDF"/>
    <w:rsid w:val="00F209A2"/>
    <w:rsid w:val="00F20BF6"/>
    <w:rsid w:val="00F214DF"/>
    <w:rsid w:val="00F21711"/>
    <w:rsid w:val="00F2188C"/>
    <w:rsid w:val="00F223C4"/>
    <w:rsid w:val="00F22FDF"/>
    <w:rsid w:val="00F23066"/>
    <w:rsid w:val="00F242DB"/>
    <w:rsid w:val="00F24341"/>
    <w:rsid w:val="00F24637"/>
    <w:rsid w:val="00F24AC7"/>
    <w:rsid w:val="00F260AB"/>
    <w:rsid w:val="00F26405"/>
    <w:rsid w:val="00F27275"/>
    <w:rsid w:val="00F302BD"/>
    <w:rsid w:val="00F3255C"/>
    <w:rsid w:val="00F32A3E"/>
    <w:rsid w:val="00F32A59"/>
    <w:rsid w:val="00F32F21"/>
    <w:rsid w:val="00F33C4A"/>
    <w:rsid w:val="00F34FB0"/>
    <w:rsid w:val="00F352BC"/>
    <w:rsid w:val="00F35C29"/>
    <w:rsid w:val="00F35D58"/>
    <w:rsid w:val="00F35DAB"/>
    <w:rsid w:val="00F35F01"/>
    <w:rsid w:val="00F36896"/>
    <w:rsid w:val="00F37259"/>
    <w:rsid w:val="00F37A48"/>
    <w:rsid w:val="00F40314"/>
    <w:rsid w:val="00F41152"/>
    <w:rsid w:val="00F4139F"/>
    <w:rsid w:val="00F42557"/>
    <w:rsid w:val="00F447A2"/>
    <w:rsid w:val="00F44C45"/>
    <w:rsid w:val="00F44C54"/>
    <w:rsid w:val="00F44CAA"/>
    <w:rsid w:val="00F456AD"/>
    <w:rsid w:val="00F4575B"/>
    <w:rsid w:val="00F45C2C"/>
    <w:rsid w:val="00F461A6"/>
    <w:rsid w:val="00F46FFB"/>
    <w:rsid w:val="00F4724A"/>
    <w:rsid w:val="00F472B2"/>
    <w:rsid w:val="00F4758B"/>
    <w:rsid w:val="00F4762D"/>
    <w:rsid w:val="00F47E77"/>
    <w:rsid w:val="00F47FE3"/>
    <w:rsid w:val="00F50182"/>
    <w:rsid w:val="00F507CA"/>
    <w:rsid w:val="00F5186F"/>
    <w:rsid w:val="00F51EC2"/>
    <w:rsid w:val="00F52857"/>
    <w:rsid w:val="00F53FFC"/>
    <w:rsid w:val="00F543A3"/>
    <w:rsid w:val="00F554E7"/>
    <w:rsid w:val="00F55661"/>
    <w:rsid w:val="00F5582D"/>
    <w:rsid w:val="00F56BCA"/>
    <w:rsid w:val="00F56C90"/>
    <w:rsid w:val="00F613EB"/>
    <w:rsid w:val="00F625ED"/>
    <w:rsid w:val="00F63004"/>
    <w:rsid w:val="00F631BD"/>
    <w:rsid w:val="00F63480"/>
    <w:rsid w:val="00F642EE"/>
    <w:rsid w:val="00F6534E"/>
    <w:rsid w:val="00F669B7"/>
    <w:rsid w:val="00F66C11"/>
    <w:rsid w:val="00F66D60"/>
    <w:rsid w:val="00F70086"/>
    <w:rsid w:val="00F702AF"/>
    <w:rsid w:val="00F7067E"/>
    <w:rsid w:val="00F707EB"/>
    <w:rsid w:val="00F70890"/>
    <w:rsid w:val="00F71A18"/>
    <w:rsid w:val="00F72126"/>
    <w:rsid w:val="00F7278F"/>
    <w:rsid w:val="00F72955"/>
    <w:rsid w:val="00F72BB6"/>
    <w:rsid w:val="00F72CB3"/>
    <w:rsid w:val="00F72FC0"/>
    <w:rsid w:val="00F73515"/>
    <w:rsid w:val="00F741C8"/>
    <w:rsid w:val="00F74895"/>
    <w:rsid w:val="00F75009"/>
    <w:rsid w:val="00F751C2"/>
    <w:rsid w:val="00F76551"/>
    <w:rsid w:val="00F7687A"/>
    <w:rsid w:val="00F76BD3"/>
    <w:rsid w:val="00F7796B"/>
    <w:rsid w:val="00F80588"/>
    <w:rsid w:val="00F80C9B"/>
    <w:rsid w:val="00F8128F"/>
    <w:rsid w:val="00F81F54"/>
    <w:rsid w:val="00F82956"/>
    <w:rsid w:val="00F82AC2"/>
    <w:rsid w:val="00F82ADD"/>
    <w:rsid w:val="00F8307D"/>
    <w:rsid w:val="00F83335"/>
    <w:rsid w:val="00F833B2"/>
    <w:rsid w:val="00F841A6"/>
    <w:rsid w:val="00F84C09"/>
    <w:rsid w:val="00F85BFE"/>
    <w:rsid w:val="00F860A1"/>
    <w:rsid w:val="00F862F7"/>
    <w:rsid w:val="00F86EC4"/>
    <w:rsid w:val="00F87235"/>
    <w:rsid w:val="00F87492"/>
    <w:rsid w:val="00F87585"/>
    <w:rsid w:val="00F87946"/>
    <w:rsid w:val="00F87BD3"/>
    <w:rsid w:val="00F87CCA"/>
    <w:rsid w:val="00F87DFB"/>
    <w:rsid w:val="00F9140D"/>
    <w:rsid w:val="00F91549"/>
    <w:rsid w:val="00F91756"/>
    <w:rsid w:val="00F9283B"/>
    <w:rsid w:val="00F92ADC"/>
    <w:rsid w:val="00F93CC8"/>
    <w:rsid w:val="00F94920"/>
    <w:rsid w:val="00F9557B"/>
    <w:rsid w:val="00F96EFE"/>
    <w:rsid w:val="00F97481"/>
    <w:rsid w:val="00F97667"/>
    <w:rsid w:val="00F97669"/>
    <w:rsid w:val="00F97AEE"/>
    <w:rsid w:val="00FA0A5E"/>
    <w:rsid w:val="00FA1632"/>
    <w:rsid w:val="00FA19D2"/>
    <w:rsid w:val="00FA2BE6"/>
    <w:rsid w:val="00FA3195"/>
    <w:rsid w:val="00FA331F"/>
    <w:rsid w:val="00FA4055"/>
    <w:rsid w:val="00FA4393"/>
    <w:rsid w:val="00FA568A"/>
    <w:rsid w:val="00FA748E"/>
    <w:rsid w:val="00FA7FBB"/>
    <w:rsid w:val="00FB05B7"/>
    <w:rsid w:val="00FB1BD5"/>
    <w:rsid w:val="00FB2064"/>
    <w:rsid w:val="00FB34EE"/>
    <w:rsid w:val="00FB38B5"/>
    <w:rsid w:val="00FB3B0F"/>
    <w:rsid w:val="00FB3C58"/>
    <w:rsid w:val="00FB3CF7"/>
    <w:rsid w:val="00FB41DC"/>
    <w:rsid w:val="00FB50DB"/>
    <w:rsid w:val="00FB5185"/>
    <w:rsid w:val="00FB6A46"/>
    <w:rsid w:val="00FB6CD9"/>
    <w:rsid w:val="00FB77FB"/>
    <w:rsid w:val="00FB7A7D"/>
    <w:rsid w:val="00FB7D92"/>
    <w:rsid w:val="00FB7F02"/>
    <w:rsid w:val="00FC0036"/>
    <w:rsid w:val="00FC0DDC"/>
    <w:rsid w:val="00FC24FE"/>
    <w:rsid w:val="00FC3966"/>
    <w:rsid w:val="00FC3E5D"/>
    <w:rsid w:val="00FC41E7"/>
    <w:rsid w:val="00FC433E"/>
    <w:rsid w:val="00FC5332"/>
    <w:rsid w:val="00FC5B9B"/>
    <w:rsid w:val="00FC5E2A"/>
    <w:rsid w:val="00FC6103"/>
    <w:rsid w:val="00FC7BA6"/>
    <w:rsid w:val="00FC7F27"/>
    <w:rsid w:val="00FD0B74"/>
    <w:rsid w:val="00FD103B"/>
    <w:rsid w:val="00FD1566"/>
    <w:rsid w:val="00FD1812"/>
    <w:rsid w:val="00FD1F80"/>
    <w:rsid w:val="00FD1F8A"/>
    <w:rsid w:val="00FD324C"/>
    <w:rsid w:val="00FD3970"/>
    <w:rsid w:val="00FD405A"/>
    <w:rsid w:val="00FD43B6"/>
    <w:rsid w:val="00FD44B9"/>
    <w:rsid w:val="00FD471E"/>
    <w:rsid w:val="00FD4AB1"/>
    <w:rsid w:val="00FD4DB8"/>
    <w:rsid w:val="00FD4FF3"/>
    <w:rsid w:val="00FD525E"/>
    <w:rsid w:val="00FD5C84"/>
    <w:rsid w:val="00FD6572"/>
    <w:rsid w:val="00FD7899"/>
    <w:rsid w:val="00FD7F97"/>
    <w:rsid w:val="00FE046D"/>
    <w:rsid w:val="00FE04C7"/>
    <w:rsid w:val="00FE0AC4"/>
    <w:rsid w:val="00FE0E61"/>
    <w:rsid w:val="00FE2166"/>
    <w:rsid w:val="00FE2200"/>
    <w:rsid w:val="00FE2E01"/>
    <w:rsid w:val="00FE367A"/>
    <w:rsid w:val="00FE45ED"/>
    <w:rsid w:val="00FE46AB"/>
    <w:rsid w:val="00FE4A87"/>
    <w:rsid w:val="00FE4C22"/>
    <w:rsid w:val="00FE5212"/>
    <w:rsid w:val="00FE5723"/>
    <w:rsid w:val="00FE5DA7"/>
    <w:rsid w:val="00FE71E0"/>
    <w:rsid w:val="00FE72CF"/>
    <w:rsid w:val="00FE74B6"/>
    <w:rsid w:val="00FF023E"/>
    <w:rsid w:val="00FF0F8B"/>
    <w:rsid w:val="00FF117E"/>
    <w:rsid w:val="00FF12AB"/>
    <w:rsid w:val="00FF1FB1"/>
    <w:rsid w:val="00FF2338"/>
    <w:rsid w:val="00FF2D0F"/>
    <w:rsid w:val="00FF2ED0"/>
    <w:rsid w:val="00FF2F01"/>
    <w:rsid w:val="00FF3B54"/>
    <w:rsid w:val="00FF496C"/>
    <w:rsid w:val="00FF4A53"/>
    <w:rsid w:val="00FF4AC9"/>
    <w:rsid w:val="00FF503B"/>
    <w:rsid w:val="00FF55F5"/>
    <w:rsid w:val="00FF5ED4"/>
    <w:rsid w:val="00FF6651"/>
    <w:rsid w:val="00FF6A2E"/>
    <w:rsid w:val="00FF786F"/>
    <w:rsid w:val="00FF7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0C17AE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9" w:unhideWhenUsed="1" w:qFormat="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4C2"/>
    <w:pPr>
      <w:spacing w:before="120" w:after="120" w:line="240" w:lineRule="auto"/>
    </w:pPr>
    <w:rPr>
      <w:rFonts w:eastAsia="Times New Roman" w:cs="Times New Roman"/>
      <w:sz w:val="24"/>
      <w:szCs w:val="24"/>
      <w:lang w:val="en-GB"/>
    </w:rPr>
  </w:style>
  <w:style w:type="paragraph" w:styleId="Heading1">
    <w:name w:val="heading 1"/>
    <w:basedOn w:val="Normal"/>
    <w:next w:val="Normal"/>
    <w:link w:val="Heading1Char"/>
    <w:uiPriority w:val="1"/>
    <w:qFormat/>
    <w:rsid w:val="00B7016B"/>
    <w:pPr>
      <w:keepNext/>
      <w:spacing w:before="200" w:after="200"/>
      <w:outlineLvl w:val="0"/>
    </w:pPr>
    <w:rPr>
      <w:rFonts w:ascii="Segoe UI" w:hAnsi="Segoe UI"/>
      <w:b/>
      <w:color w:val="227439"/>
      <w:sz w:val="32"/>
      <w:szCs w:val="19"/>
      <w:lang w:eastAsia="en-AU"/>
    </w:rPr>
  </w:style>
  <w:style w:type="paragraph" w:styleId="Heading2">
    <w:name w:val="heading 2"/>
    <w:basedOn w:val="Normal"/>
    <w:next w:val="Normal"/>
    <w:link w:val="Heading2Char"/>
    <w:uiPriority w:val="1"/>
    <w:qFormat/>
    <w:rsid w:val="00B7016B"/>
    <w:pPr>
      <w:keepNext/>
      <w:spacing w:before="240"/>
      <w:outlineLvl w:val="1"/>
    </w:pPr>
    <w:rPr>
      <w:rFonts w:ascii="Segoe UI Semibold" w:hAnsi="Segoe UI Semibold"/>
      <w:b/>
      <w:color w:val="288843"/>
      <w:sz w:val="28"/>
      <w:szCs w:val="19"/>
      <w:lang w:eastAsia="en-AU"/>
    </w:rPr>
  </w:style>
  <w:style w:type="paragraph" w:styleId="Heading3">
    <w:name w:val="heading 3"/>
    <w:basedOn w:val="Normal"/>
    <w:next w:val="Normal"/>
    <w:link w:val="Heading3Char"/>
    <w:uiPriority w:val="1"/>
    <w:qFormat/>
    <w:rsid w:val="00B7016B"/>
    <w:pPr>
      <w:outlineLvl w:val="2"/>
    </w:pPr>
    <w:rPr>
      <w:rFonts w:ascii="Segoe UI Semibold" w:hAnsi="Segoe UI Semibold"/>
      <w:i/>
      <w:color w:val="1BAD37"/>
      <w:sz w:val="28"/>
      <w:szCs w:val="19"/>
      <w:lang w:eastAsia="en-AU"/>
    </w:rPr>
  </w:style>
  <w:style w:type="paragraph" w:styleId="Heading4">
    <w:name w:val="heading 4"/>
    <w:basedOn w:val="Normal"/>
    <w:next w:val="Normal"/>
    <w:link w:val="Heading4Char"/>
    <w:uiPriority w:val="1"/>
    <w:qFormat/>
    <w:rsid w:val="00C14B3A"/>
    <w:pPr>
      <w:keepNext/>
      <w:outlineLvl w:val="3"/>
    </w:pPr>
    <w:rPr>
      <w:rFonts w:ascii="Segoe UI Semibold" w:hAnsi="Segoe UI Semibold"/>
      <w:color w:val="227439"/>
      <w:szCs w:val="19"/>
      <w:lang w:eastAsia="en-AU"/>
    </w:rPr>
  </w:style>
  <w:style w:type="paragraph" w:styleId="Heading5">
    <w:name w:val="heading 5"/>
    <w:basedOn w:val="Normal"/>
    <w:next w:val="Normal"/>
    <w:link w:val="Heading5Char"/>
    <w:uiPriority w:val="1"/>
    <w:qFormat/>
    <w:rsid w:val="008F21A0"/>
    <w:pPr>
      <w:keepNext/>
      <w:numPr>
        <w:ilvl w:val="4"/>
        <w:numId w:val="3"/>
      </w:numPr>
      <w:spacing w:before="240" w:after="60"/>
      <w:outlineLvl w:val="4"/>
    </w:pPr>
    <w:rPr>
      <w:rFonts w:ascii="Segoe UI" w:hAnsi="Segoe UI"/>
      <w:b/>
      <w:color w:val="7F7F7F" w:themeColor="text1" w:themeTint="80"/>
      <w:lang w:eastAsia="en-AU"/>
    </w:rPr>
  </w:style>
  <w:style w:type="paragraph" w:styleId="Heading6">
    <w:name w:val="heading 6"/>
    <w:basedOn w:val="Normal"/>
    <w:next w:val="Normal"/>
    <w:link w:val="Heading6Char"/>
    <w:uiPriority w:val="19"/>
    <w:qFormat/>
    <w:rsid w:val="00A76C02"/>
    <w:pPr>
      <w:keepNext/>
      <w:keepLines/>
      <w:numPr>
        <w:ilvl w:val="5"/>
        <w:numId w:val="2"/>
      </w:numPr>
      <w:spacing w:before="200" w:after="60"/>
      <w:outlineLvl w:val="5"/>
    </w:pPr>
    <w:rPr>
      <w:rFonts w:ascii="Segoe UI" w:eastAsiaTheme="majorEastAsia" w:hAnsi="Segoe UI" w:cstheme="majorBidi"/>
      <w:b/>
      <w:i/>
      <w:iCs/>
      <w:color w:val="00264D"/>
      <w:szCs w:val="19"/>
      <w:lang w:eastAsia="en-AU"/>
    </w:rPr>
  </w:style>
  <w:style w:type="paragraph" w:styleId="Heading7">
    <w:name w:val="heading 7"/>
    <w:basedOn w:val="Normal"/>
    <w:next w:val="Normal"/>
    <w:link w:val="Heading7Char"/>
    <w:uiPriority w:val="9"/>
    <w:semiHidden/>
    <w:qFormat/>
    <w:rsid w:val="000137FA"/>
    <w:pPr>
      <w:keepNext/>
      <w:keepLines/>
      <w:spacing w:before="200"/>
      <w:outlineLvl w:val="6"/>
    </w:pPr>
    <w:rPr>
      <w:rFonts w:ascii="Segoe UI" w:eastAsiaTheme="majorEastAsia" w:hAnsi="Segoe UI" w:cstheme="majorBidi"/>
      <w:i/>
      <w:iCs/>
      <w:color w:val="404040" w:themeColor="text1" w:themeTint="BF"/>
      <w:szCs w:val="22"/>
      <w:lang w:val="en-US"/>
    </w:rPr>
  </w:style>
  <w:style w:type="paragraph" w:styleId="Heading8">
    <w:name w:val="heading 8"/>
    <w:basedOn w:val="Normal"/>
    <w:next w:val="Normal"/>
    <w:link w:val="Heading8Char"/>
    <w:uiPriority w:val="9"/>
    <w:semiHidden/>
    <w:qFormat/>
    <w:rsid w:val="000137FA"/>
    <w:pPr>
      <w:keepNext/>
      <w:keepLines/>
      <w:spacing w:before="200"/>
      <w:outlineLvl w:val="7"/>
    </w:pPr>
    <w:rPr>
      <w:rFonts w:ascii="Segoe UI" w:eastAsiaTheme="majorEastAsia" w:hAnsi="Segoe U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B94215"/>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B7016B"/>
    <w:rPr>
      <w:rFonts w:ascii="Segoe UI" w:eastAsia="Times New Roman" w:hAnsi="Segoe UI" w:cs="Times New Roman"/>
      <w:b/>
      <w:color w:val="227439"/>
      <w:sz w:val="32"/>
      <w:szCs w:val="19"/>
      <w:lang w:val="en-AU" w:eastAsia="en-AU"/>
    </w:rPr>
  </w:style>
  <w:style w:type="character" w:customStyle="1" w:styleId="Heading2Char">
    <w:name w:val="Heading 2 Char"/>
    <w:basedOn w:val="DefaultParagraphFont"/>
    <w:link w:val="Heading2"/>
    <w:uiPriority w:val="1"/>
    <w:rsid w:val="00B7016B"/>
    <w:rPr>
      <w:rFonts w:ascii="Segoe UI Semibold" w:eastAsia="Times New Roman" w:hAnsi="Segoe UI Semibold" w:cs="Times New Roman"/>
      <w:b/>
      <w:color w:val="288843"/>
      <w:sz w:val="28"/>
      <w:szCs w:val="19"/>
      <w:lang w:val="en-AU" w:eastAsia="en-AU"/>
    </w:rPr>
  </w:style>
  <w:style w:type="character" w:customStyle="1" w:styleId="Heading3Char">
    <w:name w:val="Heading 3 Char"/>
    <w:basedOn w:val="DefaultParagraphFont"/>
    <w:link w:val="Heading3"/>
    <w:uiPriority w:val="1"/>
    <w:rsid w:val="00B7016B"/>
    <w:rPr>
      <w:rFonts w:ascii="Segoe UI Semibold" w:eastAsia="Times New Roman" w:hAnsi="Segoe UI Semibold" w:cs="Times New Roman"/>
      <w:i/>
      <w:color w:val="1BAD37"/>
      <w:sz w:val="28"/>
      <w:szCs w:val="19"/>
      <w:lang w:val="en-AU" w:eastAsia="en-AU"/>
    </w:rPr>
  </w:style>
  <w:style w:type="character" w:customStyle="1" w:styleId="Heading4Char">
    <w:name w:val="Heading 4 Char"/>
    <w:basedOn w:val="DefaultParagraphFont"/>
    <w:link w:val="Heading4"/>
    <w:uiPriority w:val="1"/>
    <w:rsid w:val="00C14B3A"/>
    <w:rPr>
      <w:rFonts w:ascii="Segoe UI Semibold" w:eastAsia="Times New Roman" w:hAnsi="Segoe UI Semibold" w:cs="Times New Roman"/>
      <w:color w:val="227439"/>
      <w:sz w:val="24"/>
      <w:szCs w:val="19"/>
      <w:lang w:val="en-GB" w:eastAsia="en-AU"/>
    </w:rPr>
  </w:style>
  <w:style w:type="character" w:customStyle="1" w:styleId="Heading5Char">
    <w:name w:val="Heading 5 Char"/>
    <w:basedOn w:val="DefaultParagraphFont"/>
    <w:link w:val="Heading5"/>
    <w:uiPriority w:val="1"/>
    <w:rsid w:val="008F21A0"/>
    <w:rPr>
      <w:rFonts w:ascii="Segoe UI" w:eastAsia="Times New Roman" w:hAnsi="Segoe UI" w:cs="Times New Roman"/>
      <w:b/>
      <w:color w:val="7F7F7F" w:themeColor="text1" w:themeTint="80"/>
      <w:sz w:val="24"/>
      <w:szCs w:val="24"/>
      <w:lang w:val="en-AU" w:eastAsia="en-AU"/>
    </w:rPr>
  </w:style>
  <w:style w:type="character" w:customStyle="1" w:styleId="Heading6Char">
    <w:name w:val="Heading 6 Char"/>
    <w:basedOn w:val="DefaultParagraphFont"/>
    <w:link w:val="Heading6"/>
    <w:uiPriority w:val="19"/>
    <w:rsid w:val="00A76C02"/>
    <w:rPr>
      <w:rFonts w:ascii="Segoe UI" w:eastAsiaTheme="majorEastAsia" w:hAnsi="Segoe UI" w:cstheme="majorBidi"/>
      <w:b/>
      <w:i/>
      <w:iCs/>
      <w:color w:val="00264D"/>
      <w:sz w:val="24"/>
      <w:szCs w:val="19"/>
      <w:lang w:val="en-AU" w:eastAsia="en-AU"/>
    </w:rPr>
  </w:style>
  <w:style w:type="paragraph" w:customStyle="1" w:styleId="Bullet">
    <w:name w:val="Bullet"/>
    <w:basedOn w:val="Normal"/>
    <w:link w:val="BulletChar"/>
    <w:uiPriority w:val="2"/>
    <w:qFormat/>
    <w:rsid w:val="00630BC9"/>
    <w:pPr>
      <w:numPr>
        <w:numId w:val="1"/>
      </w:numPr>
      <w:suppressAutoHyphens/>
    </w:pPr>
    <w:rPr>
      <w:rFonts w:ascii="Segoe UI" w:hAnsi="Segoe UI"/>
      <w:szCs w:val="19"/>
      <w:lang w:eastAsia="en-AU"/>
    </w:rPr>
  </w:style>
  <w:style w:type="paragraph" w:customStyle="1" w:styleId="TableNheader">
    <w:name w:val="Table N header"/>
    <w:basedOn w:val="Heading5"/>
    <w:uiPriority w:val="2"/>
    <w:qFormat/>
    <w:rsid w:val="00C37CCD"/>
    <w:pPr>
      <w:numPr>
        <w:ilvl w:val="0"/>
        <w:numId w:val="0"/>
      </w:numPr>
      <w:spacing w:before="40" w:after="40"/>
      <w:outlineLvl w:val="9"/>
    </w:pPr>
    <w:rPr>
      <w:rFonts w:asciiTheme="majorHAnsi" w:hAnsiTheme="majorHAnsi" w:cstheme="majorHAnsi"/>
      <w:b w:val="0"/>
      <w:color w:val="005BB9" w:themeColor="background2" w:themeTint="BF"/>
      <w:sz w:val="20"/>
    </w:rPr>
  </w:style>
  <w:style w:type="paragraph" w:customStyle="1" w:styleId="TableNText">
    <w:name w:val="Table N Text"/>
    <w:basedOn w:val="TableNheader"/>
    <w:uiPriority w:val="2"/>
    <w:qFormat/>
    <w:rsid w:val="00563E72"/>
    <w:rPr>
      <w:rFonts w:ascii="Segoe UI" w:hAnsi="Segoe UI"/>
      <w:b/>
      <w:color w:val="auto"/>
    </w:rPr>
  </w:style>
  <w:style w:type="table" w:customStyle="1" w:styleId="NousTableStyletopandsideheading">
    <w:name w:val="Nous Table Style top and side heading"/>
    <w:basedOn w:val="TableNormal"/>
    <w:uiPriority w:val="99"/>
    <w:rsid w:val="00A83B7C"/>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Arial Black" w:hAnsi="Arial Black"/>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Arial Black" w:hAnsi="Arial Black"/>
        <w:b/>
        <w:color w:val="00264D" w:themeColor="background2"/>
        <w:sz w:val="18"/>
      </w:rPr>
      <w:tblPr/>
      <w:tcPr>
        <w:tcBorders>
          <w:left w:val="single" w:sz="24" w:space="0" w:color="F8981D" w:themeColor="accent3"/>
        </w:tcBorders>
        <w:shd w:val="clear" w:color="auto" w:fill="E6E6E1" w:themeFill="accent5"/>
        <w:vAlign w:val="center"/>
      </w:tcPr>
    </w:tblStylePr>
  </w:style>
  <w:style w:type="paragraph" w:styleId="Footer">
    <w:name w:val="footer"/>
    <w:aliases w:val="Foot note"/>
    <w:basedOn w:val="Normal"/>
    <w:link w:val="FooterChar"/>
    <w:uiPriority w:val="99"/>
    <w:unhideWhenUsed/>
    <w:rsid w:val="00865A27"/>
    <w:pPr>
      <w:tabs>
        <w:tab w:val="center" w:pos="4513"/>
        <w:tab w:val="right" w:pos="9026"/>
      </w:tabs>
    </w:pPr>
    <w:rPr>
      <w:rFonts w:ascii="Segoe UI" w:eastAsiaTheme="minorHAnsi" w:hAnsi="Segoe UI" w:cstheme="minorBidi"/>
      <w:sz w:val="15"/>
      <w:szCs w:val="22"/>
      <w:lang w:val="en-US"/>
    </w:rPr>
  </w:style>
  <w:style w:type="character" w:customStyle="1" w:styleId="FooterChar">
    <w:name w:val="Footer Char"/>
    <w:aliases w:val="Foot note Char"/>
    <w:basedOn w:val="DefaultParagraphFont"/>
    <w:link w:val="Footer"/>
    <w:uiPriority w:val="99"/>
    <w:rsid w:val="00865A27"/>
    <w:rPr>
      <w:rFonts w:ascii="Segoe UI" w:hAnsi="Segoe UI"/>
      <w:sz w:val="15"/>
    </w:rPr>
  </w:style>
  <w:style w:type="paragraph" w:styleId="Caption">
    <w:name w:val="caption"/>
    <w:basedOn w:val="Normal"/>
    <w:next w:val="Normal"/>
    <w:uiPriority w:val="35"/>
    <w:qFormat/>
    <w:rsid w:val="00A76C02"/>
    <w:pPr>
      <w:keepNext/>
      <w:spacing w:before="360" w:after="165" w:line="259" w:lineRule="auto"/>
    </w:pPr>
    <w:rPr>
      <w:rFonts w:ascii="Segoe UI Semibold" w:eastAsiaTheme="minorHAnsi" w:hAnsi="Segoe UI Semibold" w:cstheme="minorBidi"/>
      <w:bCs/>
      <w:color w:val="00264D" w:themeColor="background2"/>
      <w:szCs w:val="18"/>
    </w:rPr>
  </w:style>
  <w:style w:type="paragraph" w:customStyle="1" w:styleId="TableNBullet">
    <w:name w:val="Table N Bullet"/>
    <w:basedOn w:val="Bullet"/>
    <w:link w:val="TableNBulletChar"/>
    <w:uiPriority w:val="9"/>
    <w:qFormat/>
    <w:rsid w:val="00700979"/>
    <w:pPr>
      <w:spacing w:after="60"/>
    </w:pPr>
    <w:rPr>
      <w:color w:val="00264D" w:themeColor="background2"/>
      <w:sz w:val="20"/>
    </w:rPr>
  </w:style>
  <w:style w:type="paragraph" w:customStyle="1" w:styleId="TableNListnumbered">
    <w:name w:val="Table N List (numbered)"/>
    <w:basedOn w:val="TableNBullet"/>
    <w:uiPriority w:val="2"/>
    <w:qFormat/>
    <w:rsid w:val="00A76C02"/>
    <w:pPr>
      <w:numPr>
        <w:numId w:val="6"/>
      </w:numPr>
    </w:pPr>
  </w:style>
  <w:style w:type="paragraph" w:customStyle="1" w:styleId="xAppendixLevel1">
    <w:name w:val="xAppendix Level 1"/>
    <w:basedOn w:val="Heading1"/>
    <w:next w:val="Normal"/>
    <w:uiPriority w:val="98"/>
    <w:qFormat/>
    <w:rsid w:val="00A76C02"/>
    <w:pPr>
      <w:pageBreakBefore/>
      <w:numPr>
        <w:numId w:val="4"/>
      </w:numPr>
      <w:ind w:left="2988"/>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A76C02"/>
    <w:pPr>
      <w:ind w:left="2552" w:hanging="2268"/>
    </w:pPr>
    <w:rPr>
      <w:bCs/>
      <w:sz w:val="34"/>
    </w:rPr>
  </w:style>
  <w:style w:type="paragraph" w:customStyle="1" w:styleId="xAppendixLevel3">
    <w:name w:val="xAppendix Level 3"/>
    <w:basedOn w:val="Heading3"/>
    <w:next w:val="Normal"/>
    <w:uiPriority w:val="98"/>
    <w:qFormat/>
    <w:rsid w:val="00A76C02"/>
    <w:pPr>
      <w:ind w:left="2552" w:hanging="2268"/>
    </w:pPr>
    <w:rPr>
      <w:bCs/>
    </w:rPr>
  </w:style>
  <w:style w:type="paragraph" w:customStyle="1" w:styleId="Listnumbered">
    <w:name w:val="List (numbered)"/>
    <w:basedOn w:val="Normal"/>
    <w:uiPriority w:val="1"/>
    <w:qFormat/>
    <w:rsid w:val="00A76C02"/>
    <w:pPr>
      <w:numPr>
        <w:numId w:val="5"/>
      </w:numPr>
    </w:pPr>
    <w:rPr>
      <w:rFonts w:ascii="Segoe UI" w:eastAsiaTheme="minorHAnsi" w:hAnsi="Segoe UI" w:cstheme="minorBidi"/>
      <w:szCs w:val="22"/>
      <w:lang w:val="en-US"/>
    </w:rPr>
  </w:style>
  <w:style w:type="paragraph" w:customStyle="1" w:styleId="Source">
    <w:name w:val="Source"/>
    <w:basedOn w:val="Normal"/>
    <w:next w:val="Normal"/>
    <w:link w:val="SourceChar"/>
    <w:uiPriority w:val="39"/>
    <w:rsid w:val="0020000D"/>
    <w:pPr>
      <w:spacing w:after="240"/>
      <w:jc w:val="center"/>
    </w:pPr>
    <w:rPr>
      <w:rFonts w:ascii="Segoe UI" w:hAnsi="Segoe UI"/>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76C02"/>
    <w:pPr>
      <w:numPr>
        <w:numId w:val="0"/>
      </w:numPr>
    </w:pPr>
  </w:style>
  <w:style w:type="paragraph" w:customStyle="1" w:styleId="Tableexpheader">
    <w:name w:val="Table exp header"/>
    <w:basedOn w:val="TableNheader"/>
    <w:uiPriority w:val="3"/>
    <w:qFormat/>
    <w:rsid w:val="00A76C02"/>
    <w:rPr>
      <w:sz w:val="17"/>
    </w:rPr>
  </w:style>
  <w:style w:type="paragraph" w:customStyle="1" w:styleId="TableexpListnumbered">
    <w:name w:val="Table exp List (numbered)"/>
    <w:basedOn w:val="TableNListnumbered"/>
    <w:uiPriority w:val="3"/>
    <w:qFormat/>
    <w:rsid w:val="00A76C02"/>
    <w:pPr>
      <w:numPr>
        <w:numId w:val="0"/>
      </w:numPr>
    </w:pPr>
    <w:rPr>
      <w:sz w:val="16"/>
    </w:rPr>
  </w:style>
  <w:style w:type="paragraph" w:customStyle="1" w:styleId="TableExpText">
    <w:name w:val="Table Exp Text"/>
    <w:basedOn w:val="TableNText"/>
    <w:uiPriority w:val="3"/>
    <w:qFormat/>
    <w:rsid w:val="00A76C02"/>
    <w:rPr>
      <w:sz w:val="16"/>
    </w:rPr>
  </w:style>
  <w:style w:type="character" w:customStyle="1" w:styleId="Heading7Char">
    <w:name w:val="Heading 7 Char"/>
    <w:basedOn w:val="DefaultParagraphFont"/>
    <w:link w:val="Heading7"/>
    <w:uiPriority w:val="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2B28EE"/>
    <w:pPr>
      <w:spacing w:before="40" w:after="40" w:line="240" w:lineRule="auto"/>
    </w:pPr>
    <w:rPr>
      <w:rFonts w:ascii="Segoe UI" w:eastAsia="Times New Roman" w:hAnsi="Segoe UI" w:cs="Times New Roman"/>
      <w:sz w:val="20"/>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hAnsi="Segoe UI Semibold"/>
      <w:color w:val="00264D"/>
      <w:sz w:val="18"/>
      <w:szCs w:val="17"/>
      <w:lang w:eastAsia="en-AU"/>
    </w:rPr>
  </w:style>
  <w:style w:type="character" w:customStyle="1" w:styleId="TableTextChar">
    <w:name w:val="Table Text Char"/>
    <w:basedOn w:val="DefaultParagraphFont"/>
    <w:link w:val="TableText"/>
    <w:uiPriority w:val="2"/>
    <w:rsid w:val="002B28EE"/>
    <w:rPr>
      <w:rFonts w:ascii="Segoe UI" w:eastAsia="Times New Roman" w:hAnsi="Segoe UI" w:cs="Times New Roman"/>
      <w:sz w:val="20"/>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A76C02"/>
    <w:rPr>
      <w:rFonts w:ascii="Segoe UI" w:hAnsi="Segoe UI"/>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A76C02"/>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A76C02"/>
    <w:rPr>
      <w:rFonts w:ascii="Segoe UI" w:hAnsi="Segoe UI"/>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A76C02"/>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ascii="Segoe UI" w:hAnsi="Segoe UI" w:cs="Segoe UI"/>
      <w:b/>
      <w:color w:val="00264D"/>
      <w:sz w:val="36"/>
      <w:szCs w:val="36"/>
      <w:lang w:eastAsia="en-AU"/>
    </w:rPr>
  </w:style>
  <w:style w:type="character" w:customStyle="1" w:styleId="BulletChar">
    <w:name w:val="Bullet Char"/>
    <w:basedOn w:val="DefaultParagraphFont"/>
    <w:link w:val="Bullet"/>
    <w:uiPriority w:val="2"/>
    <w:rsid w:val="00630BC9"/>
    <w:rPr>
      <w:rFonts w:ascii="Segoe UI" w:eastAsia="Times New Roman" w:hAnsi="Segoe UI" w:cs="Times New Roman"/>
      <w:sz w:val="24"/>
      <w:szCs w:val="19"/>
      <w:lang w:val="en-AU" w:eastAsia="en-AU"/>
    </w:rPr>
  </w:style>
  <w:style w:type="paragraph" w:customStyle="1" w:styleId="Sectiondividerheading">
    <w:name w:val="Section divider heading"/>
    <w:basedOn w:val="Normal"/>
    <w:link w:val="SectiondividerheadingChar"/>
    <w:uiPriority w:val="99"/>
    <w:rsid w:val="00A10340"/>
    <w:rPr>
      <w:rFonts w:ascii="Segoe UI" w:eastAsia="Source Sans Pro" w:hAnsi="Segoe UI"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rPr>
      <w:rFonts w:ascii="Segoe UI" w:eastAsiaTheme="minorHAnsi" w:hAnsi="Segoe UI" w:cstheme="minorBidi"/>
      <w:szCs w:val="22"/>
      <w:lang w:val="en-US"/>
    </w:rPr>
  </w:style>
  <w:style w:type="paragraph" w:styleId="TOC1">
    <w:name w:val="toc 1"/>
    <w:basedOn w:val="Normal"/>
    <w:next w:val="Normal"/>
    <w:autoRedefine/>
    <w:uiPriority w:val="39"/>
    <w:unhideWhenUsed/>
    <w:rsid w:val="008A4363"/>
    <w:pPr>
      <w:spacing w:after="100"/>
    </w:pPr>
    <w:rPr>
      <w:rFonts w:ascii="Segoe UI" w:eastAsiaTheme="minorHAnsi" w:hAnsi="Segoe UI" w:cstheme="minorBidi"/>
      <w:szCs w:val="22"/>
      <w:lang w:val="en-US"/>
    </w:r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00979"/>
    <w:rPr>
      <w:rFonts w:ascii="Segoe UI" w:eastAsia="Times New Roman" w:hAnsi="Segoe UI" w:cs="Times New Roman"/>
      <w:color w:val="00264D" w:themeColor="background2"/>
      <w:sz w:val="20"/>
      <w:szCs w:val="19"/>
      <w:lang w:val="en-AU" w:eastAsia="en-AU"/>
    </w:rPr>
  </w:style>
  <w:style w:type="table" w:customStyle="1" w:styleId="NOUSSideHeader">
    <w:name w:val="NOUS Side Header"/>
    <w:basedOn w:val="TableNormal"/>
    <w:uiPriority w:val="99"/>
    <w:rsid w:val="00563E72"/>
    <w:pPr>
      <w:spacing w:after="0" w:line="240" w:lineRule="auto"/>
      <w:ind w:left="57"/>
    </w:pPr>
    <w:rPr>
      <w:rFonts w:ascii="Segoe UI" w:hAnsi="Segoe UI"/>
      <w:sz w:val="24"/>
    </w:rPr>
    <w:tblPr>
      <w:tblBorders>
        <w:insideH w:val="single" w:sz="8" w:space="0" w:color="E6E6E1" w:themeColor="accent5"/>
      </w:tblBorders>
      <w:tblCellMar>
        <w:top w:w="57" w:type="dxa"/>
        <w:left w:w="85" w:type="dxa"/>
        <w:bottom w:w="57" w:type="dxa"/>
        <w:right w:w="85" w:type="dxa"/>
      </w:tblCellMar>
    </w:tblPr>
    <w:tblStylePr w:type="firstRow">
      <w:rPr>
        <w:rFonts w:asciiTheme="majorHAnsi" w:hAnsiTheme="majorHAnsi"/>
        <w:sz w:val="24"/>
      </w:rPr>
    </w:tblStylePr>
    <w:tblStylePr w:type="firstCol">
      <w:pPr>
        <w:wordWrap/>
        <w:jc w:val="center"/>
      </w:pPr>
      <w:rPr>
        <w:rFonts w:ascii="Arial Black" w:hAnsi="Arial Black"/>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Arial Black" w:hAnsi="Arial Black"/>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line="720" w:lineRule="exact"/>
    </w:pPr>
    <w:rPr>
      <w:rFonts w:ascii="Segoe UI" w:hAnsi="Segoe UI"/>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line="380" w:lineRule="exact"/>
    </w:pPr>
    <w:rPr>
      <w:rFonts w:ascii="Segoe UI" w:hAnsi="Segoe UI"/>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line="280" w:lineRule="exact"/>
    </w:pPr>
    <w:rPr>
      <w:rFonts w:ascii="Segoe UI" w:hAnsi="Segoe UI"/>
      <w:color w:val="00264D" w:themeColor="background2"/>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A76C02"/>
    <w:pPr>
      <w:spacing w:after="165" w:line="259" w:lineRule="auto"/>
    </w:pPr>
    <w:rPr>
      <w:rFonts w:ascii="Segoe UI Semibold" w:eastAsiaTheme="minorHAnsi" w:hAnsi="Segoe UI Semibold" w:cstheme="minorBidi"/>
      <w:color w:val="00264D" w:themeColor="background2"/>
      <w:sz w:val="26"/>
      <w:szCs w:val="22"/>
    </w:rPr>
  </w:style>
  <w:style w:type="paragraph" w:styleId="Header">
    <w:name w:val="header"/>
    <w:basedOn w:val="Normal"/>
    <w:link w:val="HeaderChar"/>
    <w:uiPriority w:val="99"/>
    <w:unhideWhenUsed/>
    <w:rsid w:val="002A01D1"/>
    <w:pPr>
      <w:tabs>
        <w:tab w:val="center" w:pos="4513"/>
        <w:tab w:val="right" w:pos="9026"/>
      </w:tabs>
    </w:pPr>
    <w:rPr>
      <w:rFonts w:ascii="Segoe UI" w:eastAsiaTheme="minorHAnsi" w:hAnsi="Segoe UI" w:cstheme="minorBidi"/>
      <w:szCs w:val="22"/>
      <w:lang w:val="en-US"/>
    </w:rPr>
  </w:style>
  <w:style w:type="character" w:customStyle="1" w:styleId="HeaderChar">
    <w:name w:val="Header Char"/>
    <w:basedOn w:val="DefaultParagraphFont"/>
    <w:link w:val="Header"/>
    <w:uiPriority w:val="99"/>
    <w:rsid w:val="002A01D1"/>
    <w:rPr>
      <w:rFonts w:ascii="Segoe UI" w:hAnsi="Segoe UI"/>
      <w:sz w:val="19"/>
    </w:rPr>
  </w:style>
  <w:style w:type="character" w:styleId="CommentReference">
    <w:name w:val="annotation reference"/>
    <w:basedOn w:val="DefaultParagraphFont"/>
    <w:uiPriority w:val="99"/>
    <w:semiHidden/>
    <w:unhideWhenUsed/>
    <w:rsid w:val="00F132D7"/>
    <w:rPr>
      <w:sz w:val="16"/>
      <w:szCs w:val="16"/>
    </w:rPr>
  </w:style>
  <w:style w:type="paragraph" w:styleId="CommentText">
    <w:name w:val="annotation text"/>
    <w:basedOn w:val="Normal"/>
    <w:link w:val="CommentTextChar"/>
    <w:uiPriority w:val="99"/>
    <w:unhideWhenUsed/>
    <w:rsid w:val="00F132D7"/>
    <w:rPr>
      <w:rFonts w:ascii="Segoe UI" w:eastAsiaTheme="minorHAnsi" w:hAnsi="Segoe UI" w:cstheme="minorBidi"/>
      <w:sz w:val="20"/>
      <w:szCs w:val="20"/>
      <w:lang w:val="en-US"/>
    </w:rPr>
  </w:style>
  <w:style w:type="character" w:customStyle="1" w:styleId="CommentTextChar">
    <w:name w:val="Comment Text Char"/>
    <w:basedOn w:val="DefaultParagraphFont"/>
    <w:link w:val="CommentText"/>
    <w:uiPriority w:val="99"/>
    <w:rsid w:val="00F132D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F132D7"/>
    <w:rPr>
      <w:b/>
      <w:bCs/>
    </w:rPr>
  </w:style>
  <w:style w:type="character" w:customStyle="1" w:styleId="CommentSubjectChar">
    <w:name w:val="Comment Subject Char"/>
    <w:basedOn w:val="CommentTextChar"/>
    <w:link w:val="CommentSubject"/>
    <w:uiPriority w:val="99"/>
    <w:semiHidden/>
    <w:rsid w:val="00F132D7"/>
    <w:rPr>
      <w:rFonts w:ascii="Segoe UI" w:hAnsi="Segoe UI"/>
      <w:b/>
      <w:bCs/>
      <w:sz w:val="20"/>
      <w:szCs w:val="20"/>
    </w:rPr>
  </w:style>
  <w:style w:type="paragraph" w:customStyle="1" w:styleId="intoductionbullet">
    <w:name w:val="intoduction bullet"/>
    <w:basedOn w:val="Normal"/>
    <w:uiPriority w:val="21"/>
    <w:qFormat/>
    <w:rsid w:val="00A76C02"/>
    <w:pPr>
      <w:numPr>
        <w:numId w:val="7"/>
      </w:numPr>
      <w:spacing w:line="259" w:lineRule="auto"/>
    </w:pPr>
    <w:rPr>
      <w:rFonts w:ascii="Segoe UI Semilight" w:eastAsiaTheme="minorHAnsi" w:hAnsi="Segoe UI Semilight" w:cstheme="minorBidi"/>
      <w:color w:val="00264D" w:themeColor="background2"/>
      <w:sz w:val="21"/>
      <w:szCs w:val="21"/>
    </w:rPr>
  </w:style>
  <w:style w:type="character" w:styleId="EndnoteReference">
    <w:name w:val="endnote reference"/>
    <w:basedOn w:val="DefaultParagraphFont"/>
    <w:uiPriority w:val="99"/>
    <w:semiHidden/>
    <w:unhideWhenUsed/>
    <w:rsid w:val="0038359F"/>
    <w:rPr>
      <w:vertAlign w:val="superscript"/>
    </w:rPr>
  </w:style>
  <w:style w:type="paragraph" w:styleId="EndnoteText">
    <w:name w:val="endnote text"/>
    <w:basedOn w:val="Normal"/>
    <w:link w:val="EndnoteTextChar"/>
    <w:uiPriority w:val="99"/>
    <w:unhideWhenUsed/>
    <w:rsid w:val="00011F69"/>
    <w:pPr>
      <w:spacing w:before="240" w:after="240"/>
    </w:pPr>
    <w:rPr>
      <w:rFonts w:ascii="Segoe UI" w:eastAsiaTheme="minorHAnsi" w:hAnsi="Segoe UI" w:cstheme="minorBidi"/>
      <w:sz w:val="20"/>
      <w:szCs w:val="20"/>
    </w:rPr>
  </w:style>
  <w:style w:type="character" w:customStyle="1" w:styleId="EndnoteTextChar">
    <w:name w:val="Endnote Text Char"/>
    <w:basedOn w:val="DefaultParagraphFont"/>
    <w:link w:val="EndnoteText"/>
    <w:uiPriority w:val="99"/>
    <w:rsid w:val="00011F69"/>
    <w:rPr>
      <w:rFonts w:ascii="Segoe UI" w:hAnsi="Segoe UI"/>
      <w:sz w:val="20"/>
      <w:szCs w:val="20"/>
      <w:lang w:val="en-AU"/>
    </w:rPr>
  </w:style>
  <w:style w:type="paragraph" w:styleId="FootnoteText">
    <w:name w:val="footnote text"/>
    <w:basedOn w:val="Normal"/>
    <w:link w:val="FootnoteTextChar"/>
    <w:uiPriority w:val="99"/>
    <w:unhideWhenUsed/>
    <w:rsid w:val="00231A13"/>
    <w:rPr>
      <w:rFonts w:ascii="Segoe UI" w:eastAsiaTheme="minorHAnsi" w:hAnsi="Segoe UI" w:cstheme="minorBidi"/>
      <w:sz w:val="20"/>
      <w:szCs w:val="20"/>
      <w:lang w:val="en-US"/>
    </w:rPr>
  </w:style>
  <w:style w:type="character" w:customStyle="1" w:styleId="FootnoteTextChar">
    <w:name w:val="Footnote Text Char"/>
    <w:basedOn w:val="DefaultParagraphFont"/>
    <w:link w:val="FootnoteText"/>
    <w:uiPriority w:val="99"/>
    <w:rsid w:val="00231A13"/>
    <w:rPr>
      <w:rFonts w:ascii="Segoe UI" w:hAnsi="Segoe UI"/>
      <w:sz w:val="20"/>
      <w:szCs w:val="20"/>
    </w:rPr>
  </w:style>
  <w:style w:type="character" w:styleId="FootnoteReference">
    <w:name w:val="footnote reference"/>
    <w:basedOn w:val="DefaultParagraphFont"/>
    <w:uiPriority w:val="99"/>
    <w:semiHidden/>
    <w:unhideWhenUsed/>
    <w:rsid w:val="00231A13"/>
    <w:rPr>
      <w:vertAlign w:val="superscript"/>
    </w:rPr>
  </w:style>
  <w:style w:type="paragraph" w:styleId="ListParagraph">
    <w:name w:val="List Paragraph"/>
    <w:basedOn w:val="Normal"/>
    <w:link w:val="ListParagraphChar"/>
    <w:uiPriority w:val="34"/>
    <w:qFormat/>
    <w:rsid w:val="00A76C02"/>
    <w:pPr>
      <w:ind w:left="720"/>
      <w:contextualSpacing/>
    </w:pPr>
    <w:rPr>
      <w:rFonts w:ascii="Segoe UI" w:eastAsiaTheme="minorHAnsi" w:hAnsi="Segoe UI" w:cstheme="minorBidi"/>
      <w:szCs w:val="22"/>
      <w:lang w:val="en-US"/>
    </w:rPr>
  </w:style>
  <w:style w:type="character" w:customStyle="1" w:styleId="UnresolvedMention1">
    <w:name w:val="Unresolved Mention1"/>
    <w:basedOn w:val="DefaultParagraphFont"/>
    <w:uiPriority w:val="99"/>
    <w:semiHidden/>
    <w:unhideWhenUsed/>
    <w:rsid w:val="00883B17"/>
    <w:rPr>
      <w:color w:val="808080"/>
      <w:shd w:val="clear" w:color="auto" w:fill="E6E6E6"/>
    </w:rPr>
  </w:style>
  <w:style w:type="character" w:styleId="Emphasis">
    <w:name w:val="Emphasis"/>
    <w:basedOn w:val="DefaultParagraphFont"/>
    <w:uiPriority w:val="20"/>
    <w:qFormat/>
    <w:rsid w:val="00B85041"/>
    <w:rPr>
      <w:i/>
      <w:iCs/>
    </w:rPr>
  </w:style>
  <w:style w:type="paragraph" w:styleId="NoSpacing">
    <w:name w:val="No Spacing"/>
    <w:link w:val="NoSpacingChar"/>
    <w:uiPriority w:val="1"/>
    <w:qFormat/>
    <w:rsid w:val="00443F89"/>
    <w:pPr>
      <w:spacing w:after="0" w:line="240" w:lineRule="auto"/>
    </w:pPr>
    <w:rPr>
      <w:rFonts w:eastAsiaTheme="minorEastAsia"/>
    </w:rPr>
  </w:style>
  <w:style w:type="character" w:customStyle="1" w:styleId="NoSpacingChar">
    <w:name w:val="No Spacing Char"/>
    <w:basedOn w:val="DefaultParagraphFont"/>
    <w:link w:val="NoSpacing"/>
    <w:uiPriority w:val="1"/>
    <w:rsid w:val="00443F89"/>
    <w:rPr>
      <w:rFonts w:eastAsiaTheme="minorEastAsia"/>
    </w:rPr>
  </w:style>
  <w:style w:type="character" w:styleId="FollowedHyperlink">
    <w:name w:val="FollowedHyperlink"/>
    <w:basedOn w:val="DefaultParagraphFont"/>
    <w:uiPriority w:val="99"/>
    <w:semiHidden/>
    <w:unhideWhenUsed/>
    <w:rsid w:val="009F016A"/>
    <w:rPr>
      <w:color w:val="0048C7" w:themeColor="followedHyperlink"/>
      <w:u w:val="single"/>
    </w:rPr>
  </w:style>
  <w:style w:type="paragraph" w:styleId="Revision">
    <w:name w:val="Revision"/>
    <w:hidden/>
    <w:uiPriority w:val="99"/>
    <w:semiHidden/>
    <w:rsid w:val="00C62C61"/>
    <w:pPr>
      <w:spacing w:after="0" w:line="240" w:lineRule="auto"/>
    </w:pPr>
    <w:rPr>
      <w:rFonts w:ascii="Segoe UI" w:hAnsi="Segoe UI"/>
      <w:sz w:val="19"/>
    </w:rPr>
  </w:style>
  <w:style w:type="character" w:styleId="Strong">
    <w:name w:val="Strong"/>
    <w:basedOn w:val="DefaultParagraphFont"/>
    <w:uiPriority w:val="22"/>
    <w:qFormat/>
    <w:rsid w:val="00AF24F3"/>
    <w:rPr>
      <w:b/>
      <w:bCs/>
    </w:rPr>
  </w:style>
  <w:style w:type="character" w:customStyle="1" w:styleId="Heading9Char">
    <w:name w:val="Heading 9 Char"/>
    <w:basedOn w:val="DefaultParagraphFont"/>
    <w:link w:val="Heading9"/>
    <w:uiPriority w:val="9"/>
    <w:semiHidden/>
    <w:rsid w:val="00B94215"/>
    <w:rPr>
      <w:rFonts w:asciiTheme="majorHAnsi" w:eastAsiaTheme="majorEastAsia" w:hAnsiTheme="majorHAnsi" w:cstheme="majorBidi"/>
    </w:rPr>
  </w:style>
  <w:style w:type="paragraph" w:styleId="TOCHeading">
    <w:name w:val="TOC Heading"/>
    <w:basedOn w:val="Heading1"/>
    <w:next w:val="Normal"/>
    <w:uiPriority w:val="39"/>
    <w:unhideWhenUsed/>
    <w:qFormat/>
    <w:rsid w:val="00902DB6"/>
    <w:pPr>
      <w:keepLines/>
      <w:spacing w:after="0" w:line="259" w:lineRule="auto"/>
      <w:outlineLvl w:val="9"/>
    </w:pPr>
    <w:rPr>
      <w:rFonts w:asciiTheme="majorHAnsi" w:eastAsiaTheme="majorEastAsia" w:hAnsiTheme="majorHAnsi" w:cstheme="majorBidi"/>
      <w:b w:val="0"/>
      <w:color w:val="EA0006" w:themeColor="accent1" w:themeShade="BF"/>
      <w:szCs w:val="32"/>
      <w:lang w:val="en-US" w:eastAsia="en-US"/>
    </w:rPr>
  </w:style>
  <w:style w:type="character" w:customStyle="1" w:styleId="UnresolvedMention2">
    <w:name w:val="Unresolved Mention2"/>
    <w:basedOn w:val="DefaultParagraphFont"/>
    <w:uiPriority w:val="99"/>
    <w:semiHidden/>
    <w:unhideWhenUsed/>
    <w:rsid w:val="0070668E"/>
    <w:rPr>
      <w:color w:val="605E5C"/>
      <w:shd w:val="clear" w:color="auto" w:fill="E1DFDD"/>
    </w:rPr>
  </w:style>
  <w:style w:type="paragraph" w:styleId="TOC3">
    <w:name w:val="toc 3"/>
    <w:basedOn w:val="Normal"/>
    <w:next w:val="Normal"/>
    <w:autoRedefine/>
    <w:uiPriority w:val="39"/>
    <w:unhideWhenUsed/>
    <w:rsid w:val="000308EE"/>
    <w:pPr>
      <w:spacing w:after="100"/>
      <w:ind w:left="480"/>
    </w:pPr>
    <w:rPr>
      <w:rFonts w:ascii="Segoe UI" w:eastAsiaTheme="minorHAnsi" w:hAnsi="Segoe UI" w:cstheme="minorBidi"/>
      <w:szCs w:val="22"/>
      <w:lang w:val="en-US"/>
    </w:rPr>
  </w:style>
  <w:style w:type="character" w:customStyle="1" w:styleId="UnresolvedMention3">
    <w:name w:val="Unresolved Mention3"/>
    <w:basedOn w:val="DefaultParagraphFont"/>
    <w:uiPriority w:val="99"/>
    <w:semiHidden/>
    <w:unhideWhenUsed/>
    <w:rsid w:val="00655A1F"/>
    <w:rPr>
      <w:color w:val="808080"/>
      <w:shd w:val="clear" w:color="auto" w:fill="E6E6E6"/>
    </w:rPr>
  </w:style>
  <w:style w:type="paragraph" w:styleId="NormalWeb">
    <w:name w:val="Normal (Web)"/>
    <w:basedOn w:val="Normal"/>
    <w:uiPriority w:val="99"/>
    <w:unhideWhenUsed/>
    <w:rsid w:val="008517B7"/>
    <w:pPr>
      <w:spacing w:before="100" w:beforeAutospacing="1" w:after="100" w:afterAutospacing="1"/>
    </w:pPr>
  </w:style>
  <w:style w:type="character" w:customStyle="1" w:styleId="apple-converted-space">
    <w:name w:val="apple-converted-space"/>
    <w:basedOn w:val="DefaultParagraphFont"/>
    <w:rsid w:val="000C6E73"/>
  </w:style>
  <w:style w:type="character" w:customStyle="1" w:styleId="highwire-citation-author">
    <w:name w:val="highwire-citation-author"/>
    <w:basedOn w:val="DefaultParagraphFont"/>
    <w:rsid w:val="00F06D2F"/>
  </w:style>
  <w:style w:type="paragraph" w:styleId="PlainText">
    <w:name w:val="Plain Text"/>
    <w:basedOn w:val="Normal"/>
    <w:link w:val="PlainTextChar"/>
    <w:uiPriority w:val="99"/>
    <w:unhideWhenUsed/>
    <w:rsid w:val="00BD0E8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D0E8F"/>
    <w:rPr>
      <w:rFonts w:ascii="Calibri" w:hAnsi="Calibri"/>
      <w:szCs w:val="21"/>
      <w:lang w:val="en-GB"/>
    </w:rPr>
  </w:style>
  <w:style w:type="paragraph" w:customStyle="1" w:styleId="NormalBulleted">
    <w:name w:val="Normal Bulleted"/>
    <w:basedOn w:val="Normal"/>
    <w:link w:val="NormalBulletedChar"/>
    <w:qFormat/>
    <w:rsid w:val="005104F8"/>
    <w:pPr>
      <w:numPr>
        <w:numId w:val="10"/>
      </w:numPr>
      <w:spacing w:line="264" w:lineRule="auto"/>
    </w:pPr>
    <w:rPr>
      <w:rFonts w:eastAsiaTheme="minorHAnsi" w:cstheme="minorBidi"/>
      <w:sz w:val="22"/>
    </w:rPr>
  </w:style>
  <w:style w:type="character" w:customStyle="1" w:styleId="NormalBulletedChar">
    <w:name w:val="Normal Bulleted Char"/>
    <w:basedOn w:val="DefaultParagraphFont"/>
    <w:link w:val="NormalBulleted"/>
    <w:rsid w:val="005104F8"/>
    <w:rPr>
      <w:szCs w:val="24"/>
      <w:lang w:val="en-AU"/>
    </w:rPr>
  </w:style>
  <w:style w:type="paragraph" w:customStyle="1" w:styleId="Tabletext0">
    <w:name w:val="Table text"/>
    <w:basedOn w:val="Normal"/>
    <w:link w:val="TabletextChar0"/>
    <w:qFormat/>
    <w:rsid w:val="005A7082"/>
    <w:rPr>
      <w:rFonts w:ascii="Segoe UI" w:hAnsi="Segoe UI" w:cstheme="minorHAnsi"/>
      <w:sz w:val="20"/>
      <w:szCs w:val="20"/>
      <w:lang w:eastAsia="en-AU"/>
    </w:rPr>
  </w:style>
  <w:style w:type="character" w:customStyle="1" w:styleId="TabletextChar0">
    <w:name w:val="Table text Char"/>
    <w:basedOn w:val="DefaultParagraphFont"/>
    <w:link w:val="Tabletext0"/>
    <w:rsid w:val="005A7082"/>
    <w:rPr>
      <w:rFonts w:ascii="Segoe UI" w:eastAsia="Times New Roman" w:hAnsi="Segoe UI" w:cstheme="minorHAnsi"/>
      <w:sz w:val="20"/>
      <w:szCs w:val="20"/>
      <w:lang w:val="en-AU" w:eastAsia="en-AU"/>
    </w:rPr>
  </w:style>
  <w:style w:type="table" w:customStyle="1" w:styleId="GridTable4-Accent61">
    <w:name w:val="Grid Table 4 - Accent 61"/>
    <w:basedOn w:val="TableNormal"/>
    <w:uiPriority w:val="49"/>
    <w:rsid w:val="000E1B60"/>
    <w:pPr>
      <w:spacing w:after="0" w:line="240" w:lineRule="auto"/>
    </w:pPr>
    <w:tblPr>
      <w:tblStyleRowBandSize w:val="1"/>
      <w:tblStyleColBandSize w:val="1"/>
      <w:tblBorders>
        <w:top w:val="single" w:sz="4" w:space="0" w:color="7BD1EC" w:themeColor="accent6" w:themeTint="99"/>
        <w:left w:val="single" w:sz="4" w:space="0" w:color="7BD1EC" w:themeColor="accent6" w:themeTint="99"/>
        <w:bottom w:val="single" w:sz="4" w:space="0" w:color="7BD1EC" w:themeColor="accent6" w:themeTint="99"/>
        <w:right w:val="single" w:sz="4" w:space="0" w:color="7BD1EC" w:themeColor="accent6" w:themeTint="99"/>
        <w:insideH w:val="single" w:sz="4" w:space="0" w:color="7BD1EC" w:themeColor="accent6" w:themeTint="99"/>
        <w:insideV w:val="single" w:sz="4" w:space="0" w:color="7BD1EC" w:themeColor="accent6" w:themeTint="99"/>
      </w:tblBorders>
    </w:tblPr>
    <w:tblStylePr w:type="firstRow">
      <w:rPr>
        <w:b/>
        <w:bCs/>
        <w:color w:val="FFFFFF" w:themeColor="background1"/>
      </w:rPr>
      <w:tblPr/>
      <w:tcPr>
        <w:tcBorders>
          <w:top w:val="single" w:sz="4" w:space="0" w:color="25B3E0" w:themeColor="accent6"/>
          <w:left w:val="single" w:sz="4" w:space="0" w:color="25B3E0" w:themeColor="accent6"/>
          <w:bottom w:val="single" w:sz="4" w:space="0" w:color="25B3E0" w:themeColor="accent6"/>
          <w:right w:val="single" w:sz="4" w:space="0" w:color="25B3E0" w:themeColor="accent6"/>
          <w:insideH w:val="nil"/>
          <w:insideV w:val="nil"/>
        </w:tcBorders>
        <w:shd w:val="clear" w:color="auto" w:fill="25B3E0" w:themeFill="accent6"/>
      </w:tcPr>
    </w:tblStylePr>
    <w:tblStylePr w:type="lastRow">
      <w:rPr>
        <w:b/>
        <w:bCs/>
      </w:rPr>
      <w:tblPr/>
      <w:tcPr>
        <w:tcBorders>
          <w:top w:val="double" w:sz="4" w:space="0" w:color="25B3E0" w:themeColor="accent6"/>
        </w:tcBorders>
      </w:tcPr>
    </w:tblStylePr>
    <w:tblStylePr w:type="firstCol">
      <w:rPr>
        <w:b/>
        <w:bCs/>
      </w:rPr>
    </w:tblStylePr>
    <w:tblStylePr w:type="lastCol">
      <w:rPr>
        <w:b/>
        <w:bCs/>
      </w:rPr>
    </w:tblStylePr>
    <w:tblStylePr w:type="band1Vert">
      <w:tblPr/>
      <w:tcPr>
        <w:shd w:val="clear" w:color="auto" w:fill="D3EFF8" w:themeFill="accent6" w:themeFillTint="33"/>
      </w:tcPr>
    </w:tblStylePr>
    <w:tblStylePr w:type="band1Horz">
      <w:tblPr/>
      <w:tcPr>
        <w:shd w:val="clear" w:color="auto" w:fill="D3EFF8" w:themeFill="accent6" w:themeFillTint="33"/>
      </w:tcPr>
    </w:tblStylePr>
  </w:style>
  <w:style w:type="paragraph" w:customStyle="1" w:styleId="Tabletextbullet">
    <w:name w:val="Table text bullet"/>
    <w:basedOn w:val="TableText"/>
    <w:link w:val="TabletextbulletChar"/>
    <w:qFormat/>
    <w:rsid w:val="00BF6D48"/>
    <w:pPr>
      <w:keepNext/>
      <w:numPr>
        <w:numId w:val="9"/>
      </w:numPr>
      <w:spacing w:before="120"/>
    </w:pPr>
    <w:rPr>
      <w:rFonts w:asciiTheme="minorHAnsi" w:hAnsiTheme="minorHAnsi" w:cstheme="minorHAnsi"/>
      <w:szCs w:val="20"/>
    </w:rPr>
  </w:style>
  <w:style w:type="character" w:customStyle="1" w:styleId="TabletextbulletChar">
    <w:name w:val="Table text bullet Char"/>
    <w:basedOn w:val="TableTextChar"/>
    <w:link w:val="Tabletextbullet"/>
    <w:rsid w:val="00BF6D48"/>
    <w:rPr>
      <w:rFonts w:ascii="Segoe UI" w:eastAsia="Times New Roman" w:hAnsi="Segoe UI" w:cstheme="minorHAnsi"/>
      <w:sz w:val="20"/>
      <w:szCs w:val="20"/>
      <w:lang w:val="en-AU" w:eastAsia="en-AU"/>
    </w:rPr>
  </w:style>
  <w:style w:type="paragraph" w:customStyle="1" w:styleId="Default">
    <w:name w:val="Default"/>
    <w:rsid w:val="005C0A6C"/>
    <w:pPr>
      <w:autoSpaceDE w:val="0"/>
      <w:autoSpaceDN w:val="0"/>
      <w:adjustRightInd w:val="0"/>
      <w:spacing w:after="0" w:line="240" w:lineRule="auto"/>
    </w:pPr>
    <w:rPr>
      <w:rFonts w:ascii="Segoe UI" w:hAnsi="Segoe UI" w:cs="Segoe UI"/>
      <w:color w:val="000000"/>
      <w:sz w:val="24"/>
      <w:szCs w:val="24"/>
      <w:lang w:val="en-AU"/>
    </w:rPr>
  </w:style>
  <w:style w:type="numbering" w:customStyle="1" w:styleId="Listnumberedmultilevel">
    <w:name w:val="List (numbered)_multilevel"/>
    <w:uiPriority w:val="99"/>
    <w:rsid w:val="00CB4E8B"/>
    <w:pPr>
      <w:numPr>
        <w:numId w:val="12"/>
      </w:numPr>
    </w:pPr>
  </w:style>
  <w:style w:type="table" w:customStyle="1" w:styleId="ListTable5Dark-Accent51">
    <w:name w:val="List Table 5 Dark - Accent 51"/>
    <w:basedOn w:val="TableNormal"/>
    <w:uiPriority w:val="50"/>
    <w:rsid w:val="00CB4E8B"/>
    <w:pPr>
      <w:spacing w:after="0" w:line="240" w:lineRule="auto"/>
    </w:pPr>
    <w:rPr>
      <w:color w:val="9D0004" w:themeColor="accent1" w:themeShade="80"/>
    </w:rPr>
    <w:tblPr>
      <w:tblStyleRowBandSize w:val="1"/>
      <w:tblStyleColBandSize w:val="1"/>
      <w:tblBorders>
        <w:top w:val="single" w:sz="24" w:space="0" w:color="E6E6E1" w:themeColor="accent5"/>
        <w:left w:val="single" w:sz="24" w:space="0" w:color="E6E6E1" w:themeColor="accent5"/>
        <w:bottom w:val="single" w:sz="24" w:space="0" w:color="E6E6E1" w:themeColor="accent5"/>
        <w:right w:val="single" w:sz="24" w:space="0" w:color="E6E6E1" w:themeColor="accent5"/>
      </w:tblBorders>
    </w:tblPr>
    <w:tcPr>
      <w:shd w:val="clear" w:color="auto" w:fill="002145" w:themeFill="background2" w:themeFillShade="E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4">
    <w:name w:val="Unresolved Mention4"/>
    <w:basedOn w:val="DefaultParagraphFont"/>
    <w:uiPriority w:val="99"/>
    <w:semiHidden/>
    <w:unhideWhenUsed/>
    <w:rsid w:val="00530470"/>
    <w:rPr>
      <w:color w:val="605E5C"/>
      <w:shd w:val="clear" w:color="auto" w:fill="E1DFDD"/>
    </w:rPr>
  </w:style>
  <w:style w:type="character" w:customStyle="1" w:styleId="authors">
    <w:name w:val="authors"/>
    <w:basedOn w:val="DefaultParagraphFont"/>
    <w:rsid w:val="00FC5E2A"/>
  </w:style>
  <w:style w:type="character" w:customStyle="1" w:styleId="Date1">
    <w:name w:val="Date1"/>
    <w:basedOn w:val="DefaultParagraphFont"/>
    <w:rsid w:val="00FC5E2A"/>
  </w:style>
  <w:style w:type="character" w:customStyle="1" w:styleId="arttitle">
    <w:name w:val="art_title"/>
    <w:basedOn w:val="DefaultParagraphFont"/>
    <w:rsid w:val="00FC5E2A"/>
  </w:style>
  <w:style w:type="character" w:customStyle="1" w:styleId="serialtitle">
    <w:name w:val="serial_title"/>
    <w:basedOn w:val="DefaultParagraphFont"/>
    <w:rsid w:val="00FC5E2A"/>
  </w:style>
  <w:style w:type="character" w:customStyle="1" w:styleId="doilink">
    <w:name w:val="doi_link"/>
    <w:basedOn w:val="DefaultParagraphFont"/>
    <w:rsid w:val="00FC5E2A"/>
  </w:style>
  <w:style w:type="character" w:customStyle="1" w:styleId="Date2">
    <w:name w:val="Date2"/>
    <w:basedOn w:val="DefaultParagraphFont"/>
    <w:rsid w:val="00FC5E2A"/>
  </w:style>
  <w:style w:type="character" w:customStyle="1" w:styleId="volumeissue">
    <w:name w:val="volume_issue"/>
    <w:basedOn w:val="DefaultParagraphFont"/>
    <w:rsid w:val="00FC5E2A"/>
  </w:style>
  <w:style w:type="character" w:customStyle="1" w:styleId="pagerange">
    <w:name w:val="page_range"/>
    <w:basedOn w:val="DefaultParagraphFont"/>
    <w:rsid w:val="00FC5E2A"/>
  </w:style>
  <w:style w:type="character" w:customStyle="1" w:styleId="article-headerdoilabel">
    <w:name w:val="article-header__doi__label"/>
    <w:basedOn w:val="DefaultParagraphFont"/>
    <w:rsid w:val="00FC5E2A"/>
  </w:style>
  <w:style w:type="paragraph" w:customStyle="1" w:styleId="s-report-overviewtext">
    <w:name w:val="s-report-overview__text"/>
    <w:basedOn w:val="Normal"/>
    <w:rsid w:val="00B04533"/>
    <w:pPr>
      <w:spacing w:before="100" w:beforeAutospacing="1" w:after="100" w:afterAutospacing="1"/>
    </w:pPr>
    <w:rPr>
      <w:rFonts w:ascii="Times New Roman" w:hAnsi="Times New Roman"/>
      <w:lang w:eastAsia="en-GB"/>
    </w:rPr>
  </w:style>
  <w:style w:type="character" w:customStyle="1" w:styleId="ListParagraphChar">
    <w:name w:val="List Paragraph Char"/>
    <w:basedOn w:val="DefaultParagraphFont"/>
    <w:link w:val="ListParagraph"/>
    <w:uiPriority w:val="34"/>
    <w:rsid w:val="00677D1A"/>
    <w:rPr>
      <w:rFonts w:ascii="Segoe UI" w:hAnsi="Segoe UI"/>
      <w:sz w:val="24"/>
    </w:rPr>
  </w:style>
  <w:style w:type="character" w:customStyle="1" w:styleId="doi">
    <w:name w:val="doi"/>
    <w:basedOn w:val="DefaultParagraphFont"/>
    <w:rsid w:val="00FE45ED"/>
  </w:style>
  <w:style w:type="character" w:customStyle="1" w:styleId="UnresolvedMention">
    <w:name w:val="Unresolved Mention"/>
    <w:basedOn w:val="DefaultParagraphFont"/>
    <w:uiPriority w:val="99"/>
    <w:semiHidden/>
    <w:unhideWhenUsed/>
    <w:rsid w:val="00E21CC5"/>
    <w:rPr>
      <w:color w:val="605E5C"/>
      <w:shd w:val="clear" w:color="auto" w:fill="E1DFDD"/>
    </w:rPr>
  </w:style>
  <w:style w:type="paragraph" w:customStyle="1" w:styleId="DHHSbody">
    <w:name w:val="DHHS body"/>
    <w:qFormat/>
    <w:rsid w:val="00F97669"/>
    <w:pPr>
      <w:spacing w:after="120" w:line="270" w:lineRule="atLeast"/>
    </w:pPr>
    <w:rPr>
      <w:rFonts w:ascii="Arial" w:eastAsia="Times" w:hAnsi="Arial" w:cs="Times New Roman"/>
      <w:sz w:val="20"/>
      <w:szCs w:val="20"/>
      <w:lang w:val="en-AU"/>
    </w:rPr>
  </w:style>
  <w:style w:type="character" w:customStyle="1" w:styleId="al-author-name-more">
    <w:name w:val="al-author-name-more"/>
    <w:basedOn w:val="DefaultParagraphFont"/>
    <w:rsid w:val="002D7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3290">
      <w:bodyDiv w:val="1"/>
      <w:marLeft w:val="0"/>
      <w:marRight w:val="0"/>
      <w:marTop w:val="0"/>
      <w:marBottom w:val="0"/>
      <w:divBdr>
        <w:top w:val="none" w:sz="0" w:space="0" w:color="auto"/>
        <w:left w:val="none" w:sz="0" w:space="0" w:color="auto"/>
        <w:bottom w:val="none" w:sz="0" w:space="0" w:color="auto"/>
        <w:right w:val="none" w:sz="0" w:space="0" w:color="auto"/>
      </w:divBdr>
    </w:div>
    <w:div w:id="18244171">
      <w:bodyDiv w:val="1"/>
      <w:marLeft w:val="0"/>
      <w:marRight w:val="0"/>
      <w:marTop w:val="0"/>
      <w:marBottom w:val="0"/>
      <w:divBdr>
        <w:top w:val="none" w:sz="0" w:space="0" w:color="auto"/>
        <w:left w:val="none" w:sz="0" w:space="0" w:color="auto"/>
        <w:bottom w:val="none" w:sz="0" w:space="0" w:color="auto"/>
        <w:right w:val="none" w:sz="0" w:space="0" w:color="auto"/>
      </w:divBdr>
    </w:div>
    <w:div w:id="41834475">
      <w:bodyDiv w:val="1"/>
      <w:marLeft w:val="0"/>
      <w:marRight w:val="0"/>
      <w:marTop w:val="0"/>
      <w:marBottom w:val="0"/>
      <w:divBdr>
        <w:top w:val="none" w:sz="0" w:space="0" w:color="auto"/>
        <w:left w:val="none" w:sz="0" w:space="0" w:color="auto"/>
        <w:bottom w:val="none" w:sz="0" w:space="0" w:color="auto"/>
        <w:right w:val="none" w:sz="0" w:space="0" w:color="auto"/>
      </w:divBdr>
    </w:div>
    <w:div w:id="48504510">
      <w:bodyDiv w:val="1"/>
      <w:marLeft w:val="0"/>
      <w:marRight w:val="0"/>
      <w:marTop w:val="0"/>
      <w:marBottom w:val="0"/>
      <w:divBdr>
        <w:top w:val="none" w:sz="0" w:space="0" w:color="auto"/>
        <w:left w:val="none" w:sz="0" w:space="0" w:color="auto"/>
        <w:bottom w:val="none" w:sz="0" w:space="0" w:color="auto"/>
        <w:right w:val="none" w:sz="0" w:space="0" w:color="auto"/>
      </w:divBdr>
    </w:div>
    <w:div w:id="72510807">
      <w:bodyDiv w:val="1"/>
      <w:marLeft w:val="0"/>
      <w:marRight w:val="0"/>
      <w:marTop w:val="0"/>
      <w:marBottom w:val="0"/>
      <w:divBdr>
        <w:top w:val="none" w:sz="0" w:space="0" w:color="auto"/>
        <w:left w:val="none" w:sz="0" w:space="0" w:color="auto"/>
        <w:bottom w:val="none" w:sz="0" w:space="0" w:color="auto"/>
        <w:right w:val="none" w:sz="0" w:space="0" w:color="auto"/>
      </w:divBdr>
    </w:div>
    <w:div w:id="101145489">
      <w:bodyDiv w:val="1"/>
      <w:marLeft w:val="0"/>
      <w:marRight w:val="0"/>
      <w:marTop w:val="0"/>
      <w:marBottom w:val="0"/>
      <w:divBdr>
        <w:top w:val="none" w:sz="0" w:space="0" w:color="auto"/>
        <w:left w:val="none" w:sz="0" w:space="0" w:color="auto"/>
        <w:bottom w:val="none" w:sz="0" w:space="0" w:color="auto"/>
        <w:right w:val="none" w:sz="0" w:space="0" w:color="auto"/>
      </w:divBdr>
    </w:div>
    <w:div w:id="114561744">
      <w:bodyDiv w:val="1"/>
      <w:marLeft w:val="0"/>
      <w:marRight w:val="0"/>
      <w:marTop w:val="0"/>
      <w:marBottom w:val="0"/>
      <w:divBdr>
        <w:top w:val="none" w:sz="0" w:space="0" w:color="auto"/>
        <w:left w:val="none" w:sz="0" w:space="0" w:color="auto"/>
        <w:bottom w:val="none" w:sz="0" w:space="0" w:color="auto"/>
        <w:right w:val="none" w:sz="0" w:space="0" w:color="auto"/>
      </w:divBdr>
    </w:div>
    <w:div w:id="114716847">
      <w:bodyDiv w:val="1"/>
      <w:marLeft w:val="0"/>
      <w:marRight w:val="0"/>
      <w:marTop w:val="0"/>
      <w:marBottom w:val="0"/>
      <w:divBdr>
        <w:top w:val="none" w:sz="0" w:space="0" w:color="auto"/>
        <w:left w:val="none" w:sz="0" w:space="0" w:color="auto"/>
        <w:bottom w:val="none" w:sz="0" w:space="0" w:color="auto"/>
        <w:right w:val="none" w:sz="0" w:space="0" w:color="auto"/>
      </w:divBdr>
    </w:div>
    <w:div w:id="121970045">
      <w:bodyDiv w:val="1"/>
      <w:marLeft w:val="0"/>
      <w:marRight w:val="0"/>
      <w:marTop w:val="0"/>
      <w:marBottom w:val="0"/>
      <w:divBdr>
        <w:top w:val="none" w:sz="0" w:space="0" w:color="auto"/>
        <w:left w:val="none" w:sz="0" w:space="0" w:color="auto"/>
        <w:bottom w:val="none" w:sz="0" w:space="0" w:color="auto"/>
        <w:right w:val="none" w:sz="0" w:space="0" w:color="auto"/>
      </w:divBdr>
    </w:div>
    <w:div w:id="148177087">
      <w:bodyDiv w:val="1"/>
      <w:marLeft w:val="0"/>
      <w:marRight w:val="0"/>
      <w:marTop w:val="0"/>
      <w:marBottom w:val="0"/>
      <w:divBdr>
        <w:top w:val="none" w:sz="0" w:space="0" w:color="auto"/>
        <w:left w:val="none" w:sz="0" w:space="0" w:color="auto"/>
        <w:bottom w:val="none" w:sz="0" w:space="0" w:color="auto"/>
        <w:right w:val="none" w:sz="0" w:space="0" w:color="auto"/>
      </w:divBdr>
    </w:div>
    <w:div w:id="153494033">
      <w:bodyDiv w:val="1"/>
      <w:marLeft w:val="0"/>
      <w:marRight w:val="0"/>
      <w:marTop w:val="0"/>
      <w:marBottom w:val="0"/>
      <w:divBdr>
        <w:top w:val="none" w:sz="0" w:space="0" w:color="auto"/>
        <w:left w:val="none" w:sz="0" w:space="0" w:color="auto"/>
        <w:bottom w:val="none" w:sz="0" w:space="0" w:color="auto"/>
        <w:right w:val="none" w:sz="0" w:space="0" w:color="auto"/>
      </w:divBdr>
    </w:div>
    <w:div w:id="154494710">
      <w:bodyDiv w:val="1"/>
      <w:marLeft w:val="0"/>
      <w:marRight w:val="0"/>
      <w:marTop w:val="0"/>
      <w:marBottom w:val="0"/>
      <w:divBdr>
        <w:top w:val="none" w:sz="0" w:space="0" w:color="auto"/>
        <w:left w:val="none" w:sz="0" w:space="0" w:color="auto"/>
        <w:bottom w:val="none" w:sz="0" w:space="0" w:color="auto"/>
        <w:right w:val="none" w:sz="0" w:space="0" w:color="auto"/>
      </w:divBdr>
      <w:divsChild>
        <w:div w:id="600649041">
          <w:marLeft w:val="0"/>
          <w:marRight w:val="0"/>
          <w:marTop w:val="0"/>
          <w:marBottom w:val="0"/>
          <w:divBdr>
            <w:top w:val="none" w:sz="0" w:space="0" w:color="auto"/>
            <w:left w:val="none" w:sz="0" w:space="0" w:color="auto"/>
            <w:bottom w:val="none" w:sz="0" w:space="0" w:color="auto"/>
            <w:right w:val="none" w:sz="0" w:space="0" w:color="auto"/>
          </w:divBdr>
          <w:divsChild>
            <w:div w:id="119687674">
              <w:marLeft w:val="0"/>
              <w:marRight w:val="0"/>
              <w:marTop w:val="0"/>
              <w:marBottom w:val="0"/>
              <w:divBdr>
                <w:top w:val="none" w:sz="0" w:space="0" w:color="auto"/>
                <w:left w:val="none" w:sz="0" w:space="0" w:color="auto"/>
                <w:bottom w:val="none" w:sz="0" w:space="0" w:color="auto"/>
                <w:right w:val="none" w:sz="0" w:space="0" w:color="auto"/>
              </w:divBdr>
              <w:divsChild>
                <w:div w:id="11149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3728">
      <w:bodyDiv w:val="1"/>
      <w:marLeft w:val="0"/>
      <w:marRight w:val="0"/>
      <w:marTop w:val="0"/>
      <w:marBottom w:val="0"/>
      <w:divBdr>
        <w:top w:val="none" w:sz="0" w:space="0" w:color="auto"/>
        <w:left w:val="none" w:sz="0" w:space="0" w:color="auto"/>
        <w:bottom w:val="none" w:sz="0" w:space="0" w:color="auto"/>
        <w:right w:val="none" w:sz="0" w:space="0" w:color="auto"/>
      </w:divBdr>
    </w:div>
    <w:div w:id="166406857">
      <w:bodyDiv w:val="1"/>
      <w:marLeft w:val="0"/>
      <w:marRight w:val="0"/>
      <w:marTop w:val="0"/>
      <w:marBottom w:val="0"/>
      <w:divBdr>
        <w:top w:val="none" w:sz="0" w:space="0" w:color="auto"/>
        <w:left w:val="none" w:sz="0" w:space="0" w:color="auto"/>
        <w:bottom w:val="none" w:sz="0" w:space="0" w:color="auto"/>
        <w:right w:val="none" w:sz="0" w:space="0" w:color="auto"/>
      </w:divBdr>
    </w:div>
    <w:div w:id="169416403">
      <w:bodyDiv w:val="1"/>
      <w:marLeft w:val="0"/>
      <w:marRight w:val="0"/>
      <w:marTop w:val="0"/>
      <w:marBottom w:val="0"/>
      <w:divBdr>
        <w:top w:val="none" w:sz="0" w:space="0" w:color="auto"/>
        <w:left w:val="none" w:sz="0" w:space="0" w:color="auto"/>
        <w:bottom w:val="none" w:sz="0" w:space="0" w:color="auto"/>
        <w:right w:val="none" w:sz="0" w:space="0" w:color="auto"/>
      </w:divBdr>
      <w:divsChild>
        <w:div w:id="414714885">
          <w:marLeft w:val="0"/>
          <w:marRight w:val="0"/>
          <w:marTop w:val="0"/>
          <w:marBottom w:val="0"/>
          <w:divBdr>
            <w:top w:val="none" w:sz="0" w:space="0" w:color="auto"/>
            <w:left w:val="none" w:sz="0" w:space="0" w:color="auto"/>
            <w:bottom w:val="none" w:sz="0" w:space="0" w:color="auto"/>
            <w:right w:val="none" w:sz="0" w:space="0" w:color="auto"/>
          </w:divBdr>
          <w:divsChild>
            <w:div w:id="400181722">
              <w:marLeft w:val="0"/>
              <w:marRight w:val="0"/>
              <w:marTop w:val="0"/>
              <w:marBottom w:val="0"/>
              <w:divBdr>
                <w:top w:val="none" w:sz="0" w:space="0" w:color="auto"/>
                <w:left w:val="none" w:sz="0" w:space="0" w:color="auto"/>
                <w:bottom w:val="none" w:sz="0" w:space="0" w:color="auto"/>
                <w:right w:val="none" w:sz="0" w:space="0" w:color="auto"/>
              </w:divBdr>
              <w:divsChild>
                <w:div w:id="288821410">
                  <w:marLeft w:val="0"/>
                  <w:marRight w:val="0"/>
                  <w:marTop w:val="0"/>
                  <w:marBottom w:val="0"/>
                  <w:divBdr>
                    <w:top w:val="none" w:sz="0" w:space="0" w:color="auto"/>
                    <w:left w:val="none" w:sz="0" w:space="0" w:color="auto"/>
                    <w:bottom w:val="none" w:sz="0" w:space="0" w:color="auto"/>
                    <w:right w:val="none" w:sz="0" w:space="0" w:color="auto"/>
                  </w:divBdr>
                </w:div>
                <w:div w:id="1917545093">
                  <w:marLeft w:val="0"/>
                  <w:marRight w:val="0"/>
                  <w:marTop w:val="0"/>
                  <w:marBottom w:val="0"/>
                  <w:divBdr>
                    <w:top w:val="none" w:sz="0" w:space="0" w:color="auto"/>
                    <w:left w:val="none" w:sz="0" w:space="0" w:color="auto"/>
                    <w:bottom w:val="none" w:sz="0" w:space="0" w:color="auto"/>
                    <w:right w:val="none" w:sz="0" w:space="0" w:color="auto"/>
                  </w:divBdr>
                </w:div>
              </w:divsChild>
            </w:div>
            <w:div w:id="914164561">
              <w:marLeft w:val="0"/>
              <w:marRight w:val="0"/>
              <w:marTop w:val="0"/>
              <w:marBottom w:val="0"/>
              <w:divBdr>
                <w:top w:val="none" w:sz="0" w:space="0" w:color="auto"/>
                <w:left w:val="none" w:sz="0" w:space="0" w:color="auto"/>
                <w:bottom w:val="none" w:sz="0" w:space="0" w:color="auto"/>
                <w:right w:val="none" w:sz="0" w:space="0" w:color="auto"/>
              </w:divBdr>
              <w:divsChild>
                <w:div w:id="178204613">
                  <w:marLeft w:val="0"/>
                  <w:marRight w:val="0"/>
                  <w:marTop w:val="0"/>
                  <w:marBottom w:val="0"/>
                  <w:divBdr>
                    <w:top w:val="none" w:sz="0" w:space="0" w:color="auto"/>
                    <w:left w:val="none" w:sz="0" w:space="0" w:color="auto"/>
                    <w:bottom w:val="none" w:sz="0" w:space="0" w:color="auto"/>
                    <w:right w:val="none" w:sz="0" w:space="0" w:color="auto"/>
                  </w:divBdr>
                </w:div>
              </w:divsChild>
            </w:div>
            <w:div w:id="1329476872">
              <w:marLeft w:val="0"/>
              <w:marRight w:val="0"/>
              <w:marTop w:val="0"/>
              <w:marBottom w:val="0"/>
              <w:divBdr>
                <w:top w:val="none" w:sz="0" w:space="0" w:color="auto"/>
                <w:left w:val="none" w:sz="0" w:space="0" w:color="auto"/>
                <w:bottom w:val="none" w:sz="0" w:space="0" w:color="auto"/>
                <w:right w:val="none" w:sz="0" w:space="0" w:color="auto"/>
              </w:divBdr>
              <w:divsChild>
                <w:div w:id="273945783">
                  <w:marLeft w:val="0"/>
                  <w:marRight w:val="0"/>
                  <w:marTop w:val="0"/>
                  <w:marBottom w:val="0"/>
                  <w:divBdr>
                    <w:top w:val="none" w:sz="0" w:space="0" w:color="auto"/>
                    <w:left w:val="none" w:sz="0" w:space="0" w:color="auto"/>
                    <w:bottom w:val="none" w:sz="0" w:space="0" w:color="auto"/>
                    <w:right w:val="none" w:sz="0" w:space="0" w:color="auto"/>
                  </w:divBdr>
                </w:div>
              </w:divsChild>
            </w:div>
            <w:div w:id="1498493590">
              <w:marLeft w:val="0"/>
              <w:marRight w:val="0"/>
              <w:marTop w:val="0"/>
              <w:marBottom w:val="0"/>
              <w:divBdr>
                <w:top w:val="none" w:sz="0" w:space="0" w:color="auto"/>
                <w:left w:val="none" w:sz="0" w:space="0" w:color="auto"/>
                <w:bottom w:val="none" w:sz="0" w:space="0" w:color="auto"/>
                <w:right w:val="none" w:sz="0" w:space="0" w:color="auto"/>
              </w:divBdr>
              <w:divsChild>
                <w:div w:id="856383824">
                  <w:marLeft w:val="0"/>
                  <w:marRight w:val="0"/>
                  <w:marTop w:val="0"/>
                  <w:marBottom w:val="0"/>
                  <w:divBdr>
                    <w:top w:val="none" w:sz="0" w:space="0" w:color="auto"/>
                    <w:left w:val="none" w:sz="0" w:space="0" w:color="auto"/>
                    <w:bottom w:val="none" w:sz="0" w:space="0" w:color="auto"/>
                    <w:right w:val="none" w:sz="0" w:space="0" w:color="auto"/>
                  </w:divBdr>
                </w:div>
              </w:divsChild>
            </w:div>
            <w:div w:id="1673993819">
              <w:marLeft w:val="0"/>
              <w:marRight w:val="0"/>
              <w:marTop w:val="0"/>
              <w:marBottom w:val="0"/>
              <w:divBdr>
                <w:top w:val="none" w:sz="0" w:space="0" w:color="auto"/>
                <w:left w:val="none" w:sz="0" w:space="0" w:color="auto"/>
                <w:bottom w:val="none" w:sz="0" w:space="0" w:color="auto"/>
                <w:right w:val="none" w:sz="0" w:space="0" w:color="auto"/>
              </w:divBdr>
              <w:divsChild>
                <w:div w:id="166946922">
                  <w:marLeft w:val="0"/>
                  <w:marRight w:val="0"/>
                  <w:marTop w:val="0"/>
                  <w:marBottom w:val="0"/>
                  <w:divBdr>
                    <w:top w:val="none" w:sz="0" w:space="0" w:color="auto"/>
                    <w:left w:val="none" w:sz="0" w:space="0" w:color="auto"/>
                    <w:bottom w:val="none" w:sz="0" w:space="0" w:color="auto"/>
                    <w:right w:val="none" w:sz="0" w:space="0" w:color="auto"/>
                  </w:divBdr>
                </w:div>
                <w:div w:id="1390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5040">
          <w:marLeft w:val="0"/>
          <w:marRight w:val="0"/>
          <w:marTop w:val="0"/>
          <w:marBottom w:val="0"/>
          <w:divBdr>
            <w:top w:val="none" w:sz="0" w:space="0" w:color="auto"/>
            <w:left w:val="none" w:sz="0" w:space="0" w:color="auto"/>
            <w:bottom w:val="none" w:sz="0" w:space="0" w:color="auto"/>
            <w:right w:val="none" w:sz="0" w:space="0" w:color="auto"/>
          </w:divBdr>
          <w:divsChild>
            <w:div w:id="695233128">
              <w:marLeft w:val="0"/>
              <w:marRight w:val="0"/>
              <w:marTop w:val="0"/>
              <w:marBottom w:val="0"/>
              <w:divBdr>
                <w:top w:val="none" w:sz="0" w:space="0" w:color="auto"/>
                <w:left w:val="none" w:sz="0" w:space="0" w:color="auto"/>
                <w:bottom w:val="none" w:sz="0" w:space="0" w:color="auto"/>
                <w:right w:val="none" w:sz="0" w:space="0" w:color="auto"/>
              </w:divBdr>
            </w:div>
            <w:div w:id="973826180">
              <w:marLeft w:val="0"/>
              <w:marRight w:val="0"/>
              <w:marTop w:val="0"/>
              <w:marBottom w:val="0"/>
              <w:divBdr>
                <w:top w:val="none" w:sz="0" w:space="0" w:color="auto"/>
                <w:left w:val="none" w:sz="0" w:space="0" w:color="auto"/>
                <w:bottom w:val="none" w:sz="0" w:space="0" w:color="auto"/>
                <w:right w:val="none" w:sz="0" w:space="0" w:color="auto"/>
              </w:divBdr>
              <w:divsChild>
                <w:div w:id="41566477">
                  <w:marLeft w:val="0"/>
                  <w:marRight w:val="0"/>
                  <w:marTop w:val="0"/>
                  <w:marBottom w:val="0"/>
                  <w:divBdr>
                    <w:top w:val="none" w:sz="0" w:space="0" w:color="auto"/>
                    <w:left w:val="none" w:sz="0" w:space="0" w:color="auto"/>
                    <w:bottom w:val="none" w:sz="0" w:space="0" w:color="auto"/>
                    <w:right w:val="none" w:sz="0" w:space="0" w:color="auto"/>
                  </w:divBdr>
                </w:div>
                <w:div w:id="181479914">
                  <w:marLeft w:val="0"/>
                  <w:marRight w:val="0"/>
                  <w:marTop w:val="0"/>
                  <w:marBottom w:val="0"/>
                  <w:divBdr>
                    <w:top w:val="none" w:sz="0" w:space="0" w:color="auto"/>
                    <w:left w:val="none" w:sz="0" w:space="0" w:color="auto"/>
                    <w:bottom w:val="none" w:sz="0" w:space="0" w:color="auto"/>
                    <w:right w:val="none" w:sz="0" w:space="0" w:color="auto"/>
                  </w:divBdr>
                </w:div>
              </w:divsChild>
            </w:div>
            <w:div w:id="1527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7617">
      <w:bodyDiv w:val="1"/>
      <w:marLeft w:val="0"/>
      <w:marRight w:val="0"/>
      <w:marTop w:val="0"/>
      <w:marBottom w:val="0"/>
      <w:divBdr>
        <w:top w:val="none" w:sz="0" w:space="0" w:color="auto"/>
        <w:left w:val="none" w:sz="0" w:space="0" w:color="auto"/>
        <w:bottom w:val="none" w:sz="0" w:space="0" w:color="auto"/>
        <w:right w:val="none" w:sz="0" w:space="0" w:color="auto"/>
      </w:divBdr>
      <w:divsChild>
        <w:div w:id="263655525">
          <w:marLeft w:val="0"/>
          <w:marRight w:val="0"/>
          <w:marTop w:val="0"/>
          <w:marBottom w:val="0"/>
          <w:divBdr>
            <w:top w:val="none" w:sz="0" w:space="0" w:color="auto"/>
            <w:left w:val="none" w:sz="0" w:space="0" w:color="auto"/>
            <w:bottom w:val="none" w:sz="0" w:space="0" w:color="auto"/>
            <w:right w:val="none" w:sz="0" w:space="0" w:color="auto"/>
          </w:divBdr>
          <w:divsChild>
            <w:div w:id="213858728">
              <w:marLeft w:val="0"/>
              <w:marRight w:val="0"/>
              <w:marTop w:val="0"/>
              <w:marBottom w:val="0"/>
              <w:divBdr>
                <w:top w:val="none" w:sz="0" w:space="0" w:color="auto"/>
                <w:left w:val="none" w:sz="0" w:space="0" w:color="auto"/>
                <w:bottom w:val="none" w:sz="0" w:space="0" w:color="auto"/>
                <w:right w:val="none" w:sz="0" w:space="0" w:color="auto"/>
              </w:divBdr>
              <w:divsChild>
                <w:div w:id="490409371">
                  <w:marLeft w:val="0"/>
                  <w:marRight w:val="0"/>
                  <w:marTop w:val="0"/>
                  <w:marBottom w:val="0"/>
                  <w:divBdr>
                    <w:top w:val="none" w:sz="0" w:space="0" w:color="auto"/>
                    <w:left w:val="none" w:sz="0" w:space="0" w:color="auto"/>
                    <w:bottom w:val="none" w:sz="0" w:space="0" w:color="auto"/>
                    <w:right w:val="none" w:sz="0" w:space="0" w:color="auto"/>
                  </w:divBdr>
                </w:div>
                <w:div w:id="2066679469">
                  <w:marLeft w:val="0"/>
                  <w:marRight w:val="0"/>
                  <w:marTop w:val="0"/>
                  <w:marBottom w:val="0"/>
                  <w:divBdr>
                    <w:top w:val="none" w:sz="0" w:space="0" w:color="auto"/>
                    <w:left w:val="none" w:sz="0" w:space="0" w:color="auto"/>
                    <w:bottom w:val="none" w:sz="0" w:space="0" w:color="auto"/>
                    <w:right w:val="none" w:sz="0" w:space="0" w:color="auto"/>
                  </w:divBdr>
                </w:div>
              </w:divsChild>
            </w:div>
            <w:div w:id="1124344209">
              <w:marLeft w:val="0"/>
              <w:marRight w:val="0"/>
              <w:marTop w:val="0"/>
              <w:marBottom w:val="0"/>
              <w:divBdr>
                <w:top w:val="none" w:sz="0" w:space="0" w:color="auto"/>
                <w:left w:val="none" w:sz="0" w:space="0" w:color="auto"/>
                <w:bottom w:val="none" w:sz="0" w:space="0" w:color="auto"/>
                <w:right w:val="none" w:sz="0" w:space="0" w:color="auto"/>
              </w:divBdr>
              <w:divsChild>
                <w:div w:id="189609873">
                  <w:marLeft w:val="0"/>
                  <w:marRight w:val="0"/>
                  <w:marTop w:val="0"/>
                  <w:marBottom w:val="0"/>
                  <w:divBdr>
                    <w:top w:val="none" w:sz="0" w:space="0" w:color="auto"/>
                    <w:left w:val="none" w:sz="0" w:space="0" w:color="auto"/>
                    <w:bottom w:val="none" w:sz="0" w:space="0" w:color="auto"/>
                    <w:right w:val="none" w:sz="0" w:space="0" w:color="auto"/>
                  </w:divBdr>
                </w:div>
              </w:divsChild>
            </w:div>
            <w:div w:id="1341397438">
              <w:marLeft w:val="0"/>
              <w:marRight w:val="0"/>
              <w:marTop w:val="0"/>
              <w:marBottom w:val="0"/>
              <w:divBdr>
                <w:top w:val="none" w:sz="0" w:space="0" w:color="auto"/>
                <w:left w:val="none" w:sz="0" w:space="0" w:color="auto"/>
                <w:bottom w:val="none" w:sz="0" w:space="0" w:color="auto"/>
                <w:right w:val="none" w:sz="0" w:space="0" w:color="auto"/>
              </w:divBdr>
              <w:divsChild>
                <w:div w:id="24645411">
                  <w:marLeft w:val="0"/>
                  <w:marRight w:val="0"/>
                  <w:marTop w:val="0"/>
                  <w:marBottom w:val="0"/>
                  <w:divBdr>
                    <w:top w:val="none" w:sz="0" w:space="0" w:color="auto"/>
                    <w:left w:val="none" w:sz="0" w:space="0" w:color="auto"/>
                    <w:bottom w:val="none" w:sz="0" w:space="0" w:color="auto"/>
                    <w:right w:val="none" w:sz="0" w:space="0" w:color="auto"/>
                  </w:divBdr>
                </w:div>
              </w:divsChild>
            </w:div>
            <w:div w:id="1605576843">
              <w:marLeft w:val="0"/>
              <w:marRight w:val="0"/>
              <w:marTop w:val="0"/>
              <w:marBottom w:val="0"/>
              <w:divBdr>
                <w:top w:val="none" w:sz="0" w:space="0" w:color="auto"/>
                <w:left w:val="none" w:sz="0" w:space="0" w:color="auto"/>
                <w:bottom w:val="none" w:sz="0" w:space="0" w:color="auto"/>
                <w:right w:val="none" w:sz="0" w:space="0" w:color="auto"/>
              </w:divBdr>
              <w:divsChild>
                <w:div w:id="74477835">
                  <w:marLeft w:val="0"/>
                  <w:marRight w:val="0"/>
                  <w:marTop w:val="0"/>
                  <w:marBottom w:val="0"/>
                  <w:divBdr>
                    <w:top w:val="none" w:sz="0" w:space="0" w:color="auto"/>
                    <w:left w:val="none" w:sz="0" w:space="0" w:color="auto"/>
                    <w:bottom w:val="none" w:sz="0" w:space="0" w:color="auto"/>
                    <w:right w:val="none" w:sz="0" w:space="0" w:color="auto"/>
                  </w:divBdr>
                </w:div>
              </w:divsChild>
            </w:div>
            <w:div w:id="1669017537">
              <w:marLeft w:val="0"/>
              <w:marRight w:val="0"/>
              <w:marTop w:val="0"/>
              <w:marBottom w:val="0"/>
              <w:divBdr>
                <w:top w:val="none" w:sz="0" w:space="0" w:color="auto"/>
                <w:left w:val="none" w:sz="0" w:space="0" w:color="auto"/>
                <w:bottom w:val="none" w:sz="0" w:space="0" w:color="auto"/>
                <w:right w:val="none" w:sz="0" w:space="0" w:color="auto"/>
              </w:divBdr>
              <w:divsChild>
                <w:div w:id="1380670036">
                  <w:marLeft w:val="0"/>
                  <w:marRight w:val="0"/>
                  <w:marTop w:val="0"/>
                  <w:marBottom w:val="0"/>
                  <w:divBdr>
                    <w:top w:val="none" w:sz="0" w:space="0" w:color="auto"/>
                    <w:left w:val="none" w:sz="0" w:space="0" w:color="auto"/>
                    <w:bottom w:val="none" w:sz="0" w:space="0" w:color="auto"/>
                    <w:right w:val="none" w:sz="0" w:space="0" w:color="auto"/>
                  </w:divBdr>
                </w:div>
                <w:div w:id="20259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3999">
          <w:marLeft w:val="0"/>
          <w:marRight w:val="0"/>
          <w:marTop w:val="0"/>
          <w:marBottom w:val="0"/>
          <w:divBdr>
            <w:top w:val="none" w:sz="0" w:space="0" w:color="auto"/>
            <w:left w:val="none" w:sz="0" w:space="0" w:color="auto"/>
            <w:bottom w:val="none" w:sz="0" w:space="0" w:color="auto"/>
            <w:right w:val="none" w:sz="0" w:space="0" w:color="auto"/>
          </w:divBdr>
          <w:divsChild>
            <w:div w:id="153496987">
              <w:marLeft w:val="0"/>
              <w:marRight w:val="0"/>
              <w:marTop w:val="0"/>
              <w:marBottom w:val="0"/>
              <w:divBdr>
                <w:top w:val="none" w:sz="0" w:space="0" w:color="auto"/>
                <w:left w:val="none" w:sz="0" w:space="0" w:color="auto"/>
                <w:bottom w:val="none" w:sz="0" w:space="0" w:color="auto"/>
                <w:right w:val="none" w:sz="0" w:space="0" w:color="auto"/>
              </w:divBdr>
              <w:divsChild>
                <w:div w:id="1403285218">
                  <w:marLeft w:val="0"/>
                  <w:marRight w:val="0"/>
                  <w:marTop w:val="0"/>
                  <w:marBottom w:val="0"/>
                  <w:divBdr>
                    <w:top w:val="none" w:sz="0" w:space="0" w:color="auto"/>
                    <w:left w:val="none" w:sz="0" w:space="0" w:color="auto"/>
                    <w:bottom w:val="none" w:sz="0" w:space="0" w:color="auto"/>
                    <w:right w:val="none" w:sz="0" w:space="0" w:color="auto"/>
                  </w:divBdr>
                </w:div>
              </w:divsChild>
            </w:div>
            <w:div w:id="217589744">
              <w:marLeft w:val="0"/>
              <w:marRight w:val="0"/>
              <w:marTop w:val="0"/>
              <w:marBottom w:val="0"/>
              <w:divBdr>
                <w:top w:val="none" w:sz="0" w:space="0" w:color="auto"/>
                <w:left w:val="none" w:sz="0" w:space="0" w:color="auto"/>
                <w:bottom w:val="none" w:sz="0" w:space="0" w:color="auto"/>
                <w:right w:val="none" w:sz="0" w:space="0" w:color="auto"/>
              </w:divBdr>
              <w:divsChild>
                <w:div w:id="17439543">
                  <w:marLeft w:val="0"/>
                  <w:marRight w:val="0"/>
                  <w:marTop w:val="0"/>
                  <w:marBottom w:val="0"/>
                  <w:divBdr>
                    <w:top w:val="none" w:sz="0" w:space="0" w:color="auto"/>
                    <w:left w:val="none" w:sz="0" w:space="0" w:color="auto"/>
                    <w:bottom w:val="none" w:sz="0" w:space="0" w:color="auto"/>
                    <w:right w:val="none" w:sz="0" w:space="0" w:color="auto"/>
                  </w:divBdr>
                </w:div>
              </w:divsChild>
            </w:div>
            <w:div w:id="310138502">
              <w:marLeft w:val="0"/>
              <w:marRight w:val="0"/>
              <w:marTop w:val="0"/>
              <w:marBottom w:val="0"/>
              <w:divBdr>
                <w:top w:val="none" w:sz="0" w:space="0" w:color="auto"/>
                <w:left w:val="none" w:sz="0" w:space="0" w:color="auto"/>
                <w:bottom w:val="none" w:sz="0" w:space="0" w:color="auto"/>
                <w:right w:val="none" w:sz="0" w:space="0" w:color="auto"/>
              </w:divBdr>
              <w:divsChild>
                <w:div w:id="584844910">
                  <w:marLeft w:val="0"/>
                  <w:marRight w:val="0"/>
                  <w:marTop w:val="0"/>
                  <w:marBottom w:val="0"/>
                  <w:divBdr>
                    <w:top w:val="none" w:sz="0" w:space="0" w:color="auto"/>
                    <w:left w:val="none" w:sz="0" w:space="0" w:color="auto"/>
                    <w:bottom w:val="none" w:sz="0" w:space="0" w:color="auto"/>
                    <w:right w:val="none" w:sz="0" w:space="0" w:color="auto"/>
                  </w:divBdr>
                </w:div>
                <w:div w:id="644697868">
                  <w:marLeft w:val="0"/>
                  <w:marRight w:val="0"/>
                  <w:marTop w:val="0"/>
                  <w:marBottom w:val="0"/>
                  <w:divBdr>
                    <w:top w:val="none" w:sz="0" w:space="0" w:color="auto"/>
                    <w:left w:val="none" w:sz="0" w:space="0" w:color="auto"/>
                    <w:bottom w:val="none" w:sz="0" w:space="0" w:color="auto"/>
                    <w:right w:val="none" w:sz="0" w:space="0" w:color="auto"/>
                  </w:divBdr>
                </w:div>
              </w:divsChild>
            </w:div>
            <w:div w:id="971524860">
              <w:marLeft w:val="0"/>
              <w:marRight w:val="0"/>
              <w:marTop w:val="0"/>
              <w:marBottom w:val="0"/>
              <w:divBdr>
                <w:top w:val="none" w:sz="0" w:space="0" w:color="auto"/>
                <w:left w:val="none" w:sz="0" w:space="0" w:color="auto"/>
                <w:bottom w:val="none" w:sz="0" w:space="0" w:color="auto"/>
                <w:right w:val="none" w:sz="0" w:space="0" w:color="auto"/>
              </w:divBdr>
              <w:divsChild>
                <w:div w:id="98567684">
                  <w:marLeft w:val="0"/>
                  <w:marRight w:val="0"/>
                  <w:marTop w:val="0"/>
                  <w:marBottom w:val="0"/>
                  <w:divBdr>
                    <w:top w:val="none" w:sz="0" w:space="0" w:color="auto"/>
                    <w:left w:val="none" w:sz="0" w:space="0" w:color="auto"/>
                    <w:bottom w:val="none" w:sz="0" w:space="0" w:color="auto"/>
                    <w:right w:val="none" w:sz="0" w:space="0" w:color="auto"/>
                  </w:divBdr>
                </w:div>
                <w:div w:id="1373269421">
                  <w:marLeft w:val="0"/>
                  <w:marRight w:val="0"/>
                  <w:marTop w:val="0"/>
                  <w:marBottom w:val="0"/>
                  <w:divBdr>
                    <w:top w:val="none" w:sz="0" w:space="0" w:color="auto"/>
                    <w:left w:val="none" w:sz="0" w:space="0" w:color="auto"/>
                    <w:bottom w:val="none" w:sz="0" w:space="0" w:color="auto"/>
                    <w:right w:val="none" w:sz="0" w:space="0" w:color="auto"/>
                  </w:divBdr>
                </w:div>
              </w:divsChild>
            </w:div>
            <w:div w:id="1587811454">
              <w:marLeft w:val="0"/>
              <w:marRight w:val="0"/>
              <w:marTop w:val="0"/>
              <w:marBottom w:val="0"/>
              <w:divBdr>
                <w:top w:val="none" w:sz="0" w:space="0" w:color="auto"/>
                <w:left w:val="none" w:sz="0" w:space="0" w:color="auto"/>
                <w:bottom w:val="none" w:sz="0" w:space="0" w:color="auto"/>
                <w:right w:val="none" w:sz="0" w:space="0" w:color="auto"/>
              </w:divBdr>
              <w:divsChild>
                <w:div w:id="691419439">
                  <w:marLeft w:val="0"/>
                  <w:marRight w:val="0"/>
                  <w:marTop w:val="0"/>
                  <w:marBottom w:val="0"/>
                  <w:divBdr>
                    <w:top w:val="none" w:sz="0" w:space="0" w:color="auto"/>
                    <w:left w:val="none" w:sz="0" w:space="0" w:color="auto"/>
                    <w:bottom w:val="none" w:sz="0" w:space="0" w:color="auto"/>
                    <w:right w:val="none" w:sz="0" w:space="0" w:color="auto"/>
                  </w:divBdr>
                </w:div>
              </w:divsChild>
            </w:div>
            <w:div w:id="1809516261">
              <w:marLeft w:val="0"/>
              <w:marRight w:val="0"/>
              <w:marTop w:val="0"/>
              <w:marBottom w:val="0"/>
              <w:divBdr>
                <w:top w:val="none" w:sz="0" w:space="0" w:color="auto"/>
                <w:left w:val="none" w:sz="0" w:space="0" w:color="auto"/>
                <w:bottom w:val="none" w:sz="0" w:space="0" w:color="auto"/>
                <w:right w:val="none" w:sz="0" w:space="0" w:color="auto"/>
              </w:divBdr>
              <w:divsChild>
                <w:div w:id="8167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4620">
      <w:bodyDiv w:val="1"/>
      <w:marLeft w:val="0"/>
      <w:marRight w:val="0"/>
      <w:marTop w:val="0"/>
      <w:marBottom w:val="0"/>
      <w:divBdr>
        <w:top w:val="none" w:sz="0" w:space="0" w:color="auto"/>
        <w:left w:val="none" w:sz="0" w:space="0" w:color="auto"/>
        <w:bottom w:val="none" w:sz="0" w:space="0" w:color="auto"/>
        <w:right w:val="none" w:sz="0" w:space="0" w:color="auto"/>
      </w:divBdr>
    </w:div>
    <w:div w:id="205069372">
      <w:bodyDiv w:val="1"/>
      <w:marLeft w:val="0"/>
      <w:marRight w:val="0"/>
      <w:marTop w:val="0"/>
      <w:marBottom w:val="0"/>
      <w:divBdr>
        <w:top w:val="none" w:sz="0" w:space="0" w:color="auto"/>
        <w:left w:val="none" w:sz="0" w:space="0" w:color="auto"/>
        <w:bottom w:val="none" w:sz="0" w:space="0" w:color="auto"/>
        <w:right w:val="none" w:sz="0" w:space="0" w:color="auto"/>
      </w:divBdr>
      <w:divsChild>
        <w:div w:id="1168905988">
          <w:marLeft w:val="0"/>
          <w:marRight w:val="0"/>
          <w:marTop w:val="0"/>
          <w:marBottom w:val="0"/>
          <w:divBdr>
            <w:top w:val="none" w:sz="0" w:space="0" w:color="auto"/>
            <w:left w:val="none" w:sz="0" w:space="0" w:color="auto"/>
            <w:bottom w:val="none" w:sz="0" w:space="0" w:color="auto"/>
            <w:right w:val="none" w:sz="0" w:space="0" w:color="auto"/>
          </w:divBdr>
          <w:divsChild>
            <w:div w:id="1037512182">
              <w:marLeft w:val="0"/>
              <w:marRight w:val="0"/>
              <w:marTop w:val="0"/>
              <w:marBottom w:val="0"/>
              <w:divBdr>
                <w:top w:val="none" w:sz="0" w:space="0" w:color="auto"/>
                <w:left w:val="none" w:sz="0" w:space="0" w:color="auto"/>
                <w:bottom w:val="none" w:sz="0" w:space="0" w:color="auto"/>
                <w:right w:val="none" w:sz="0" w:space="0" w:color="auto"/>
              </w:divBdr>
              <w:divsChild>
                <w:div w:id="1856073347">
                  <w:marLeft w:val="0"/>
                  <w:marRight w:val="0"/>
                  <w:marTop w:val="0"/>
                  <w:marBottom w:val="0"/>
                  <w:divBdr>
                    <w:top w:val="none" w:sz="0" w:space="0" w:color="auto"/>
                    <w:left w:val="none" w:sz="0" w:space="0" w:color="auto"/>
                    <w:bottom w:val="none" w:sz="0" w:space="0" w:color="auto"/>
                    <w:right w:val="none" w:sz="0" w:space="0" w:color="auto"/>
                  </w:divBdr>
                  <w:divsChild>
                    <w:div w:id="16912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6263">
      <w:bodyDiv w:val="1"/>
      <w:marLeft w:val="0"/>
      <w:marRight w:val="0"/>
      <w:marTop w:val="0"/>
      <w:marBottom w:val="0"/>
      <w:divBdr>
        <w:top w:val="none" w:sz="0" w:space="0" w:color="auto"/>
        <w:left w:val="none" w:sz="0" w:space="0" w:color="auto"/>
        <w:bottom w:val="none" w:sz="0" w:space="0" w:color="auto"/>
        <w:right w:val="none" w:sz="0" w:space="0" w:color="auto"/>
      </w:divBdr>
      <w:divsChild>
        <w:div w:id="1823737887">
          <w:marLeft w:val="0"/>
          <w:marRight w:val="0"/>
          <w:marTop w:val="0"/>
          <w:marBottom w:val="0"/>
          <w:divBdr>
            <w:top w:val="none" w:sz="0" w:space="0" w:color="auto"/>
            <w:left w:val="none" w:sz="0" w:space="0" w:color="auto"/>
            <w:bottom w:val="none" w:sz="0" w:space="0" w:color="auto"/>
            <w:right w:val="none" w:sz="0" w:space="0" w:color="auto"/>
          </w:divBdr>
          <w:divsChild>
            <w:div w:id="135808067">
              <w:marLeft w:val="0"/>
              <w:marRight w:val="0"/>
              <w:marTop w:val="0"/>
              <w:marBottom w:val="0"/>
              <w:divBdr>
                <w:top w:val="none" w:sz="0" w:space="0" w:color="auto"/>
                <w:left w:val="none" w:sz="0" w:space="0" w:color="auto"/>
                <w:bottom w:val="none" w:sz="0" w:space="0" w:color="auto"/>
                <w:right w:val="none" w:sz="0" w:space="0" w:color="auto"/>
              </w:divBdr>
              <w:divsChild>
                <w:div w:id="1399740422">
                  <w:marLeft w:val="0"/>
                  <w:marRight w:val="0"/>
                  <w:marTop w:val="0"/>
                  <w:marBottom w:val="0"/>
                  <w:divBdr>
                    <w:top w:val="none" w:sz="0" w:space="0" w:color="auto"/>
                    <w:left w:val="none" w:sz="0" w:space="0" w:color="auto"/>
                    <w:bottom w:val="none" w:sz="0" w:space="0" w:color="auto"/>
                    <w:right w:val="none" w:sz="0" w:space="0" w:color="auto"/>
                  </w:divBdr>
                </w:div>
                <w:div w:id="1976720337">
                  <w:marLeft w:val="0"/>
                  <w:marRight w:val="0"/>
                  <w:marTop w:val="0"/>
                  <w:marBottom w:val="0"/>
                  <w:divBdr>
                    <w:top w:val="none" w:sz="0" w:space="0" w:color="auto"/>
                    <w:left w:val="none" w:sz="0" w:space="0" w:color="auto"/>
                    <w:bottom w:val="none" w:sz="0" w:space="0" w:color="auto"/>
                    <w:right w:val="none" w:sz="0" w:space="0" w:color="auto"/>
                  </w:divBdr>
                </w:div>
              </w:divsChild>
            </w:div>
            <w:div w:id="868373117">
              <w:marLeft w:val="0"/>
              <w:marRight w:val="0"/>
              <w:marTop w:val="0"/>
              <w:marBottom w:val="0"/>
              <w:divBdr>
                <w:top w:val="none" w:sz="0" w:space="0" w:color="auto"/>
                <w:left w:val="none" w:sz="0" w:space="0" w:color="auto"/>
                <w:bottom w:val="none" w:sz="0" w:space="0" w:color="auto"/>
                <w:right w:val="none" w:sz="0" w:space="0" w:color="auto"/>
              </w:divBdr>
              <w:divsChild>
                <w:div w:id="966550756">
                  <w:marLeft w:val="0"/>
                  <w:marRight w:val="0"/>
                  <w:marTop w:val="0"/>
                  <w:marBottom w:val="0"/>
                  <w:divBdr>
                    <w:top w:val="none" w:sz="0" w:space="0" w:color="auto"/>
                    <w:left w:val="none" w:sz="0" w:space="0" w:color="auto"/>
                    <w:bottom w:val="none" w:sz="0" w:space="0" w:color="auto"/>
                    <w:right w:val="none" w:sz="0" w:space="0" w:color="auto"/>
                  </w:divBdr>
                </w:div>
                <w:div w:id="1065370176">
                  <w:marLeft w:val="0"/>
                  <w:marRight w:val="0"/>
                  <w:marTop w:val="0"/>
                  <w:marBottom w:val="0"/>
                  <w:divBdr>
                    <w:top w:val="none" w:sz="0" w:space="0" w:color="auto"/>
                    <w:left w:val="none" w:sz="0" w:space="0" w:color="auto"/>
                    <w:bottom w:val="none" w:sz="0" w:space="0" w:color="auto"/>
                    <w:right w:val="none" w:sz="0" w:space="0" w:color="auto"/>
                  </w:divBdr>
                </w:div>
              </w:divsChild>
            </w:div>
            <w:div w:id="1390570255">
              <w:marLeft w:val="0"/>
              <w:marRight w:val="0"/>
              <w:marTop w:val="0"/>
              <w:marBottom w:val="0"/>
              <w:divBdr>
                <w:top w:val="none" w:sz="0" w:space="0" w:color="auto"/>
                <w:left w:val="none" w:sz="0" w:space="0" w:color="auto"/>
                <w:bottom w:val="none" w:sz="0" w:space="0" w:color="auto"/>
                <w:right w:val="none" w:sz="0" w:space="0" w:color="auto"/>
              </w:divBdr>
              <w:divsChild>
                <w:div w:id="6546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42752">
      <w:bodyDiv w:val="1"/>
      <w:marLeft w:val="0"/>
      <w:marRight w:val="0"/>
      <w:marTop w:val="0"/>
      <w:marBottom w:val="0"/>
      <w:divBdr>
        <w:top w:val="none" w:sz="0" w:space="0" w:color="auto"/>
        <w:left w:val="none" w:sz="0" w:space="0" w:color="auto"/>
        <w:bottom w:val="none" w:sz="0" w:space="0" w:color="auto"/>
        <w:right w:val="none" w:sz="0" w:space="0" w:color="auto"/>
      </w:divBdr>
    </w:div>
    <w:div w:id="231431851">
      <w:bodyDiv w:val="1"/>
      <w:marLeft w:val="0"/>
      <w:marRight w:val="0"/>
      <w:marTop w:val="0"/>
      <w:marBottom w:val="0"/>
      <w:divBdr>
        <w:top w:val="none" w:sz="0" w:space="0" w:color="auto"/>
        <w:left w:val="none" w:sz="0" w:space="0" w:color="auto"/>
        <w:bottom w:val="none" w:sz="0" w:space="0" w:color="auto"/>
        <w:right w:val="none" w:sz="0" w:space="0" w:color="auto"/>
      </w:divBdr>
      <w:divsChild>
        <w:div w:id="759761387">
          <w:marLeft w:val="0"/>
          <w:marRight w:val="0"/>
          <w:marTop w:val="0"/>
          <w:marBottom w:val="0"/>
          <w:divBdr>
            <w:top w:val="none" w:sz="0" w:space="0" w:color="auto"/>
            <w:left w:val="none" w:sz="0" w:space="0" w:color="auto"/>
            <w:bottom w:val="none" w:sz="0" w:space="0" w:color="auto"/>
            <w:right w:val="none" w:sz="0" w:space="0" w:color="auto"/>
          </w:divBdr>
          <w:divsChild>
            <w:div w:id="1156336696">
              <w:marLeft w:val="0"/>
              <w:marRight w:val="0"/>
              <w:marTop w:val="0"/>
              <w:marBottom w:val="0"/>
              <w:divBdr>
                <w:top w:val="none" w:sz="0" w:space="0" w:color="auto"/>
                <w:left w:val="none" w:sz="0" w:space="0" w:color="auto"/>
                <w:bottom w:val="none" w:sz="0" w:space="0" w:color="auto"/>
                <w:right w:val="none" w:sz="0" w:space="0" w:color="auto"/>
              </w:divBdr>
              <w:divsChild>
                <w:div w:id="1471827828">
                  <w:marLeft w:val="0"/>
                  <w:marRight w:val="0"/>
                  <w:marTop w:val="0"/>
                  <w:marBottom w:val="0"/>
                  <w:divBdr>
                    <w:top w:val="none" w:sz="0" w:space="0" w:color="auto"/>
                    <w:left w:val="none" w:sz="0" w:space="0" w:color="auto"/>
                    <w:bottom w:val="none" w:sz="0" w:space="0" w:color="auto"/>
                    <w:right w:val="none" w:sz="0" w:space="0" w:color="auto"/>
                  </w:divBdr>
                  <w:divsChild>
                    <w:div w:id="2495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15162">
      <w:bodyDiv w:val="1"/>
      <w:marLeft w:val="0"/>
      <w:marRight w:val="0"/>
      <w:marTop w:val="0"/>
      <w:marBottom w:val="0"/>
      <w:divBdr>
        <w:top w:val="none" w:sz="0" w:space="0" w:color="auto"/>
        <w:left w:val="none" w:sz="0" w:space="0" w:color="auto"/>
        <w:bottom w:val="none" w:sz="0" w:space="0" w:color="auto"/>
        <w:right w:val="none" w:sz="0" w:space="0" w:color="auto"/>
      </w:divBdr>
    </w:div>
    <w:div w:id="283771786">
      <w:bodyDiv w:val="1"/>
      <w:marLeft w:val="0"/>
      <w:marRight w:val="0"/>
      <w:marTop w:val="0"/>
      <w:marBottom w:val="0"/>
      <w:divBdr>
        <w:top w:val="none" w:sz="0" w:space="0" w:color="auto"/>
        <w:left w:val="none" w:sz="0" w:space="0" w:color="auto"/>
        <w:bottom w:val="none" w:sz="0" w:space="0" w:color="auto"/>
        <w:right w:val="none" w:sz="0" w:space="0" w:color="auto"/>
      </w:divBdr>
    </w:div>
    <w:div w:id="316155610">
      <w:bodyDiv w:val="1"/>
      <w:marLeft w:val="0"/>
      <w:marRight w:val="0"/>
      <w:marTop w:val="0"/>
      <w:marBottom w:val="0"/>
      <w:divBdr>
        <w:top w:val="none" w:sz="0" w:space="0" w:color="auto"/>
        <w:left w:val="none" w:sz="0" w:space="0" w:color="auto"/>
        <w:bottom w:val="none" w:sz="0" w:space="0" w:color="auto"/>
        <w:right w:val="none" w:sz="0" w:space="0" w:color="auto"/>
      </w:divBdr>
    </w:div>
    <w:div w:id="359937239">
      <w:bodyDiv w:val="1"/>
      <w:marLeft w:val="0"/>
      <w:marRight w:val="0"/>
      <w:marTop w:val="0"/>
      <w:marBottom w:val="0"/>
      <w:divBdr>
        <w:top w:val="none" w:sz="0" w:space="0" w:color="auto"/>
        <w:left w:val="none" w:sz="0" w:space="0" w:color="auto"/>
        <w:bottom w:val="none" w:sz="0" w:space="0" w:color="auto"/>
        <w:right w:val="none" w:sz="0" w:space="0" w:color="auto"/>
      </w:divBdr>
      <w:divsChild>
        <w:div w:id="97068982">
          <w:marLeft w:val="547"/>
          <w:marRight w:val="0"/>
          <w:marTop w:val="0"/>
          <w:marBottom w:val="200"/>
          <w:divBdr>
            <w:top w:val="none" w:sz="0" w:space="0" w:color="auto"/>
            <w:left w:val="none" w:sz="0" w:space="0" w:color="auto"/>
            <w:bottom w:val="none" w:sz="0" w:space="0" w:color="auto"/>
            <w:right w:val="none" w:sz="0" w:space="0" w:color="auto"/>
          </w:divBdr>
        </w:div>
        <w:div w:id="280579710">
          <w:marLeft w:val="547"/>
          <w:marRight w:val="0"/>
          <w:marTop w:val="0"/>
          <w:marBottom w:val="200"/>
          <w:divBdr>
            <w:top w:val="none" w:sz="0" w:space="0" w:color="auto"/>
            <w:left w:val="none" w:sz="0" w:space="0" w:color="auto"/>
            <w:bottom w:val="none" w:sz="0" w:space="0" w:color="auto"/>
            <w:right w:val="none" w:sz="0" w:space="0" w:color="auto"/>
          </w:divBdr>
        </w:div>
        <w:div w:id="502739686">
          <w:marLeft w:val="547"/>
          <w:marRight w:val="0"/>
          <w:marTop w:val="0"/>
          <w:marBottom w:val="200"/>
          <w:divBdr>
            <w:top w:val="none" w:sz="0" w:space="0" w:color="auto"/>
            <w:left w:val="none" w:sz="0" w:space="0" w:color="auto"/>
            <w:bottom w:val="none" w:sz="0" w:space="0" w:color="auto"/>
            <w:right w:val="none" w:sz="0" w:space="0" w:color="auto"/>
          </w:divBdr>
        </w:div>
        <w:div w:id="842210026">
          <w:marLeft w:val="547"/>
          <w:marRight w:val="0"/>
          <w:marTop w:val="0"/>
          <w:marBottom w:val="200"/>
          <w:divBdr>
            <w:top w:val="none" w:sz="0" w:space="0" w:color="auto"/>
            <w:left w:val="none" w:sz="0" w:space="0" w:color="auto"/>
            <w:bottom w:val="none" w:sz="0" w:space="0" w:color="auto"/>
            <w:right w:val="none" w:sz="0" w:space="0" w:color="auto"/>
          </w:divBdr>
        </w:div>
        <w:div w:id="1596784660">
          <w:marLeft w:val="547"/>
          <w:marRight w:val="0"/>
          <w:marTop w:val="0"/>
          <w:marBottom w:val="200"/>
          <w:divBdr>
            <w:top w:val="none" w:sz="0" w:space="0" w:color="auto"/>
            <w:left w:val="none" w:sz="0" w:space="0" w:color="auto"/>
            <w:bottom w:val="none" w:sz="0" w:space="0" w:color="auto"/>
            <w:right w:val="none" w:sz="0" w:space="0" w:color="auto"/>
          </w:divBdr>
        </w:div>
        <w:div w:id="1749383725">
          <w:marLeft w:val="547"/>
          <w:marRight w:val="0"/>
          <w:marTop w:val="0"/>
          <w:marBottom w:val="200"/>
          <w:divBdr>
            <w:top w:val="none" w:sz="0" w:space="0" w:color="auto"/>
            <w:left w:val="none" w:sz="0" w:space="0" w:color="auto"/>
            <w:bottom w:val="none" w:sz="0" w:space="0" w:color="auto"/>
            <w:right w:val="none" w:sz="0" w:space="0" w:color="auto"/>
          </w:divBdr>
        </w:div>
      </w:divsChild>
    </w:div>
    <w:div w:id="372653903">
      <w:bodyDiv w:val="1"/>
      <w:marLeft w:val="0"/>
      <w:marRight w:val="0"/>
      <w:marTop w:val="0"/>
      <w:marBottom w:val="0"/>
      <w:divBdr>
        <w:top w:val="none" w:sz="0" w:space="0" w:color="auto"/>
        <w:left w:val="none" w:sz="0" w:space="0" w:color="auto"/>
        <w:bottom w:val="none" w:sz="0" w:space="0" w:color="auto"/>
        <w:right w:val="none" w:sz="0" w:space="0" w:color="auto"/>
      </w:divBdr>
      <w:divsChild>
        <w:div w:id="651762197">
          <w:marLeft w:val="0"/>
          <w:marRight w:val="0"/>
          <w:marTop w:val="0"/>
          <w:marBottom w:val="0"/>
          <w:divBdr>
            <w:top w:val="none" w:sz="0" w:space="0" w:color="auto"/>
            <w:left w:val="none" w:sz="0" w:space="0" w:color="auto"/>
            <w:bottom w:val="none" w:sz="0" w:space="0" w:color="auto"/>
            <w:right w:val="none" w:sz="0" w:space="0" w:color="auto"/>
          </w:divBdr>
          <w:divsChild>
            <w:div w:id="209804376">
              <w:marLeft w:val="0"/>
              <w:marRight w:val="0"/>
              <w:marTop w:val="0"/>
              <w:marBottom w:val="0"/>
              <w:divBdr>
                <w:top w:val="none" w:sz="0" w:space="0" w:color="auto"/>
                <w:left w:val="none" w:sz="0" w:space="0" w:color="auto"/>
                <w:bottom w:val="none" w:sz="0" w:space="0" w:color="auto"/>
                <w:right w:val="none" w:sz="0" w:space="0" w:color="auto"/>
              </w:divBdr>
              <w:divsChild>
                <w:div w:id="1392344026">
                  <w:marLeft w:val="0"/>
                  <w:marRight w:val="0"/>
                  <w:marTop w:val="0"/>
                  <w:marBottom w:val="0"/>
                  <w:divBdr>
                    <w:top w:val="none" w:sz="0" w:space="0" w:color="auto"/>
                    <w:left w:val="none" w:sz="0" w:space="0" w:color="auto"/>
                    <w:bottom w:val="none" w:sz="0" w:space="0" w:color="auto"/>
                    <w:right w:val="none" w:sz="0" w:space="0" w:color="auto"/>
                  </w:divBdr>
                  <w:divsChild>
                    <w:div w:id="151696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9817">
              <w:marLeft w:val="0"/>
              <w:marRight w:val="0"/>
              <w:marTop w:val="0"/>
              <w:marBottom w:val="0"/>
              <w:divBdr>
                <w:top w:val="none" w:sz="0" w:space="0" w:color="auto"/>
                <w:left w:val="none" w:sz="0" w:space="0" w:color="auto"/>
                <w:bottom w:val="none" w:sz="0" w:space="0" w:color="auto"/>
                <w:right w:val="none" w:sz="0" w:space="0" w:color="auto"/>
              </w:divBdr>
              <w:divsChild>
                <w:div w:id="2037652713">
                  <w:marLeft w:val="0"/>
                  <w:marRight w:val="0"/>
                  <w:marTop w:val="0"/>
                  <w:marBottom w:val="0"/>
                  <w:divBdr>
                    <w:top w:val="none" w:sz="0" w:space="0" w:color="auto"/>
                    <w:left w:val="none" w:sz="0" w:space="0" w:color="auto"/>
                    <w:bottom w:val="none" w:sz="0" w:space="0" w:color="auto"/>
                    <w:right w:val="none" w:sz="0" w:space="0" w:color="auto"/>
                  </w:divBdr>
                  <w:divsChild>
                    <w:div w:id="1950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7620">
              <w:marLeft w:val="0"/>
              <w:marRight w:val="0"/>
              <w:marTop w:val="0"/>
              <w:marBottom w:val="0"/>
              <w:divBdr>
                <w:top w:val="none" w:sz="0" w:space="0" w:color="auto"/>
                <w:left w:val="none" w:sz="0" w:space="0" w:color="auto"/>
                <w:bottom w:val="none" w:sz="0" w:space="0" w:color="auto"/>
                <w:right w:val="none" w:sz="0" w:space="0" w:color="auto"/>
              </w:divBdr>
              <w:divsChild>
                <w:div w:id="995915521">
                  <w:marLeft w:val="0"/>
                  <w:marRight w:val="0"/>
                  <w:marTop w:val="0"/>
                  <w:marBottom w:val="0"/>
                  <w:divBdr>
                    <w:top w:val="none" w:sz="0" w:space="0" w:color="auto"/>
                    <w:left w:val="none" w:sz="0" w:space="0" w:color="auto"/>
                    <w:bottom w:val="none" w:sz="0" w:space="0" w:color="auto"/>
                    <w:right w:val="none" w:sz="0" w:space="0" w:color="auto"/>
                  </w:divBdr>
                  <w:divsChild>
                    <w:div w:id="8736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5059">
              <w:marLeft w:val="0"/>
              <w:marRight w:val="0"/>
              <w:marTop w:val="0"/>
              <w:marBottom w:val="0"/>
              <w:divBdr>
                <w:top w:val="none" w:sz="0" w:space="0" w:color="auto"/>
                <w:left w:val="none" w:sz="0" w:space="0" w:color="auto"/>
                <w:bottom w:val="none" w:sz="0" w:space="0" w:color="auto"/>
                <w:right w:val="none" w:sz="0" w:space="0" w:color="auto"/>
              </w:divBdr>
              <w:divsChild>
                <w:div w:id="280888388">
                  <w:marLeft w:val="0"/>
                  <w:marRight w:val="0"/>
                  <w:marTop w:val="0"/>
                  <w:marBottom w:val="0"/>
                  <w:divBdr>
                    <w:top w:val="none" w:sz="0" w:space="0" w:color="auto"/>
                    <w:left w:val="none" w:sz="0" w:space="0" w:color="auto"/>
                    <w:bottom w:val="none" w:sz="0" w:space="0" w:color="auto"/>
                    <w:right w:val="none" w:sz="0" w:space="0" w:color="auto"/>
                  </w:divBdr>
                  <w:divsChild>
                    <w:div w:id="10040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6177">
              <w:marLeft w:val="0"/>
              <w:marRight w:val="0"/>
              <w:marTop w:val="0"/>
              <w:marBottom w:val="0"/>
              <w:divBdr>
                <w:top w:val="none" w:sz="0" w:space="0" w:color="auto"/>
                <w:left w:val="none" w:sz="0" w:space="0" w:color="auto"/>
                <w:bottom w:val="none" w:sz="0" w:space="0" w:color="auto"/>
                <w:right w:val="none" w:sz="0" w:space="0" w:color="auto"/>
              </w:divBdr>
              <w:divsChild>
                <w:div w:id="217209530">
                  <w:marLeft w:val="0"/>
                  <w:marRight w:val="0"/>
                  <w:marTop w:val="0"/>
                  <w:marBottom w:val="0"/>
                  <w:divBdr>
                    <w:top w:val="none" w:sz="0" w:space="0" w:color="auto"/>
                    <w:left w:val="none" w:sz="0" w:space="0" w:color="auto"/>
                    <w:bottom w:val="none" w:sz="0" w:space="0" w:color="auto"/>
                    <w:right w:val="none" w:sz="0" w:space="0" w:color="auto"/>
                  </w:divBdr>
                  <w:divsChild>
                    <w:div w:id="14882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6657">
              <w:marLeft w:val="0"/>
              <w:marRight w:val="0"/>
              <w:marTop w:val="0"/>
              <w:marBottom w:val="0"/>
              <w:divBdr>
                <w:top w:val="none" w:sz="0" w:space="0" w:color="auto"/>
                <w:left w:val="none" w:sz="0" w:space="0" w:color="auto"/>
                <w:bottom w:val="none" w:sz="0" w:space="0" w:color="auto"/>
                <w:right w:val="none" w:sz="0" w:space="0" w:color="auto"/>
              </w:divBdr>
              <w:divsChild>
                <w:div w:id="1352487946">
                  <w:marLeft w:val="0"/>
                  <w:marRight w:val="0"/>
                  <w:marTop w:val="0"/>
                  <w:marBottom w:val="0"/>
                  <w:divBdr>
                    <w:top w:val="none" w:sz="0" w:space="0" w:color="auto"/>
                    <w:left w:val="none" w:sz="0" w:space="0" w:color="auto"/>
                    <w:bottom w:val="none" w:sz="0" w:space="0" w:color="auto"/>
                    <w:right w:val="none" w:sz="0" w:space="0" w:color="auto"/>
                  </w:divBdr>
                  <w:divsChild>
                    <w:div w:id="6627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4608">
              <w:marLeft w:val="0"/>
              <w:marRight w:val="0"/>
              <w:marTop w:val="0"/>
              <w:marBottom w:val="0"/>
              <w:divBdr>
                <w:top w:val="none" w:sz="0" w:space="0" w:color="auto"/>
                <w:left w:val="none" w:sz="0" w:space="0" w:color="auto"/>
                <w:bottom w:val="none" w:sz="0" w:space="0" w:color="auto"/>
                <w:right w:val="none" w:sz="0" w:space="0" w:color="auto"/>
              </w:divBdr>
              <w:divsChild>
                <w:div w:id="851605093">
                  <w:marLeft w:val="0"/>
                  <w:marRight w:val="0"/>
                  <w:marTop w:val="0"/>
                  <w:marBottom w:val="0"/>
                  <w:divBdr>
                    <w:top w:val="none" w:sz="0" w:space="0" w:color="auto"/>
                    <w:left w:val="none" w:sz="0" w:space="0" w:color="auto"/>
                    <w:bottom w:val="none" w:sz="0" w:space="0" w:color="auto"/>
                    <w:right w:val="none" w:sz="0" w:space="0" w:color="auto"/>
                  </w:divBdr>
                  <w:divsChild>
                    <w:div w:id="477579671">
                      <w:marLeft w:val="0"/>
                      <w:marRight w:val="0"/>
                      <w:marTop w:val="0"/>
                      <w:marBottom w:val="0"/>
                      <w:divBdr>
                        <w:top w:val="none" w:sz="0" w:space="0" w:color="auto"/>
                        <w:left w:val="none" w:sz="0" w:space="0" w:color="auto"/>
                        <w:bottom w:val="none" w:sz="0" w:space="0" w:color="auto"/>
                        <w:right w:val="none" w:sz="0" w:space="0" w:color="auto"/>
                      </w:divBdr>
                      <w:divsChild>
                        <w:div w:id="1240480226">
                          <w:marLeft w:val="0"/>
                          <w:marRight w:val="0"/>
                          <w:marTop w:val="0"/>
                          <w:marBottom w:val="0"/>
                          <w:divBdr>
                            <w:top w:val="none" w:sz="0" w:space="0" w:color="auto"/>
                            <w:left w:val="none" w:sz="0" w:space="0" w:color="auto"/>
                            <w:bottom w:val="none" w:sz="0" w:space="0" w:color="auto"/>
                            <w:right w:val="none" w:sz="0" w:space="0" w:color="auto"/>
                          </w:divBdr>
                        </w:div>
                      </w:divsChild>
                    </w:div>
                    <w:div w:id="1441339603">
                      <w:marLeft w:val="0"/>
                      <w:marRight w:val="0"/>
                      <w:marTop w:val="0"/>
                      <w:marBottom w:val="0"/>
                      <w:divBdr>
                        <w:top w:val="none" w:sz="0" w:space="0" w:color="auto"/>
                        <w:left w:val="none" w:sz="0" w:space="0" w:color="auto"/>
                        <w:bottom w:val="none" w:sz="0" w:space="0" w:color="auto"/>
                        <w:right w:val="none" w:sz="0" w:space="0" w:color="auto"/>
                      </w:divBdr>
                      <w:divsChild>
                        <w:div w:id="2070418829">
                          <w:marLeft w:val="0"/>
                          <w:marRight w:val="0"/>
                          <w:marTop w:val="0"/>
                          <w:marBottom w:val="0"/>
                          <w:divBdr>
                            <w:top w:val="none" w:sz="0" w:space="0" w:color="auto"/>
                            <w:left w:val="none" w:sz="0" w:space="0" w:color="auto"/>
                            <w:bottom w:val="none" w:sz="0" w:space="0" w:color="auto"/>
                            <w:right w:val="none" w:sz="0" w:space="0" w:color="auto"/>
                          </w:divBdr>
                        </w:div>
                      </w:divsChild>
                    </w:div>
                    <w:div w:id="1923568558">
                      <w:marLeft w:val="0"/>
                      <w:marRight w:val="0"/>
                      <w:marTop w:val="0"/>
                      <w:marBottom w:val="0"/>
                      <w:divBdr>
                        <w:top w:val="none" w:sz="0" w:space="0" w:color="auto"/>
                        <w:left w:val="none" w:sz="0" w:space="0" w:color="auto"/>
                        <w:bottom w:val="none" w:sz="0" w:space="0" w:color="auto"/>
                        <w:right w:val="none" w:sz="0" w:space="0" w:color="auto"/>
                      </w:divBdr>
                      <w:divsChild>
                        <w:div w:id="203101343">
                          <w:marLeft w:val="0"/>
                          <w:marRight w:val="0"/>
                          <w:marTop w:val="0"/>
                          <w:marBottom w:val="0"/>
                          <w:divBdr>
                            <w:top w:val="none" w:sz="0" w:space="0" w:color="auto"/>
                            <w:left w:val="none" w:sz="0" w:space="0" w:color="auto"/>
                            <w:bottom w:val="none" w:sz="0" w:space="0" w:color="auto"/>
                            <w:right w:val="none" w:sz="0" w:space="0" w:color="auto"/>
                          </w:divBdr>
                          <w:divsChild>
                            <w:div w:id="1843814677">
                              <w:marLeft w:val="0"/>
                              <w:marRight w:val="0"/>
                              <w:marTop w:val="0"/>
                              <w:marBottom w:val="0"/>
                              <w:divBdr>
                                <w:top w:val="none" w:sz="0" w:space="0" w:color="auto"/>
                                <w:left w:val="none" w:sz="0" w:space="0" w:color="auto"/>
                                <w:bottom w:val="none" w:sz="0" w:space="0" w:color="auto"/>
                                <w:right w:val="none" w:sz="0" w:space="0" w:color="auto"/>
                              </w:divBdr>
                            </w:div>
                          </w:divsChild>
                        </w:div>
                        <w:div w:id="359622715">
                          <w:marLeft w:val="0"/>
                          <w:marRight w:val="0"/>
                          <w:marTop w:val="0"/>
                          <w:marBottom w:val="0"/>
                          <w:divBdr>
                            <w:top w:val="none" w:sz="0" w:space="0" w:color="auto"/>
                            <w:left w:val="none" w:sz="0" w:space="0" w:color="auto"/>
                            <w:bottom w:val="none" w:sz="0" w:space="0" w:color="auto"/>
                            <w:right w:val="none" w:sz="0" w:space="0" w:color="auto"/>
                          </w:divBdr>
                          <w:divsChild>
                            <w:div w:id="1655791713">
                              <w:marLeft w:val="0"/>
                              <w:marRight w:val="0"/>
                              <w:marTop w:val="0"/>
                              <w:marBottom w:val="0"/>
                              <w:divBdr>
                                <w:top w:val="none" w:sz="0" w:space="0" w:color="auto"/>
                                <w:left w:val="none" w:sz="0" w:space="0" w:color="auto"/>
                                <w:bottom w:val="none" w:sz="0" w:space="0" w:color="auto"/>
                                <w:right w:val="none" w:sz="0" w:space="0" w:color="auto"/>
                              </w:divBdr>
                            </w:div>
                          </w:divsChild>
                        </w:div>
                        <w:div w:id="571351986">
                          <w:marLeft w:val="0"/>
                          <w:marRight w:val="0"/>
                          <w:marTop w:val="0"/>
                          <w:marBottom w:val="0"/>
                          <w:divBdr>
                            <w:top w:val="none" w:sz="0" w:space="0" w:color="auto"/>
                            <w:left w:val="none" w:sz="0" w:space="0" w:color="auto"/>
                            <w:bottom w:val="none" w:sz="0" w:space="0" w:color="auto"/>
                            <w:right w:val="none" w:sz="0" w:space="0" w:color="auto"/>
                          </w:divBdr>
                          <w:divsChild>
                            <w:div w:id="1656563405">
                              <w:marLeft w:val="0"/>
                              <w:marRight w:val="0"/>
                              <w:marTop w:val="0"/>
                              <w:marBottom w:val="0"/>
                              <w:divBdr>
                                <w:top w:val="none" w:sz="0" w:space="0" w:color="auto"/>
                                <w:left w:val="none" w:sz="0" w:space="0" w:color="auto"/>
                                <w:bottom w:val="none" w:sz="0" w:space="0" w:color="auto"/>
                                <w:right w:val="none" w:sz="0" w:space="0" w:color="auto"/>
                              </w:divBdr>
                            </w:div>
                          </w:divsChild>
                        </w:div>
                        <w:div w:id="571736350">
                          <w:marLeft w:val="0"/>
                          <w:marRight w:val="0"/>
                          <w:marTop w:val="0"/>
                          <w:marBottom w:val="0"/>
                          <w:divBdr>
                            <w:top w:val="none" w:sz="0" w:space="0" w:color="auto"/>
                            <w:left w:val="none" w:sz="0" w:space="0" w:color="auto"/>
                            <w:bottom w:val="none" w:sz="0" w:space="0" w:color="auto"/>
                            <w:right w:val="none" w:sz="0" w:space="0" w:color="auto"/>
                          </w:divBdr>
                          <w:divsChild>
                            <w:div w:id="997922245">
                              <w:marLeft w:val="0"/>
                              <w:marRight w:val="0"/>
                              <w:marTop w:val="0"/>
                              <w:marBottom w:val="0"/>
                              <w:divBdr>
                                <w:top w:val="none" w:sz="0" w:space="0" w:color="auto"/>
                                <w:left w:val="none" w:sz="0" w:space="0" w:color="auto"/>
                                <w:bottom w:val="none" w:sz="0" w:space="0" w:color="auto"/>
                                <w:right w:val="none" w:sz="0" w:space="0" w:color="auto"/>
                              </w:divBdr>
                            </w:div>
                          </w:divsChild>
                        </w:div>
                        <w:div w:id="1066992479">
                          <w:marLeft w:val="0"/>
                          <w:marRight w:val="0"/>
                          <w:marTop w:val="0"/>
                          <w:marBottom w:val="0"/>
                          <w:divBdr>
                            <w:top w:val="none" w:sz="0" w:space="0" w:color="auto"/>
                            <w:left w:val="none" w:sz="0" w:space="0" w:color="auto"/>
                            <w:bottom w:val="none" w:sz="0" w:space="0" w:color="auto"/>
                            <w:right w:val="none" w:sz="0" w:space="0" w:color="auto"/>
                          </w:divBdr>
                          <w:divsChild>
                            <w:div w:id="999187398">
                              <w:marLeft w:val="0"/>
                              <w:marRight w:val="0"/>
                              <w:marTop w:val="0"/>
                              <w:marBottom w:val="0"/>
                              <w:divBdr>
                                <w:top w:val="none" w:sz="0" w:space="0" w:color="auto"/>
                                <w:left w:val="none" w:sz="0" w:space="0" w:color="auto"/>
                                <w:bottom w:val="none" w:sz="0" w:space="0" w:color="auto"/>
                                <w:right w:val="none" w:sz="0" w:space="0" w:color="auto"/>
                              </w:divBdr>
                            </w:div>
                          </w:divsChild>
                        </w:div>
                        <w:div w:id="1395545647">
                          <w:marLeft w:val="0"/>
                          <w:marRight w:val="0"/>
                          <w:marTop w:val="0"/>
                          <w:marBottom w:val="0"/>
                          <w:divBdr>
                            <w:top w:val="none" w:sz="0" w:space="0" w:color="auto"/>
                            <w:left w:val="none" w:sz="0" w:space="0" w:color="auto"/>
                            <w:bottom w:val="none" w:sz="0" w:space="0" w:color="auto"/>
                            <w:right w:val="none" w:sz="0" w:space="0" w:color="auto"/>
                          </w:divBdr>
                          <w:divsChild>
                            <w:div w:id="346062682">
                              <w:marLeft w:val="0"/>
                              <w:marRight w:val="0"/>
                              <w:marTop w:val="0"/>
                              <w:marBottom w:val="0"/>
                              <w:divBdr>
                                <w:top w:val="none" w:sz="0" w:space="0" w:color="auto"/>
                                <w:left w:val="none" w:sz="0" w:space="0" w:color="auto"/>
                                <w:bottom w:val="none" w:sz="0" w:space="0" w:color="auto"/>
                                <w:right w:val="none" w:sz="0" w:space="0" w:color="auto"/>
                              </w:divBdr>
                            </w:div>
                          </w:divsChild>
                        </w:div>
                        <w:div w:id="1509517114">
                          <w:marLeft w:val="0"/>
                          <w:marRight w:val="0"/>
                          <w:marTop w:val="0"/>
                          <w:marBottom w:val="0"/>
                          <w:divBdr>
                            <w:top w:val="none" w:sz="0" w:space="0" w:color="auto"/>
                            <w:left w:val="none" w:sz="0" w:space="0" w:color="auto"/>
                            <w:bottom w:val="none" w:sz="0" w:space="0" w:color="auto"/>
                            <w:right w:val="none" w:sz="0" w:space="0" w:color="auto"/>
                          </w:divBdr>
                          <w:divsChild>
                            <w:div w:id="214684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15998">
                      <w:marLeft w:val="0"/>
                      <w:marRight w:val="0"/>
                      <w:marTop w:val="0"/>
                      <w:marBottom w:val="0"/>
                      <w:divBdr>
                        <w:top w:val="none" w:sz="0" w:space="0" w:color="auto"/>
                        <w:left w:val="none" w:sz="0" w:space="0" w:color="auto"/>
                        <w:bottom w:val="none" w:sz="0" w:space="0" w:color="auto"/>
                        <w:right w:val="none" w:sz="0" w:space="0" w:color="auto"/>
                      </w:divBdr>
                      <w:divsChild>
                        <w:div w:id="1093740006">
                          <w:marLeft w:val="0"/>
                          <w:marRight w:val="0"/>
                          <w:marTop w:val="0"/>
                          <w:marBottom w:val="0"/>
                          <w:divBdr>
                            <w:top w:val="none" w:sz="0" w:space="0" w:color="auto"/>
                            <w:left w:val="none" w:sz="0" w:space="0" w:color="auto"/>
                            <w:bottom w:val="none" w:sz="0" w:space="0" w:color="auto"/>
                            <w:right w:val="none" w:sz="0" w:space="0" w:color="auto"/>
                          </w:divBdr>
                        </w:div>
                        <w:div w:id="17673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6785">
              <w:marLeft w:val="0"/>
              <w:marRight w:val="0"/>
              <w:marTop w:val="0"/>
              <w:marBottom w:val="0"/>
              <w:divBdr>
                <w:top w:val="none" w:sz="0" w:space="0" w:color="auto"/>
                <w:left w:val="none" w:sz="0" w:space="0" w:color="auto"/>
                <w:bottom w:val="none" w:sz="0" w:space="0" w:color="auto"/>
                <w:right w:val="none" w:sz="0" w:space="0" w:color="auto"/>
              </w:divBdr>
              <w:divsChild>
                <w:div w:id="319769199">
                  <w:marLeft w:val="0"/>
                  <w:marRight w:val="0"/>
                  <w:marTop w:val="0"/>
                  <w:marBottom w:val="0"/>
                  <w:divBdr>
                    <w:top w:val="none" w:sz="0" w:space="0" w:color="auto"/>
                    <w:left w:val="none" w:sz="0" w:space="0" w:color="auto"/>
                    <w:bottom w:val="none" w:sz="0" w:space="0" w:color="auto"/>
                    <w:right w:val="none" w:sz="0" w:space="0" w:color="auto"/>
                  </w:divBdr>
                  <w:divsChild>
                    <w:div w:id="2035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2419">
              <w:marLeft w:val="0"/>
              <w:marRight w:val="0"/>
              <w:marTop w:val="0"/>
              <w:marBottom w:val="0"/>
              <w:divBdr>
                <w:top w:val="none" w:sz="0" w:space="0" w:color="auto"/>
                <w:left w:val="none" w:sz="0" w:space="0" w:color="auto"/>
                <w:bottom w:val="none" w:sz="0" w:space="0" w:color="auto"/>
                <w:right w:val="none" w:sz="0" w:space="0" w:color="auto"/>
              </w:divBdr>
              <w:divsChild>
                <w:div w:id="2008093044">
                  <w:marLeft w:val="0"/>
                  <w:marRight w:val="0"/>
                  <w:marTop w:val="0"/>
                  <w:marBottom w:val="0"/>
                  <w:divBdr>
                    <w:top w:val="none" w:sz="0" w:space="0" w:color="auto"/>
                    <w:left w:val="none" w:sz="0" w:space="0" w:color="auto"/>
                    <w:bottom w:val="none" w:sz="0" w:space="0" w:color="auto"/>
                    <w:right w:val="none" w:sz="0" w:space="0" w:color="auto"/>
                  </w:divBdr>
                  <w:divsChild>
                    <w:div w:id="7584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1356">
              <w:marLeft w:val="0"/>
              <w:marRight w:val="0"/>
              <w:marTop w:val="0"/>
              <w:marBottom w:val="0"/>
              <w:divBdr>
                <w:top w:val="none" w:sz="0" w:space="0" w:color="auto"/>
                <w:left w:val="none" w:sz="0" w:space="0" w:color="auto"/>
                <w:bottom w:val="none" w:sz="0" w:space="0" w:color="auto"/>
                <w:right w:val="none" w:sz="0" w:space="0" w:color="auto"/>
              </w:divBdr>
              <w:divsChild>
                <w:div w:id="406735505">
                  <w:marLeft w:val="0"/>
                  <w:marRight w:val="0"/>
                  <w:marTop w:val="0"/>
                  <w:marBottom w:val="0"/>
                  <w:divBdr>
                    <w:top w:val="none" w:sz="0" w:space="0" w:color="auto"/>
                    <w:left w:val="none" w:sz="0" w:space="0" w:color="auto"/>
                    <w:bottom w:val="none" w:sz="0" w:space="0" w:color="auto"/>
                    <w:right w:val="none" w:sz="0" w:space="0" w:color="auto"/>
                  </w:divBdr>
                  <w:divsChild>
                    <w:div w:id="13518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876">
              <w:marLeft w:val="0"/>
              <w:marRight w:val="0"/>
              <w:marTop w:val="0"/>
              <w:marBottom w:val="0"/>
              <w:divBdr>
                <w:top w:val="none" w:sz="0" w:space="0" w:color="auto"/>
                <w:left w:val="none" w:sz="0" w:space="0" w:color="auto"/>
                <w:bottom w:val="none" w:sz="0" w:space="0" w:color="auto"/>
                <w:right w:val="none" w:sz="0" w:space="0" w:color="auto"/>
              </w:divBdr>
              <w:divsChild>
                <w:div w:id="402070965">
                  <w:marLeft w:val="0"/>
                  <w:marRight w:val="0"/>
                  <w:marTop w:val="0"/>
                  <w:marBottom w:val="0"/>
                  <w:divBdr>
                    <w:top w:val="none" w:sz="0" w:space="0" w:color="auto"/>
                    <w:left w:val="none" w:sz="0" w:space="0" w:color="auto"/>
                    <w:bottom w:val="none" w:sz="0" w:space="0" w:color="auto"/>
                    <w:right w:val="none" w:sz="0" w:space="0" w:color="auto"/>
                  </w:divBdr>
                  <w:divsChild>
                    <w:div w:id="8346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43741">
              <w:marLeft w:val="0"/>
              <w:marRight w:val="0"/>
              <w:marTop w:val="0"/>
              <w:marBottom w:val="0"/>
              <w:divBdr>
                <w:top w:val="none" w:sz="0" w:space="0" w:color="auto"/>
                <w:left w:val="none" w:sz="0" w:space="0" w:color="auto"/>
                <w:bottom w:val="none" w:sz="0" w:space="0" w:color="auto"/>
                <w:right w:val="none" w:sz="0" w:space="0" w:color="auto"/>
              </w:divBdr>
              <w:divsChild>
                <w:div w:id="738138552">
                  <w:marLeft w:val="0"/>
                  <w:marRight w:val="0"/>
                  <w:marTop w:val="0"/>
                  <w:marBottom w:val="0"/>
                  <w:divBdr>
                    <w:top w:val="none" w:sz="0" w:space="0" w:color="auto"/>
                    <w:left w:val="none" w:sz="0" w:space="0" w:color="auto"/>
                    <w:bottom w:val="none" w:sz="0" w:space="0" w:color="auto"/>
                    <w:right w:val="none" w:sz="0" w:space="0" w:color="auto"/>
                  </w:divBdr>
                  <w:divsChild>
                    <w:div w:id="9152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1381">
              <w:marLeft w:val="0"/>
              <w:marRight w:val="0"/>
              <w:marTop w:val="0"/>
              <w:marBottom w:val="0"/>
              <w:divBdr>
                <w:top w:val="none" w:sz="0" w:space="0" w:color="auto"/>
                <w:left w:val="none" w:sz="0" w:space="0" w:color="auto"/>
                <w:bottom w:val="none" w:sz="0" w:space="0" w:color="auto"/>
                <w:right w:val="none" w:sz="0" w:space="0" w:color="auto"/>
              </w:divBdr>
              <w:divsChild>
                <w:div w:id="908343285">
                  <w:marLeft w:val="0"/>
                  <w:marRight w:val="0"/>
                  <w:marTop w:val="0"/>
                  <w:marBottom w:val="0"/>
                  <w:divBdr>
                    <w:top w:val="none" w:sz="0" w:space="0" w:color="auto"/>
                    <w:left w:val="none" w:sz="0" w:space="0" w:color="auto"/>
                    <w:bottom w:val="none" w:sz="0" w:space="0" w:color="auto"/>
                    <w:right w:val="none" w:sz="0" w:space="0" w:color="auto"/>
                  </w:divBdr>
                  <w:divsChild>
                    <w:div w:id="5933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49836">
              <w:marLeft w:val="0"/>
              <w:marRight w:val="0"/>
              <w:marTop w:val="0"/>
              <w:marBottom w:val="0"/>
              <w:divBdr>
                <w:top w:val="none" w:sz="0" w:space="0" w:color="auto"/>
                <w:left w:val="none" w:sz="0" w:space="0" w:color="auto"/>
                <w:bottom w:val="none" w:sz="0" w:space="0" w:color="auto"/>
                <w:right w:val="none" w:sz="0" w:space="0" w:color="auto"/>
              </w:divBdr>
              <w:divsChild>
                <w:div w:id="982857567">
                  <w:marLeft w:val="0"/>
                  <w:marRight w:val="0"/>
                  <w:marTop w:val="0"/>
                  <w:marBottom w:val="0"/>
                  <w:divBdr>
                    <w:top w:val="none" w:sz="0" w:space="0" w:color="auto"/>
                    <w:left w:val="none" w:sz="0" w:space="0" w:color="auto"/>
                    <w:bottom w:val="none" w:sz="0" w:space="0" w:color="auto"/>
                    <w:right w:val="none" w:sz="0" w:space="0" w:color="auto"/>
                  </w:divBdr>
                  <w:divsChild>
                    <w:div w:id="17171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1155">
              <w:marLeft w:val="0"/>
              <w:marRight w:val="0"/>
              <w:marTop w:val="0"/>
              <w:marBottom w:val="0"/>
              <w:divBdr>
                <w:top w:val="none" w:sz="0" w:space="0" w:color="auto"/>
                <w:left w:val="none" w:sz="0" w:space="0" w:color="auto"/>
                <w:bottom w:val="none" w:sz="0" w:space="0" w:color="auto"/>
                <w:right w:val="none" w:sz="0" w:space="0" w:color="auto"/>
              </w:divBdr>
              <w:divsChild>
                <w:div w:id="220167729">
                  <w:marLeft w:val="0"/>
                  <w:marRight w:val="0"/>
                  <w:marTop w:val="0"/>
                  <w:marBottom w:val="0"/>
                  <w:divBdr>
                    <w:top w:val="none" w:sz="0" w:space="0" w:color="auto"/>
                    <w:left w:val="none" w:sz="0" w:space="0" w:color="auto"/>
                    <w:bottom w:val="none" w:sz="0" w:space="0" w:color="auto"/>
                    <w:right w:val="none" w:sz="0" w:space="0" w:color="auto"/>
                  </w:divBdr>
                  <w:divsChild>
                    <w:div w:id="12259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2194">
              <w:marLeft w:val="0"/>
              <w:marRight w:val="0"/>
              <w:marTop w:val="0"/>
              <w:marBottom w:val="0"/>
              <w:divBdr>
                <w:top w:val="none" w:sz="0" w:space="0" w:color="auto"/>
                <w:left w:val="none" w:sz="0" w:space="0" w:color="auto"/>
                <w:bottom w:val="none" w:sz="0" w:space="0" w:color="auto"/>
                <w:right w:val="none" w:sz="0" w:space="0" w:color="auto"/>
              </w:divBdr>
              <w:divsChild>
                <w:div w:id="1473214929">
                  <w:marLeft w:val="0"/>
                  <w:marRight w:val="0"/>
                  <w:marTop w:val="0"/>
                  <w:marBottom w:val="0"/>
                  <w:divBdr>
                    <w:top w:val="none" w:sz="0" w:space="0" w:color="auto"/>
                    <w:left w:val="none" w:sz="0" w:space="0" w:color="auto"/>
                    <w:bottom w:val="none" w:sz="0" w:space="0" w:color="auto"/>
                    <w:right w:val="none" w:sz="0" w:space="0" w:color="auto"/>
                  </w:divBdr>
                  <w:divsChild>
                    <w:div w:id="12395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9530">
              <w:marLeft w:val="0"/>
              <w:marRight w:val="0"/>
              <w:marTop w:val="0"/>
              <w:marBottom w:val="0"/>
              <w:divBdr>
                <w:top w:val="none" w:sz="0" w:space="0" w:color="auto"/>
                <w:left w:val="none" w:sz="0" w:space="0" w:color="auto"/>
                <w:bottom w:val="none" w:sz="0" w:space="0" w:color="auto"/>
                <w:right w:val="none" w:sz="0" w:space="0" w:color="auto"/>
              </w:divBdr>
              <w:divsChild>
                <w:div w:id="1735010203">
                  <w:marLeft w:val="0"/>
                  <w:marRight w:val="0"/>
                  <w:marTop w:val="0"/>
                  <w:marBottom w:val="0"/>
                  <w:divBdr>
                    <w:top w:val="none" w:sz="0" w:space="0" w:color="auto"/>
                    <w:left w:val="none" w:sz="0" w:space="0" w:color="auto"/>
                    <w:bottom w:val="none" w:sz="0" w:space="0" w:color="auto"/>
                    <w:right w:val="none" w:sz="0" w:space="0" w:color="auto"/>
                  </w:divBdr>
                  <w:divsChild>
                    <w:div w:id="11822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13359">
              <w:marLeft w:val="0"/>
              <w:marRight w:val="0"/>
              <w:marTop w:val="0"/>
              <w:marBottom w:val="0"/>
              <w:divBdr>
                <w:top w:val="none" w:sz="0" w:space="0" w:color="auto"/>
                <w:left w:val="none" w:sz="0" w:space="0" w:color="auto"/>
                <w:bottom w:val="none" w:sz="0" w:space="0" w:color="auto"/>
                <w:right w:val="none" w:sz="0" w:space="0" w:color="auto"/>
              </w:divBdr>
              <w:divsChild>
                <w:div w:id="1059282540">
                  <w:marLeft w:val="0"/>
                  <w:marRight w:val="0"/>
                  <w:marTop w:val="0"/>
                  <w:marBottom w:val="0"/>
                  <w:divBdr>
                    <w:top w:val="none" w:sz="0" w:space="0" w:color="auto"/>
                    <w:left w:val="none" w:sz="0" w:space="0" w:color="auto"/>
                    <w:bottom w:val="none" w:sz="0" w:space="0" w:color="auto"/>
                    <w:right w:val="none" w:sz="0" w:space="0" w:color="auto"/>
                  </w:divBdr>
                  <w:divsChild>
                    <w:div w:id="3164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5980">
              <w:marLeft w:val="0"/>
              <w:marRight w:val="0"/>
              <w:marTop w:val="0"/>
              <w:marBottom w:val="0"/>
              <w:divBdr>
                <w:top w:val="none" w:sz="0" w:space="0" w:color="auto"/>
                <w:left w:val="none" w:sz="0" w:space="0" w:color="auto"/>
                <w:bottom w:val="none" w:sz="0" w:space="0" w:color="auto"/>
                <w:right w:val="none" w:sz="0" w:space="0" w:color="auto"/>
              </w:divBdr>
              <w:divsChild>
                <w:div w:id="593788526">
                  <w:marLeft w:val="0"/>
                  <w:marRight w:val="0"/>
                  <w:marTop w:val="0"/>
                  <w:marBottom w:val="0"/>
                  <w:divBdr>
                    <w:top w:val="none" w:sz="0" w:space="0" w:color="auto"/>
                    <w:left w:val="none" w:sz="0" w:space="0" w:color="auto"/>
                    <w:bottom w:val="none" w:sz="0" w:space="0" w:color="auto"/>
                    <w:right w:val="none" w:sz="0" w:space="0" w:color="auto"/>
                  </w:divBdr>
                  <w:divsChild>
                    <w:div w:id="9122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7869">
              <w:marLeft w:val="0"/>
              <w:marRight w:val="0"/>
              <w:marTop w:val="0"/>
              <w:marBottom w:val="0"/>
              <w:divBdr>
                <w:top w:val="none" w:sz="0" w:space="0" w:color="auto"/>
                <w:left w:val="none" w:sz="0" w:space="0" w:color="auto"/>
                <w:bottom w:val="none" w:sz="0" w:space="0" w:color="auto"/>
                <w:right w:val="none" w:sz="0" w:space="0" w:color="auto"/>
              </w:divBdr>
              <w:divsChild>
                <w:div w:id="1320882844">
                  <w:marLeft w:val="0"/>
                  <w:marRight w:val="0"/>
                  <w:marTop w:val="0"/>
                  <w:marBottom w:val="0"/>
                  <w:divBdr>
                    <w:top w:val="none" w:sz="0" w:space="0" w:color="auto"/>
                    <w:left w:val="none" w:sz="0" w:space="0" w:color="auto"/>
                    <w:bottom w:val="none" w:sz="0" w:space="0" w:color="auto"/>
                    <w:right w:val="none" w:sz="0" w:space="0" w:color="auto"/>
                  </w:divBdr>
                  <w:divsChild>
                    <w:div w:id="20045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13959">
      <w:bodyDiv w:val="1"/>
      <w:marLeft w:val="0"/>
      <w:marRight w:val="0"/>
      <w:marTop w:val="0"/>
      <w:marBottom w:val="0"/>
      <w:divBdr>
        <w:top w:val="none" w:sz="0" w:space="0" w:color="auto"/>
        <w:left w:val="none" w:sz="0" w:space="0" w:color="auto"/>
        <w:bottom w:val="none" w:sz="0" w:space="0" w:color="auto"/>
        <w:right w:val="none" w:sz="0" w:space="0" w:color="auto"/>
      </w:divBdr>
      <w:divsChild>
        <w:div w:id="428277924">
          <w:marLeft w:val="0"/>
          <w:marRight w:val="0"/>
          <w:marTop w:val="0"/>
          <w:marBottom w:val="0"/>
          <w:divBdr>
            <w:top w:val="none" w:sz="0" w:space="0" w:color="auto"/>
            <w:left w:val="none" w:sz="0" w:space="0" w:color="auto"/>
            <w:bottom w:val="none" w:sz="0" w:space="0" w:color="auto"/>
            <w:right w:val="none" w:sz="0" w:space="0" w:color="auto"/>
          </w:divBdr>
          <w:divsChild>
            <w:div w:id="1764912713">
              <w:marLeft w:val="0"/>
              <w:marRight w:val="0"/>
              <w:marTop w:val="0"/>
              <w:marBottom w:val="0"/>
              <w:divBdr>
                <w:top w:val="none" w:sz="0" w:space="0" w:color="auto"/>
                <w:left w:val="none" w:sz="0" w:space="0" w:color="auto"/>
                <w:bottom w:val="none" w:sz="0" w:space="0" w:color="auto"/>
                <w:right w:val="none" w:sz="0" w:space="0" w:color="auto"/>
              </w:divBdr>
              <w:divsChild>
                <w:div w:id="4909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829">
      <w:bodyDiv w:val="1"/>
      <w:marLeft w:val="0"/>
      <w:marRight w:val="0"/>
      <w:marTop w:val="0"/>
      <w:marBottom w:val="0"/>
      <w:divBdr>
        <w:top w:val="none" w:sz="0" w:space="0" w:color="auto"/>
        <w:left w:val="none" w:sz="0" w:space="0" w:color="auto"/>
        <w:bottom w:val="none" w:sz="0" w:space="0" w:color="auto"/>
        <w:right w:val="none" w:sz="0" w:space="0" w:color="auto"/>
      </w:divBdr>
      <w:divsChild>
        <w:div w:id="267736264">
          <w:marLeft w:val="0"/>
          <w:marRight w:val="0"/>
          <w:marTop w:val="0"/>
          <w:marBottom w:val="0"/>
          <w:divBdr>
            <w:top w:val="none" w:sz="0" w:space="0" w:color="auto"/>
            <w:left w:val="none" w:sz="0" w:space="0" w:color="auto"/>
            <w:bottom w:val="none" w:sz="0" w:space="0" w:color="auto"/>
            <w:right w:val="none" w:sz="0" w:space="0" w:color="auto"/>
          </w:divBdr>
          <w:divsChild>
            <w:div w:id="219174832">
              <w:marLeft w:val="0"/>
              <w:marRight w:val="0"/>
              <w:marTop w:val="0"/>
              <w:marBottom w:val="0"/>
              <w:divBdr>
                <w:top w:val="none" w:sz="0" w:space="0" w:color="auto"/>
                <w:left w:val="none" w:sz="0" w:space="0" w:color="auto"/>
                <w:bottom w:val="none" w:sz="0" w:space="0" w:color="auto"/>
                <w:right w:val="none" w:sz="0" w:space="0" w:color="auto"/>
              </w:divBdr>
              <w:divsChild>
                <w:div w:id="758528414">
                  <w:marLeft w:val="0"/>
                  <w:marRight w:val="0"/>
                  <w:marTop w:val="0"/>
                  <w:marBottom w:val="0"/>
                  <w:divBdr>
                    <w:top w:val="none" w:sz="0" w:space="0" w:color="auto"/>
                    <w:left w:val="none" w:sz="0" w:space="0" w:color="auto"/>
                    <w:bottom w:val="none" w:sz="0" w:space="0" w:color="auto"/>
                    <w:right w:val="none" w:sz="0" w:space="0" w:color="auto"/>
                  </w:divBdr>
                  <w:divsChild>
                    <w:div w:id="7991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03594">
      <w:bodyDiv w:val="1"/>
      <w:marLeft w:val="0"/>
      <w:marRight w:val="0"/>
      <w:marTop w:val="0"/>
      <w:marBottom w:val="0"/>
      <w:divBdr>
        <w:top w:val="none" w:sz="0" w:space="0" w:color="auto"/>
        <w:left w:val="none" w:sz="0" w:space="0" w:color="auto"/>
        <w:bottom w:val="none" w:sz="0" w:space="0" w:color="auto"/>
        <w:right w:val="none" w:sz="0" w:space="0" w:color="auto"/>
      </w:divBdr>
    </w:div>
    <w:div w:id="385839007">
      <w:bodyDiv w:val="1"/>
      <w:marLeft w:val="0"/>
      <w:marRight w:val="0"/>
      <w:marTop w:val="0"/>
      <w:marBottom w:val="0"/>
      <w:divBdr>
        <w:top w:val="none" w:sz="0" w:space="0" w:color="auto"/>
        <w:left w:val="none" w:sz="0" w:space="0" w:color="auto"/>
        <w:bottom w:val="none" w:sz="0" w:space="0" w:color="auto"/>
        <w:right w:val="none" w:sz="0" w:space="0" w:color="auto"/>
      </w:divBdr>
      <w:divsChild>
        <w:div w:id="1129281559">
          <w:marLeft w:val="0"/>
          <w:marRight w:val="0"/>
          <w:marTop w:val="0"/>
          <w:marBottom w:val="0"/>
          <w:divBdr>
            <w:top w:val="none" w:sz="0" w:space="0" w:color="auto"/>
            <w:left w:val="none" w:sz="0" w:space="0" w:color="auto"/>
            <w:bottom w:val="none" w:sz="0" w:space="0" w:color="auto"/>
            <w:right w:val="none" w:sz="0" w:space="0" w:color="auto"/>
          </w:divBdr>
          <w:divsChild>
            <w:div w:id="1342243705">
              <w:marLeft w:val="0"/>
              <w:marRight w:val="0"/>
              <w:marTop w:val="0"/>
              <w:marBottom w:val="165"/>
              <w:divBdr>
                <w:top w:val="none" w:sz="0" w:space="0" w:color="auto"/>
                <w:left w:val="none" w:sz="0" w:space="0" w:color="auto"/>
                <w:bottom w:val="none" w:sz="0" w:space="0" w:color="auto"/>
                <w:right w:val="none" w:sz="0" w:space="0" w:color="auto"/>
              </w:divBdr>
            </w:div>
          </w:divsChild>
        </w:div>
        <w:div w:id="1957592013">
          <w:marLeft w:val="0"/>
          <w:marRight w:val="0"/>
          <w:marTop w:val="165"/>
          <w:marBottom w:val="165"/>
          <w:divBdr>
            <w:top w:val="none" w:sz="0" w:space="0" w:color="auto"/>
            <w:left w:val="none" w:sz="0" w:space="0" w:color="auto"/>
            <w:bottom w:val="none" w:sz="0" w:space="0" w:color="auto"/>
            <w:right w:val="none" w:sz="0" w:space="0" w:color="auto"/>
          </w:divBdr>
          <w:divsChild>
            <w:div w:id="118115176">
              <w:marLeft w:val="0"/>
              <w:marRight w:val="0"/>
              <w:marTop w:val="0"/>
              <w:marBottom w:val="0"/>
              <w:divBdr>
                <w:top w:val="none" w:sz="0" w:space="0" w:color="auto"/>
                <w:left w:val="none" w:sz="0" w:space="0" w:color="auto"/>
                <w:bottom w:val="none" w:sz="0" w:space="0" w:color="auto"/>
                <w:right w:val="none" w:sz="0" w:space="0" w:color="auto"/>
              </w:divBdr>
              <w:divsChild>
                <w:div w:id="763765996">
                  <w:marLeft w:val="0"/>
                  <w:marRight w:val="300"/>
                  <w:marTop w:val="0"/>
                  <w:marBottom w:val="0"/>
                  <w:divBdr>
                    <w:top w:val="none" w:sz="0" w:space="0" w:color="auto"/>
                    <w:left w:val="none" w:sz="0" w:space="0" w:color="auto"/>
                    <w:bottom w:val="none" w:sz="0" w:space="0" w:color="auto"/>
                    <w:right w:val="none" w:sz="0" w:space="0" w:color="auto"/>
                  </w:divBdr>
                  <w:divsChild>
                    <w:div w:id="826434446">
                      <w:marLeft w:val="0"/>
                      <w:marRight w:val="75"/>
                      <w:marTop w:val="0"/>
                      <w:marBottom w:val="0"/>
                      <w:divBdr>
                        <w:top w:val="none" w:sz="0" w:space="0" w:color="auto"/>
                        <w:left w:val="none" w:sz="0" w:space="0" w:color="auto"/>
                        <w:bottom w:val="none" w:sz="0" w:space="0" w:color="auto"/>
                        <w:right w:val="none" w:sz="0" w:space="0" w:color="auto"/>
                      </w:divBdr>
                    </w:div>
                    <w:div w:id="1752199144">
                      <w:marLeft w:val="0"/>
                      <w:marRight w:val="0"/>
                      <w:marTop w:val="0"/>
                      <w:marBottom w:val="0"/>
                      <w:divBdr>
                        <w:top w:val="none" w:sz="0" w:space="0" w:color="auto"/>
                        <w:left w:val="none" w:sz="0" w:space="0" w:color="auto"/>
                        <w:bottom w:val="none" w:sz="0" w:space="0" w:color="auto"/>
                        <w:right w:val="none" w:sz="0" w:space="0" w:color="auto"/>
                      </w:divBdr>
                    </w:div>
                  </w:divsChild>
                </w:div>
                <w:div w:id="1957180216">
                  <w:marLeft w:val="0"/>
                  <w:marRight w:val="0"/>
                  <w:marTop w:val="0"/>
                  <w:marBottom w:val="0"/>
                  <w:divBdr>
                    <w:top w:val="none" w:sz="0" w:space="0" w:color="auto"/>
                    <w:left w:val="none" w:sz="0" w:space="0" w:color="auto"/>
                    <w:bottom w:val="none" w:sz="0" w:space="0" w:color="auto"/>
                    <w:right w:val="none" w:sz="0" w:space="0" w:color="auto"/>
                  </w:divBdr>
                  <w:divsChild>
                    <w:div w:id="16285929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765268391">
              <w:marLeft w:val="0"/>
              <w:marRight w:val="0"/>
              <w:marTop w:val="0"/>
              <w:marBottom w:val="0"/>
              <w:divBdr>
                <w:top w:val="none" w:sz="0" w:space="0" w:color="auto"/>
                <w:left w:val="none" w:sz="0" w:space="0" w:color="auto"/>
                <w:bottom w:val="none" w:sz="0" w:space="0" w:color="auto"/>
                <w:right w:val="none" w:sz="0" w:space="0" w:color="auto"/>
              </w:divBdr>
              <w:divsChild>
                <w:div w:id="78068869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390812610">
      <w:bodyDiv w:val="1"/>
      <w:marLeft w:val="0"/>
      <w:marRight w:val="0"/>
      <w:marTop w:val="0"/>
      <w:marBottom w:val="0"/>
      <w:divBdr>
        <w:top w:val="none" w:sz="0" w:space="0" w:color="auto"/>
        <w:left w:val="none" w:sz="0" w:space="0" w:color="auto"/>
        <w:bottom w:val="none" w:sz="0" w:space="0" w:color="auto"/>
        <w:right w:val="none" w:sz="0" w:space="0" w:color="auto"/>
      </w:divBdr>
      <w:divsChild>
        <w:div w:id="487134203">
          <w:marLeft w:val="0"/>
          <w:marRight w:val="0"/>
          <w:marTop w:val="0"/>
          <w:marBottom w:val="0"/>
          <w:divBdr>
            <w:top w:val="none" w:sz="0" w:space="0" w:color="auto"/>
            <w:left w:val="none" w:sz="0" w:space="0" w:color="auto"/>
            <w:bottom w:val="none" w:sz="0" w:space="0" w:color="auto"/>
            <w:right w:val="none" w:sz="0" w:space="0" w:color="auto"/>
          </w:divBdr>
          <w:divsChild>
            <w:div w:id="1765224602">
              <w:marLeft w:val="0"/>
              <w:marRight w:val="0"/>
              <w:marTop w:val="0"/>
              <w:marBottom w:val="0"/>
              <w:divBdr>
                <w:top w:val="none" w:sz="0" w:space="0" w:color="auto"/>
                <w:left w:val="none" w:sz="0" w:space="0" w:color="auto"/>
                <w:bottom w:val="none" w:sz="0" w:space="0" w:color="auto"/>
                <w:right w:val="none" w:sz="0" w:space="0" w:color="auto"/>
              </w:divBdr>
              <w:divsChild>
                <w:div w:id="1921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9229">
      <w:bodyDiv w:val="1"/>
      <w:marLeft w:val="0"/>
      <w:marRight w:val="0"/>
      <w:marTop w:val="0"/>
      <w:marBottom w:val="0"/>
      <w:divBdr>
        <w:top w:val="none" w:sz="0" w:space="0" w:color="auto"/>
        <w:left w:val="none" w:sz="0" w:space="0" w:color="auto"/>
        <w:bottom w:val="none" w:sz="0" w:space="0" w:color="auto"/>
        <w:right w:val="none" w:sz="0" w:space="0" w:color="auto"/>
      </w:divBdr>
    </w:div>
    <w:div w:id="400642483">
      <w:bodyDiv w:val="1"/>
      <w:marLeft w:val="0"/>
      <w:marRight w:val="0"/>
      <w:marTop w:val="0"/>
      <w:marBottom w:val="0"/>
      <w:divBdr>
        <w:top w:val="none" w:sz="0" w:space="0" w:color="auto"/>
        <w:left w:val="none" w:sz="0" w:space="0" w:color="auto"/>
        <w:bottom w:val="none" w:sz="0" w:space="0" w:color="auto"/>
        <w:right w:val="none" w:sz="0" w:space="0" w:color="auto"/>
      </w:divBdr>
    </w:div>
    <w:div w:id="401177537">
      <w:bodyDiv w:val="1"/>
      <w:marLeft w:val="0"/>
      <w:marRight w:val="0"/>
      <w:marTop w:val="0"/>
      <w:marBottom w:val="0"/>
      <w:divBdr>
        <w:top w:val="none" w:sz="0" w:space="0" w:color="auto"/>
        <w:left w:val="none" w:sz="0" w:space="0" w:color="auto"/>
        <w:bottom w:val="none" w:sz="0" w:space="0" w:color="auto"/>
        <w:right w:val="none" w:sz="0" w:space="0" w:color="auto"/>
      </w:divBdr>
    </w:div>
    <w:div w:id="431705839">
      <w:bodyDiv w:val="1"/>
      <w:marLeft w:val="0"/>
      <w:marRight w:val="0"/>
      <w:marTop w:val="0"/>
      <w:marBottom w:val="0"/>
      <w:divBdr>
        <w:top w:val="none" w:sz="0" w:space="0" w:color="auto"/>
        <w:left w:val="none" w:sz="0" w:space="0" w:color="auto"/>
        <w:bottom w:val="none" w:sz="0" w:space="0" w:color="auto"/>
        <w:right w:val="none" w:sz="0" w:space="0" w:color="auto"/>
      </w:divBdr>
      <w:divsChild>
        <w:div w:id="279267463">
          <w:marLeft w:val="547"/>
          <w:marRight w:val="0"/>
          <w:marTop w:val="0"/>
          <w:marBottom w:val="0"/>
          <w:divBdr>
            <w:top w:val="none" w:sz="0" w:space="0" w:color="auto"/>
            <w:left w:val="none" w:sz="0" w:space="0" w:color="auto"/>
            <w:bottom w:val="none" w:sz="0" w:space="0" w:color="auto"/>
            <w:right w:val="none" w:sz="0" w:space="0" w:color="auto"/>
          </w:divBdr>
        </w:div>
        <w:div w:id="513418570">
          <w:marLeft w:val="547"/>
          <w:marRight w:val="0"/>
          <w:marTop w:val="0"/>
          <w:marBottom w:val="0"/>
          <w:divBdr>
            <w:top w:val="none" w:sz="0" w:space="0" w:color="auto"/>
            <w:left w:val="none" w:sz="0" w:space="0" w:color="auto"/>
            <w:bottom w:val="none" w:sz="0" w:space="0" w:color="auto"/>
            <w:right w:val="none" w:sz="0" w:space="0" w:color="auto"/>
          </w:divBdr>
        </w:div>
        <w:div w:id="1777630185">
          <w:marLeft w:val="547"/>
          <w:marRight w:val="0"/>
          <w:marTop w:val="0"/>
          <w:marBottom w:val="0"/>
          <w:divBdr>
            <w:top w:val="none" w:sz="0" w:space="0" w:color="auto"/>
            <w:left w:val="none" w:sz="0" w:space="0" w:color="auto"/>
            <w:bottom w:val="none" w:sz="0" w:space="0" w:color="auto"/>
            <w:right w:val="none" w:sz="0" w:space="0" w:color="auto"/>
          </w:divBdr>
        </w:div>
        <w:div w:id="1853565975">
          <w:marLeft w:val="547"/>
          <w:marRight w:val="0"/>
          <w:marTop w:val="0"/>
          <w:marBottom w:val="0"/>
          <w:divBdr>
            <w:top w:val="none" w:sz="0" w:space="0" w:color="auto"/>
            <w:left w:val="none" w:sz="0" w:space="0" w:color="auto"/>
            <w:bottom w:val="none" w:sz="0" w:space="0" w:color="auto"/>
            <w:right w:val="none" w:sz="0" w:space="0" w:color="auto"/>
          </w:divBdr>
        </w:div>
      </w:divsChild>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71142568">
      <w:bodyDiv w:val="1"/>
      <w:marLeft w:val="0"/>
      <w:marRight w:val="0"/>
      <w:marTop w:val="0"/>
      <w:marBottom w:val="0"/>
      <w:divBdr>
        <w:top w:val="none" w:sz="0" w:space="0" w:color="auto"/>
        <w:left w:val="none" w:sz="0" w:space="0" w:color="auto"/>
        <w:bottom w:val="none" w:sz="0" w:space="0" w:color="auto"/>
        <w:right w:val="none" w:sz="0" w:space="0" w:color="auto"/>
      </w:divBdr>
      <w:divsChild>
        <w:div w:id="1860318049">
          <w:marLeft w:val="0"/>
          <w:marRight w:val="0"/>
          <w:marTop w:val="0"/>
          <w:marBottom w:val="0"/>
          <w:divBdr>
            <w:top w:val="none" w:sz="0" w:space="0" w:color="auto"/>
            <w:left w:val="none" w:sz="0" w:space="0" w:color="auto"/>
            <w:bottom w:val="none" w:sz="0" w:space="0" w:color="auto"/>
            <w:right w:val="none" w:sz="0" w:space="0" w:color="auto"/>
          </w:divBdr>
          <w:divsChild>
            <w:div w:id="1802651189">
              <w:marLeft w:val="0"/>
              <w:marRight w:val="0"/>
              <w:marTop w:val="0"/>
              <w:marBottom w:val="0"/>
              <w:divBdr>
                <w:top w:val="none" w:sz="0" w:space="0" w:color="auto"/>
                <w:left w:val="none" w:sz="0" w:space="0" w:color="auto"/>
                <w:bottom w:val="none" w:sz="0" w:space="0" w:color="auto"/>
                <w:right w:val="none" w:sz="0" w:space="0" w:color="auto"/>
              </w:divBdr>
              <w:divsChild>
                <w:div w:id="781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1903">
      <w:bodyDiv w:val="1"/>
      <w:marLeft w:val="0"/>
      <w:marRight w:val="0"/>
      <w:marTop w:val="0"/>
      <w:marBottom w:val="0"/>
      <w:divBdr>
        <w:top w:val="none" w:sz="0" w:space="0" w:color="auto"/>
        <w:left w:val="none" w:sz="0" w:space="0" w:color="auto"/>
        <w:bottom w:val="none" w:sz="0" w:space="0" w:color="auto"/>
        <w:right w:val="none" w:sz="0" w:space="0" w:color="auto"/>
      </w:divBdr>
      <w:divsChild>
        <w:div w:id="1140924636">
          <w:marLeft w:val="0"/>
          <w:marRight w:val="0"/>
          <w:marTop w:val="0"/>
          <w:marBottom w:val="0"/>
          <w:divBdr>
            <w:top w:val="none" w:sz="0" w:space="0" w:color="auto"/>
            <w:left w:val="none" w:sz="0" w:space="0" w:color="auto"/>
            <w:bottom w:val="none" w:sz="0" w:space="0" w:color="auto"/>
            <w:right w:val="none" w:sz="0" w:space="0" w:color="auto"/>
          </w:divBdr>
        </w:div>
        <w:div w:id="1770392875">
          <w:marLeft w:val="0"/>
          <w:marRight w:val="0"/>
          <w:marTop w:val="0"/>
          <w:marBottom w:val="0"/>
          <w:divBdr>
            <w:top w:val="none" w:sz="0" w:space="0" w:color="auto"/>
            <w:left w:val="none" w:sz="0" w:space="0" w:color="auto"/>
            <w:bottom w:val="none" w:sz="0" w:space="0" w:color="auto"/>
            <w:right w:val="none" w:sz="0" w:space="0" w:color="auto"/>
          </w:divBdr>
        </w:div>
      </w:divsChild>
    </w:div>
    <w:div w:id="476802548">
      <w:bodyDiv w:val="1"/>
      <w:marLeft w:val="0"/>
      <w:marRight w:val="0"/>
      <w:marTop w:val="0"/>
      <w:marBottom w:val="0"/>
      <w:divBdr>
        <w:top w:val="none" w:sz="0" w:space="0" w:color="auto"/>
        <w:left w:val="none" w:sz="0" w:space="0" w:color="auto"/>
        <w:bottom w:val="none" w:sz="0" w:space="0" w:color="auto"/>
        <w:right w:val="none" w:sz="0" w:space="0" w:color="auto"/>
      </w:divBdr>
    </w:div>
    <w:div w:id="544827726">
      <w:bodyDiv w:val="1"/>
      <w:marLeft w:val="0"/>
      <w:marRight w:val="0"/>
      <w:marTop w:val="0"/>
      <w:marBottom w:val="0"/>
      <w:divBdr>
        <w:top w:val="none" w:sz="0" w:space="0" w:color="auto"/>
        <w:left w:val="none" w:sz="0" w:space="0" w:color="auto"/>
        <w:bottom w:val="none" w:sz="0" w:space="0" w:color="auto"/>
        <w:right w:val="none" w:sz="0" w:space="0" w:color="auto"/>
      </w:divBdr>
      <w:divsChild>
        <w:div w:id="1794518370">
          <w:marLeft w:val="0"/>
          <w:marRight w:val="0"/>
          <w:marTop w:val="0"/>
          <w:marBottom w:val="0"/>
          <w:divBdr>
            <w:top w:val="none" w:sz="0" w:space="0" w:color="auto"/>
            <w:left w:val="none" w:sz="0" w:space="0" w:color="auto"/>
            <w:bottom w:val="none" w:sz="0" w:space="0" w:color="auto"/>
            <w:right w:val="none" w:sz="0" w:space="0" w:color="auto"/>
          </w:divBdr>
          <w:divsChild>
            <w:div w:id="2094355765">
              <w:marLeft w:val="0"/>
              <w:marRight w:val="0"/>
              <w:marTop w:val="0"/>
              <w:marBottom w:val="0"/>
              <w:divBdr>
                <w:top w:val="none" w:sz="0" w:space="0" w:color="auto"/>
                <w:left w:val="none" w:sz="0" w:space="0" w:color="auto"/>
                <w:bottom w:val="none" w:sz="0" w:space="0" w:color="auto"/>
                <w:right w:val="none" w:sz="0" w:space="0" w:color="auto"/>
              </w:divBdr>
              <w:divsChild>
                <w:div w:id="859244551">
                  <w:marLeft w:val="0"/>
                  <w:marRight w:val="0"/>
                  <w:marTop w:val="0"/>
                  <w:marBottom w:val="0"/>
                  <w:divBdr>
                    <w:top w:val="none" w:sz="0" w:space="0" w:color="auto"/>
                    <w:left w:val="none" w:sz="0" w:space="0" w:color="auto"/>
                    <w:bottom w:val="none" w:sz="0" w:space="0" w:color="auto"/>
                    <w:right w:val="none" w:sz="0" w:space="0" w:color="auto"/>
                  </w:divBdr>
                  <w:divsChild>
                    <w:div w:id="172139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48330">
      <w:bodyDiv w:val="1"/>
      <w:marLeft w:val="0"/>
      <w:marRight w:val="0"/>
      <w:marTop w:val="0"/>
      <w:marBottom w:val="0"/>
      <w:divBdr>
        <w:top w:val="none" w:sz="0" w:space="0" w:color="auto"/>
        <w:left w:val="none" w:sz="0" w:space="0" w:color="auto"/>
        <w:bottom w:val="none" w:sz="0" w:space="0" w:color="auto"/>
        <w:right w:val="none" w:sz="0" w:space="0" w:color="auto"/>
      </w:divBdr>
    </w:div>
    <w:div w:id="552890956">
      <w:bodyDiv w:val="1"/>
      <w:marLeft w:val="0"/>
      <w:marRight w:val="0"/>
      <w:marTop w:val="0"/>
      <w:marBottom w:val="0"/>
      <w:divBdr>
        <w:top w:val="none" w:sz="0" w:space="0" w:color="auto"/>
        <w:left w:val="none" w:sz="0" w:space="0" w:color="auto"/>
        <w:bottom w:val="none" w:sz="0" w:space="0" w:color="auto"/>
        <w:right w:val="none" w:sz="0" w:space="0" w:color="auto"/>
      </w:divBdr>
    </w:div>
    <w:div w:id="589655593">
      <w:bodyDiv w:val="1"/>
      <w:marLeft w:val="0"/>
      <w:marRight w:val="0"/>
      <w:marTop w:val="0"/>
      <w:marBottom w:val="0"/>
      <w:divBdr>
        <w:top w:val="none" w:sz="0" w:space="0" w:color="auto"/>
        <w:left w:val="none" w:sz="0" w:space="0" w:color="auto"/>
        <w:bottom w:val="none" w:sz="0" w:space="0" w:color="auto"/>
        <w:right w:val="none" w:sz="0" w:space="0" w:color="auto"/>
      </w:divBdr>
    </w:div>
    <w:div w:id="604077171">
      <w:bodyDiv w:val="1"/>
      <w:marLeft w:val="0"/>
      <w:marRight w:val="0"/>
      <w:marTop w:val="0"/>
      <w:marBottom w:val="0"/>
      <w:divBdr>
        <w:top w:val="none" w:sz="0" w:space="0" w:color="auto"/>
        <w:left w:val="none" w:sz="0" w:space="0" w:color="auto"/>
        <w:bottom w:val="none" w:sz="0" w:space="0" w:color="auto"/>
        <w:right w:val="none" w:sz="0" w:space="0" w:color="auto"/>
      </w:divBdr>
    </w:div>
    <w:div w:id="609631837">
      <w:bodyDiv w:val="1"/>
      <w:marLeft w:val="0"/>
      <w:marRight w:val="0"/>
      <w:marTop w:val="0"/>
      <w:marBottom w:val="0"/>
      <w:divBdr>
        <w:top w:val="none" w:sz="0" w:space="0" w:color="auto"/>
        <w:left w:val="none" w:sz="0" w:space="0" w:color="auto"/>
        <w:bottom w:val="none" w:sz="0" w:space="0" w:color="auto"/>
        <w:right w:val="none" w:sz="0" w:space="0" w:color="auto"/>
      </w:divBdr>
    </w:div>
    <w:div w:id="613176172">
      <w:bodyDiv w:val="1"/>
      <w:marLeft w:val="0"/>
      <w:marRight w:val="0"/>
      <w:marTop w:val="0"/>
      <w:marBottom w:val="0"/>
      <w:divBdr>
        <w:top w:val="none" w:sz="0" w:space="0" w:color="auto"/>
        <w:left w:val="none" w:sz="0" w:space="0" w:color="auto"/>
        <w:bottom w:val="none" w:sz="0" w:space="0" w:color="auto"/>
        <w:right w:val="none" w:sz="0" w:space="0" w:color="auto"/>
      </w:divBdr>
      <w:divsChild>
        <w:div w:id="320545815">
          <w:marLeft w:val="0"/>
          <w:marRight w:val="0"/>
          <w:marTop w:val="0"/>
          <w:marBottom w:val="0"/>
          <w:divBdr>
            <w:top w:val="none" w:sz="0" w:space="0" w:color="auto"/>
            <w:left w:val="none" w:sz="0" w:space="0" w:color="auto"/>
            <w:bottom w:val="none" w:sz="0" w:space="0" w:color="auto"/>
            <w:right w:val="none" w:sz="0" w:space="0" w:color="auto"/>
          </w:divBdr>
          <w:divsChild>
            <w:div w:id="1096438266">
              <w:marLeft w:val="0"/>
              <w:marRight w:val="0"/>
              <w:marTop w:val="0"/>
              <w:marBottom w:val="0"/>
              <w:divBdr>
                <w:top w:val="none" w:sz="0" w:space="0" w:color="auto"/>
                <w:left w:val="none" w:sz="0" w:space="0" w:color="auto"/>
                <w:bottom w:val="none" w:sz="0" w:space="0" w:color="auto"/>
                <w:right w:val="none" w:sz="0" w:space="0" w:color="auto"/>
              </w:divBdr>
              <w:divsChild>
                <w:div w:id="148595610">
                  <w:marLeft w:val="0"/>
                  <w:marRight w:val="0"/>
                  <w:marTop w:val="0"/>
                  <w:marBottom w:val="0"/>
                  <w:divBdr>
                    <w:top w:val="none" w:sz="0" w:space="0" w:color="auto"/>
                    <w:left w:val="none" w:sz="0" w:space="0" w:color="auto"/>
                    <w:bottom w:val="none" w:sz="0" w:space="0" w:color="auto"/>
                    <w:right w:val="none" w:sz="0" w:space="0" w:color="auto"/>
                  </w:divBdr>
                  <w:divsChild>
                    <w:div w:id="10900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243043">
      <w:bodyDiv w:val="1"/>
      <w:marLeft w:val="0"/>
      <w:marRight w:val="0"/>
      <w:marTop w:val="0"/>
      <w:marBottom w:val="0"/>
      <w:divBdr>
        <w:top w:val="none" w:sz="0" w:space="0" w:color="auto"/>
        <w:left w:val="none" w:sz="0" w:space="0" w:color="auto"/>
        <w:bottom w:val="none" w:sz="0" w:space="0" w:color="auto"/>
        <w:right w:val="none" w:sz="0" w:space="0" w:color="auto"/>
      </w:divBdr>
    </w:div>
    <w:div w:id="632633873">
      <w:bodyDiv w:val="1"/>
      <w:marLeft w:val="0"/>
      <w:marRight w:val="0"/>
      <w:marTop w:val="0"/>
      <w:marBottom w:val="0"/>
      <w:divBdr>
        <w:top w:val="none" w:sz="0" w:space="0" w:color="auto"/>
        <w:left w:val="none" w:sz="0" w:space="0" w:color="auto"/>
        <w:bottom w:val="none" w:sz="0" w:space="0" w:color="auto"/>
        <w:right w:val="none" w:sz="0" w:space="0" w:color="auto"/>
      </w:divBdr>
    </w:div>
    <w:div w:id="675183696">
      <w:bodyDiv w:val="1"/>
      <w:marLeft w:val="0"/>
      <w:marRight w:val="0"/>
      <w:marTop w:val="0"/>
      <w:marBottom w:val="0"/>
      <w:divBdr>
        <w:top w:val="none" w:sz="0" w:space="0" w:color="auto"/>
        <w:left w:val="none" w:sz="0" w:space="0" w:color="auto"/>
        <w:bottom w:val="none" w:sz="0" w:space="0" w:color="auto"/>
        <w:right w:val="none" w:sz="0" w:space="0" w:color="auto"/>
      </w:divBdr>
    </w:div>
    <w:div w:id="679814223">
      <w:bodyDiv w:val="1"/>
      <w:marLeft w:val="0"/>
      <w:marRight w:val="0"/>
      <w:marTop w:val="0"/>
      <w:marBottom w:val="0"/>
      <w:divBdr>
        <w:top w:val="none" w:sz="0" w:space="0" w:color="auto"/>
        <w:left w:val="none" w:sz="0" w:space="0" w:color="auto"/>
        <w:bottom w:val="none" w:sz="0" w:space="0" w:color="auto"/>
        <w:right w:val="none" w:sz="0" w:space="0" w:color="auto"/>
      </w:divBdr>
    </w:div>
    <w:div w:id="683242258">
      <w:bodyDiv w:val="1"/>
      <w:marLeft w:val="0"/>
      <w:marRight w:val="0"/>
      <w:marTop w:val="0"/>
      <w:marBottom w:val="0"/>
      <w:divBdr>
        <w:top w:val="none" w:sz="0" w:space="0" w:color="auto"/>
        <w:left w:val="none" w:sz="0" w:space="0" w:color="auto"/>
        <w:bottom w:val="none" w:sz="0" w:space="0" w:color="auto"/>
        <w:right w:val="none" w:sz="0" w:space="0" w:color="auto"/>
      </w:divBdr>
    </w:div>
    <w:div w:id="683477371">
      <w:bodyDiv w:val="1"/>
      <w:marLeft w:val="0"/>
      <w:marRight w:val="0"/>
      <w:marTop w:val="0"/>
      <w:marBottom w:val="0"/>
      <w:divBdr>
        <w:top w:val="none" w:sz="0" w:space="0" w:color="auto"/>
        <w:left w:val="none" w:sz="0" w:space="0" w:color="auto"/>
        <w:bottom w:val="none" w:sz="0" w:space="0" w:color="auto"/>
        <w:right w:val="none" w:sz="0" w:space="0" w:color="auto"/>
      </w:divBdr>
    </w:div>
    <w:div w:id="690884971">
      <w:bodyDiv w:val="1"/>
      <w:marLeft w:val="0"/>
      <w:marRight w:val="0"/>
      <w:marTop w:val="0"/>
      <w:marBottom w:val="0"/>
      <w:divBdr>
        <w:top w:val="none" w:sz="0" w:space="0" w:color="auto"/>
        <w:left w:val="none" w:sz="0" w:space="0" w:color="auto"/>
        <w:bottom w:val="none" w:sz="0" w:space="0" w:color="auto"/>
        <w:right w:val="none" w:sz="0" w:space="0" w:color="auto"/>
      </w:divBdr>
    </w:div>
    <w:div w:id="695037562">
      <w:bodyDiv w:val="1"/>
      <w:marLeft w:val="0"/>
      <w:marRight w:val="0"/>
      <w:marTop w:val="0"/>
      <w:marBottom w:val="0"/>
      <w:divBdr>
        <w:top w:val="none" w:sz="0" w:space="0" w:color="auto"/>
        <w:left w:val="none" w:sz="0" w:space="0" w:color="auto"/>
        <w:bottom w:val="none" w:sz="0" w:space="0" w:color="auto"/>
        <w:right w:val="none" w:sz="0" w:space="0" w:color="auto"/>
      </w:divBdr>
    </w:div>
    <w:div w:id="725951670">
      <w:bodyDiv w:val="1"/>
      <w:marLeft w:val="0"/>
      <w:marRight w:val="0"/>
      <w:marTop w:val="0"/>
      <w:marBottom w:val="0"/>
      <w:divBdr>
        <w:top w:val="none" w:sz="0" w:space="0" w:color="auto"/>
        <w:left w:val="none" w:sz="0" w:space="0" w:color="auto"/>
        <w:bottom w:val="none" w:sz="0" w:space="0" w:color="auto"/>
        <w:right w:val="none" w:sz="0" w:space="0" w:color="auto"/>
      </w:divBdr>
      <w:divsChild>
        <w:div w:id="35666973">
          <w:marLeft w:val="0"/>
          <w:marRight w:val="0"/>
          <w:marTop w:val="0"/>
          <w:marBottom w:val="0"/>
          <w:divBdr>
            <w:top w:val="none" w:sz="0" w:space="0" w:color="auto"/>
            <w:left w:val="none" w:sz="0" w:space="0" w:color="auto"/>
            <w:bottom w:val="none" w:sz="0" w:space="0" w:color="auto"/>
            <w:right w:val="none" w:sz="0" w:space="0" w:color="auto"/>
          </w:divBdr>
          <w:divsChild>
            <w:div w:id="1427119343">
              <w:marLeft w:val="0"/>
              <w:marRight w:val="0"/>
              <w:marTop w:val="0"/>
              <w:marBottom w:val="0"/>
              <w:divBdr>
                <w:top w:val="none" w:sz="0" w:space="0" w:color="auto"/>
                <w:left w:val="none" w:sz="0" w:space="0" w:color="auto"/>
                <w:bottom w:val="none" w:sz="0" w:space="0" w:color="auto"/>
                <w:right w:val="none" w:sz="0" w:space="0" w:color="auto"/>
              </w:divBdr>
              <w:divsChild>
                <w:div w:id="20067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0699">
      <w:bodyDiv w:val="1"/>
      <w:marLeft w:val="0"/>
      <w:marRight w:val="0"/>
      <w:marTop w:val="0"/>
      <w:marBottom w:val="0"/>
      <w:divBdr>
        <w:top w:val="none" w:sz="0" w:space="0" w:color="auto"/>
        <w:left w:val="none" w:sz="0" w:space="0" w:color="auto"/>
        <w:bottom w:val="none" w:sz="0" w:space="0" w:color="auto"/>
        <w:right w:val="none" w:sz="0" w:space="0" w:color="auto"/>
      </w:divBdr>
    </w:div>
    <w:div w:id="741104409">
      <w:bodyDiv w:val="1"/>
      <w:marLeft w:val="0"/>
      <w:marRight w:val="0"/>
      <w:marTop w:val="0"/>
      <w:marBottom w:val="0"/>
      <w:divBdr>
        <w:top w:val="none" w:sz="0" w:space="0" w:color="auto"/>
        <w:left w:val="none" w:sz="0" w:space="0" w:color="auto"/>
        <w:bottom w:val="none" w:sz="0" w:space="0" w:color="auto"/>
        <w:right w:val="none" w:sz="0" w:space="0" w:color="auto"/>
      </w:divBdr>
    </w:div>
    <w:div w:id="742726452">
      <w:bodyDiv w:val="1"/>
      <w:marLeft w:val="0"/>
      <w:marRight w:val="0"/>
      <w:marTop w:val="0"/>
      <w:marBottom w:val="0"/>
      <w:divBdr>
        <w:top w:val="none" w:sz="0" w:space="0" w:color="auto"/>
        <w:left w:val="none" w:sz="0" w:space="0" w:color="auto"/>
        <w:bottom w:val="none" w:sz="0" w:space="0" w:color="auto"/>
        <w:right w:val="none" w:sz="0" w:space="0" w:color="auto"/>
      </w:divBdr>
      <w:divsChild>
        <w:div w:id="547495202">
          <w:marLeft w:val="0"/>
          <w:marRight w:val="0"/>
          <w:marTop w:val="0"/>
          <w:marBottom w:val="0"/>
          <w:divBdr>
            <w:top w:val="none" w:sz="0" w:space="0" w:color="auto"/>
            <w:left w:val="none" w:sz="0" w:space="0" w:color="auto"/>
            <w:bottom w:val="none" w:sz="0" w:space="0" w:color="auto"/>
            <w:right w:val="none" w:sz="0" w:space="0" w:color="auto"/>
          </w:divBdr>
          <w:divsChild>
            <w:div w:id="1336498853">
              <w:marLeft w:val="0"/>
              <w:marRight w:val="0"/>
              <w:marTop w:val="0"/>
              <w:marBottom w:val="0"/>
              <w:divBdr>
                <w:top w:val="none" w:sz="0" w:space="0" w:color="auto"/>
                <w:left w:val="none" w:sz="0" w:space="0" w:color="auto"/>
                <w:bottom w:val="none" w:sz="0" w:space="0" w:color="auto"/>
                <w:right w:val="none" w:sz="0" w:space="0" w:color="auto"/>
              </w:divBdr>
              <w:divsChild>
                <w:div w:id="14340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44688">
      <w:bodyDiv w:val="1"/>
      <w:marLeft w:val="0"/>
      <w:marRight w:val="0"/>
      <w:marTop w:val="0"/>
      <w:marBottom w:val="0"/>
      <w:divBdr>
        <w:top w:val="none" w:sz="0" w:space="0" w:color="auto"/>
        <w:left w:val="none" w:sz="0" w:space="0" w:color="auto"/>
        <w:bottom w:val="none" w:sz="0" w:space="0" w:color="auto"/>
        <w:right w:val="none" w:sz="0" w:space="0" w:color="auto"/>
      </w:divBdr>
      <w:divsChild>
        <w:div w:id="176771098">
          <w:marLeft w:val="0"/>
          <w:marRight w:val="0"/>
          <w:marTop w:val="0"/>
          <w:marBottom w:val="0"/>
          <w:divBdr>
            <w:top w:val="none" w:sz="0" w:space="0" w:color="auto"/>
            <w:left w:val="none" w:sz="0" w:space="0" w:color="auto"/>
            <w:bottom w:val="none" w:sz="0" w:space="0" w:color="auto"/>
            <w:right w:val="none" w:sz="0" w:space="0" w:color="auto"/>
          </w:divBdr>
        </w:div>
        <w:div w:id="255023311">
          <w:marLeft w:val="0"/>
          <w:marRight w:val="0"/>
          <w:marTop w:val="0"/>
          <w:marBottom w:val="0"/>
          <w:divBdr>
            <w:top w:val="none" w:sz="0" w:space="0" w:color="auto"/>
            <w:left w:val="none" w:sz="0" w:space="0" w:color="auto"/>
            <w:bottom w:val="none" w:sz="0" w:space="0" w:color="auto"/>
            <w:right w:val="none" w:sz="0" w:space="0" w:color="auto"/>
          </w:divBdr>
        </w:div>
        <w:div w:id="1704086724">
          <w:marLeft w:val="0"/>
          <w:marRight w:val="0"/>
          <w:marTop w:val="0"/>
          <w:marBottom w:val="0"/>
          <w:divBdr>
            <w:top w:val="none" w:sz="0" w:space="0" w:color="auto"/>
            <w:left w:val="none" w:sz="0" w:space="0" w:color="auto"/>
            <w:bottom w:val="none" w:sz="0" w:space="0" w:color="auto"/>
            <w:right w:val="none" w:sz="0" w:space="0" w:color="auto"/>
          </w:divBdr>
        </w:div>
      </w:divsChild>
    </w:div>
    <w:div w:id="779878650">
      <w:bodyDiv w:val="1"/>
      <w:marLeft w:val="0"/>
      <w:marRight w:val="0"/>
      <w:marTop w:val="0"/>
      <w:marBottom w:val="0"/>
      <w:divBdr>
        <w:top w:val="none" w:sz="0" w:space="0" w:color="auto"/>
        <w:left w:val="none" w:sz="0" w:space="0" w:color="auto"/>
        <w:bottom w:val="none" w:sz="0" w:space="0" w:color="auto"/>
        <w:right w:val="none" w:sz="0" w:space="0" w:color="auto"/>
      </w:divBdr>
    </w:div>
    <w:div w:id="784538367">
      <w:bodyDiv w:val="1"/>
      <w:marLeft w:val="0"/>
      <w:marRight w:val="0"/>
      <w:marTop w:val="0"/>
      <w:marBottom w:val="0"/>
      <w:divBdr>
        <w:top w:val="none" w:sz="0" w:space="0" w:color="auto"/>
        <w:left w:val="none" w:sz="0" w:space="0" w:color="auto"/>
        <w:bottom w:val="none" w:sz="0" w:space="0" w:color="auto"/>
        <w:right w:val="none" w:sz="0" w:space="0" w:color="auto"/>
      </w:divBdr>
    </w:div>
    <w:div w:id="787243687">
      <w:bodyDiv w:val="1"/>
      <w:marLeft w:val="0"/>
      <w:marRight w:val="0"/>
      <w:marTop w:val="0"/>
      <w:marBottom w:val="0"/>
      <w:divBdr>
        <w:top w:val="none" w:sz="0" w:space="0" w:color="auto"/>
        <w:left w:val="none" w:sz="0" w:space="0" w:color="auto"/>
        <w:bottom w:val="none" w:sz="0" w:space="0" w:color="auto"/>
        <w:right w:val="none" w:sz="0" w:space="0" w:color="auto"/>
      </w:divBdr>
    </w:div>
    <w:div w:id="790053238">
      <w:bodyDiv w:val="1"/>
      <w:marLeft w:val="0"/>
      <w:marRight w:val="0"/>
      <w:marTop w:val="0"/>
      <w:marBottom w:val="0"/>
      <w:divBdr>
        <w:top w:val="none" w:sz="0" w:space="0" w:color="auto"/>
        <w:left w:val="none" w:sz="0" w:space="0" w:color="auto"/>
        <w:bottom w:val="none" w:sz="0" w:space="0" w:color="auto"/>
        <w:right w:val="none" w:sz="0" w:space="0" w:color="auto"/>
      </w:divBdr>
      <w:divsChild>
        <w:div w:id="2093886752">
          <w:marLeft w:val="0"/>
          <w:marRight w:val="0"/>
          <w:marTop w:val="0"/>
          <w:marBottom w:val="0"/>
          <w:divBdr>
            <w:top w:val="none" w:sz="0" w:space="0" w:color="auto"/>
            <w:left w:val="none" w:sz="0" w:space="0" w:color="auto"/>
            <w:bottom w:val="none" w:sz="0" w:space="0" w:color="auto"/>
            <w:right w:val="none" w:sz="0" w:space="0" w:color="auto"/>
          </w:divBdr>
          <w:divsChild>
            <w:div w:id="2140880450">
              <w:marLeft w:val="0"/>
              <w:marRight w:val="0"/>
              <w:marTop w:val="0"/>
              <w:marBottom w:val="0"/>
              <w:divBdr>
                <w:top w:val="none" w:sz="0" w:space="0" w:color="auto"/>
                <w:left w:val="none" w:sz="0" w:space="0" w:color="auto"/>
                <w:bottom w:val="none" w:sz="0" w:space="0" w:color="auto"/>
                <w:right w:val="none" w:sz="0" w:space="0" w:color="auto"/>
              </w:divBdr>
              <w:divsChild>
                <w:div w:id="7572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3730">
      <w:bodyDiv w:val="1"/>
      <w:marLeft w:val="0"/>
      <w:marRight w:val="0"/>
      <w:marTop w:val="0"/>
      <w:marBottom w:val="0"/>
      <w:divBdr>
        <w:top w:val="none" w:sz="0" w:space="0" w:color="auto"/>
        <w:left w:val="none" w:sz="0" w:space="0" w:color="auto"/>
        <w:bottom w:val="none" w:sz="0" w:space="0" w:color="auto"/>
        <w:right w:val="none" w:sz="0" w:space="0" w:color="auto"/>
      </w:divBdr>
      <w:divsChild>
        <w:div w:id="54738616">
          <w:marLeft w:val="0"/>
          <w:marRight w:val="0"/>
          <w:marTop w:val="0"/>
          <w:marBottom w:val="0"/>
          <w:divBdr>
            <w:top w:val="none" w:sz="0" w:space="0" w:color="auto"/>
            <w:left w:val="none" w:sz="0" w:space="0" w:color="auto"/>
            <w:bottom w:val="none" w:sz="0" w:space="0" w:color="auto"/>
            <w:right w:val="none" w:sz="0" w:space="0" w:color="auto"/>
          </w:divBdr>
          <w:divsChild>
            <w:div w:id="118570162">
              <w:marLeft w:val="0"/>
              <w:marRight w:val="0"/>
              <w:marTop w:val="0"/>
              <w:marBottom w:val="0"/>
              <w:divBdr>
                <w:top w:val="none" w:sz="0" w:space="0" w:color="auto"/>
                <w:left w:val="none" w:sz="0" w:space="0" w:color="auto"/>
                <w:bottom w:val="none" w:sz="0" w:space="0" w:color="auto"/>
                <w:right w:val="none" w:sz="0" w:space="0" w:color="auto"/>
              </w:divBdr>
              <w:divsChild>
                <w:div w:id="1208881310">
                  <w:marLeft w:val="0"/>
                  <w:marRight w:val="0"/>
                  <w:marTop w:val="0"/>
                  <w:marBottom w:val="0"/>
                  <w:divBdr>
                    <w:top w:val="none" w:sz="0" w:space="0" w:color="auto"/>
                    <w:left w:val="none" w:sz="0" w:space="0" w:color="auto"/>
                    <w:bottom w:val="none" w:sz="0" w:space="0" w:color="auto"/>
                    <w:right w:val="none" w:sz="0" w:space="0" w:color="auto"/>
                  </w:divBdr>
                </w:div>
              </w:divsChild>
            </w:div>
            <w:div w:id="1276525861">
              <w:marLeft w:val="0"/>
              <w:marRight w:val="0"/>
              <w:marTop w:val="0"/>
              <w:marBottom w:val="0"/>
              <w:divBdr>
                <w:top w:val="none" w:sz="0" w:space="0" w:color="auto"/>
                <w:left w:val="none" w:sz="0" w:space="0" w:color="auto"/>
                <w:bottom w:val="none" w:sz="0" w:space="0" w:color="auto"/>
                <w:right w:val="none" w:sz="0" w:space="0" w:color="auto"/>
              </w:divBdr>
              <w:divsChild>
                <w:div w:id="1513686416">
                  <w:marLeft w:val="0"/>
                  <w:marRight w:val="0"/>
                  <w:marTop w:val="0"/>
                  <w:marBottom w:val="0"/>
                  <w:divBdr>
                    <w:top w:val="none" w:sz="0" w:space="0" w:color="auto"/>
                    <w:left w:val="none" w:sz="0" w:space="0" w:color="auto"/>
                    <w:bottom w:val="none" w:sz="0" w:space="0" w:color="auto"/>
                    <w:right w:val="none" w:sz="0" w:space="0" w:color="auto"/>
                  </w:divBdr>
                </w:div>
                <w:div w:id="2143499516">
                  <w:marLeft w:val="0"/>
                  <w:marRight w:val="0"/>
                  <w:marTop w:val="0"/>
                  <w:marBottom w:val="0"/>
                  <w:divBdr>
                    <w:top w:val="none" w:sz="0" w:space="0" w:color="auto"/>
                    <w:left w:val="none" w:sz="0" w:space="0" w:color="auto"/>
                    <w:bottom w:val="none" w:sz="0" w:space="0" w:color="auto"/>
                    <w:right w:val="none" w:sz="0" w:space="0" w:color="auto"/>
                  </w:divBdr>
                </w:div>
              </w:divsChild>
            </w:div>
            <w:div w:id="1358505362">
              <w:marLeft w:val="0"/>
              <w:marRight w:val="0"/>
              <w:marTop w:val="0"/>
              <w:marBottom w:val="0"/>
              <w:divBdr>
                <w:top w:val="none" w:sz="0" w:space="0" w:color="auto"/>
                <w:left w:val="none" w:sz="0" w:space="0" w:color="auto"/>
                <w:bottom w:val="none" w:sz="0" w:space="0" w:color="auto"/>
                <w:right w:val="none" w:sz="0" w:space="0" w:color="auto"/>
              </w:divBdr>
              <w:divsChild>
                <w:div w:id="941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92120">
          <w:marLeft w:val="0"/>
          <w:marRight w:val="0"/>
          <w:marTop w:val="0"/>
          <w:marBottom w:val="0"/>
          <w:divBdr>
            <w:top w:val="none" w:sz="0" w:space="0" w:color="auto"/>
            <w:left w:val="none" w:sz="0" w:space="0" w:color="auto"/>
            <w:bottom w:val="none" w:sz="0" w:space="0" w:color="auto"/>
            <w:right w:val="none" w:sz="0" w:space="0" w:color="auto"/>
          </w:divBdr>
          <w:divsChild>
            <w:div w:id="518392679">
              <w:marLeft w:val="0"/>
              <w:marRight w:val="0"/>
              <w:marTop w:val="0"/>
              <w:marBottom w:val="0"/>
              <w:divBdr>
                <w:top w:val="none" w:sz="0" w:space="0" w:color="auto"/>
                <w:left w:val="none" w:sz="0" w:space="0" w:color="auto"/>
                <w:bottom w:val="none" w:sz="0" w:space="0" w:color="auto"/>
                <w:right w:val="none" w:sz="0" w:space="0" w:color="auto"/>
              </w:divBdr>
              <w:divsChild>
                <w:div w:id="820972427">
                  <w:marLeft w:val="0"/>
                  <w:marRight w:val="0"/>
                  <w:marTop w:val="0"/>
                  <w:marBottom w:val="0"/>
                  <w:divBdr>
                    <w:top w:val="none" w:sz="0" w:space="0" w:color="auto"/>
                    <w:left w:val="none" w:sz="0" w:space="0" w:color="auto"/>
                    <w:bottom w:val="none" w:sz="0" w:space="0" w:color="auto"/>
                    <w:right w:val="none" w:sz="0" w:space="0" w:color="auto"/>
                  </w:divBdr>
                </w:div>
                <w:div w:id="1820069386">
                  <w:marLeft w:val="0"/>
                  <w:marRight w:val="0"/>
                  <w:marTop w:val="0"/>
                  <w:marBottom w:val="0"/>
                  <w:divBdr>
                    <w:top w:val="none" w:sz="0" w:space="0" w:color="auto"/>
                    <w:left w:val="none" w:sz="0" w:space="0" w:color="auto"/>
                    <w:bottom w:val="none" w:sz="0" w:space="0" w:color="auto"/>
                    <w:right w:val="none" w:sz="0" w:space="0" w:color="auto"/>
                  </w:divBdr>
                </w:div>
              </w:divsChild>
            </w:div>
            <w:div w:id="1314749347">
              <w:marLeft w:val="0"/>
              <w:marRight w:val="0"/>
              <w:marTop w:val="0"/>
              <w:marBottom w:val="0"/>
              <w:divBdr>
                <w:top w:val="none" w:sz="0" w:space="0" w:color="auto"/>
                <w:left w:val="none" w:sz="0" w:space="0" w:color="auto"/>
                <w:bottom w:val="none" w:sz="0" w:space="0" w:color="auto"/>
                <w:right w:val="none" w:sz="0" w:space="0" w:color="auto"/>
              </w:divBdr>
              <w:divsChild>
                <w:div w:id="1004358903">
                  <w:marLeft w:val="0"/>
                  <w:marRight w:val="0"/>
                  <w:marTop w:val="0"/>
                  <w:marBottom w:val="0"/>
                  <w:divBdr>
                    <w:top w:val="none" w:sz="0" w:space="0" w:color="auto"/>
                    <w:left w:val="none" w:sz="0" w:space="0" w:color="auto"/>
                    <w:bottom w:val="none" w:sz="0" w:space="0" w:color="auto"/>
                    <w:right w:val="none" w:sz="0" w:space="0" w:color="auto"/>
                  </w:divBdr>
                </w:div>
              </w:divsChild>
            </w:div>
            <w:div w:id="1656840036">
              <w:marLeft w:val="0"/>
              <w:marRight w:val="0"/>
              <w:marTop w:val="0"/>
              <w:marBottom w:val="0"/>
              <w:divBdr>
                <w:top w:val="none" w:sz="0" w:space="0" w:color="auto"/>
                <w:left w:val="none" w:sz="0" w:space="0" w:color="auto"/>
                <w:bottom w:val="none" w:sz="0" w:space="0" w:color="auto"/>
                <w:right w:val="none" w:sz="0" w:space="0" w:color="auto"/>
              </w:divBdr>
              <w:divsChild>
                <w:div w:id="108596941">
                  <w:marLeft w:val="0"/>
                  <w:marRight w:val="0"/>
                  <w:marTop w:val="0"/>
                  <w:marBottom w:val="0"/>
                  <w:divBdr>
                    <w:top w:val="none" w:sz="0" w:space="0" w:color="auto"/>
                    <w:left w:val="none" w:sz="0" w:space="0" w:color="auto"/>
                    <w:bottom w:val="none" w:sz="0" w:space="0" w:color="auto"/>
                    <w:right w:val="none" w:sz="0" w:space="0" w:color="auto"/>
                  </w:divBdr>
                </w:div>
              </w:divsChild>
            </w:div>
            <w:div w:id="2079010040">
              <w:marLeft w:val="0"/>
              <w:marRight w:val="0"/>
              <w:marTop w:val="0"/>
              <w:marBottom w:val="0"/>
              <w:divBdr>
                <w:top w:val="none" w:sz="0" w:space="0" w:color="auto"/>
                <w:left w:val="none" w:sz="0" w:space="0" w:color="auto"/>
                <w:bottom w:val="none" w:sz="0" w:space="0" w:color="auto"/>
                <w:right w:val="none" w:sz="0" w:space="0" w:color="auto"/>
              </w:divBdr>
              <w:divsChild>
                <w:div w:id="142044449">
                  <w:marLeft w:val="0"/>
                  <w:marRight w:val="0"/>
                  <w:marTop w:val="0"/>
                  <w:marBottom w:val="0"/>
                  <w:divBdr>
                    <w:top w:val="none" w:sz="0" w:space="0" w:color="auto"/>
                    <w:left w:val="none" w:sz="0" w:space="0" w:color="auto"/>
                    <w:bottom w:val="none" w:sz="0" w:space="0" w:color="auto"/>
                    <w:right w:val="none" w:sz="0" w:space="0" w:color="auto"/>
                  </w:divBdr>
                </w:div>
                <w:div w:id="11244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2334">
      <w:bodyDiv w:val="1"/>
      <w:marLeft w:val="0"/>
      <w:marRight w:val="0"/>
      <w:marTop w:val="0"/>
      <w:marBottom w:val="0"/>
      <w:divBdr>
        <w:top w:val="none" w:sz="0" w:space="0" w:color="auto"/>
        <w:left w:val="none" w:sz="0" w:space="0" w:color="auto"/>
        <w:bottom w:val="none" w:sz="0" w:space="0" w:color="auto"/>
        <w:right w:val="none" w:sz="0" w:space="0" w:color="auto"/>
      </w:divBdr>
      <w:divsChild>
        <w:div w:id="1355695590">
          <w:marLeft w:val="0"/>
          <w:marRight w:val="0"/>
          <w:marTop w:val="0"/>
          <w:marBottom w:val="0"/>
          <w:divBdr>
            <w:top w:val="none" w:sz="0" w:space="0" w:color="auto"/>
            <w:left w:val="none" w:sz="0" w:space="0" w:color="auto"/>
            <w:bottom w:val="none" w:sz="0" w:space="0" w:color="auto"/>
            <w:right w:val="none" w:sz="0" w:space="0" w:color="auto"/>
          </w:divBdr>
          <w:divsChild>
            <w:div w:id="12070904">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4775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363437">
      <w:bodyDiv w:val="1"/>
      <w:marLeft w:val="0"/>
      <w:marRight w:val="0"/>
      <w:marTop w:val="0"/>
      <w:marBottom w:val="0"/>
      <w:divBdr>
        <w:top w:val="none" w:sz="0" w:space="0" w:color="auto"/>
        <w:left w:val="none" w:sz="0" w:space="0" w:color="auto"/>
        <w:bottom w:val="none" w:sz="0" w:space="0" w:color="auto"/>
        <w:right w:val="none" w:sz="0" w:space="0" w:color="auto"/>
      </w:divBdr>
    </w:div>
    <w:div w:id="855727123">
      <w:bodyDiv w:val="1"/>
      <w:marLeft w:val="0"/>
      <w:marRight w:val="0"/>
      <w:marTop w:val="0"/>
      <w:marBottom w:val="0"/>
      <w:divBdr>
        <w:top w:val="none" w:sz="0" w:space="0" w:color="auto"/>
        <w:left w:val="none" w:sz="0" w:space="0" w:color="auto"/>
        <w:bottom w:val="none" w:sz="0" w:space="0" w:color="auto"/>
        <w:right w:val="none" w:sz="0" w:space="0" w:color="auto"/>
      </w:divBdr>
      <w:divsChild>
        <w:div w:id="766578557">
          <w:marLeft w:val="0"/>
          <w:marRight w:val="0"/>
          <w:marTop w:val="0"/>
          <w:marBottom w:val="0"/>
          <w:divBdr>
            <w:top w:val="none" w:sz="0" w:space="0" w:color="auto"/>
            <w:left w:val="none" w:sz="0" w:space="0" w:color="auto"/>
            <w:bottom w:val="none" w:sz="0" w:space="0" w:color="auto"/>
            <w:right w:val="none" w:sz="0" w:space="0" w:color="auto"/>
          </w:divBdr>
          <w:divsChild>
            <w:div w:id="1485471410">
              <w:marLeft w:val="0"/>
              <w:marRight w:val="0"/>
              <w:marTop w:val="0"/>
              <w:marBottom w:val="0"/>
              <w:divBdr>
                <w:top w:val="none" w:sz="0" w:space="0" w:color="auto"/>
                <w:left w:val="none" w:sz="0" w:space="0" w:color="auto"/>
                <w:bottom w:val="none" w:sz="0" w:space="0" w:color="auto"/>
                <w:right w:val="none" w:sz="0" w:space="0" w:color="auto"/>
              </w:divBdr>
              <w:divsChild>
                <w:div w:id="400762688">
                  <w:marLeft w:val="0"/>
                  <w:marRight w:val="0"/>
                  <w:marTop w:val="0"/>
                  <w:marBottom w:val="0"/>
                  <w:divBdr>
                    <w:top w:val="none" w:sz="0" w:space="0" w:color="auto"/>
                    <w:left w:val="none" w:sz="0" w:space="0" w:color="auto"/>
                    <w:bottom w:val="none" w:sz="0" w:space="0" w:color="auto"/>
                    <w:right w:val="none" w:sz="0" w:space="0" w:color="auto"/>
                  </w:divBdr>
                </w:div>
              </w:divsChild>
            </w:div>
            <w:div w:id="1734041067">
              <w:marLeft w:val="0"/>
              <w:marRight w:val="0"/>
              <w:marTop w:val="0"/>
              <w:marBottom w:val="0"/>
              <w:divBdr>
                <w:top w:val="none" w:sz="0" w:space="0" w:color="auto"/>
                <w:left w:val="none" w:sz="0" w:space="0" w:color="auto"/>
                <w:bottom w:val="none" w:sz="0" w:space="0" w:color="auto"/>
                <w:right w:val="none" w:sz="0" w:space="0" w:color="auto"/>
              </w:divBdr>
              <w:divsChild>
                <w:div w:id="122147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99165">
          <w:marLeft w:val="0"/>
          <w:marRight w:val="0"/>
          <w:marTop w:val="0"/>
          <w:marBottom w:val="0"/>
          <w:divBdr>
            <w:top w:val="none" w:sz="0" w:space="0" w:color="auto"/>
            <w:left w:val="none" w:sz="0" w:space="0" w:color="auto"/>
            <w:bottom w:val="none" w:sz="0" w:space="0" w:color="auto"/>
            <w:right w:val="none" w:sz="0" w:space="0" w:color="auto"/>
          </w:divBdr>
          <w:divsChild>
            <w:div w:id="1264919977">
              <w:marLeft w:val="0"/>
              <w:marRight w:val="0"/>
              <w:marTop w:val="0"/>
              <w:marBottom w:val="0"/>
              <w:divBdr>
                <w:top w:val="none" w:sz="0" w:space="0" w:color="auto"/>
                <w:left w:val="none" w:sz="0" w:space="0" w:color="auto"/>
                <w:bottom w:val="none" w:sz="0" w:space="0" w:color="auto"/>
                <w:right w:val="none" w:sz="0" w:space="0" w:color="auto"/>
              </w:divBdr>
              <w:divsChild>
                <w:div w:id="20473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3125">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913513996">
      <w:bodyDiv w:val="1"/>
      <w:marLeft w:val="0"/>
      <w:marRight w:val="0"/>
      <w:marTop w:val="0"/>
      <w:marBottom w:val="0"/>
      <w:divBdr>
        <w:top w:val="none" w:sz="0" w:space="0" w:color="auto"/>
        <w:left w:val="none" w:sz="0" w:space="0" w:color="auto"/>
        <w:bottom w:val="none" w:sz="0" w:space="0" w:color="auto"/>
        <w:right w:val="none" w:sz="0" w:space="0" w:color="auto"/>
      </w:divBdr>
    </w:div>
    <w:div w:id="932738850">
      <w:bodyDiv w:val="1"/>
      <w:marLeft w:val="0"/>
      <w:marRight w:val="0"/>
      <w:marTop w:val="0"/>
      <w:marBottom w:val="0"/>
      <w:divBdr>
        <w:top w:val="none" w:sz="0" w:space="0" w:color="auto"/>
        <w:left w:val="none" w:sz="0" w:space="0" w:color="auto"/>
        <w:bottom w:val="none" w:sz="0" w:space="0" w:color="auto"/>
        <w:right w:val="none" w:sz="0" w:space="0" w:color="auto"/>
      </w:divBdr>
      <w:divsChild>
        <w:div w:id="1445538577">
          <w:marLeft w:val="0"/>
          <w:marRight w:val="0"/>
          <w:marTop w:val="0"/>
          <w:marBottom w:val="0"/>
          <w:divBdr>
            <w:top w:val="none" w:sz="0" w:space="0" w:color="auto"/>
            <w:left w:val="none" w:sz="0" w:space="0" w:color="auto"/>
            <w:bottom w:val="none" w:sz="0" w:space="0" w:color="auto"/>
            <w:right w:val="none" w:sz="0" w:space="0" w:color="auto"/>
          </w:divBdr>
          <w:divsChild>
            <w:div w:id="933513250">
              <w:marLeft w:val="0"/>
              <w:marRight w:val="0"/>
              <w:marTop w:val="0"/>
              <w:marBottom w:val="0"/>
              <w:divBdr>
                <w:top w:val="none" w:sz="0" w:space="0" w:color="auto"/>
                <w:left w:val="none" w:sz="0" w:space="0" w:color="auto"/>
                <w:bottom w:val="none" w:sz="0" w:space="0" w:color="auto"/>
                <w:right w:val="none" w:sz="0" w:space="0" w:color="auto"/>
              </w:divBdr>
              <w:divsChild>
                <w:div w:id="13364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4306">
      <w:bodyDiv w:val="1"/>
      <w:marLeft w:val="0"/>
      <w:marRight w:val="0"/>
      <w:marTop w:val="0"/>
      <w:marBottom w:val="0"/>
      <w:divBdr>
        <w:top w:val="none" w:sz="0" w:space="0" w:color="auto"/>
        <w:left w:val="none" w:sz="0" w:space="0" w:color="auto"/>
        <w:bottom w:val="none" w:sz="0" w:space="0" w:color="auto"/>
        <w:right w:val="none" w:sz="0" w:space="0" w:color="auto"/>
      </w:divBdr>
      <w:divsChild>
        <w:div w:id="1077170230">
          <w:marLeft w:val="0"/>
          <w:marRight w:val="0"/>
          <w:marTop w:val="0"/>
          <w:marBottom w:val="0"/>
          <w:divBdr>
            <w:top w:val="none" w:sz="0" w:space="0" w:color="auto"/>
            <w:left w:val="none" w:sz="0" w:space="0" w:color="auto"/>
            <w:bottom w:val="none" w:sz="0" w:space="0" w:color="auto"/>
            <w:right w:val="none" w:sz="0" w:space="0" w:color="auto"/>
          </w:divBdr>
          <w:divsChild>
            <w:div w:id="896621629">
              <w:marLeft w:val="0"/>
              <w:marRight w:val="0"/>
              <w:marTop w:val="0"/>
              <w:marBottom w:val="0"/>
              <w:divBdr>
                <w:top w:val="none" w:sz="0" w:space="0" w:color="auto"/>
                <w:left w:val="none" w:sz="0" w:space="0" w:color="auto"/>
                <w:bottom w:val="none" w:sz="0" w:space="0" w:color="auto"/>
                <w:right w:val="none" w:sz="0" w:space="0" w:color="auto"/>
              </w:divBdr>
              <w:divsChild>
                <w:div w:id="1925794576">
                  <w:marLeft w:val="0"/>
                  <w:marRight w:val="0"/>
                  <w:marTop w:val="0"/>
                  <w:marBottom w:val="0"/>
                  <w:divBdr>
                    <w:top w:val="none" w:sz="0" w:space="0" w:color="auto"/>
                    <w:left w:val="none" w:sz="0" w:space="0" w:color="auto"/>
                    <w:bottom w:val="none" w:sz="0" w:space="0" w:color="auto"/>
                    <w:right w:val="none" w:sz="0" w:space="0" w:color="auto"/>
                  </w:divBdr>
                  <w:divsChild>
                    <w:div w:id="163081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11143">
      <w:bodyDiv w:val="1"/>
      <w:marLeft w:val="0"/>
      <w:marRight w:val="0"/>
      <w:marTop w:val="0"/>
      <w:marBottom w:val="0"/>
      <w:divBdr>
        <w:top w:val="none" w:sz="0" w:space="0" w:color="auto"/>
        <w:left w:val="none" w:sz="0" w:space="0" w:color="auto"/>
        <w:bottom w:val="none" w:sz="0" w:space="0" w:color="auto"/>
        <w:right w:val="none" w:sz="0" w:space="0" w:color="auto"/>
      </w:divBdr>
    </w:div>
    <w:div w:id="953168383">
      <w:bodyDiv w:val="1"/>
      <w:marLeft w:val="0"/>
      <w:marRight w:val="0"/>
      <w:marTop w:val="0"/>
      <w:marBottom w:val="0"/>
      <w:divBdr>
        <w:top w:val="none" w:sz="0" w:space="0" w:color="auto"/>
        <w:left w:val="none" w:sz="0" w:space="0" w:color="auto"/>
        <w:bottom w:val="none" w:sz="0" w:space="0" w:color="auto"/>
        <w:right w:val="none" w:sz="0" w:space="0" w:color="auto"/>
      </w:divBdr>
    </w:div>
    <w:div w:id="975987782">
      <w:bodyDiv w:val="1"/>
      <w:marLeft w:val="0"/>
      <w:marRight w:val="0"/>
      <w:marTop w:val="0"/>
      <w:marBottom w:val="0"/>
      <w:divBdr>
        <w:top w:val="none" w:sz="0" w:space="0" w:color="auto"/>
        <w:left w:val="none" w:sz="0" w:space="0" w:color="auto"/>
        <w:bottom w:val="none" w:sz="0" w:space="0" w:color="auto"/>
        <w:right w:val="none" w:sz="0" w:space="0" w:color="auto"/>
      </w:divBdr>
    </w:div>
    <w:div w:id="981737735">
      <w:bodyDiv w:val="1"/>
      <w:marLeft w:val="0"/>
      <w:marRight w:val="0"/>
      <w:marTop w:val="0"/>
      <w:marBottom w:val="0"/>
      <w:divBdr>
        <w:top w:val="none" w:sz="0" w:space="0" w:color="auto"/>
        <w:left w:val="none" w:sz="0" w:space="0" w:color="auto"/>
        <w:bottom w:val="none" w:sz="0" w:space="0" w:color="auto"/>
        <w:right w:val="none" w:sz="0" w:space="0" w:color="auto"/>
      </w:divBdr>
      <w:divsChild>
        <w:div w:id="76638944">
          <w:marLeft w:val="0"/>
          <w:marRight w:val="0"/>
          <w:marTop w:val="0"/>
          <w:marBottom w:val="0"/>
          <w:divBdr>
            <w:top w:val="none" w:sz="0" w:space="0" w:color="auto"/>
            <w:left w:val="none" w:sz="0" w:space="0" w:color="auto"/>
            <w:bottom w:val="none" w:sz="0" w:space="0" w:color="auto"/>
            <w:right w:val="none" w:sz="0" w:space="0" w:color="auto"/>
          </w:divBdr>
          <w:divsChild>
            <w:div w:id="806049848">
              <w:marLeft w:val="0"/>
              <w:marRight w:val="0"/>
              <w:marTop w:val="0"/>
              <w:marBottom w:val="0"/>
              <w:divBdr>
                <w:top w:val="none" w:sz="0" w:space="0" w:color="auto"/>
                <w:left w:val="none" w:sz="0" w:space="0" w:color="auto"/>
                <w:bottom w:val="none" w:sz="0" w:space="0" w:color="auto"/>
                <w:right w:val="none" w:sz="0" w:space="0" w:color="auto"/>
              </w:divBdr>
              <w:divsChild>
                <w:div w:id="5764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5649">
          <w:marLeft w:val="0"/>
          <w:marRight w:val="0"/>
          <w:marTop w:val="0"/>
          <w:marBottom w:val="0"/>
          <w:divBdr>
            <w:top w:val="none" w:sz="0" w:space="0" w:color="auto"/>
            <w:left w:val="none" w:sz="0" w:space="0" w:color="auto"/>
            <w:bottom w:val="none" w:sz="0" w:space="0" w:color="auto"/>
            <w:right w:val="none" w:sz="0" w:space="0" w:color="auto"/>
          </w:divBdr>
          <w:divsChild>
            <w:div w:id="1877885648">
              <w:marLeft w:val="0"/>
              <w:marRight w:val="0"/>
              <w:marTop w:val="0"/>
              <w:marBottom w:val="0"/>
              <w:divBdr>
                <w:top w:val="none" w:sz="0" w:space="0" w:color="auto"/>
                <w:left w:val="none" w:sz="0" w:space="0" w:color="auto"/>
                <w:bottom w:val="none" w:sz="0" w:space="0" w:color="auto"/>
                <w:right w:val="none" w:sz="0" w:space="0" w:color="auto"/>
              </w:divBdr>
              <w:divsChild>
                <w:div w:id="187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17075">
      <w:bodyDiv w:val="1"/>
      <w:marLeft w:val="0"/>
      <w:marRight w:val="0"/>
      <w:marTop w:val="0"/>
      <w:marBottom w:val="0"/>
      <w:divBdr>
        <w:top w:val="none" w:sz="0" w:space="0" w:color="auto"/>
        <w:left w:val="none" w:sz="0" w:space="0" w:color="auto"/>
        <w:bottom w:val="none" w:sz="0" w:space="0" w:color="auto"/>
        <w:right w:val="none" w:sz="0" w:space="0" w:color="auto"/>
      </w:divBdr>
    </w:div>
    <w:div w:id="1014645208">
      <w:bodyDiv w:val="1"/>
      <w:marLeft w:val="0"/>
      <w:marRight w:val="0"/>
      <w:marTop w:val="0"/>
      <w:marBottom w:val="0"/>
      <w:divBdr>
        <w:top w:val="none" w:sz="0" w:space="0" w:color="auto"/>
        <w:left w:val="none" w:sz="0" w:space="0" w:color="auto"/>
        <w:bottom w:val="none" w:sz="0" w:space="0" w:color="auto"/>
        <w:right w:val="none" w:sz="0" w:space="0" w:color="auto"/>
      </w:divBdr>
      <w:divsChild>
        <w:div w:id="623384709">
          <w:marLeft w:val="0"/>
          <w:marRight w:val="0"/>
          <w:marTop w:val="0"/>
          <w:marBottom w:val="0"/>
          <w:divBdr>
            <w:top w:val="none" w:sz="0" w:space="0" w:color="auto"/>
            <w:left w:val="none" w:sz="0" w:space="0" w:color="auto"/>
            <w:bottom w:val="none" w:sz="0" w:space="0" w:color="auto"/>
            <w:right w:val="none" w:sz="0" w:space="0" w:color="auto"/>
          </w:divBdr>
          <w:divsChild>
            <w:div w:id="70742996">
              <w:marLeft w:val="0"/>
              <w:marRight w:val="0"/>
              <w:marTop w:val="0"/>
              <w:marBottom w:val="0"/>
              <w:divBdr>
                <w:top w:val="none" w:sz="0" w:space="0" w:color="auto"/>
                <w:left w:val="none" w:sz="0" w:space="0" w:color="auto"/>
                <w:bottom w:val="none" w:sz="0" w:space="0" w:color="auto"/>
                <w:right w:val="none" w:sz="0" w:space="0" w:color="auto"/>
              </w:divBdr>
              <w:divsChild>
                <w:div w:id="1534728714">
                  <w:marLeft w:val="0"/>
                  <w:marRight w:val="0"/>
                  <w:marTop w:val="0"/>
                  <w:marBottom w:val="0"/>
                  <w:divBdr>
                    <w:top w:val="none" w:sz="0" w:space="0" w:color="auto"/>
                    <w:left w:val="none" w:sz="0" w:space="0" w:color="auto"/>
                    <w:bottom w:val="none" w:sz="0" w:space="0" w:color="auto"/>
                    <w:right w:val="none" w:sz="0" w:space="0" w:color="auto"/>
                  </w:divBdr>
                </w:div>
              </w:divsChild>
            </w:div>
            <w:div w:id="1425809543">
              <w:marLeft w:val="0"/>
              <w:marRight w:val="0"/>
              <w:marTop w:val="0"/>
              <w:marBottom w:val="0"/>
              <w:divBdr>
                <w:top w:val="none" w:sz="0" w:space="0" w:color="auto"/>
                <w:left w:val="none" w:sz="0" w:space="0" w:color="auto"/>
                <w:bottom w:val="none" w:sz="0" w:space="0" w:color="auto"/>
                <w:right w:val="none" w:sz="0" w:space="0" w:color="auto"/>
              </w:divBdr>
              <w:divsChild>
                <w:div w:id="950748884">
                  <w:marLeft w:val="0"/>
                  <w:marRight w:val="0"/>
                  <w:marTop w:val="0"/>
                  <w:marBottom w:val="0"/>
                  <w:divBdr>
                    <w:top w:val="none" w:sz="0" w:space="0" w:color="auto"/>
                    <w:left w:val="none" w:sz="0" w:space="0" w:color="auto"/>
                    <w:bottom w:val="none" w:sz="0" w:space="0" w:color="auto"/>
                    <w:right w:val="none" w:sz="0" w:space="0" w:color="auto"/>
                  </w:divBdr>
                </w:div>
              </w:divsChild>
            </w:div>
            <w:div w:id="1768693471">
              <w:marLeft w:val="0"/>
              <w:marRight w:val="0"/>
              <w:marTop w:val="0"/>
              <w:marBottom w:val="0"/>
              <w:divBdr>
                <w:top w:val="none" w:sz="0" w:space="0" w:color="auto"/>
                <w:left w:val="none" w:sz="0" w:space="0" w:color="auto"/>
                <w:bottom w:val="none" w:sz="0" w:space="0" w:color="auto"/>
                <w:right w:val="none" w:sz="0" w:space="0" w:color="auto"/>
              </w:divBdr>
              <w:divsChild>
                <w:div w:id="762798940">
                  <w:marLeft w:val="0"/>
                  <w:marRight w:val="0"/>
                  <w:marTop w:val="0"/>
                  <w:marBottom w:val="0"/>
                  <w:divBdr>
                    <w:top w:val="none" w:sz="0" w:space="0" w:color="auto"/>
                    <w:left w:val="none" w:sz="0" w:space="0" w:color="auto"/>
                    <w:bottom w:val="none" w:sz="0" w:space="0" w:color="auto"/>
                    <w:right w:val="none" w:sz="0" w:space="0" w:color="auto"/>
                  </w:divBdr>
                </w:div>
                <w:div w:id="20384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6782">
          <w:marLeft w:val="0"/>
          <w:marRight w:val="0"/>
          <w:marTop w:val="0"/>
          <w:marBottom w:val="0"/>
          <w:divBdr>
            <w:top w:val="none" w:sz="0" w:space="0" w:color="auto"/>
            <w:left w:val="none" w:sz="0" w:space="0" w:color="auto"/>
            <w:bottom w:val="none" w:sz="0" w:space="0" w:color="auto"/>
            <w:right w:val="none" w:sz="0" w:space="0" w:color="auto"/>
          </w:divBdr>
          <w:divsChild>
            <w:div w:id="211424699">
              <w:marLeft w:val="0"/>
              <w:marRight w:val="0"/>
              <w:marTop w:val="0"/>
              <w:marBottom w:val="0"/>
              <w:divBdr>
                <w:top w:val="none" w:sz="0" w:space="0" w:color="auto"/>
                <w:left w:val="none" w:sz="0" w:space="0" w:color="auto"/>
                <w:bottom w:val="none" w:sz="0" w:space="0" w:color="auto"/>
                <w:right w:val="none" w:sz="0" w:space="0" w:color="auto"/>
              </w:divBdr>
              <w:divsChild>
                <w:div w:id="1606575081">
                  <w:marLeft w:val="0"/>
                  <w:marRight w:val="0"/>
                  <w:marTop w:val="0"/>
                  <w:marBottom w:val="0"/>
                  <w:divBdr>
                    <w:top w:val="none" w:sz="0" w:space="0" w:color="auto"/>
                    <w:left w:val="none" w:sz="0" w:space="0" w:color="auto"/>
                    <w:bottom w:val="none" w:sz="0" w:space="0" w:color="auto"/>
                    <w:right w:val="none" w:sz="0" w:space="0" w:color="auto"/>
                  </w:divBdr>
                </w:div>
                <w:div w:id="1840728121">
                  <w:marLeft w:val="0"/>
                  <w:marRight w:val="0"/>
                  <w:marTop w:val="0"/>
                  <w:marBottom w:val="0"/>
                  <w:divBdr>
                    <w:top w:val="none" w:sz="0" w:space="0" w:color="auto"/>
                    <w:left w:val="none" w:sz="0" w:space="0" w:color="auto"/>
                    <w:bottom w:val="none" w:sz="0" w:space="0" w:color="auto"/>
                    <w:right w:val="none" w:sz="0" w:space="0" w:color="auto"/>
                  </w:divBdr>
                </w:div>
              </w:divsChild>
            </w:div>
            <w:div w:id="1423136760">
              <w:marLeft w:val="0"/>
              <w:marRight w:val="0"/>
              <w:marTop w:val="0"/>
              <w:marBottom w:val="0"/>
              <w:divBdr>
                <w:top w:val="none" w:sz="0" w:space="0" w:color="auto"/>
                <w:left w:val="none" w:sz="0" w:space="0" w:color="auto"/>
                <w:bottom w:val="none" w:sz="0" w:space="0" w:color="auto"/>
                <w:right w:val="none" w:sz="0" w:space="0" w:color="auto"/>
              </w:divBdr>
              <w:divsChild>
                <w:div w:id="366830731">
                  <w:marLeft w:val="0"/>
                  <w:marRight w:val="0"/>
                  <w:marTop w:val="0"/>
                  <w:marBottom w:val="0"/>
                  <w:divBdr>
                    <w:top w:val="none" w:sz="0" w:space="0" w:color="auto"/>
                    <w:left w:val="none" w:sz="0" w:space="0" w:color="auto"/>
                    <w:bottom w:val="none" w:sz="0" w:space="0" w:color="auto"/>
                    <w:right w:val="none" w:sz="0" w:space="0" w:color="auto"/>
                  </w:divBdr>
                </w:div>
              </w:divsChild>
            </w:div>
            <w:div w:id="1862351444">
              <w:marLeft w:val="0"/>
              <w:marRight w:val="0"/>
              <w:marTop w:val="0"/>
              <w:marBottom w:val="0"/>
              <w:divBdr>
                <w:top w:val="none" w:sz="0" w:space="0" w:color="auto"/>
                <w:left w:val="none" w:sz="0" w:space="0" w:color="auto"/>
                <w:bottom w:val="none" w:sz="0" w:space="0" w:color="auto"/>
                <w:right w:val="none" w:sz="0" w:space="0" w:color="auto"/>
              </w:divBdr>
              <w:divsChild>
                <w:div w:id="1188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7278">
      <w:bodyDiv w:val="1"/>
      <w:marLeft w:val="0"/>
      <w:marRight w:val="0"/>
      <w:marTop w:val="0"/>
      <w:marBottom w:val="0"/>
      <w:divBdr>
        <w:top w:val="none" w:sz="0" w:space="0" w:color="auto"/>
        <w:left w:val="none" w:sz="0" w:space="0" w:color="auto"/>
        <w:bottom w:val="none" w:sz="0" w:space="0" w:color="auto"/>
        <w:right w:val="none" w:sz="0" w:space="0" w:color="auto"/>
      </w:divBdr>
    </w:div>
    <w:div w:id="1026101033">
      <w:bodyDiv w:val="1"/>
      <w:marLeft w:val="0"/>
      <w:marRight w:val="0"/>
      <w:marTop w:val="0"/>
      <w:marBottom w:val="0"/>
      <w:divBdr>
        <w:top w:val="none" w:sz="0" w:space="0" w:color="auto"/>
        <w:left w:val="none" w:sz="0" w:space="0" w:color="auto"/>
        <w:bottom w:val="none" w:sz="0" w:space="0" w:color="auto"/>
        <w:right w:val="none" w:sz="0" w:space="0" w:color="auto"/>
      </w:divBdr>
    </w:div>
    <w:div w:id="1049182635">
      <w:bodyDiv w:val="1"/>
      <w:marLeft w:val="0"/>
      <w:marRight w:val="0"/>
      <w:marTop w:val="0"/>
      <w:marBottom w:val="0"/>
      <w:divBdr>
        <w:top w:val="none" w:sz="0" w:space="0" w:color="auto"/>
        <w:left w:val="none" w:sz="0" w:space="0" w:color="auto"/>
        <w:bottom w:val="none" w:sz="0" w:space="0" w:color="auto"/>
        <w:right w:val="none" w:sz="0" w:space="0" w:color="auto"/>
      </w:divBdr>
    </w:div>
    <w:div w:id="1054475180">
      <w:bodyDiv w:val="1"/>
      <w:marLeft w:val="0"/>
      <w:marRight w:val="0"/>
      <w:marTop w:val="0"/>
      <w:marBottom w:val="0"/>
      <w:divBdr>
        <w:top w:val="none" w:sz="0" w:space="0" w:color="auto"/>
        <w:left w:val="none" w:sz="0" w:space="0" w:color="auto"/>
        <w:bottom w:val="none" w:sz="0" w:space="0" w:color="auto"/>
        <w:right w:val="none" w:sz="0" w:space="0" w:color="auto"/>
      </w:divBdr>
    </w:div>
    <w:div w:id="1061632152">
      <w:bodyDiv w:val="1"/>
      <w:marLeft w:val="0"/>
      <w:marRight w:val="0"/>
      <w:marTop w:val="0"/>
      <w:marBottom w:val="0"/>
      <w:divBdr>
        <w:top w:val="none" w:sz="0" w:space="0" w:color="auto"/>
        <w:left w:val="none" w:sz="0" w:space="0" w:color="auto"/>
        <w:bottom w:val="none" w:sz="0" w:space="0" w:color="auto"/>
        <w:right w:val="none" w:sz="0" w:space="0" w:color="auto"/>
      </w:divBdr>
      <w:divsChild>
        <w:div w:id="1892307318">
          <w:marLeft w:val="547"/>
          <w:marRight w:val="0"/>
          <w:marTop w:val="0"/>
          <w:marBottom w:val="0"/>
          <w:divBdr>
            <w:top w:val="none" w:sz="0" w:space="0" w:color="auto"/>
            <w:left w:val="none" w:sz="0" w:space="0" w:color="auto"/>
            <w:bottom w:val="none" w:sz="0" w:space="0" w:color="auto"/>
            <w:right w:val="none" w:sz="0" w:space="0" w:color="auto"/>
          </w:divBdr>
        </w:div>
      </w:divsChild>
    </w:div>
    <w:div w:id="1120153195">
      <w:bodyDiv w:val="1"/>
      <w:marLeft w:val="0"/>
      <w:marRight w:val="0"/>
      <w:marTop w:val="0"/>
      <w:marBottom w:val="0"/>
      <w:divBdr>
        <w:top w:val="none" w:sz="0" w:space="0" w:color="auto"/>
        <w:left w:val="none" w:sz="0" w:space="0" w:color="auto"/>
        <w:bottom w:val="none" w:sz="0" w:space="0" w:color="auto"/>
        <w:right w:val="none" w:sz="0" w:space="0" w:color="auto"/>
      </w:divBdr>
      <w:divsChild>
        <w:div w:id="1186095473">
          <w:marLeft w:val="0"/>
          <w:marRight w:val="0"/>
          <w:marTop w:val="0"/>
          <w:marBottom w:val="0"/>
          <w:divBdr>
            <w:top w:val="none" w:sz="0" w:space="0" w:color="auto"/>
            <w:left w:val="none" w:sz="0" w:space="0" w:color="auto"/>
            <w:bottom w:val="none" w:sz="0" w:space="0" w:color="auto"/>
            <w:right w:val="none" w:sz="0" w:space="0" w:color="auto"/>
          </w:divBdr>
          <w:divsChild>
            <w:div w:id="384254142">
              <w:marLeft w:val="0"/>
              <w:marRight w:val="0"/>
              <w:marTop w:val="0"/>
              <w:marBottom w:val="0"/>
              <w:divBdr>
                <w:top w:val="none" w:sz="0" w:space="0" w:color="auto"/>
                <w:left w:val="none" w:sz="0" w:space="0" w:color="auto"/>
                <w:bottom w:val="none" w:sz="0" w:space="0" w:color="auto"/>
                <w:right w:val="none" w:sz="0" w:space="0" w:color="auto"/>
              </w:divBdr>
              <w:divsChild>
                <w:div w:id="2905768">
                  <w:marLeft w:val="0"/>
                  <w:marRight w:val="0"/>
                  <w:marTop w:val="0"/>
                  <w:marBottom w:val="0"/>
                  <w:divBdr>
                    <w:top w:val="none" w:sz="0" w:space="0" w:color="auto"/>
                    <w:left w:val="none" w:sz="0" w:space="0" w:color="auto"/>
                    <w:bottom w:val="none" w:sz="0" w:space="0" w:color="auto"/>
                    <w:right w:val="none" w:sz="0" w:space="0" w:color="auto"/>
                  </w:divBdr>
                </w:div>
              </w:divsChild>
            </w:div>
            <w:div w:id="1014722116">
              <w:marLeft w:val="0"/>
              <w:marRight w:val="0"/>
              <w:marTop w:val="0"/>
              <w:marBottom w:val="0"/>
              <w:divBdr>
                <w:top w:val="none" w:sz="0" w:space="0" w:color="auto"/>
                <w:left w:val="none" w:sz="0" w:space="0" w:color="auto"/>
                <w:bottom w:val="none" w:sz="0" w:space="0" w:color="auto"/>
                <w:right w:val="none" w:sz="0" w:space="0" w:color="auto"/>
              </w:divBdr>
              <w:divsChild>
                <w:div w:id="17120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618">
      <w:bodyDiv w:val="1"/>
      <w:marLeft w:val="0"/>
      <w:marRight w:val="0"/>
      <w:marTop w:val="0"/>
      <w:marBottom w:val="0"/>
      <w:divBdr>
        <w:top w:val="none" w:sz="0" w:space="0" w:color="auto"/>
        <w:left w:val="none" w:sz="0" w:space="0" w:color="auto"/>
        <w:bottom w:val="none" w:sz="0" w:space="0" w:color="auto"/>
        <w:right w:val="none" w:sz="0" w:space="0" w:color="auto"/>
      </w:divBdr>
      <w:divsChild>
        <w:div w:id="1267076882">
          <w:marLeft w:val="0"/>
          <w:marRight w:val="0"/>
          <w:marTop w:val="0"/>
          <w:marBottom w:val="0"/>
          <w:divBdr>
            <w:top w:val="none" w:sz="0" w:space="0" w:color="auto"/>
            <w:left w:val="none" w:sz="0" w:space="0" w:color="auto"/>
            <w:bottom w:val="none" w:sz="0" w:space="0" w:color="auto"/>
            <w:right w:val="none" w:sz="0" w:space="0" w:color="auto"/>
          </w:divBdr>
          <w:divsChild>
            <w:div w:id="1241527772">
              <w:marLeft w:val="0"/>
              <w:marRight w:val="0"/>
              <w:marTop w:val="0"/>
              <w:marBottom w:val="0"/>
              <w:divBdr>
                <w:top w:val="none" w:sz="0" w:space="0" w:color="auto"/>
                <w:left w:val="none" w:sz="0" w:space="0" w:color="auto"/>
                <w:bottom w:val="none" w:sz="0" w:space="0" w:color="auto"/>
                <w:right w:val="none" w:sz="0" w:space="0" w:color="auto"/>
              </w:divBdr>
              <w:divsChild>
                <w:div w:id="1740860812">
                  <w:marLeft w:val="0"/>
                  <w:marRight w:val="0"/>
                  <w:marTop w:val="0"/>
                  <w:marBottom w:val="0"/>
                  <w:divBdr>
                    <w:top w:val="none" w:sz="0" w:space="0" w:color="auto"/>
                    <w:left w:val="none" w:sz="0" w:space="0" w:color="auto"/>
                    <w:bottom w:val="none" w:sz="0" w:space="0" w:color="auto"/>
                    <w:right w:val="none" w:sz="0" w:space="0" w:color="auto"/>
                  </w:divBdr>
                  <w:divsChild>
                    <w:div w:id="291330377">
                      <w:marLeft w:val="0"/>
                      <w:marRight w:val="0"/>
                      <w:marTop w:val="0"/>
                      <w:marBottom w:val="0"/>
                      <w:divBdr>
                        <w:top w:val="none" w:sz="0" w:space="0" w:color="auto"/>
                        <w:left w:val="none" w:sz="0" w:space="0" w:color="auto"/>
                        <w:bottom w:val="none" w:sz="0" w:space="0" w:color="auto"/>
                        <w:right w:val="none" w:sz="0" w:space="0" w:color="auto"/>
                      </w:divBdr>
                    </w:div>
                  </w:divsChild>
                </w:div>
                <w:div w:id="1945722567">
                  <w:marLeft w:val="0"/>
                  <w:marRight w:val="0"/>
                  <w:marTop w:val="0"/>
                  <w:marBottom w:val="0"/>
                  <w:divBdr>
                    <w:top w:val="none" w:sz="0" w:space="0" w:color="auto"/>
                    <w:left w:val="none" w:sz="0" w:space="0" w:color="auto"/>
                    <w:bottom w:val="none" w:sz="0" w:space="0" w:color="auto"/>
                    <w:right w:val="none" w:sz="0" w:space="0" w:color="auto"/>
                  </w:divBdr>
                  <w:divsChild>
                    <w:div w:id="973556531">
                      <w:marLeft w:val="0"/>
                      <w:marRight w:val="0"/>
                      <w:marTop w:val="0"/>
                      <w:marBottom w:val="0"/>
                      <w:divBdr>
                        <w:top w:val="none" w:sz="0" w:space="0" w:color="auto"/>
                        <w:left w:val="none" w:sz="0" w:space="0" w:color="auto"/>
                        <w:bottom w:val="none" w:sz="0" w:space="0" w:color="auto"/>
                        <w:right w:val="none" w:sz="0" w:space="0" w:color="auto"/>
                      </w:divBdr>
                    </w:div>
                  </w:divsChild>
                </w:div>
                <w:div w:id="2132746150">
                  <w:marLeft w:val="0"/>
                  <w:marRight w:val="0"/>
                  <w:marTop w:val="0"/>
                  <w:marBottom w:val="0"/>
                  <w:divBdr>
                    <w:top w:val="none" w:sz="0" w:space="0" w:color="auto"/>
                    <w:left w:val="none" w:sz="0" w:space="0" w:color="auto"/>
                    <w:bottom w:val="none" w:sz="0" w:space="0" w:color="auto"/>
                    <w:right w:val="none" w:sz="0" w:space="0" w:color="auto"/>
                  </w:divBdr>
                  <w:divsChild>
                    <w:div w:id="11884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2873">
      <w:bodyDiv w:val="1"/>
      <w:marLeft w:val="0"/>
      <w:marRight w:val="0"/>
      <w:marTop w:val="0"/>
      <w:marBottom w:val="0"/>
      <w:divBdr>
        <w:top w:val="none" w:sz="0" w:space="0" w:color="auto"/>
        <w:left w:val="none" w:sz="0" w:space="0" w:color="auto"/>
        <w:bottom w:val="none" w:sz="0" w:space="0" w:color="auto"/>
        <w:right w:val="none" w:sz="0" w:space="0" w:color="auto"/>
      </w:divBdr>
      <w:divsChild>
        <w:div w:id="188226177">
          <w:marLeft w:val="0"/>
          <w:marRight w:val="0"/>
          <w:marTop w:val="0"/>
          <w:marBottom w:val="0"/>
          <w:divBdr>
            <w:top w:val="none" w:sz="0" w:space="0" w:color="auto"/>
            <w:left w:val="none" w:sz="0" w:space="0" w:color="auto"/>
            <w:bottom w:val="none" w:sz="0" w:space="0" w:color="auto"/>
            <w:right w:val="none" w:sz="0" w:space="0" w:color="auto"/>
          </w:divBdr>
          <w:divsChild>
            <w:div w:id="783500490">
              <w:marLeft w:val="0"/>
              <w:marRight w:val="0"/>
              <w:marTop w:val="0"/>
              <w:marBottom w:val="0"/>
              <w:divBdr>
                <w:top w:val="none" w:sz="0" w:space="0" w:color="auto"/>
                <w:left w:val="none" w:sz="0" w:space="0" w:color="auto"/>
                <w:bottom w:val="none" w:sz="0" w:space="0" w:color="auto"/>
                <w:right w:val="none" w:sz="0" w:space="0" w:color="auto"/>
              </w:divBdr>
              <w:divsChild>
                <w:div w:id="1396125247">
                  <w:marLeft w:val="0"/>
                  <w:marRight w:val="0"/>
                  <w:marTop w:val="0"/>
                  <w:marBottom w:val="0"/>
                  <w:divBdr>
                    <w:top w:val="none" w:sz="0" w:space="0" w:color="auto"/>
                    <w:left w:val="none" w:sz="0" w:space="0" w:color="auto"/>
                    <w:bottom w:val="none" w:sz="0" w:space="0" w:color="auto"/>
                    <w:right w:val="none" w:sz="0" w:space="0" w:color="auto"/>
                  </w:divBdr>
                </w:div>
              </w:divsChild>
            </w:div>
            <w:div w:id="1322388988">
              <w:marLeft w:val="0"/>
              <w:marRight w:val="0"/>
              <w:marTop w:val="0"/>
              <w:marBottom w:val="0"/>
              <w:divBdr>
                <w:top w:val="none" w:sz="0" w:space="0" w:color="auto"/>
                <w:left w:val="none" w:sz="0" w:space="0" w:color="auto"/>
                <w:bottom w:val="none" w:sz="0" w:space="0" w:color="auto"/>
                <w:right w:val="none" w:sz="0" w:space="0" w:color="auto"/>
              </w:divBdr>
              <w:divsChild>
                <w:div w:id="2050296604">
                  <w:marLeft w:val="0"/>
                  <w:marRight w:val="0"/>
                  <w:marTop w:val="0"/>
                  <w:marBottom w:val="0"/>
                  <w:divBdr>
                    <w:top w:val="none" w:sz="0" w:space="0" w:color="auto"/>
                    <w:left w:val="none" w:sz="0" w:space="0" w:color="auto"/>
                    <w:bottom w:val="none" w:sz="0" w:space="0" w:color="auto"/>
                    <w:right w:val="none" w:sz="0" w:space="0" w:color="auto"/>
                  </w:divBdr>
                </w:div>
              </w:divsChild>
            </w:div>
            <w:div w:id="1382360383">
              <w:marLeft w:val="0"/>
              <w:marRight w:val="0"/>
              <w:marTop w:val="0"/>
              <w:marBottom w:val="0"/>
              <w:divBdr>
                <w:top w:val="none" w:sz="0" w:space="0" w:color="auto"/>
                <w:left w:val="none" w:sz="0" w:space="0" w:color="auto"/>
                <w:bottom w:val="none" w:sz="0" w:space="0" w:color="auto"/>
                <w:right w:val="none" w:sz="0" w:space="0" w:color="auto"/>
              </w:divBdr>
              <w:divsChild>
                <w:div w:id="611862688">
                  <w:marLeft w:val="0"/>
                  <w:marRight w:val="0"/>
                  <w:marTop w:val="0"/>
                  <w:marBottom w:val="0"/>
                  <w:divBdr>
                    <w:top w:val="none" w:sz="0" w:space="0" w:color="auto"/>
                    <w:left w:val="none" w:sz="0" w:space="0" w:color="auto"/>
                    <w:bottom w:val="none" w:sz="0" w:space="0" w:color="auto"/>
                    <w:right w:val="none" w:sz="0" w:space="0" w:color="auto"/>
                  </w:divBdr>
                </w:div>
              </w:divsChild>
            </w:div>
            <w:div w:id="2069179774">
              <w:marLeft w:val="0"/>
              <w:marRight w:val="0"/>
              <w:marTop w:val="0"/>
              <w:marBottom w:val="0"/>
              <w:divBdr>
                <w:top w:val="none" w:sz="0" w:space="0" w:color="auto"/>
                <w:left w:val="none" w:sz="0" w:space="0" w:color="auto"/>
                <w:bottom w:val="none" w:sz="0" w:space="0" w:color="auto"/>
                <w:right w:val="none" w:sz="0" w:space="0" w:color="auto"/>
              </w:divBdr>
              <w:divsChild>
                <w:div w:id="5747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28864">
      <w:bodyDiv w:val="1"/>
      <w:marLeft w:val="0"/>
      <w:marRight w:val="0"/>
      <w:marTop w:val="0"/>
      <w:marBottom w:val="0"/>
      <w:divBdr>
        <w:top w:val="none" w:sz="0" w:space="0" w:color="auto"/>
        <w:left w:val="none" w:sz="0" w:space="0" w:color="auto"/>
        <w:bottom w:val="none" w:sz="0" w:space="0" w:color="auto"/>
        <w:right w:val="none" w:sz="0" w:space="0" w:color="auto"/>
      </w:divBdr>
      <w:divsChild>
        <w:div w:id="264313503">
          <w:marLeft w:val="0"/>
          <w:marRight w:val="0"/>
          <w:marTop w:val="0"/>
          <w:marBottom w:val="0"/>
          <w:divBdr>
            <w:top w:val="none" w:sz="0" w:space="0" w:color="auto"/>
            <w:left w:val="none" w:sz="0" w:space="0" w:color="auto"/>
            <w:bottom w:val="none" w:sz="0" w:space="0" w:color="auto"/>
            <w:right w:val="none" w:sz="0" w:space="0" w:color="auto"/>
          </w:divBdr>
          <w:divsChild>
            <w:div w:id="1414085903">
              <w:marLeft w:val="0"/>
              <w:marRight w:val="0"/>
              <w:marTop w:val="0"/>
              <w:marBottom w:val="0"/>
              <w:divBdr>
                <w:top w:val="none" w:sz="0" w:space="0" w:color="auto"/>
                <w:left w:val="none" w:sz="0" w:space="0" w:color="auto"/>
                <w:bottom w:val="none" w:sz="0" w:space="0" w:color="auto"/>
                <w:right w:val="none" w:sz="0" w:space="0" w:color="auto"/>
              </w:divBdr>
              <w:divsChild>
                <w:div w:id="4690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49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953">
          <w:marLeft w:val="0"/>
          <w:marRight w:val="0"/>
          <w:marTop w:val="139"/>
          <w:marBottom w:val="139"/>
          <w:divBdr>
            <w:top w:val="none" w:sz="0" w:space="0" w:color="auto"/>
            <w:left w:val="none" w:sz="0" w:space="0" w:color="auto"/>
            <w:bottom w:val="none" w:sz="0" w:space="0" w:color="auto"/>
            <w:right w:val="none" w:sz="0" w:space="0" w:color="auto"/>
          </w:divBdr>
          <w:divsChild>
            <w:div w:id="443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1902">
      <w:bodyDiv w:val="1"/>
      <w:marLeft w:val="0"/>
      <w:marRight w:val="0"/>
      <w:marTop w:val="0"/>
      <w:marBottom w:val="0"/>
      <w:divBdr>
        <w:top w:val="none" w:sz="0" w:space="0" w:color="auto"/>
        <w:left w:val="none" w:sz="0" w:space="0" w:color="auto"/>
        <w:bottom w:val="none" w:sz="0" w:space="0" w:color="auto"/>
        <w:right w:val="none" w:sz="0" w:space="0" w:color="auto"/>
      </w:divBdr>
    </w:div>
    <w:div w:id="1249538826">
      <w:bodyDiv w:val="1"/>
      <w:marLeft w:val="0"/>
      <w:marRight w:val="0"/>
      <w:marTop w:val="0"/>
      <w:marBottom w:val="0"/>
      <w:divBdr>
        <w:top w:val="none" w:sz="0" w:space="0" w:color="auto"/>
        <w:left w:val="none" w:sz="0" w:space="0" w:color="auto"/>
        <w:bottom w:val="none" w:sz="0" w:space="0" w:color="auto"/>
        <w:right w:val="none" w:sz="0" w:space="0" w:color="auto"/>
      </w:divBdr>
      <w:divsChild>
        <w:div w:id="1613777710">
          <w:marLeft w:val="0"/>
          <w:marRight w:val="0"/>
          <w:marTop w:val="0"/>
          <w:marBottom w:val="0"/>
          <w:divBdr>
            <w:top w:val="none" w:sz="0" w:space="0" w:color="auto"/>
            <w:left w:val="none" w:sz="0" w:space="0" w:color="auto"/>
            <w:bottom w:val="none" w:sz="0" w:space="0" w:color="auto"/>
            <w:right w:val="none" w:sz="0" w:space="0" w:color="auto"/>
          </w:divBdr>
          <w:divsChild>
            <w:div w:id="593130924">
              <w:marLeft w:val="0"/>
              <w:marRight w:val="0"/>
              <w:marTop w:val="0"/>
              <w:marBottom w:val="0"/>
              <w:divBdr>
                <w:top w:val="none" w:sz="0" w:space="0" w:color="auto"/>
                <w:left w:val="none" w:sz="0" w:space="0" w:color="auto"/>
                <w:bottom w:val="none" w:sz="0" w:space="0" w:color="auto"/>
                <w:right w:val="none" w:sz="0" w:space="0" w:color="auto"/>
              </w:divBdr>
              <w:divsChild>
                <w:div w:id="83766770">
                  <w:marLeft w:val="0"/>
                  <w:marRight w:val="0"/>
                  <w:marTop w:val="0"/>
                  <w:marBottom w:val="0"/>
                  <w:divBdr>
                    <w:top w:val="none" w:sz="0" w:space="0" w:color="auto"/>
                    <w:left w:val="none" w:sz="0" w:space="0" w:color="auto"/>
                    <w:bottom w:val="none" w:sz="0" w:space="0" w:color="auto"/>
                    <w:right w:val="none" w:sz="0" w:space="0" w:color="auto"/>
                  </w:divBdr>
                  <w:divsChild>
                    <w:div w:id="2618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647363">
      <w:bodyDiv w:val="1"/>
      <w:marLeft w:val="0"/>
      <w:marRight w:val="0"/>
      <w:marTop w:val="0"/>
      <w:marBottom w:val="0"/>
      <w:divBdr>
        <w:top w:val="none" w:sz="0" w:space="0" w:color="auto"/>
        <w:left w:val="none" w:sz="0" w:space="0" w:color="auto"/>
        <w:bottom w:val="none" w:sz="0" w:space="0" w:color="auto"/>
        <w:right w:val="none" w:sz="0" w:space="0" w:color="auto"/>
      </w:divBdr>
    </w:div>
    <w:div w:id="1311206466">
      <w:bodyDiv w:val="1"/>
      <w:marLeft w:val="0"/>
      <w:marRight w:val="0"/>
      <w:marTop w:val="0"/>
      <w:marBottom w:val="0"/>
      <w:divBdr>
        <w:top w:val="none" w:sz="0" w:space="0" w:color="auto"/>
        <w:left w:val="none" w:sz="0" w:space="0" w:color="auto"/>
        <w:bottom w:val="none" w:sz="0" w:space="0" w:color="auto"/>
        <w:right w:val="none" w:sz="0" w:space="0" w:color="auto"/>
      </w:divBdr>
    </w:div>
    <w:div w:id="1322733444">
      <w:bodyDiv w:val="1"/>
      <w:marLeft w:val="0"/>
      <w:marRight w:val="0"/>
      <w:marTop w:val="0"/>
      <w:marBottom w:val="0"/>
      <w:divBdr>
        <w:top w:val="none" w:sz="0" w:space="0" w:color="auto"/>
        <w:left w:val="none" w:sz="0" w:space="0" w:color="auto"/>
        <w:bottom w:val="none" w:sz="0" w:space="0" w:color="auto"/>
        <w:right w:val="none" w:sz="0" w:space="0" w:color="auto"/>
      </w:divBdr>
    </w:div>
    <w:div w:id="1324433812">
      <w:bodyDiv w:val="1"/>
      <w:marLeft w:val="0"/>
      <w:marRight w:val="0"/>
      <w:marTop w:val="0"/>
      <w:marBottom w:val="0"/>
      <w:divBdr>
        <w:top w:val="none" w:sz="0" w:space="0" w:color="auto"/>
        <w:left w:val="none" w:sz="0" w:space="0" w:color="auto"/>
        <w:bottom w:val="none" w:sz="0" w:space="0" w:color="auto"/>
        <w:right w:val="none" w:sz="0" w:space="0" w:color="auto"/>
      </w:divBdr>
    </w:div>
    <w:div w:id="1325358647">
      <w:bodyDiv w:val="1"/>
      <w:marLeft w:val="0"/>
      <w:marRight w:val="0"/>
      <w:marTop w:val="0"/>
      <w:marBottom w:val="0"/>
      <w:divBdr>
        <w:top w:val="none" w:sz="0" w:space="0" w:color="auto"/>
        <w:left w:val="none" w:sz="0" w:space="0" w:color="auto"/>
        <w:bottom w:val="none" w:sz="0" w:space="0" w:color="auto"/>
        <w:right w:val="none" w:sz="0" w:space="0" w:color="auto"/>
      </w:divBdr>
    </w:div>
    <w:div w:id="1346709426">
      <w:bodyDiv w:val="1"/>
      <w:marLeft w:val="0"/>
      <w:marRight w:val="0"/>
      <w:marTop w:val="0"/>
      <w:marBottom w:val="0"/>
      <w:divBdr>
        <w:top w:val="none" w:sz="0" w:space="0" w:color="auto"/>
        <w:left w:val="none" w:sz="0" w:space="0" w:color="auto"/>
        <w:bottom w:val="none" w:sz="0" w:space="0" w:color="auto"/>
        <w:right w:val="none" w:sz="0" w:space="0" w:color="auto"/>
      </w:divBdr>
    </w:div>
    <w:div w:id="1353654855">
      <w:bodyDiv w:val="1"/>
      <w:marLeft w:val="0"/>
      <w:marRight w:val="0"/>
      <w:marTop w:val="0"/>
      <w:marBottom w:val="0"/>
      <w:divBdr>
        <w:top w:val="none" w:sz="0" w:space="0" w:color="auto"/>
        <w:left w:val="none" w:sz="0" w:space="0" w:color="auto"/>
        <w:bottom w:val="none" w:sz="0" w:space="0" w:color="auto"/>
        <w:right w:val="none" w:sz="0" w:space="0" w:color="auto"/>
      </w:divBdr>
    </w:div>
    <w:div w:id="1384062887">
      <w:bodyDiv w:val="1"/>
      <w:marLeft w:val="0"/>
      <w:marRight w:val="0"/>
      <w:marTop w:val="0"/>
      <w:marBottom w:val="0"/>
      <w:divBdr>
        <w:top w:val="none" w:sz="0" w:space="0" w:color="auto"/>
        <w:left w:val="none" w:sz="0" w:space="0" w:color="auto"/>
        <w:bottom w:val="none" w:sz="0" w:space="0" w:color="auto"/>
        <w:right w:val="none" w:sz="0" w:space="0" w:color="auto"/>
      </w:divBdr>
      <w:divsChild>
        <w:div w:id="841896080">
          <w:marLeft w:val="0"/>
          <w:marRight w:val="0"/>
          <w:marTop w:val="0"/>
          <w:marBottom w:val="0"/>
          <w:divBdr>
            <w:top w:val="none" w:sz="0" w:space="0" w:color="auto"/>
            <w:left w:val="none" w:sz="0" w:space="0" w:color="auto"/>
            <w:bottom w:val="none" w:sz="0" w:space="0" w:color="auto"/>
            <w:right w:val="none" w:sz="0" w:space="0" w:color="auto"/>
          </w:divBdr>
          <w:divsChild>
            <w:div w:id="796530244">
              <w:marLeft w:val="0"/>
              <w:marRight w:val="0"/>
              <w:marTop w:val="0"/>
              <w:marBottom w:val="0"/>
              <w:divBdr>
                <w:top w:val="none" w:sz="0" w:space="0" w:color="auto"/>
                <w:left w:val="none" w:sz="0" w:space="0" w:color="auto"/>
                <w:bottom w:val="none" w:sz="0" w:space="0" w:color="auto"/>
                <w:right w:val="none" w:sz="0" w:space="0" w:color="auto"/>
              </w:divBdr>
              <w:divsChild>
                <w:div w:id="15451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4417">
      <w:bodyDiv w:val="1"/>
      <w:marLeft w:val="0"/>
      <w:marRight w:val="0"/>
      <w:marTop w:val="0"/>
      <w:marBottom w:val="0"/>
      <w:divBdr>
        <w:top w:val="none" w:sz="0" w:space="0" w:color="auto"/>
        <w:left w:val="none" w:sz="0" w:space="0" w:color="auto"/>
        <w:bottom w:val="none" w:sz="0" w:space="0" w:color="auto"/>
        <w:right w:val="none" w:sz="0" w:space="0" w:color="auto"/>
      </w:divBdr>
      <w:divsChild>
        <w:div w:id="2034501671">
          <w:marLeft w:val="0"/>
          <w:marRight w:val="0"/>
          <w:marTop w:val="0"/>
          <w:marBottom w:val="0"/>
          <w:divBdr>
            <w:top w:val="none" w:sz="0" w:space="0" w:color="auto"/>
            <w:left w:val="none" w:sz="0" w:space="0" w:color="auto"/>
            <w:bottom w:val="none" w:sz="0" w:space="0" w:color="auto"/>
            <w:right w:val="none" w:sz="0" w:space="0" w:color="auto"/>
          </w:divBdr>
          <w:divsChild>
            <w:div w:id="1818719443">
              <w:marLeft w:val="0"/>
              <w:marRight w:val="0"/>
              <w:marTop w:val="0"/>
              <w:marBottom w:val="0"/>
              <w:divBdr>
                <w:top w:val="none" w:sz="0" w:space="0" w:color="auto"/>
                <w:left w:val="none" w:sz="0" w:space="0" w:color="auto"/>
                <w:bottom w:val="none" w:sz="0" w:space="0" w:color="auto"/>
                <w:right w:val="none" w:sz="0" w:space="0" w:color="auto"/>
              </w:divBdr>
              <w:divsChild>
                <w:div w:id="464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8414">
      <w:bodyDiv w:val="1"/>
      <w:marLeft w:val="0"/>
      <w:marRight w:val="0"/>
      <w:marTop w:val="0"/>
      <w:marBottom w:val="0"/>
      <w:divBdr>
        <w:top w:val="none" w:sz="0" w:space="0" w:color="auto"/>
        <w:left w:val="none" w:sz="0" w:space="0" w:color="auto"/>
        <w:bottom w:val="none" w:sz="0" w:space="0" w:color="auto"/>
        <w:right w:val="none" w:sz="0" w:space="0" w:color="auto"/>
      </w:divBdr>
      <w:divsChild>
        <w:div w:id="1178040010">
          <w:marLeft w:val="0"/>
          <w:marRight w:val="0"/>
          <w:marTop w:val="0"/>
          <w:marBottom w:val="0"/>
          <w:divBdr>
            <w:top w:val="none" w:sz="0" w:space="0" w:color="auto"/>
            <w:left w:val="none" w:sz="0" w:space="0" w:color="auto"/>
            <w:bottom w:val="none" w:sz="0" w:space="0" w:color="auto"/>
            <w:right w:val="none" w:sz="0" w:space="0" w:color="auto"/>
          </w:divBdr>
          <w:divsChild>
            <w:div w:id="1254895764">
              <w:marLeft w:val="0"/>
              <w:marRight w:val="0"/>
              <w:marTop w:val="0"/>
              <w:marBottom w:val="0"/>
              <w:divBdr>
                <w:top w:val="none" w:sz="0" w:space="0" w:color="auto"/>
                <w:left w:val="none" w:sz="0" w:space="0" w:color="auto"/>
                <w:bottom w:val="none" w:sz="0" w:space="0" w:color="auto"/>
                <w:right w:val="none" w:sz="0" w:space="0" w:color="auto"/>
              </w:divBdr>
              <w:divsChild>
                <w:div w:id="52521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1150">
      <w:bodyDiv w:val="1"/>
      <w:marLeft w:val="0"/>
      <w:marRight w:val="0"/>
      <w:marTop w:val="0"/>
      <w:marBottom w:val="0"/>
      <w:divBdr>
        <w:top w:val="none" w:sz="0" w:space="0" w:color="auto"/>
        <w:left w:val="none" w:sz="0" w:space="0" w:color="auto"/>
        <w:bottom w:val="none" w:sz="0" w:space="0" w:color="auto"/>
        <w:right w:val="none" w:sz="0" w:space="0" w:color="auto"/>
      </w:divBdr>
      <w:divsChild>
        <w:div w:id="860047354">
          <w:marLeft w:val="0"/>
          <w:marRight w:val="0"/>
          <w:marTop w:val="0"/>
          <w:marBottom w:val="0"/>
          <w:divBdr>
            <w:top w:val="none" w:sz="0" w:space="0" w:color="auto"/>
            <w:left w:val="none" w:sz="0" w:space="0" w:color="auto"/>
            <w:bottom w:val="none" w:sz="0" w:space="0" w:color="auto"/>
            <w:right w:val="none" w:sz="0" w:space="0" w:color="auto"/>
          </w:divBdr>
          <w:divsChild>
            <w:div w:id="584998102">
              <w:marLeft w:val="0"/>
              <w:marRight w:val="0"/>
              <w:marTop w:val="0"/>
              <w:marBottom w:val="0"/>
              <w:divBdr>
                <w:top w:val="none" w:sz="0" w:space="0" w:color="auto"/>
                <w:left w:val="none" w:sz="0" w:space="0" w:color="auto"/>
                <w:bottom w:val="none" w:sz="0" w:space="0" w:color="auto"/>
                <w:right w:val="none" w:sz="0" w:space="0" w:color="auto"/>
              </w:divBdr>
              <w:divsChild>
                <w:div w:id="18457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3462">
      <w:bodyDiv w:val="1"/>
      <w:marLeft w:val="0"/>
      <w:marRight w:val="0"/>
      <w:marTop w:val="0"/>
      <w:marBottom w:val="0"/>
      <w:divBdr>
        <w:top w:val="none" w:sz="0" w:space="0" w:color="auto"/>
        <w:left w:val="none" w:sz="0" w:space="0" w:color="auto"/>
        <w:bottom w:val="none" w:sz="0" w:space="0" w:color="auto"/>
        <w:right w:val="none" w:sz="0" w:space="0" w:color="auto"/>
      </w:divBdr>
      <w:divsChild>
        <w:div w:id="1474907334">
          <w:marLeft w:val="0"/>
          <w:marRight w:val="0"/>
          <w:marTop w:val="0"/>
          <w:marBottom w:val="525"/>
          <w:divBdr>
            <w:top w:val="none" w:sz="0" w:space="0" w:color="auto"/>
            <w:left w:val="none" w:sz="0" w:space="0" w:color="auto"/>
            <w:bottom w:val="none" w:sz="0" w:space="0" w:color="auto"/>
            <w:right w:val="none" w:sz="0" w:space="0" w:color="auto"/>
          </w:divBdr>
          <w:divsChild>
            <w:div w:id="12149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276">
      <w:bodyDiv w:val="1"/>
      <w:marLeft w:val="0"/>
      <w:marRight w:val="0"/>
      <w:marTop w:val="0"/>
      <w:marBottom w:val="0"/>
      <w:divBdr>
        <w:top w:val="none" w:sz="0" w:space="0" w:color="auto"/>
        <w:left w:val="none" w:sz="0" w:space="0" w:color="auto"/>
        <w:bottom w:val="none" w:sz="0" w:space="0" w:color="auto"/>
        <w:right w:val="none" w:sz="0" w:space="0" w:color="auto"/>
      </w:divBdr>
      <w:divsChild>
        <w:div w:id="1602565293">
          <w:marLeft w:val="0"/>
          <w:marRight w:val="0"/>
          <w:marTop w:val="0"/>
          <w:marBottom w:val="0"/>
          <w:divBdr>
            <w:top w:val="none" w:sz="0" w:space="0" w:color="auto"/>
            <w:left w:val="none" w:sz="0" w:space="0" w:color="auto"/>
            <w:bottom w:val="none" w:sz="0" w:space="0" w:color="auto"/>
            <w:right w:val="none" w:sz="0" w:space="0" w:color="auto"/>
          </w:divBdr>
          <w:divsChild>
            <w:div w:id="454367897">
              <w:marLeft w:val="0"/>
              <w:marRight w:val="0"/>
              <w:marTop w:val="0"/>
              <w:marBottom w:val="0"/>
              <w:divBdr>
                <w:top w:val="none" w:sz="0" w:space="0" w:color="auto"/>
                <w:left w:val="none" w:sz="0" w:space="0" w:color="auto"/>
                <w:bottom w:val="none" w:sz="0" w:space="0" w:color="auto"/>
                <w:right w:val="none" w:sz="0" w:space="0" w:color="auto"/>
              </w:divBdr>
              <w:divsChild>
                <w:div w:id="480469322">
                  <w:marLeft w:val="0"/>
                  <w:marRight w:val="0"/>
                  <w:marTop w:val="0"/>
                  <w:marBottom w:val="0"/>
                  <w:divBdr>
                    <w:top w:val="none" w:sz="0" w:space="0" w:color="auto"/>
                    <w:left w:val="none" w:sz="0" w:space="0" w:color="auto"/>
                    <w:bottom w:val="none" w:sz="0" w:space="0" w:color="auto"/>
                    <w:right w:val="none" w:sz="0" w:space="0" w:color="auto"/>
                  </w:divBdr>
                  <w:divsChild>
                    <w:div w:id="1211842195">
                      <w:marLeft w:val="0"/>
                      <w:marRight w:val="0"/>
                      <w:marTop w:val="0"/>
                      <w:marBottom w:val="0"/>
                      <w:divBdr>
                        <w:top w:val="none" w:sz="0" w:space="0" w:color="auto"/>
                        <w:left w:val="none" w:sz="0" w:space="0" w:color="auto"/>
                        <w:bottom w:val="none" w:sz="0" w:space="0" w:color="auto"/>
                        <w:right w:val="none" w:sz="0" w:space="0" w:color="auto"/>
                      </w:divBdr>
                    </w:div>
                  </w:divsChild>
                </w:div>
                <w:div w:id="1074934849">
                  <w:marLeft w:val="0"/>
                  <w:marRight w:val="0"/>
                  <w:marTop w:val="0"/>
                  <w:marBottom w:val="0"/>
                  <w:divBdr>
                    <w:top w:val="none" w:sz="0" w:space="0" w:color="auto"/>
                    <w:left w:val="none" w:sz="0" w:space="0" w:color="auto"/>
                    <w:bottom w:val="none" w:sz="0" w:space="0" w:color="auto"/>
                    <w:right w:val="none" w:sz="0" w:space="0" w:color="auto"/>
                  </w:divBdr>
                  <w:divsChild>
                    <w:div w:id="119153351">
                      <w:marLeft w:val="0"/>
                      <w:marRight w:val="0"/>
                      <w:marTop w:val="0"/>
                      <w:marBottom w:val="0"/>
                      <w:divBdr>
                        <w:top w:val="none" w:sz="0" w:space="0" w:color="auto"/>
                        <w:left w:val="none" w:sz="0" w:space="0" w:color="auto"/>
                        <w:bottom w:val="none" w:sz="0" w:space="0" w:color="auto"/>
                        <w:right w:val="none" w:sz="0" w:space="0" w:color="auto"/>
                      </w:divBdr>
                    </w:div>
                  </w:divsChild>
                </w:div>
                <w:div w:id="1356343273">
                  <w:marLeft w:val="0"/>
                  <w:marRight w:val="0"/>
                  <w:marTop w:val="0"/>
                  <w:marBottom w:val="0"/>
                  <w:divBdr>
                    <w:top w:val="none" w:sz="0" w:space="0" w:color="auto"/>
                    <w:left w:val="none" w:sz="0" w:space="0" w:color="auto"/>
                    <w:bottom w:val="none" w:sz="0" w:space="0" w:color="auto"/>
                    <w:right w:val="none" w:sz="0" w:space="0" w:color="auto"/>
                  </w:divBdr>
                  <w:divsChild>
                    <w:div w:id="1763334012">
                      <w:marLeft w:val="0"/>
                      <w:marRight w:val="0"/>
                      <w:marTop w:val="0"/>
                      <w:marBottom w:val="0"/>
                      <w:divBdr>
                        <w:top w:val="none" w:sz="0" w:space="0" w:color="auto"/>
                        <w:left w:val="none" w:sz="0" w:space="0" w:color="auto"/>
                        <w:bottom w:val="none" w:sz="0" w:space="0" w:color="auto"/>
                        <w:right w:val="none" w:sz="0" w:space="0" w:color="auto"/>
                      </w:divBdr>
                    </w:div>
                  </w:divsChild>
                </w:div>
                <w:div w:id="1931430981">
                  <w:marLeft w:val="0"/>
                  <w:marRight w:val="0"/>
                  <w:marTop w:val="0"/>
                  <w:marBottom w:val="0"/>
                  <w:divBdr>
                    <w:top w:val="none" w:sz="0" w:space="0" w:color="auto"/>
                    <w:left w:val="none" w:sz="0" w:space="0" w:color="auto"/>
                    <w:bottom w:val="none" w:sz="0" w:space="0" w:color="auto"/>
                    <w:right w:val="none" w:sz="0" w:space="0" w:color="auto"/>
                  </w:divBdr>
                  <w:divsChild>
                    <w:div w:id="4427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4407">
      <w:bodyDiv w:val="1"/>
      <w:marLeft w:val="0"/>
      <w:marRight w:val="0"/>
      <w:marTop w:val="0"/>
      <w:marBottom w:val="0"/>
      <w:divBdr>
        <w:top w:val="none" w:sz="0" w:space="0" w:color="auto"/>
        <w:left w:val="none" w:sz="0" w:space="0" w:color="auto"/>
        <w:bottom w:val="none" w:sz="0" w:space="0" w:color="auto"/>
        <w:right w:val="none" w:sz="0" w:space="0" w:color="auto"/>
      </w:divBdr>
      <w:divsChild>
        <w:div w:id="1665476800">
          <w:marLeft w:val="0"/>
          <w:marRight w:val="0"/>
          <w:marTop w:val="0"/>
          <w:marBottom w:val="0"/>
          <w:divBdr>
            <w:top w:val="none" w:sz="0" w:space="0" w:color="auto"/>
            <w:left w:val="none" w:sz="0" w:space="0" w:color="auto"/>
            <w:bottom w:val="none" w:sz="0" w:space="0" w:color="auto"/>
            <w:right w:val="none" w:sz="0" w:space="0" w:color="auto"/>
          </w:divBdr>
          <w:divsChild>
            <w:div w:id="174731463">
              <w:marLeft w:val="0"/>
              <w:marRight w:val="0"/>
              <w:marTop w:val="0"/>
              <w:marBottom w:val="0"/>
              <w:divBdr>
                <w:top w:val="none" w:sz="0" w:space="0" w:color="auto"/>
                <w:left w:val="none" w:sz="0" w:space="0" w:color="auto"/>
                <w:bottom w:val="none" w:sz="0" w:space="0" w:color="auto"/>
                <w:right w:val="none" w:sz="0" w:space="0" w:color="auto"/>
              </w:divBdr>
              <w:divsChild>
                <w:div w:id="1733498451">
                  <w:marLeft w:val="0"/>
                  <w:marRight w:val="0"/>
                  <w:marTop w:val="0"/>
                  <w:marBottom w:val="0"/>
                  <w:divBdr>
                    <w:top w:val="none" w:sz="0" w:space="0" w:color="auto"/>
                    <w:left w:val="none" w:sz="0" w:space="0" w:color="auto"/>
                    <w:bottom w:val="none" w:sz="0" w:space="0" w:color="auto"/>
                    <w:right w:val="none" w:sz="0" w:space="0" w:color="auto"/>
                  </w:divBdr>
                </w:div>
              </w:divsChild>
            </w:div>
            <w:div w:id="1394112876">
              <w:marLeft w:val="0"/>
              <w:marRight w:val="0"/>
              <w:marTop w:val="0"/>
              <w:marBottom w:val="0"/>
              <w:divBdr>
                <w:top w:val="none" w:sz="0" w:space="0" w:color="auto"/>
                <w:left w:val="none" w:sz="0" w:space="0" w:color="auto"/>
                <w:bottom w:val="none" w:sz="0" w:space="0" w:color="auto"/>
                <w:right w:val="none" w:sz="0" w:space="0" w:color="auto"/>
              </w:divBdr>
              <w:divsChild>
                <w:div w:id="2037609199">
                  <w:marLeft w:val="0"/>
                  <w:marRight w:val="0"/>
                  <w:marTop w:val="0"/>
                  <w:marBottom w:val="0"/>
                  <w:divBdr>
                    <w:top w:val="none" w:sz="0" w:space="0" w:color="auto"/>
                    <w:left w:val="none" w:sz="0" w:space="0" w:color="auto"/>
                    <w:bottom w:val="none" w:sz="0" w:space="0" w:color="auto"/>
                    <w:right w:val="none" w:sz="0" w:space="0" w:color="auto"/>
                  </w:divBdr>
                </w:div>
              </w:divsChild>
            </w:div>
            <w:div w:id="1560435641">
              <w:marLeft w:val="0"/>
              <w:marRight w:val="0"/>
              <w:marTop w:val="0"/>
              <w:marBottom w:val="0"/>
              <w:divBdr>
                <w:top w:val="none" w:sz="0" w:space="0" w:color="auto"/>
                <w:left w:val="none" w:sz="0" w:space="0" w:color="auto"/>
                <w:bottom w:val="none" w:sz="0" w:space="0" w:color="auto"/>
                <w:right w:val="none" w:sz="0" w:space="0" w:color="auto"/>
              </w:divBdr>
              <w:divsChild>
                <w:div w:id="1012033435">
                  <w:marLeft w:val="0"/>
                  <w:marRight w:val="0"/>
                  <w:marTop w:val="0"/>
                  <w:marBottom w:val="0"/>
                  <w:divBdr>
                    <w:top w:val="none" w:sz="0" w:space="0" w:color="auto"/>
                    <w:left w:val="none" w:sz="0" w:space="0" w:color="auto"/>
                    <w:bottom w:val="none" w:sz="0" w:space="0" w:color="auto"/>
                    <w:right w:val="none" w:sz="0" w:space="0" w:color="auto"/>
                  </w:divBdr>
                </w:div>
                <w:div w:id="14752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7793">
          <w:marLeft w:val="0"/>
          <w:marRight w:val="0"/>
          <w:marTop w:val="0"/>
          <w:marBottom w:val="0"/>
          <w:divBdr>
            <w:top w:val="none" w:sz="0" w:space="0" w:color="auto"/>
            <w:left w:val="none" w:sz="0" w:space="0" w:color="auto"/>
            <w:bottom w:val="none" w:sz="0" w:space="0" w:color="auto"/>
            <w:right w:val="none" w:sz="0" w:space="0" w:color="auto"/>
          </w:divBdr>
          <w:divsChild>
            <w:div w:id="683820700">
              <w:marLeft w:val="0"/>
              <w:marRight w:val="0"/>
              <w:marTop w:val="0"/>
              <w:marBottom w:val="0"/>
              <w:divBdr>
                <w:top w:val="none" w:sz="0" w:space="0" w:color="auto"/>
                <w:left w:val="none" w:sz="0" w:space="0" w:color="auto"/>
                <w:bottom w:val="none" w:sz="0" w:space="0" w:color="auto"/>
                <w:right w:val="none" w:sz="0" w:space="0" w:color="auto"/>
              </w:divBdr>
              <w:divsChild>
                <w:div w:id="20250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6108">
      <w:bodyDiv w:val="1"/>
      <w:marLeft w:val="0"/>
      <w:marRight w:val="0"/>
      <w:marTop w:val="0"/>
      <w:marBottom w:val="0"/>
      <w:divBdr>
        <w:top w:val="none" w:sz="0" w:space="0" w:color="auto"/>
        <w:left w:val="none" w:sz="0" w:space="0" w:color="auto"/>
        <w:bottom w:val="none" w:sz="0" w:space="0" w:color="auto"/>
        <w:right w:val="none" w:sz="0" w:space="0" w:color="auto"/>
      </w:divBdr>
    </w:div>
    <w:div w:id="1476214668">
      <w:bodyDiv w:val="1"/>
      <w:marLeft w:val="0"/>
      <w:marRight w:val="0"/>
      <w:marTop w:val="0"/>
      <w:marBottom w:val="0"/>
      <w:divBdr>
        <w:top w:val="none" w:sz="0" w:space="0" w:color="auto"/>
        <w:left w:val="none" w:sz="0" w:space="0" w:color="auto"/>
        <w:bottom w:val="none" w:sz="0" w:space="0" w:color="auto"/>
        <w:right w:val="none" w:sz="0" w:space="0" w:color="auto"/>
      </w:divBdr>
      <w:divsChild>
        <w:div w:id="2106031859">
          <w:marLeft w:val="0"/>
          <w:marRight w:val="0"/>
          <w:marTop w:val="0"/>
          <w:marBottom w:val="0"/>
          <w:divBdr>
            <w:top w:val="none" w:sz="0" w:space="0" w:color="auto"/>
            <w:left w:val="none" w:sz="0" w:space="0" w:color="auto"/>
            <w:bottom w:val="none" w:sz="0" w:space="0" w:color="auto"/>
            <w:right w:val="none" w:sz="0" w:space="0" w:color="auto"/>
          </w:divBdr>
          <w:divsChild>
            <w:div w:id="1797723871">
              <w:marLeft w:val="0"/>
              <w:marRight w:val="0"/>
              <w:marTop w:val="0"/>
              <w:marBottom w:val="0"/>
              <w:divBdr>
                <w:top w:val="none" w:sz="0" w:space="0" w:color="auto"/>
                <w:left w:val="none" w:sz="0" w:space="0" w:color="auto"/>
                <w:bottom w:val="none" w:sz="0" w:space="0" w:color="auto"/>
                <w:right w:val="none" w:sz="0" w:space="0" w:color="auto"/>
              </w:divBdr>
              <w:divsChild>
                <w:div w:id="19807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622">
      <w:bodyDiv w:val="1"/>
      <w:marLeft w:val="0"/>
      <w:marRight w:val="0"/>
      <w:marTop w:val="0"/>
      <w:marBottom w:val="0"/>
      <w:divBdr>
        <w:top w:val="none" w:sz="0" w:space="0" w:color="auto"/>
        <w:left w:val="none" w:sz="0" w:space="0" w:color="auto"/>
        <w:bottom w:val="none" w:sz="0" w:space="0" w:color="auto"/>
        <w:right w:val="none" w:sz="0" w:space="0" w:color="auto"/>
      </w:divBdr>
      <w:divsChild>
        <w:div w:id="1814788193">
          <w:marLeft w:val="0"/>
          <w:marRight w:val="0"/>
          <w:marTop w:val="0"/>
          <w:marBottom w:val="0"/>
          <w:divBdr>
            <w:top w:val="none" w:sz="0" w:space="0" w:color="auto"/>
            <w:left w:val="none" w:sz="0" w:space="0" w:color="auto"/>
            <w:bottom w:val="none" w:sz="0" w:space="0" w:color="auto"/>
            <w:right w:val="none" w:sz="0" w:space="0" w:color="auto"/>
          </w:divBdr>
          <w:divsChild>
            <w:div w:id="732046121">
              <w:marLeft w:val="0"/>
              <w:marRight w:val="0"/>
              <w:marTop w:val="0"/>
              <w:marBottom w:val="0"/>
              <w:divBdr>
                <w:top w:val="none" w:sz="0" w:space="0" w:color="auto"/>
                <w:left w:val="none" w:sz="0" w:space="0" w:color="auto"/>
                <w:bottom w:val="none" w:sz="0" w:space="0" w:color="auto"/>
                <w:right w:val="none" w:sz="0" w:space="0" w:color="auto"/>
              </w:divBdr>
              <w:divsChild>
                <w:div w:id="2048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99811">
      <w:bodyDiv w:val="1"/>
      <w:marLeft w:val="0"/>
      <w:marRight w:val="0"/>
      <w:marTop w:val="0"/>
      <w:marBottom w:val="0"/>
      <w:divBdr>
        <w:top w:val="none" w:sz="0" w:space="0" w:color="auto"/>
        <w:left w:val="none" w:sz="0" w:space="0" w:color="auto"/>
        <w:bottom w:val="none" w:sz="0" w:space="0" w:color="auto"/>
        <w:right w:val="none" w:sz="0" w:space="0" w:color="auto"/>
      </w:divBdr>
    </w:div>
    <w:div w:id="1517500360">
      <w:bodyDiv w:val="1"/>
      <w:marLeft w:val="0"/>
      <w:marRight w:val="0"/>
      <w:marTop w:val="0"/>
      <w:marBottom w:val="0"/>
      <w:divBdr>
        <w:top w:val="none" w:sz="0" w:space="0" w:color="auto"/>
        <w:left w:val="none" w:sz="0" w:space="0" w:color="auto"/>
        <w:bottom w:val="none" w:sz="0" w:space="0" w:color="auto"/>
        <w:right w:val="none" w:sz="0" w:space="0" w:color="auto"/>
      </w:divBdr>
      <w:divsChild>
        <w:div w:id="224294175">
          <w:marLeft w:val="0"/>
          <w:marRight w:val="0"/>
          <w:marTop w:val="0"/>
          <w:marBottom w:val="0"/>
          <w:divBdr>
            <w:top w:val="none" w:sz="0" w:space="0" w:color="auto"/>
            <w:left w:val="none" w:sz="0" w:space="0" w:color="auto"/>
            <w:bottom w:val="none" w:sz="0" w:space="0" w:color="auto"/>
            <w:right w:val="none" w:sz="0" w:space="0" w:color="auto"/>
          </w:divBdr>
          <w:divsChild>
            <w:div w:id="1924410692">
              <w:marLeft w:val="0"/>
              <w:marRight w:val="0"/>
              <w:marTop w:val="0"/>
              <w:marBottom w:val="0"/>
              <w:divBdr>
                <w:top w:val="none" w:sz="0" w:space="0" w:color="auto"/>
                <w:left w:val="none" w:sz="0" w:space="0" w:color="auto"/>
                <w:bottom w:val="none" w:sz="0" w:space="0" w:color="auto"/>
                <w:right w:val="none" w:sz="0" w:space="0" w:color="auto"/>
              </w:divBdr>
              <w:divsChild>
                <w:div w:id="18857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83150">
      <w:bodyDiv w:val="1"/>
      <w:marLeft w:val="0"/>
      <w:marRight w:val="0"/>
      <w:marTop w:val="0"/>
      <w:marBottom w:val="0"/>
      <w:divBdr>
        <w:top w:val="none" w:sz="0" w:space="0" w:color="auto"/>
        <w:left w:val="none" w:sz="0" w:space="0" w:color="auto"/>
        <w:bottom w:val="none" w:sz="0" w:space="0" w:color="auto"/>
        <w:right w:val="none" w:sz="0" w:space="0" w:color="auto"/>
      </w:divBdr>
    </w:div>
    <w:div w:id="1549805386">
      <w:bodyDiv w:val="1"/>
      <w:marLeft w:val="0"/>
      <w:marRight w:val="0"/>
      <w:marTop w:val="0"/>
      <w:marBottom w:val="0"/>
      <w:divBdr>
        <w:top w:val="none" w:sz="0" w:space="0" w:color="auto"/>
        <w:left w:val="none" w:sz="0" w:space="0" w:color="auto"/>
        <w:bottom w:val="none" w:sz="0" w:space="0" w:color="auto"/>
        <w:right w:val="none" w:sz="0" w:space="0" w:color="auto"/>
      </w:divBdr>
      <w:divsChild>
        <w:div w:id="1176917711">
          <w:marLeft w:val="0"/>
          <w:marRight w:val="0"/>
          <w:marTop w:val="0"/>
          <w:marBottom w:val="0"/>
          <w:divBdr>
            <w:top w:val="none" w:sz="0" w:space="0" w:color="auto"/>
            <w:left w:val="none" w:sz="0" w:space="0" w:color="auto"/>
            <w:bottom w:val="none" w:sz="0" w:space="0" w:color="auto"/>
            <w:right w:val="none" w:sz="0" w:space="0" w:color="auto"/>
          </w:divBdr>
          <w:divsChild>
            <w:div w:id="117186274">
              <w:marLeft w:val="0"/>
              <w:marRight w:val="0"/>
              <w:marTop w:val="0"/>
              <w:marBottom w:val="0"/>
              <w:divBdr>
                <w:top w:val="none" w:sz="0" w:space="0" w:color="auto"/>
                <w:left w:val="none" w:sz="0" w:space="0" w:color="auto"/>
                <w:bottom w:val="none" w:sz="0" w:space="0" w:color="auto"/>
                <w:right w:val="none" w:sz="0" w:space="0" w:color="auto"/>
              </w:divBdr>
              <w:divsChild>
                <w:div w:id="1732463515">
                  <w:marLeft w:val="0"/>
                  <w:marRight w:val="0"/>
                  <w:marTop w:val="0"/>
                  <w:marBottom w:val="0"/>
                  <w:divBdr>
                    <w:top w:val="none" w:sz="0" w:space="0" w:color="auto"/>
                    <w:left w:val="none" w:sz="0" w:space="0" w:color="auto"/>
                    <w:bottom w:val="none" w:sz="0" w:space="0" w:color="auto"/>
                    <w:right w:val="none" w:sz="0" w:space="0" w:color="auto"/>
                  </w:divBdr>
                  <w:divsChild>
                    <w:div w:id="21365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3410">
      <w:bodyDiv w:val="1"/>
      <w:marLeft w:val="0"/>
      <w:marRight w:val="0"/>
      <w:marTop w:val="0"/>
      <w:marBottom w:val="0"/>
      <w:divBdr>
        <w:top w:val="none" w:sz="0" w:space="0" w:color="auto"/>
        <w:left w:val="none" w:sz="0" w:space="0" w:color="auto"/>
        <w:bottom w:val="none" w:sz="0" w:space="0" w:color="auto"/>
        <w:right w:val="none" w:sz="0" w:space="0" w:color="auto"/>
      </w:divBdr>
    </w:div>
    <w:div w:id="1568493112">
      <w:bodyDiv w:val="1"/>
      <w:marLeft w:val="0"/>
      <w:marRight w:val="0"/>
      <w:marTop w:val="0"/>
      <w:marBottom w:val="0"/>
      <w:divBdr>
        <w:top w:val="none" w:sz="0" w:space="0" w:color="auto"/>
        <w:left w:val="none" w:sz="0" w:space="0" w:color="auto"/>
        <w:bottom w:val="none" w:sz="0" w:space="0" w:color="auto"/>
        <w:right w:val="none" w:sz="0" w:space="0" w:color="auto"/>
      </w:divBdr>
      <w:divsChild>
        <w:div w:id="1282347929">
          <w:marLeft w:val="0"/>
          <w:marRight w:val="0"/>
          <w:marTop w:val="0"/>
          <w:marBottom w:val="0"/>
          <w:divBdr>
            <w:top w:val="none" w:sz="0" w:space="0" w:color="auto"/>
            <w:left w:val="none" w:sz="0" w:space="0" w:color="auto"/>
            <w:bottom w:val="none" w:sz="0" w:space="0" w:color="auto"/>
            <w:right w:val="none" w:sz="0" w:space="0" w:color="auto"/>
          </w:divBdr>
          <w:divsChild>
            <w:div w:id="1643195954">
              <w:marLeft w:val="0"/>
              <w:marRight w:val="0"/>
              <w:marTop w:val="0"/>
              <w:marBottom w:val="0"/>
              <w:divBdr>
                <w:top w:val="none" w:sz="0" w:space="0" w:color="auto"/>
                <w:left w:val="none" w:sz="0" w:space="0" w:color="auto"/>
                <w:bottom w:val="none" w:sz="0" w:space="0" w:color="auto"/>
                <w:right w:val="none" w:sz="0" w:space="0" w:color="auto"/>
              </w:divBdr>
              <w:divsChild>
                <w:div w:id="5880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3530">
      <w:bodyDiv w:val="1"/>
      <w:marLeft w:val="0"/>
      <w:marRight w:val="0"/>
      <w:marTop w:val="0"/>
      <w:marBottom w:val="0"/>
      <w:divBdr>
        <w:top w:val="none" w:sz="0" w:space="0" w:color="auto"/>
        <w:left w:val="none" w:sz="0" w:space="0" w:color="auto"/>
        <w:bottom w:val="none" w:sz="0" w:space="0" w:color="auto"/>
        <w:right w:val="none" w:sz="0" w:space="0" w:color="auto"/>
      </w:divBdr>
      <w:divsChild>
        <w:div w:id="1746878908">
          <w:marLeft w:val="0"/>
          <w:marRight w:val="0"/>
          <w:marTop w:val="0"/>
          <w:marBottom w:val="0"/>
          <w:divBdr>
            <w:top w:val="none" w:sz="0" w:space="0" w:color="auto"/>
            <w:left w:val="none" w:sz="0" w:space="0" w:color="auto"/>
            <w:bottom w:val="none" w:sz="0" w:space="0" w:color="auto"/>
            <w:right w:val="none" w:sz="0" w:space="0" w:color="auto"/>
          </w:divBdr>
          <w:divsChild>
            <w:div w:id="1336031105">
              <w:marLeft w:val="0"/>
              <w:marRight w:val="0"/>
              <w:marTop w:val="0"/>
              <w:marBottom w:val="0"/>
              <w:divBdr>
                <w:top w:val="none" w:sz="0" w:space="0" w:color="auto"/>
                <w:left w:val="none" w:sz="0" w:space="0" w:color="auto"/>
                <w:bottom w:val="none" w:sz="0" w:space="0" w:color="auto"/>
                <w:right w:val="none" w:sz="0" w:space="0" w:color="auto"/>
              </w:divBdr>
              <w:divsChild>
                <w:div w:id="8242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48331">
      <w:bodyDiv w:val="1"/>
      <w:marLeft w:val="0"/>
      <w:marRight w:val="0"/>
      <w:marTop w:val="0"/>
      <w:marBottom w:val="0"/>
      <w:divBdr>
        <w:top w:val="none" w:sz="0" w:space="0" w:color="auto"/>
        <w:left w:val="none" w:sz="0" w:space="0" w:color="auto"/>
        <w:bottom w:val="none" w:sz="0" w:space="0" w:color="auto"/>
        <w:right w:val="none" w:sz="0" w:space="0" w:color="auto"/>
      </w:divBdr>
    </w:div>
    <w:div w:id="1603537033">
      <w:bodyDiv w:val="1"/>
      <w:marLeft w:val="0"/>
      <w:marRight w:val="0"/>
      <w:marTop w:val="0"/>
      <w:marBottom w:val="0"/>
      <w:divBdr>
        <w:top w:val="none" w:sz="0" w:space="0" w:color="auto"/>
        <w:left w:val="none" w:sz="0" w:space="0" w:color="auto"/>
        <w:bottom w:val="none" w:sz="0" w:space="0" w:color="auto"/>
        <w:right w:val="none" w:sz="0" w:space="0" w:color="auto"/>
      </w:divBdr>
    </w:div>
    <w:div w:id="1610115320">
      <w:bodyDiv w:val="1"/>
      <w:marLeft w:val="0"/>
      <w:marRight w:val="0"/>
      <w:marTop w:val="0"/>
      <w:marBottom w:val="0"/>
      <w:divBdr>
        <w:top w:val="none" w:sz="0" w:space="0" w:color="auto"/>
        <w:left w:val="none" w:sz="0" w:space="0" w:color="auto"/>
        <w:bottom w:val="none" w:sz="0" w:space="0" w:color="auto"/>
        <w:right w:val="none" w:sz="0" w:space="0" w:color="auto"/>
      </w:divBdr>
    </w:div>
    <w:div w:id="1631281536">
      <w:bodyDiv w:val="1"/>
      <w:marLeft w:val="0"/>
      <w:marRight w:val="0"/>
      <w:marTop w:val="0"/>
      <w:marBottom w:val="0"/>
      <w:divBdr>
        <w:top w:val="none" w:sz="0" w:space="0" w:color="auto"/>
        <w:left w:val="none" w:sz="0" w:space="0" w:color="auto"/>
        <w:bottom w:val="none" w:sz="0" w:space="0" w:color="auto"/>
        <w:right w:val="none" w:sz="0" w:space="0" w:color="auto"/>
      </w:divBdr>
    </w:div>
    <w:div w:id="1641568575">
      <w:bodyDiv w:val="1"/>
      <w:marLeft w:val="0"/>
      <w:marRight w:val="0"/>
      <w:marTop w:val="0"/>
      <w:marBottom w:val="0"/>
      <w:divBdr>
        <w:top w:val="none" w:sz="0" w:space="0" w:color="auto"/>
        <w:left w:val="none" w:sz="0" w:space="0" w:color="auto"/>
        <w:bottom w:val="none" w:sz="0" w:space="0" w:color="auto"/>
        <w:right w:val="none" w:sz="0" w:space="0" w:color="auto"/>
      </w:divBdr>
    </w:div>
    <w:div w:id="1651976557">
      <w:bodyDiv w:val="1"/>
      <w:marLeft w:val="0"/>
      <w:marRight w:val="0"/>
      <w:marTop w:val="0"/>
      <w:marBottom w:val="0"/>
      <w:divBdr>
        <w:top w:val="none" w:sz="0" w:space="0" w:color="auto"/>
        <w:left w:val="none" w:sz="0" w:space="0" w:color="auto"/>
        <w:bottom w:val="none" w:sz="0" w:space="0" w:color="auto"/>
        <w:right w:val="none" w:sz="0" w:space="0" w:color="auto"/>
      </w:divBdr>
      <w:divsChild>
        <w:div w:id="174416719">
          <w:marLeft w:val="0"/>
          <w:marRight w:val="0"/>
          <w:marTop w:val="0"/>
          <w:marBottom w:val="0"/>
          <w:divBdr>
            <w:top w:val="none" w:sz="0" w:space="0" w:color="auto"/>
            <w:left w:val="none" w:sz="0" w:space="0" w:color="auto"/>
            <w:bottom w:val="none" w:sz="0" w:space="0" w:color="auto"/>
            <w:right w:val="none" w:sz="0" w:space="0" w:color="auto"/>
          </w:divBdr>
          <w:divsChild>
            <w:div w:id="211160285">
              <w:marLeft w:val="0"/>
              <w:marRight w:val="0"/>
              <w:marTop w:val="0"/>
              <w:marBottom w:val="0"/>
              <w:divBdr>
                <w:top w:val="none" w:sz="0" w:space="0" w:color="auto"/>
                <w:left w:val="none" w:sz="0" w:space="0" w:color="auto"/>
                <w:bottom w:val="none" w:sz="0" w:space="0" w:color="auto"/>
                <w:right w:val="none" w:sz="0" w:space="0" w:color="auto"/>
              </w:divBdr>
              <w:divsChild>
                <w:div w:id="621964835">
                  <w:marLeft w:val="0"/>
                  <w:marRight w:val="0"/>
                  <w:marTop w:val="0"/>
                  <w:marBottom w:val="0"/>
                  <w:divBdr>
                    <w:top w:val="none" w:sz="0" w:space="0" w:color="auto"/>
                    <w:left w:val="none" w:sz="0" w:space="0" w:color="auto"/>
                    <w:bottom w:val="none" w:sz="0" w:space="0" w:color="auto"/>
                    <w:right w:val="none" w:sz="0" w:space="0" w:color="auto"/>
                  </w:divBdr>
                </w:div>
                <w:div w:id="1509128841">
                  <w:marLeft w:val="0"/>
                  <w:marRight w:val="0"/>
                  <w:marTop w:val="0"/>
                  <w:marBottom w:val="0"/>
                  <w:divBdr>
                    <w:top w:val="none" w:sz="0" w:space="0" w:color="auto"/>
                    <w:left w:val="none" w:sz="0" w:space="0" w:color="auto"/>
                    <w:bottom w:val="none" w:sz="0" w:space="0" w:color="auto"/>
                    <w:right w:val="none" w:sz="0" w:space="0" w:color="auto"/>
                  </w:divBdr>
                </w:div>
              </w:divsChild>
            </w:div>
            <w:div w:id="724523064">
              <w:marLeft w:val="0"/>
              <w:marRight w:val="0"/>
              <w:marTop w:val="0"/>
              <w:marBottom w:val="0"/>
              <w:divBdr>
                <w:top w:val="none" w:sz="0" w:space="0" w:color="auto"/>
                <w:left w:val="none" w:sz="0" w:space="0" w:color="auto"/>
                <w:bottom w:val="none" w:sz="0" w:space="0" w:color="auto"/>
                <w:right w:val="none" w:sz="0" w:space="0" w:color="auto"/>
              </w:divBdr>
              <w:divsChild>
                <w:div w:id="392580810">
                  <w:marLeft w:val="0"/>
                  <w:marRight w:val="0"/>
                  <w:marTop w:val="0"/>
                  <w:marBottom w:val="0"/>
                  <w:divBdr>
                    <w:top w:val="none" w:sz="0" w:space="0" w:color="auto"/>
                    <w:left w:val="none" w:sz="0" w:space="0" w:color="auto"/>
                    <w:bottom w:val="none" w:sz="0" w:space="0" w:color="auto"/>
                    <w:right w:val="none" w:sz="0" w:space="0" w:color="auto"/>
                  </w:divBdr>
                </w:div>
              </w:divsChild>
            </w:div>
            <w:div w:id="793065414">
              <w:marLeft w:val="0"/>
              <w:marRight w:val="0"/>
              <w:marTop w:val="0"/>
              <w:marBottom w:val="0"/>
              <w:divBdr>
                <w:top w:val="none" w:sz="0" w:space="0" w:color="auto"/>
                <w:left w:val="none" w:sz="0" w:space="0" w:color="auto"/>
                <w:bottom w:val="none" w:sz="0" w:space="0" w:color="auto"/>
                <w:right w:val="none" w:sz="0" w:space="0" w:color="auto"/>
              </w:divBdr>
              <w:divsChild>
                <w:div w:id="521238094">
                  <w:marLeft w:val="0"/>
                  <w:marRight w:val="0"/>
                  <w:marTop w:val="0"/>
                  <w:marBottom w:val="0"/>
                  <w:divBdr>
                    <w:top w:val="none" w:sz="0" w:space="0" w:color="auto"/>
                    <w:left w:val="none" w:sz="0" w:space="0" w:color="auto"/>
                    <w:bottom w:val="none" w:sz="0" w:space="0" w:color="auto"/>
                    <w:right w:val="none" w:sz="0" w:space="0" w:color="auto"/>
                  </w:divBdr>
                </w:div>
                <w:div w:id="616718030">
                  <w:marLeft w:val="0"/>
                  <w:marRight w:val="0"/>
                  <w:marTop w:val="0"/>
                  <w:marBottom w:val="0"/>
                  <w:divBdr>
                    <w:top w:val="none" w:sz="0" w:space="0" w:color="auto"/>
                    <w:left w:val="none" w:sz="0" w:space="0" w:color="auto"/>
                    <w:bottom w:val="none" w:sz="0" w:space="0" w:color="auto"/>
                    <w:right w:val="none" w:sz="0" w:space="0" w:color="auto"/>
                  </w:divBdr>
                </w:div>
              </w:divsChild>
            </w:div>
            <w:div w:id="1591310329">
              <w:marLeft w:val="0"/>
              <w:marRight w:val="0"/>
              <w:marTop w:val="0"/>
              <w:marBottom w:val="0"/>
              <w:divBdr>
                <w:top w:val="none" w:sz="0" w:space="0" w:color="auto"/>
                <w:left w:val="none" w:sz="0" w:space="0" w:color="auto"/>
                <w:bottom w:val="none" w:sz="0" w:space="0" w:color="auto"/>
                <w:right w:val="none" w:sz="0" w:space="0" w:color="auto"/>
              </w:divBdr>
              <w:divsChild>
                <w:div w:id="133853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2740">
      <w:bodyDiv w:val="1"/>
      <w:marLeft w:val="0"/>
      <w:marRight w:val="0"/>
      <w:marTop w:val="0"/>
      <w:marBottom w:val="0"/>
      <w:divBdr>
        <w:top w:val="none" w:sz="0" w:space="0" w:color="auto"/>
        <w:left w:val="none" w:sz="0" w:space="0" w:color="auto"/>
        <w:bottom w:val="none" w:sz="0" w:space="0" w:color="auto"/>
        <w:right w:val="none" w:sz="0" w:space="0" w:color="auto"/>
      </w:divBdr>
    </w:div>
    <w:div w:id="1661107825">
      <w:bodyDiv w:val="1"/>
      <w:marLeft w:val="0"/>
      <w:marRight w:val="0"/>
      <w:marTop w:val="0"/>
      <w:marBottom w:val="0"/>
      <w:divBdr>
        <w:top w:val="none" w:sz="0" w:space="0" w:color="auto"/>
        <w:left w:val="none" w:sz="0" w:space="0" w:color="auto"/>
        <w:bottom w:val="none" w:sz="0" w:space="0" w:color="auto"/>
        <w:right w:val="none" w:sz="0" w:space="0" w:color="auto"/>
      </w:divBdr>
    </w:div>
    <w:div w:id="1668897952">
      <w:bodyDiv w:val="1"/>
      <w:marLeft w:val="0"/>
      <w:marRight w:val="0"/>
      <w:marTop w:val="0"/>
      <w:marBottom w:val="0"/>
      <w:divBdr>
        <w:top w:val="none" w:sz="0" w:space="0" w:color="auto"/>
        <w:left w:val="none" w:sz="0" w:space="0" w:color="auto"/>
        <w:bottom w:val="none" w:sz="0" w:space="0" w:color="auto"/>
        <w:right w:val="none" w:sz="0" w:space="0" w:color="auto"/>
      </w:divBdr>
    </w:div>
    <w:div w:id="1670911960">
      <w:bodyDiv w:val="1"/>
      <w:marLeft w:val="0"/>
      <w:marRight w:val="0"/>
      <w:marTop w:val="0"/>
      <w:marBottom w:val="0"/>
      <w:divBdr>
        <w:top w:val="none" w:sz="0" w:space="0" w:color="auto"/>
        <w:left w:val="none" w:sz="0" w:space="0" w:color="auto"/>
        <w:bottom w:val="none" w:sz="0" w:space="0" w:color="auto"/>
        <w:right w:val="none" w:sz="0" w:space="0" w:color="auto"/>
      </w:divBdr>
      <w:divsChild>
        <w:div w:id="166989527">
          <w:marLeft w:val="0"/>
          <w:marRight w:val="0"/>
          <w:marTop w:val="0"/>
          <w:marBottom w:val="0"/>
          <w:divBdr>
            <w:top w:val="none" w:sz="0" w:space="0" w:color="auto"/>
            <w:left w:val="none" w:sz="0" w:space="0" w:color="auto"/>
            <w:bottom w:val="none" w:sz="0" w:space="0" w:color="auto"/>
            <w:right w:val="none" w:sz="0" w:space="0" w:color="auto"/>
          </w:divBdr>
          <w:divsChild>
            <w:div w:id="1662539486">
              <w:marLeft w:val="0"/>
              <w:marRight w:val="0"/>
              <w:marTop w:val="0"/>
              <w:marBottom w:val="0"/>
              <w:divBdr>
                <w:top w:val="none" w:sz="0" w:space="0" w:color="auto"/>
                <w:left w:val="none" w:sz="0" w:space="0" w:color="auto"/>
                <w:bottom w:val="none" w:sz="0" w:space="0" w:color="auto"/>
                <w:right w:val="none" w:sz="0" w:space="0" w:color="auto"/>
              </w:divBdr>
              <w:divsChild>
                <w:div w:id="1750073837">
                  <w:marLeft w:val="0"/>
                  <w:marRight w:val="0"/>
                  <w:marTop w:val="0"/>
                  <w:marBottom w:val="0"/>
                  <w:divBdr>
                    <w:top w:val="none" w:sz="0" w:space="0" w:color="auto"/>
                    <w:left w:val="none" w:sz="0" w:space="0" w:color="auto"/>
                    <w:bottom w:val="none" w:sz="0" w:space="0" w:color="auto"/>
                    <w:right w:val="none" w:sz="0" w:space="0" w:color="auto"/>
                  </w:divBdr>
                </w:div>
              </w:divsChild>
            </w:div>
            <w:div w:id="2084259491">
              <w:marLeft w:val="0"/>
              <w:marRight w:val="0"/>
              <w:marTop w:val="0"/>
              <w:marBottom w:val="0"/>
              <w:divBdr>
                <w:top w:val="none" w:sz="0" w:space="0" w:color="auto"/>
                <w:left w:val="none" w:sz="0" w:space="0" w:color="auto"/>
                <w:bottom w:val="none" w:sz="0" w:space="0" w:color="auto"/>
                <w:right w:val="none" w:sz="0" w:space="0" w:color="auto"/>
              </w:divBdr>
              <w:divsChild>
                <w:div w:id="18764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3980">
      <w:bodyDiv w:val="1"/>
      <w:marLeft w:val="0"/>
      <w:marRight w:val="0"/>
      <w:marTop w:val="0"/>
      <w:marBottom w:val="0"/>
      <w:divBdr>
        <w:top w:val="none" w:sz="0" w:space="0" w:color="auto"/>
        <w:left w:val="none" w:sz="0" w:space="0" w:color="auto"/>
        <w:bottom w:val="none" w:sz="0" w:space="0" w:color="auto"/>
        <w:right w:val="none" w:sz="0" w:space="0" w:color="auto"/>
      </w:divBdr>
      <w:divsChild>
        <w:div w:id="1939753568">
          <w:marLeft w:val="0"/>
          <w:marRight w:val="0"/>
          <w:marTop w:val="0"/>
          <w:marBottom w:val="0"/>
          <w:divBdr>
            <w:top w:val="none" w:sz="0" w:space="0" w:color="auto"/>
            <w:left w:val="none" w:sz="0" w:space="0" w:color="auto"/>
            <w:bottom w:val="none" w:sz="0" w:space="0" w:color="auto"/>
            <w:right w:val="none" w:sz="0" w:space="0" w:color="auto"/>
          </w:divBdr>
          <w:divsChild>
            <w:div w:id="209459731">
              <w:marLeft w:val="0"/>
              <w:marRight w:val="0"/>
              <w:marTop w:val="0"/>
              <w:marBottom w:val="0"/>
              <w:divBdr>
                <w:top w:val="none" w:sz="0" w:space="0" w:color="auto"/>
                <w:left w:val="none" w:sz="0" w:space="0" w:color="auto"/>
                <w:bottom w:val="none" w:sz="0" w:space="0" w:color="auto"/>
                <w:right w:val="none" w:sz="0" w:space="0" w:color="auto"/>
              </w:divBdr>
              <w:divsChild>
                <w:div w:id="1367877198">
                  <w:marLeft w:val="0"/>
                  <w:marRight w:val="0"/>
                  <w:marTop w:val="0"/>
                  <w:marBottom w:val="0"/>
                  <w:divBdr>
                    <w:top w:val="none" w:sz="0" w:space="0" w:color="auto"/>
                    <w:left w:val="none" w:sz="0" w:space="0" w:color="auto"/>
                    <w:bottom w:val="none" w:sz="0" w:space="0" w:color="auto"/>
                    <w:right w:val="none" w:sz="0" w:space="0" w:color="auto"/>
                  </w:divBdr>
                </w:div>
              </w:divsChild>
            </w:div>
            <w:div w:id="408384662">
              <w:marLeft w:val="0"/>
              <w:marRight w:val="0"/>
              <w:marTop w:val="0"/>
              <w:marBottom w:val="0"/>
              <w:divBdr>
                <w:top w:val="none" w:sz="0" w:space="0" w:color="auto"/>
                <w:left w:val="none" w:sz="0" w:space="0" w:color="auto"/>
                <w:bottom w:val="none" w:sz="0" w:space="0" w:color="auto"/>
                <w:right w:val="none" w:sz="0" w:space="0" w:color="auto"/>
              </w:divBdr>
              <w:divsChild>
                <w:div w:id="1383210520">
                  <w:marLeft w:val="0"/>
                  <w:marRight w:val="0"/>
                  <w:marTop w:val="0"/>
                  <w:marBottom w:val="0"/>
                  <w:divBdr>
                    <w:top w:val="none" w:sz="0" w:space="0" w:color="auto"/>
                    <w:left w:val="none" w:sz="0" w:space="0" w:color="auto"/>
                    <w:bottom w:val="none" w:sz="0" w:space="0" w:color="auto"/>
                    <w:right w:val="none" w:sz="0" w:space="0" w:color="auto"/>
                  </w:divBdr>
                </w:div>
                <w:div w:id="1415978201">
                  <w:marLeft w:val="0"/>
                  <w:marRight w:val="0"/>
                  <w:marTop w:val="0"/>
                  <w:marBottom w:val="0"/>
                  <w:divBdr>
                    <w:top w:val="none" w:sz="0" w:space="0" w:color="auto"/>
                    <w:left w:val="none" w:sz="0" w:space="0" w:color="auto"/>
                    <w:bottom w:val="none" w:sz="0" w:space="0" w:color="auto"/>
                    <w:right w:val="none" w:sz="0" w:space="0" w:color="auto"/>
                  </w:divBdr>
                </w:div>
              </w:divsChild>
            </w:div>
            <w:div w:id="706560745">
              <w:marLeft w:val="0"/>
              <w:marRight w:val="0"/>
              <w:marTop w:val="0"/>
              <w:marBottom w:val="0"/>
              <w:divBdr>
                <w:top w:val="none" w:sz="0" w:space="0" w:color="auto"/>
                <w:left w:val="none" w:sz="0" w:space="0" w:color="auto"/>
                <w:bottom w:val="none" w:sz="0" w:space="0" w:color="auto"/>
                <w:right w:val="none" w:sz="0" w:space="0" w:color="auto"/>
              </w:divBdr>
              <w:divsChild>
                <w:div w:id="54620466">
                  <w:marLeft w:val="0"/>
                  <w:marRight w:val="0"/>
                  <w:marTop w:val="0"/>
                  <w:marBottom w:val="0"/>
                  <w:divBdr>
                    <w:top w:val="none" w:sz="0" w:space="0" w:color="auto"/>
                    <w:left w:val="none" w:sz="0" w:space="0" w:color="auto"/>
                    <w:bottom w:val="none" w:sz="0" w:space="0" w:color="auto"/>
                    <w:right w:val="none" w:sz="0" w:space="0" w:color="auto"/>
                  </w:divBdr>
                </w:div>
              </w:divsChild>
            </w:div>
            <w:div w:id="939996436">
              <w:marLeft w:val="0"/>
              <w:marRight w:val="0"/>
              <w:marTop w:val="0"/>
              <w:marBottom w:val="0"/>
              <w:divBdr>
                <w:top w:val="none" w:sz="0" w:space="0" w:color="auto"/>
                <w:left w:val="none" w:sz="0" w:space="0" w:color="auto"/>
                <w:bottom w:val="none" w:sz="0" w:space="0" w:color="auto"/>
                <w:right w:val="none" w:sz="0" w:space="0" w:color="auto"/>
              </w:divBdr>
              <w:divsChild>
                <w:div w:id="1434746163">
                  <w:marLeft w:val="0"/>
                  <w:marRight w:val="0"/>
                  <w:marTop w:val="0"/>
                  <w:marBottom w:val="0"/>
                  <w:divBdr>
                    <w:top w:val="none" w:sz="0" w:space="0" w:color="auto"/>
                    <w:left w:val="none" w:sz="0" w:space="0" w:color="auto"/>
                    <w:bottom w:val="none" w:sz="0" w:space="0" w:color="auto"/>
                    <w:right w:val="none" w:sz="0" w:space="0" w:color="auto"/>
                  </w:divBdr>
                </w:div>
              </w:divsChild>
            </w:div>
            <w:div w:id="1048214777">
              <w:marLeft w:val="0"/>
              <w:marRight w:val="0"/>
              <w:marTop w:val="0"/>
              <w:marBottom w:val="0"/>
              <w:divBdr>
                <w:top w:val="none" w:sz="0" w:space="0" w:color="auto"/>
                <w:left w:val="none" w:sz="0" w:space="0" w:color="auto"/>
                <w:bottom w:val="none" w:sz="0" w:space="0" w:color="auto"/>
                <w:right w:val="none" w:sz="0" w:space="0" w:color="auto"/>
              </w:divBdr>
              <w:divsChild>
                <w:div w:id="50618043">
                  <w:marLeft w:val="0"/>
                  <w:marRight w:val="0"/>
                  <w:marTop w:val="0"/>
                  <w:marBottom w:val="0"/>
                  <w:divBdr>
                    <w:top w:val="none" w:sz="0" w:space="0" w:color="auto"/>
                    <w:left w:val="none" w:sz="0" w:space="0" w:color="auto"/>
                    <w:bottom w:val="none" w:sz="0" w:space="0" w:color="auto"/>
                    <w:right w:val="none" w:sz="0" w:space="0" w:color="auto"/>
                  </w:divBdr>
                </w:div>
                <w:div w:id="1368867402">
                  <w:marLeft w:val="0"/>
                  <w:marRight w:val="0"/>
                  <w:marTop w:val="0"/>
                  <w:marBottom w:val="0"/>
                  <w:divBdr>
                    <w:top w:val="none" w:sz="0" w:space="0" w:color="auto"/>
                    <w:left w:val="none" w:sz="0" w:space="0" w:color="auto"/>
                    <w:bottom w:val="none" w:sz="0" w:space="0" w:color="auto"/>
                    <w:right w:val="none" w:sz="0" w:space="0" w:color="auto"/>
                  </w:divBdr>
                </w:div>
              </w:divsChild>
            </w:div>
            <w:div w:id="1150638143">
              <w:marLeft w:val="0"/>
              <w:marRight w:val="0"/>
              <w:marTop w:val="0"/>
              <w:marBottom w:val="0"/>
              <w:divBdr>
                <w:top w:val="none" w:sz="0" w:space="0" w:color="auto"/>
                <w:left w:val="none" w:sz="0" w:space="0" w:color="auto"/>
                <w:bottom w:val="none" w:sz="0" w:space="0" w:color="auto"/>
                <w:right w:val="none" w:sz="0" w:space="0" w:color="auto"/>
              </w:divBdr>
              <w:divsChild>
                <w:div w:id="1545290441">
                  <w:marLeft w:val="0"/>
                  <w:marRight w:val="0"/>
                  <w:marTop w:val="0"/>
                  <w:marBottom w:val="0"/>
                  <w:divBdr>
                    <w:top w:val="none" w:sz="0" w:space="0" w:color="auto"/>
                    <w:left w:val="none" w:sz="0" w:space="0" w:color="auto"/>
                    <w:bottom w:val="none" w:sz="0" w:space="0" w:color="auto"/>
                    <w:right w:val="none" w:sz="0" w:space="0" w:color="auto"/>
                  </w:divBdr>
                </w:div>
              </w:divsChild>
            </w:div>
            <w:div w:id="1920364176">
              <w:marLeft w:val="0"/>
              <w:marRight w:val="0"/>
              <w:marTop w:val="0"/>
              <w:marBottom w:val="0"/>
              <w:divBdr>
                <w:top w:val="none" w:sz="0" w:space="0" w:color="auto"/>
                <w:left w:val="none" w:sz="0" w:space="0" w:color="auto"/>
                <w:bottom w:val="none" w:sz="0" w:space="0" w:color="auto"/>
                <w:right w:val="none" w:sz="0" w:space="0" w:color="auto"/>
              </w:divBdr>
              <w:divsChild>
                <w:div w:id="2096439898">
                  <w:marLeft w:val="0"/>
                  <w:marRight w:val="0"/>
                  <w:marTop w:val="0"/>
                  <w:marBottom w:val="0"/>
                  <w:divBdr>
                    <w:top w:val="none" w:sz="0" w:space="0" w:color="auto"/>
                    <w:left w:val="none" w:sz="0" w:space="0" w:color="auto"/>
                    <w:bottom w:val="none" w:sz="0" w:space="0" w:color="auto"/>
                    <w:right w:val="none" w:sz="0" w:space="0" w:color="auto"/>
                  </w:divBdr>
                </w:div>
              </w:divsChild>
            </w:div>
            <w:div w:id="1984458215">
              <w:marLeft w:val="0"/>
              <w:marRight w:val="0"/>
              <w:marTop w:val="0"/>
              <w:marBottom w:val="0"/>
              <w:divBdr>
                <w:top w:val="none" w:sz="0" w:space="0" w:color="auto"/>
                <w:left w:val="none" w:sz="0" w:space="0" w:color="auto"/>
                <w:bottom w:val="none" w:sz="0" w:space="0" w:color="auto"/>
                <w:right w:val="none" w:sz="0" w:space="0" w:color="auto"/>
              </w:divBdr>
              <w:divsChild>
                <w:div w:id="351491511">
                  <w:marLeft w:val="0"/>
                  <w:marRight w:val="0"/>
                  <w:marTop w:val="0"/>
                  <w:marBottom w:val="0"/>
                  <w:divBdr>
                    <w:top w:val="none" w:sz="0" w:space="0" w:color="auto"/>
                    <w:left w:val="none" w:sz="0" w:space="0" w:color="auto"/>
                    <w:bottom w:val="none" w:sz="0" w:space="0" w:color="auto"/>
                    <w:right w:val="none" w:sz="0" w:space="0" w:color="auto"/>
                  </w:divBdr>
                </w:div>
              </w:divsChild>
            </w:div>
            <w:div w:id="2130003636">
              <w:marLeft w:val="0"/>
              <w:marRight w:val="0"/>
              <w:marTop w:val="0"/>
              <w:marBottom w:val="0"/>
              <w:divBdr>
                <w:top w:val="none" w:sz="0" w:space="0" w:color="auto"/>
                <w:left w:val="none" w:sz="0" w:space="0" w:color="auto"/>
                <w:bottom w:val="none" w:sz="0" w:space="0" w:color="auto"/>
                <w:right w:val="none" w:sz="0" w:space="0" w:color="auto"/>
              </w:divBdr>
              <w:divsChild>
                <w:div w:id="5414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91001">
      <w:bodyDiv w:val="1"/>
      <w:marLeft w:val="0"/>
      <w:marRight w:val="0"/>
      <w:marTop w:val="0"/>
      <w:marBottom w:val="0"/>
      <w:divBdr>
        <w:top w:val="none" w:sz="0" w:space="0" w:color="auto"/>
        <w:left w:val="none" w:sz="0" w:space="0" w:color="auto"/>
        <w:bottom w:val="none" w:sz="0" w:space="0" w:color="auto"/>
        <w:right w:val="none" w:sz="0" w:space="0" w:color="auto"/>
      </w:divBdr>
      <w:divsChild>
        <w:div w:id="606087353">
          <w:marLeft w:val="0"/>
          <w:marRight w:val="0"/>
          <w:marTop w:val="0"/>
          <w:marBottom w:val="0"/>
          <w:divBdr>
            <w:top w:val="none" w:sz="0" w:space="0" w:color="auto"/>
            <w:left w:val="none" w:sz="0" w:space="0" w:color="auto"/>
            <w:bottom w:val="none" w:sz="0" w:space="0" w:color="auto"/>
            <w:right w:val="none" w:sz="0" w:space="0" w:color="auto"/>
          </w:divBdr>
          <w:divsChild>
            <w:div w:id="1617523014">
              <w:marLeft w:val="0"/>
              <w:marRight w:val="0"/>
              <w:marTop w:val="0"/>
              <w:marBottom w:val="0"/>
              <w:divBdr>
                <w:top w:val="none" w:sz="0" w:space="0" w:color="auto"/>
                <w:left w:val="none" w:sz="0" w:space="0" w:color="auto"/>
                <w:bottom w:val="none" w:sz="0" w:space="0" w:color="auto"/>
                <w:right w:val="none" w:sz="0" w:space="0" w:color="auto"/>
              </w:divBdr>
              <w:divsChild>
                <w:div w:id="1626498982">
                  <w:marLeft w:val="0"/>
                  <w:marRight w:val="0"/>
                  <w:marTop w:val="0"/>
                  <w:marBottom w:val="0"/>
                  <w:divBdr>
                    <w:top w:val="none" w:sz="0" w:space="0" w:color="auto"/>
                    <w:left w:val="none" w:sz="0" w:space="0" w:color="auto"/>
                    <w:bottom w:val="none" w:sz="0" w:space="0" w:color="auto"/>
                    <w:right w:val="none" w:sz="0" w:space="0" w:color="auto"/>
                  </w:divBdr>
                  <w:divsChild>
                    <w:div w:id="1777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505064">
      <w:bodyDiv w:val="1"/>
      <w:marLeft w:val="0"/>
      <w:marRight w:val="0"/>
      <w:marTop w:val="0"/>
      <w:marBottom w:val="0"/>
      <w:divBdr>
        <w:top w:val="none" w:sz="0" w:space="0" w:color="auto"/>
        <w:left w:val="none" w:sz="0" w:space="0" w:color="auto"/>
        <w:bottom w:val="none" w:sz="0" w:space="0" w:color="auto"/>
        <w:right w:val="none" w:sz="0" w:space="0" w:color="auto"/>
      </w:divBdr>
    </w:div>
    <w:div w:id="1705447559">
      <w:bodyDiv w:val="1"/>
      <w:marLeft w:val="0"/>
      <w:marRight w:val="0"/>
      <w:marTop w:val="0"/>
      <w:marBottom w:val="0"/>
      <w:divBdr>
        <w:top w:val="none" w:sz="0" w:space="0" w:color="auto"/>
        <w:left w:val="none" w:sz="0" w:space="0" w:color="auto"/>
        <w:bottom w:val="none" w:sz="0" w:space="0" w:color="auto"/>
        <w:right w:val="none" w:sz="0" w:space="0" w:color="auto"/>
      </w:divBdr>
    </w:div>
    <w:div w:id="1708483938">
      <w:bodyDiv w:val="1"/>
      <w:marLeft w:val="0"/>
      <w:marRight w:val="0"/>
      <w:marTop w:val="0"/>
      <w:marBottom w:val="0"/>
      <w:divBdr>
        <w:top w:val="none" w:sz="0" w:space="0" w:color="auto"/>
        <w:left w:val="none" w:sz="0" w:space="0" w:color="auto"/>
        <w:bottom w:val="none" w:sz="0" w:space="0" w:color="auto"/>
        <w:right w:val="none" w:sz="0" w:space="0" w:color="auto"/>
      </w:divBdr>
    </w:div>
    <w:div w:id="1717462494">
      <w:bodyDiv w:val="1"/>
      <w:marLeft w:val="0"/>
      <w:marRight w:val="0"/>
      <w:marTop w:val="0"/>
      <w:marBottom w:val="0"/>
      <w:divBdr>
        <w:top w:val="none" w:sz="0" w:space="0" w:color="auto"/>
        <w:left w:val="none" w:sz="0" w:space="0" w:color="auto"/>
        <w:bottom w:val="none" w:sz="0" w:space="0" w:color="auto"/>
        <w:right w:val="none" w:sz="0" w:space="0" w:color="auto"/>
      </w:divBdr>
    </w:div>
    <w:div w:id="1727143621">
      <w:bodyDiv w:val="1"/>
      <w:marLeft w:val="0"/>
      <w:marRight w:val="0"/>
      <w:marTop w:val="0"/>
      <w:marBottom w:val="0"/>
      <w:divBdr>
        <w:top w:val="none" w:sz="0" w:space="0" w:color="auto"/>
        <w:left w:val="none" w:sz="0" w:space="0" w:color="auto"/>
        <w:bottom w:val="none" w:sz="0" w:space="0" w:color="auto"/>
        <w:right w:val="none" w:sz="0" w:space="0" w:color="auto"/>
      </w:divBdr>
      <w:divsChild>
        <w:div w:id="688456096">
          <w:marLeft w:val="547"/>
          <w:marRight w:val="0"/>
          <w:marTop w:val="0"/>
          <w:marBottom w:val="0"/>
          <w:divBdr>
            <w:top w:val="none" w:sz="0" w:space="0" w:color="auto"/>
            <w:left w:val="none" w:sz="0" w:space="0" w:color="auto"/>
            <w:bottom w:val="none" w:sz="0" w:space="0" w:color="auto"/>
            <w:right w:val="none" w:sz="0" w:space="0" w:color="auto"/>
          </w:divBdr>
        </w:div>
      </w:divsChild>
    </w:div>
    <w:div w:id="1744714172">
      <w:bodyDiv w:val="1"/>
      <w:marLeft w:val="0"/>
      <w:marRight w:val="0"/>
      <w:marTop w:val="0"/>
      <w:marBottom w:val="0"/>
      <w:divBdr>
        <w:top w:val="none" w:sz="0" w:space="0" w:color="auto"/>
        <w:left w:val="none" w:sz="0" w:space="0" w:color="auto"/>
        <w:bottom w:val="none" w:sz="0" w:space="0" w:color="auto"/>
        <w:right w:val="none" w:sz="0" w:space="0" w:color="auto"/>
      </w:divBdr>
      <w:divsChild>
        <w:div w:id="392435169">
          <w:marLeft w:val="0"/>
          <w:marRight w:val="0"/>
          <w:marTop w:val="0"/>
          <w:marBottom w:val="0"/>
          <w:divBdr>
            <w:top w:val="none" w:sz="0" w:space="0" w:color="auto"/>
            <w:left w:val="none" w:sz="0" w:space="0" w:color="auto"/>
            <w:bottom w:val="none" w:sz="0" w:space="0" w:color="auto"/>
            <w:right w:val="none" w:sz="0" w:space="0" w:color="auto"/>
          </w:divBdr>
          <w:divsChild>
            <w:div w:id="58983750">
              <w:marLeft w:val="0"/>
              <w:marRight w:val="0"/>
              <w:marTop w:val="0"/>
              <w:marBottom w:val="0"/>
              <w:divBdr>
                <w:top w:val="none" w:sz="0" w:space="0" w:color="auto"/>
                <w:left w:val="none" w:sz="0" w:space="0" w:color="auto"/>
                <w:bottom w:val="none" w:sz="0" w:space="0" w:color="auto"/>
                <w:right w:val="none" w:sz="0" w:space="0" w:color="auto"/>
              </w:divBdr>
              <w:divsChild>
                <w:div w:id="1092358379">
                  <w:marLeft w:val="0"/>
                  <w:marRight w:val="0"/>
                  <w:marTop w:val="0"/>
                  <w:marBottom w:val="0"/>
                  <w:divBdr>
                    <w:top w:val="none" w:sz="0" w:space="0" w:color="auto"/>
                    <w:left w:val="none" w:sz="0" w:space="0" w:color="auto"/>
                    <w:bottom w:val="none" w:sz="0" w:space="0" w:color="auto"/>
                    <w:right w:val="none" w:sz="0" w:space="0" w:color="auto"/>
                  </w:divBdr>
                  <w:divsChild>
                    <w:div w:id="19490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0143">
              <w:marLeft w:val="0"/>
              <w:marRight w:val="0"/>
              <w:marTop w:val="0"/>
              <w:marBottom w:val="0"/>
              <w:divBdr>
                <w:top w:val="none" w:sz="0" w:space="0" w:color="auto"/>
                <w:left w:val="none" w:sz="0" w:space="0" w:color="auto"/>
                <w:bottom w:val="none" w:sz="0" w:space="0" w:color="auto"/>
                <w:right w:val="none" w:sz="0" w:space="0" w:color="auto"/>
              </w:divBdr>
              <w:divsChild>
                <w:div w:id="793864930">
                  <w:marLeft w:val="0"/>
                  <w:marRight w:val="0"/>
                  <w:marTop w:val="0"/>
                  <w:marBottom w:val="0"/>
                  <w:divBdr>
                    <w:top w:val="none" w:sz="0" w:space="0" w:color="auto"/>
                    <w:left w:val="none" w:sz="0" w:space="0" w:color="auto"/>
                    <w:bottom w:val="none" w:sz="0" w:space="0" w:color="auto"/>
                    <w:right w:val="none" w:sz="0" w:space="0" w:color="auto"/>
                  </w:divBdr>
                  <w:divsChild>
                    <w:div w:id="3012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5103">
              <w:marLeft w:val="0"/>
              <w:marRight w:val="0"/>
              <w:marTop w:val="0"/>
              <w:marBottom w:val="0"/>
              <w:divBdr>
                <w:top w:val="none" w:sz="0" w:space="0" w:color="auto"/>
                <w:left w:val="none" w:sz="0" w:space="0" w:color="auto"/>
                <w:bottom w:val="none" w:sz="0" w:space="0" w:color="auto"/>
                <w:right w:val="none" w:sz="0" w:space="0" w:color="auto"/>
              </w:divBdr>
              <w:divsChild>
                <w:div w:id="2056854608">
                  <w:marLeft w:val="0"/>
                  <w:marRight w:val="0"/>
                  <w:marTop w:val="0"/>
                  <w:marBottom w:val="0"/>
                  <w:divBdr>
                    <w:top w:val="none" w:sz="0" w:space="0" w:color="auto"/>
                    <w:left w:val="none" w:sz="0" w:space="0" w:color="auto"/>
                    <w:bottom w:val="none" w:sz="0" w:space="0" w:color="auto"/>
                    <w:right w:val="none" w:sz="0" w:space="0" w:color="auto"/>
                  </w:divBdr>
                  <w:divsChild>
                    <w:div w:id="8594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4181">
              <w:marLeft w:val="0"/>
              <w:marRight w:val="0"/>
              <w:marTop w:val="0"/>
              <w:marBottom w:val="0"/>
              <w:divBdr>
                <w:top w:val="none" w:sz="0" w:space="0" w:color="auto"/>
                <w:left w:val="none" w:sz="0" w:space="0" w:color="auto"/>
                <w:bottom w:val="none" w:sz="0" w:space="0" w:color="auto"/>
                <w:right w:val="none" w:sz="0" w:space="0" w:color="auto"/>
              </w:divBdr>
              <w:divsChild>
                <w:div w:id="73477528">
                  <w:marLeft w:val="0"/>
                  <w:marRight w:val="0"/>
                  <w:marTop w:val="0"/>
                  <w:marBottom w:val="0"/>
                  <w:divBdr>
                    <w:top w:val="none" w:sz="0" w:space="0" w:color="auto"/>
                    <w:left w:val="none" w:sz="0" w:space="0" w:color="auto"/>
                    <w:bottom w:val="none" w:sz="0" w:space="0" w:color="auto"/>
                    <w:right w:val="none" w:sz="0" w:space="0" w:color="auto"/>
                  </w:divBdr>
                  <w:divsChild>
                    <w:div w:id="9788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4463">
              <w:marLeft w:val="0"/>
              <w:marRight w:val="0"/>
              <w:marTop w:val="0"/>
              <w:marBottom w:val="0"/>
              <w:divBdr>
                <w:top w:val="none" w:sz="0" w:space="0" w:color="auto"/>
                <w:left w:val="none" w:sz="0" w:space="0" w:color="auto"/>
                <w:bottom w:val="none" w:sz="0" w:space="0" w:color="auto"/>
                <w:right w:val="none" w:sz="0" w:space="0" w:color="auto"/>
              </w:divBdr>
              <w:divsChild>
                <w:div w:id="946692304">
                  <w:marLeft w:val="0"/>
                  <w:marRight w:val="0"/>
                  <w:marTop w:val="0"/>
                  <w:marBottom w:val="0"/>
                  <w:divBdr>
                    <w:top w:val="none" w:sz="0" w:space="0" w:color="auto"/>
                    <w:left w:val="none" w:sz="0" w:space="0" w:color="auto"/>
                    <w:bottom w:val="none" w:sz="0" w:space="0" w:color="auto"/>
                    <w:right w:val="none" w:sz="0" w:space="0" w:color="auto"/>
                  </w:divBdr>
                  <w:divsChild>
                    <w:div w:id="1434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80631">
              <w:marLeft w:val="0"/>
              <w:marRight w:val="0"/>
              <w:marTop w:val="0"/>
              <w:marBottom w:val="0"/>
              <w:divBdr>
                <w:top w:val="none" w:sz="0" w:space="0" w:color="auto"/>
                <w:left w:val="none" w:sz="0" w:space="0" w:color="auto"/>
                <w:bottom w:val="none" w:sz="0" w:space="0" w:color="auto"/>
                <w:right w:val="none" w:sz="0" w:space="0" w:color="auto"/>
              </w:divBdr>
              <w:divsChild>
                <w:div w:id="1232741537">
                  <w:marLeft w:val="0"/>
                  <w:marRight w:val="0"/>
                  <w:marTop w:val="0"/>
                  <w:marBottom w:val="0"/>
                  <w:divBdr>
                    <w:top w:val="none" w:sz="0" w:space="0" w:color="auto"/>
                    <w:left w:val="none" w:sz="0" w:space="0" w:color="auto"/>
                    <w:bottom w:val="none" w:sz="0" w:space="0" w:color="auto"/>
                    <w:right w:val="none" w:sz="0" w:space="0" w:color="auto"/>
                  </w:divBdr>
                  <w:divsChild>
                    <w:div w:id="16840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5830">
              <w:marLeft w:val="0"/>
              <w:marRight w:val="0"/>
              <w:marTop w:val="0"/>
              <w:marBottom w:val="0"/>
              <w:divBdr>
                <w:top w:val="none" w:sz="0" w:space="0" w:color="auto"/>
                <w:left w:val="none" w:sz="0" w:space="0" w:color="auto"/>
                <w:bottom w:val="none" w:sz="0" w:space="0" w:color="auto"/>
                <w:right w:val="none" w:sz="0" w:space="0" w:color="auto"/>
              </w:divBdr>
              <w:divsChild>
                <w:div w:id="495151877">
                  <w:marLeft w:val="0"/>
                  <w:marRight w:val="0"/>
                  <w:marTop w:val="0"/>
                  <w:marBottom w:val="0"/>
                  <w:divBdr>
                    <w:top w:val="none" w:sz="0" w:space="0" w:color="auto"/>
                    <w:left w:val="none" w:sz="0" w:space="0" w:color="auto"/>
                    <w:bottom w:val="none" w:sz="0" w:space="0" w:color="auto"/>
                    <w:right w:val="none" w:sz="0" w:space="0" w:color="auto"/>
                  </w:divBdr>
                  <w:divsChild>
                    <w:div w:id="16040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3793">
              <w:marLeft w:val="0"/>
              <w:marRight w:val="0"/>
              <w:marTop w:val="0"/>
              <w:marBottom w:val="0"/>
              <w:divBdr>
                <w:top w:val="none" w:sz="0" w:space="0" w:color="auto"/>
                <w:left w:val="none" w:sz="0" w:space="0" w:color="auto"/>
                <w:bottom w:val="none" w:sz="0" w:space="0" w:color="auto"/>
                <w:right w:val="none" w:sz="0" w:space="0" w:color="auto"/>
              </w:divBdr>
              <w:divsChild>
                <w:div w:id="834300050">
                  <w:marLeft w:val="0"/>
                  <w:marRight w:val="0"/>
                  <w:marTop w:val="0"/>
                  <w:marBottom w:val="0"/>
                  <w:divBdr>
                    <w:top w:val="none" w:sz="0" w:space="0" w:color="auto"/>
                    <w:left w:val="none" w:sz="0" w:space="0" w:color="auto"/>
                    <w:bottom w:val="none" w:sz="0" w:space="0" w:color="auto"/>
                    <w:right w:val="none" w:sz="0" w:space="0" w:color="auto"/>
                  </w:divBdr>
                  <w:divsChild>
                    <w:div w:id="1604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0091">
              <w:marLeft w:val="0"/>
              <w:marRight w:val="0"/>
              <w:marTop w:val="0"/>
              <w:marBottom w:val="0"/>
              <w:divBdr>
                <w:top w:val="none" w:sz="0" w:space="0" w:color="auto"/>
                <w:left w:val="none" w:sz="0" w:space="0" w:color="auto"/>
                <w:bottom w:val="none" w:sz="0" w:space="0" w:color="auto"/>
                <w:right w:val="none" w:sz="0" w:space="0" w:color="auto"/>
              </w:divBdr>
              <w:divsChild>
                <w:div w:id="1731423362">
                  <w:marLeft w:val="0"/>
                  <w:marRight w:val="0"/>
                  <w:marTop w:val="0"/>
                  <w:marBottom w:val="0"/>
                  <w:divBdr>
                    <w:top w:val="none" w:sz="0" w:space="0" w:color="auto"/>
                    <w:left w:val="none" w:sz="0" w:space="0" w:color="auto"/>
                    <w:bottom w:val="none" w:sz="0" w:space="0" w:color="auto"/>
                    <w:right w:val="none" w:sz="0" w:space="0" w:color="auto"/>
                  </w:divBdr>
                  <w:divsChild>
                    <w:div w:id="9512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1832">
              <w:marLeft w:val="0"/>
              <w:marRight w:val="0"/>
              <w:marTop w:val="0"/>
              <w:marBottom w:val="0"/>
              <w:divBdr>
                <w:top w:val="none" w:sz="0" w:space="0" w:color="auto"/>
                <w:left w:val="none" w:sz="0" w:space="0" w:color="auto"/>
                <w:bottom w:val="none" w:sz="0" w:space="0" w:color="auto"/>
                <w:right w:val="none" w:sz="0" w:space="0" w:color="auto"/>
              </w:divBdr>
              <w:divsChild>
                <w:div w:id="1464427125">
                  <w:marLeft w:val="0"/>
                  <w:marRight w:val="0"/>
                  <w:marTop w:val="0"/>
                  <w:marBottom w:val="0"/>
                  <w:divBdr>
                    <w:top w:val="none" w:sz="0" w:space="0" w:color="auto"/>
                    <w:left w:val="none" w:sz="0" w:space="0" w:color="auto"/>
                    <w:bottom w:val="none" w:sz="0" w:space="0" w:color="auto"/>
                    <w:right w:val="none" w:sz="0" w:space="0" w:color="auto"/>
                  </w:divBdr>
                  <w:divsChild>
                    <w:div w:id="5826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1387">
              <w:marLeft w:val="0"/>
              <w:marRight w:val="0"/>
              <w:marTop w:val="0"/>
              <w:marBottom w:val="0"/>
              <w:divBdr>
                <w:top w:val="none" w:sz="0" w:space="0" w:color="auto"/>
                <w:left w:val="none" w:sz="0" w:space="0" w:color="auto"/>
                <w:bottom w:val="none" w:sz="0" w:space="0" w:color="auto"/>
                <w:right w:val="none" w:sz="0" w:space="0" w:color="auto"/>
              </w:divBdr>
              <w:divsChild>
                <w:div w:id="1065690030">
                  <w:marLeft w:val="0"/>
                  <w:marRight w:val="0"/>
                  <w:marTop w:val="0"/>
                  <w:marBottom w:val="0"/>
                  <w:divBdr>
                    <w:top w:val="none" w:sz="0" w:space="0" w:color="auto"/>
                    <w:left w:val="none" w:sz="0" w:space="0" w:color="auto"/>
                    <w:bottom w:val="none" w:sz="0" w:space="0" w:color="auto"/>
                    <w:right w:val="none" w:sz="0" w:space="0" w:color="auto"/>
                  </w:divBdr>
                  <w:divsChild>
                    <w:div w:id="2634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56381">
              <w:marLeft w:val="0"/>
              <w:marRight w:val="0"/>
              <w:marTop w:val="0"/>
              <w:marBottom w:val="0"/>
              <w:divBdr>
                <w:top w:val="none" w:sz="0" w:space="0" w:color="auto"/>
                <w:left w:val="none" w:sz="0" w:space="0" w:color="auto"/>
                <w:bottom w:val="none" w:sz="0" w:space="0" w:color="auto"/>
                <w:right w:val="none" w:sz="0" w:space="0" w:color="auto"/>
              </w:divBdr>
              <w:divsChild>
                <w:div w:id="498233951">
                  <w:marLeft w:val="0"/>
                  <w:marRight w:val="0"/>
                  <w:marTop w:val="0"/>
                  <w:marBottom w:val="0"/>
                  <w:divBdr>
                    <w:top w:val="none" w:sz="0" w:space="0" w:color="auto"/>
                    <w:left w:val="none" w:sz="0" w:space="0" w:color="auto"/>
                    <w:bottom w:val="none" w:sz="0" w:space="0" w:color="auto"/>
                    <w:right w:val="none" w:sz="0" w:space="0" w:color="auto"/>
                  </w:divBdr>
                  <w:divsChild>
                    <w:div w:id="12672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279">
              <w:marLeft w:val="0"/>
              <w:marRight w:val="0"/>
              <w:marTop w:val="0"/>
              <w:marBottom w:val="0"/>
              <w:divBdr>
                <w:top w:val="none" w:sz="0" w:space="0" w:color="auto"/>
                <w:left w:val="none" w:sz="0" w:space="0" w:color="auto"/>
                <w:bottom w:val="none" w:sz="0" w:space="0" w:color="auto"/>
                <w:right w:val="none" w:sz="0" w:space="0" w:color="auto"/>
              </w:divBdr>
              <w:divsChild>
                <w:div w:id="695689792">
                  <w:marLeft w:val="0"/>
                  <w:marRight w:val="0"/>
                  <w:marTop w:val="0"/>
                  <w:marBottom w:val="0"/>
                  <w:divBdr>
                    <w:top w:val="none" w:sz="0" w:space="0" w:color="auto"/>
                    <w:left w:val="none" w:sz="0" w:space="0" w:color="auto"/>
                    <w:bottom w:val="none" w:sz="0" w:space="0" w:color="auto"/>
                    <w:right w:val="none" w:sz="0" w:space="0" w:color="auto"/>
                  </w:divBdr>
                  <w:divsChild>
                    <w:div w:id="477040513">
                      <w:marLeft w:val="0"/>
                      <w:marRight w:val="0"/>
                      <w:marTop w:val="0"/>
                      <w:marBottom w:val="0"/>
                      <w:divBdr>
                        <w:top w:val="none" w:sz="0" w:space="0" w:color="auto"/>
                        <w:left w:val="none" w:sz="0" w:space="0" w:color="auto"/>
                        <w:bottom w:val="none" w:sz="0" w:space="0" w:color="auto"/>
                        <w:right w:val="none" w:sz="0" w:space="0" w:color="auto"/>
                      </w:divBdr>
                      <w:divsChild>
                        <w:div w:id="962079090">
                          <w:marLeft w:val="0"/>
                          <w:marRight w:val="0"/>
                          <w:marTop w:val="0"/>
                          <w:marBottom w:val="0"/>
                          <w:divBdr>
                            <w:top w:val="none" w:sz="0" w:space="0" w:color="auto"/>
                            <w:left w:val="none" w:sz="0" w:space="0" w:color="auto"/>
                            <w:bottom w:val="none" w:sz="0" w:space="0" w:color="auto"/>
                            <w:right w:val="none" w:sz="0" w:space="0" w:color="auto"/>
                          </w:divBdr>
                        </w:div>
                      </w:divsChild>
                    </w:div>
                    <w:div w:id="973681565">
                      <w:marLeft w:val="0"/>
                      <w:marRight w:val="0"/>
                      <w:marTop w:val="0"/>
                      <w:marBottom w:val="0"/>
                      <w:divBdr>
                        <w:top w:val="none" w:sz="0" w:space="0" w:color="auto"/>
                        <w:left w:val="none" w:sz="0" w:space="0" w:color="auto"/>
                        <w:bottom w:val="none" w:sz="0" w:space="0" w:color="auto"/>
                        <w:right w:val="none" w:sz="0" w:space="0" w:color="auto"/>
                      </w:divBdr>
                      <w:divsChild>
                        <w:div w:id="63111959">
                          <w:marLeft w:val="0"/>
                          <w:marRight w:val="0"/>
                          <w:marTop w:val="0"/>
                          <w:marBottom w:val="0"/>
                          <w:divBdr>
                            <w:top w:val="none" w:sz="0" w:space="0" w:color="auto"/>
                            <w:left w:val="none" w:sz="0" w:space="0" w:color="auto"/>
                            <w:bottom w:val="none" w:sz="0" w:space="0" w:color="auto"/>
                            <w:right w:val="none" w:sz="0" w:space="0" w:color="auto"/>
                          </w:divBdr>
                          <w:divsChild>
                            <w:div w:id="247663577">
                              <w:marLeft w:val="0"/>
                              <w:marRight w:val="0"/>
                              <w:marTop w:val="0"/>
                              <w:marBottom w:val="0"/>
                              <w:divBdr>
                                <w:top w:val="none" w:sz="0" w:space="0" w:color="auto"/>
                                <w:left w:val="none" w:sz="0" w:space="0" w:color="auto"/>
                                <w:bottom w:val="none" w:sz="0" w:space="0" w:color="auto"/>
                                <w:right w:val="none" w:sz="0" w:space="0" w:color="auto"/>
                              </w:divBdr>
                            </w:div>
                          </w:divsChild>
                        </w:div>
                        <w:div w:id="532423753">
                          <w:marLeft w:val="0"/>
                          <w:marRight w:val="0"/>
                          <w:marTop w:val="0"/>
                          <w:marBottom w:val="0"/>
                          <w:divBdr>
                            <w:top w:val="none" w:sz="0" w:space="0" w:color="auto"/>
                            <w:left w:val="none" w:sz="0" w:space="0" w:color="auto"/>
                            <w:bottom w:val="none" w:sz="0" w:space="0" w:color="auto"/>
                            <w:right w:val="none" w:sz="0" w:space="0" w:color="auto"/>
                          </w:divBdr>
                          <w:divsChild>
                            <w:div w:id="1480419386">
                              <w:marLeft w:val="0"/>
                              <w:marRight w:val="0"/>
                              <w:marTop w:val="0"/>
                              <w:marBottom w:val="0"/>
                              <w:divBdr>
                                <w:top w:val="none" w:sz="0" w:space="0" w:color="auto"/>
                                <w:left w:val="none" w:sz="0" w:space="0" w:color="auto"/>
                                <w:bottom w:val="none" w:sz="0" w:space="0" w:color="auto"/>
                                <w:right w:val="none" w:sz="0" w:space="0" w:color="auto"/>
                              </w:divBdr>
                            </w:div>
                          </w:divsChild>
                        </w:div>
                        <w:div w:id="610356233">
                          <w:marLeft w:val="0"/>
                          <w:marRight w:val="0"/>
                          <w:marTop w:val="0"/>
                          <w:marBottom w:val="0"/>
                          <w:divBdr>
                            <w:top w:val="none" w:sz="0" w:space="0" w:color="auto"/>
                            <w:left w:val="none" w:sz="0" w:space="0" w:color="auto"/>
                            <w:bottom w:val="none" w:sz="0" w:space="0" w:color="auto"/>
                            <w:right w:val="none" w:sz="0" w:space="0" w:color="auto"/>
                          </w:divBdr>
                          <w:divsChild>
                            <w:div w:id="37821343">
                              <w:marLeft w:val="0"/>
                              <w:marRight w:val="0"/>
                              <w:marTop w:val="0"/>
                              <w:marBottom w:val="0"/>
                              <w:divBdr>
                                <w:top w:val="none" w:sz="0" w:space="0" w:color="auto"/>
                                <w:left w:val="none" w:sz="0" w:space="0" w:color="auto"/>
                                <w:bottom w:val="none" w:sz="0" w:space="0" w:color="auto"/>
                                <w:right w:val="none" w:sz="0" w:space="0" w:color="auto"/>
                              </w:divBdr>
                            </w:div>
                          </w:divsChild>
                        </w:div>
                        <w:div w:id="1094478132">
                          <w:marLeft w:val="0"/>
                          <w:marRight w:val="0"/>
                          <w:marTop w:val="0"/>
                          <w:marBottom w:val="0"/>
                          <w:divBdr>
                            <w:top w:val="none" w:sz="0" w:space="0" w:color="auto"/>
                            <w:left w:val="none" w:sz="0" w:space="0" w:color="auto"/>
                            <w:bottom w:val="none" w:sz="0" w:space="0" w:color="auto"/>
                            <w:right w:val="none" w:sz="0" w:space="0" w:color="auto"/>
                          </w:divBdr>
                          <w:divsChild>
                            <w:div w:id="1888495110">
                              <w:marLeft w:val="0"/>
                              <w:marRight w:val="0"/>
                              <w:marTop w:val="0"/>
                              <w:marBottom w:val="0"/>
                              <w:divBdr>
                                <w:top w:val="none" w:sz="0" w:space="0" w:color="auto"/>
                                <w:left w:val="none" w:sz="0" w:space="0" w:color="auto"/>
                                <w:bottom w:val="none" w:sz="0" w:space="0" w:color="auto"/>
                                <w:right w:val="none" w:sz="0" w:space="0" w:color="auto"/>
                              </w:divBdr>
                            </w:div>
                          </w:divsChild>
                        </w:div>
                        <w:div w:id="1319337310">
                          <w:marLeft w:val="0"/>
                          <w:marRight w:val="0"/>
                          <w:marTop w:val="0"/>
                          <w:marBottom w:val="0"/>
                          <w:divBdr>
                            <w:top w:val="none" w:sz="0" w:space="0" w:color="auto"/>
                            <w:left w:val="none" w:sz="0" w:space="0" w:color="auto"/>
                            <w:bottom w:val="none" w:sz="0" w:space="0" w:color="auto"/>
                            <w:right w:val="none" w:sz="0" w:space="0" w:color="auto"/>
                          </w:divBdr>
                          <w:divsChild>
                            <w:div w:id="1207448648">
                              <w:marLeft w:val="0"/>
                              <w:marRight w:val="0"/>
                              <w:marTop w:val="0"/>
                              <w:marBottom w:val="0"/>
                              <w:divBdr>
                                <w:top w:val="none" w:sz="0" w:space="0" w:color="auto"/>
                                <w:left w:val="none" w:sz="0" w:space="0" w:color="auto"/>
                                <w:bottom w:val="none" w:sz="0" w:space="0" w:color="auto"/>
                                <w:right w:val="none" w:sz="0" w:space="0" w:color="auto"/>
                              </w:divBdr>
                            </w:div>
                          </w:divsChild>
                        </w:div>
                        <w:div w:id="1932082176">
                          <w:marLeft w:val="0"/>
                          <w:marRight w:val="0"/>
                          <w:marTop w:val="0"/>
                          <w:marBottom w:val="0"/>
                          <w:divBdr>
                            <w:top w:val="none" w:sz="0" w:space="0" w:color="auto"/>
                            <w:left w:val="none" w:sz="0" w:space="0" w:color="auto"/>
                            <w:bottom w:val="none" w:sz="0" w:space="0" w:color="auto"/>
                            <w:right w:val="none" w:sz="0" w:space="0" w:color="auto"/>
                          </w:divBdr>
                          <w:divsChild>
                            <w:div w:id="32655748">
                              <w:marLeft w:val="0"/>
                              <w:marRight w:val="0"/>
                              <w:marTop w:val="0"/>
                              <w:marBottom w:val="0"/>
                              <w:divBdr>
                                <w:top w:val="none" w:sz="0" w:space="0" w:color="auto"/>
                                <w:left w:val="none" w:sz="0" w:space="0" w:color="auto"/>
                                <w:bottom w:val="none" w:sz="0" w:space="0" w:color="auto"/>
                                <w:right w:val="none" w:sz="0" w:space="0" w:color="auto"/>
                              </w:divBdr>
                            </w:div>
                          </w:divsChild>
                        </w:div>
                        <w:div w:id="2116168385">
                          <w:marLeft w:val="0"/>
                          <w:marRight w:val="0"/>
                          <w:marTop w:val="0"/>
                          <w:marBottom w:val="0"/>
                          <w:divBdr>
                            <w:top w:val="none" w:sz="0" w:space="0" w:color="auto"/>
                            <w:left w:val="none" w:sz="0" w:space="0" w:color="auto"/>
                            <w:bottom w:val="none" w:sz="0" w:space="0" w:color="auto"/>
                            <w:right w:val="none" w:sz="0" w:space="0" w:color="auto"/>
                          </w:divBdr>
                          <w:divsChild>
                            <w:div w:id="2115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38462">
                      <w:marLeft w:val="0"/>
                      <w:marRight w:val="0"/>
                      <w:marTop w:val="0"/>
                      <w:marBottom w:val="0"/>
                      <w:divBdr>
                        <w:top w:val="none" w:sz="0" w:space="0" w:color="auto"/>
                        <w:left w:val="none" w:sz="0" w:space="0" w:color="auto"/>
                        <w:bottom w:val="none" w:sz="0" w:space="0" w:color="auto"/>
                        <w:right w:val="none" w:sz="0" w:space="0" w:color="auto"/>
                      </w:divBdr>
                      <w:divsChild>
                        <w:div w:id="415135594">
                          <w:marLeft w:val="0"/>
                          <w:marRight w:val="0"/>
                          <w:marTop w:val="0"/>
                          <w:marBottom w:val="0"/>
                          <w:divBdr>
                            <w:top w:val="none" w:sz="0" w:space="0" w:color="auto"/>
                            <w:left w:val="none" w:sz="0" w:space="0" w:color="auto"/>
                            <w:bottom w:val="none" w:sz="0" w:space="0" w:color="auto"/>
                            <w:right w:val="none" w:sz="0" w:space="0" w:color="auto"/>
                          </w:divBdr>
                        </w:div>
                        <w:div w:id="826677364">
                          <w:marLeft w:val="0"/>
                          <w:marRight w:val="0"/>
                          <w:marTop w:val="0"/>
                          <w:marBottom w:val="0"/>
                          <w:divBdr>
                            <w:top w:val="none" w:sz="0" w:space="0" w:color="auto"/>
                            <w:left w:val="none" w:sz="0" w:space="0" w:color="auto"/>
                            <w:bottom w:val="none" w:sz="0" w:space="0" w:color="auto"/>
                            <w:right w:val="none" w:sz="0" w:space="0" w:color="auto"/>
                          </w:divBdr>
                        </w:div>
                      </w:divsChild>
                    </w:div>
                    <w:div w:id="2021278165">
                      <w:marLeft w:val="0"/>
                      <w:marRight w:val="0"/>
                      <w:marTop w:val="0"/>
                      <w:marBottom w:val="0"/>
                      <w:divBdr>
                        <w:top w:val="none" w:sz="0" w:space="0" w:color="auto"/>
                        <w:left w:val="none" w:sz="0" w:space="0" w:color="auto"/>
                        <w:bottom w:val="none" w:sz="0" w:space="0" w:color="auto"/>
                        <w:right w:val="none" w:sz="0" w:space="0" w:color="auto"/>
                      </w:divBdr>
                      <w:divsChild>
                        <w:div w:id="12775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736722">
              <w:marLeft w:val="0"/>
              <w:marRight w:val="0"/>
              <w:marTop w:val="0"/>
              <w:marBottom w:val="0"/>
              <w:divBdr>
                <w:top w:val="none" w:sz="0" w:space="0" w:color="auto"/>
                <w:left w:val="none" w:sz="0" w:space="0" w:color="auto"/>
                <w:bottom w:val="none" w:sz="0" w:space="0" w:color="auto"/>
                <w:right w:val="none" w:sz="0" w:space="0" w:color="auto"/>
              </w:divBdr>
              <w:divsChild>
                <w:div w:id="978001675">
                  <w:marLeft w:val="0"/>
                  <w:marRight w:val="0"/>
                  <w:marTop w:val="0"/>
                  <w:marBottom w:val="0"/>
                  <w:divBdr>
                    <w:top w:val="none" w:sz="0" w:space="0" w:color="auto"/>
                    <w:left w:val="none" w:sz="0" w:space="0" w:color="auto"/>
                    <w:bottom w:val="none" w:sz="0" w:space="0" w:color="auto"/>
                    <w:right w:val="none" w:sz="0" w:space="0" w:color="auto"/>
                  </w:divBdr>
                  <w:divsChild>
                    <w:div w:id="216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873">
              <w:marLeft w:val="0"/>
              <w:marRight w:val="0"/>
              <w:marTop w:val="0"/>
              <w:marBottom w:val="0"/>
              <w:divBdr>
                <w:top w:val="none" w:sz="0" w:space="0" w:color="auto"/>
                <w:left w:val="none" w:sz="0" w:space="0" w:color="auto"/>
                <w:bottom w:val="none" w:sz="0" w:space="0" w:color="auto"/>
                <w:right w:val="none" w:sz="0" w:space="0" w:color="auto"/>
              </w:divBdr>
              <w:divsChild>
                <w:div w:id="1570339471">
                  <w:marLeft w:val="0"/>
                  <w:marRight w:val="0"/>
                  <w:marTop w:val="0"/>
                  <w:marBottom w:val="0"/>
                  <w:divBdr>
                    <w:top w:val="none" w:sz="0" w:space="0" w:color="auto"/>
                    <w:left w:val="none" w:sz="0" w:space="0" w:color="auto"/>
                    <w:bottom w:val="none" w:sz="0" w:space="0" w:color="auto"/>
                    <w:right w:val="none" w:sz="0" w:space="0" w:color="auto"/>
                  </w:divBdr>
                  <w:divsChild>
                    <w:div w:id="6683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632274">
              <w:marLeft w:val="0"/>
              <w:marRight w:val="0"/>
              <w:marTop w:val="0"/>
              <w:marBottom w:val="0"/>
              <w:divBdr>
                <w:top w:val="none" w:sz="0" w:space="0" w:color="auto"/>
                <w:left w:val="none" w:sz="0" w:space="0" w:color="auto"/>
                <w:bottom w:val="none" w:sz="0" w:space="0" w:color="auto"/>
                <w:right w:val="none" w:sz="0" w:space="0" w:color="auto"/>
              </w:divBdr>
              <w:divsChild>
                <w:div w:id="1211114631">
                  <w:marLeft w:val="0"/>
                  <w:marRight w:val="0"/>
                  <w:marTop w:val="0"/>
                  <w:marBottom w:val="0"/>
                  <w:divBdr>
                    <w:top w:val="none" w:sz="0" w:space="0" w:color="auto"/>
                    <w:left w:val="none" w:sz="0" w:space="0" w:color="auto"/>
                    <w:bottom w:val="none" w:sz="0" w:space="0" w:color="auto"/>
                    <w:right w:val="none" w:sz="0" w:space="0" w:color="auto"/>
                  </w:divBdr>
                  <w:divsChild>
                    <w:div w:id="3837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5656">
              <w:marLeft w:val="0"/>
              <w:marRight w:val="0"/>
              <w:marTop w:val="0"/>
              <w:marBottom w:val="0"/>
              <w:divBdr>
                <w:top w:val="none" w:sz="0" w:space="0" w:color="auto"/>
                <w:left w:val="none" w:sz="0" w:space="0" w:color="auto"/>
                <w:bottom w:val="none" w:sz="0" w:space="0" w:color="auto"/>
                <w:right w:val="none" w:sz="0" w:space="0" w:color="auto"/>
              </w:divBdr>
              <w:divsChild>
                <w:div w:id="452790562">
                  <w:marLeft w:val="0"/>
                  <w:marRight w:val="0"/>
                  <w:marTop w:val="0"/>
                  <w:marBottom w:val="0"/>
                  <w:divBdr>
                    <w:top w:val="none" w:sz="0" w:space="0" w:color="auto"/>
                    <w:left w:val="none" w:sz="0" w:space="0" w:color="auto"/>
                    <w:bottom w:val="none" w:sz="0" w:space="0" w:color="auto"/>
                    <w:right w:val="none" w:sz="0" w:space="0" w:color="auto"/>
                  </w:divBdr>
                  <w:divsChild>
                    <w:div w:id="5318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6468">
              <w:marLeft w:val="0"/>
              <w:marRight w:val="0"/>
              <w:marTop w:val="0"/>
              <w:marBottom w:val="0"/>
              <w:divBdr>
                <w:top w:val="none" w:sz="0" w:space="0" w:color="auto"/>
                <w:left w:val="none" w:sz="0" w:space="0" w:color="auto"/>
                <w:bottom w:val="none" w:sz="0" w:space="0" w:color="auto"/>
                <w:right w:val="none" w:sz="0" w:space="0" w:color="auto"/>
              </w:divBdr>
              <w:divsChild>
                <w:div w:id="1381171763">
                  <w:marLeft w:val="0"/>
                  <w:marRight w:val="0"/>
                  <w:marTop w:val="0"/>
                  <w:marBottom w:val="0"/>
                  <w:divBdr>
                    <w:top w:val="none" w:sz="0" w:space="0" w:color="auto"/>
                    <w:left w:val="none" w:sz="0" w:space="0" w:color="auto"/>
                    <w:bottom w:val="none" w:sz="0" w:space="0" w:color="auto"/>
                    <w:right w:val="none" w:sz="0" w:space="0" w:color="auto"/>
                  </w:divBdr>
                  <w:divsChild>
                    <w:div w:id="16446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5997">
              <w:marLeft w:val="0"/>
              <w:marRight w:val="0"/>
              <w:marTop w:val="0"/>
              <w:marBottom w:val="0"/>
              <w:divBdr>
                <w:top w:val="none" w:sz="0" w:space="0" w:color="auto"/>
                <w:left w:val="none" w:sz="0" w:space="0" w:color="auto"/>
                <w:bottom w:val="none" w:sz="0" w:space="0" w:color="auto"/>
                <w:right w:val="none" w:sz="0" w:space="0" w:color="auto"/>
              </w:divBdr>
              <w:divsChild>
                <w:div w:id="1172796063">
                  <w:marLeft w:val="0"/>
                  <w:marRight w:val="0"/>
                  <w:marTop w:val="0"/>
                  <w:marBottom w:val="0"/>
                  <w:divBdr>
                    <w:top w:val="none" w:sz="0" w:space="0" w:color="auto"/>
                    <w:left w:val="none" w:sz="0" w:space="0" w:color="auto"/>
                    <w:bottom w:val="none" w:sz="0" w:space="0" w:color="auto"/>
                    <w:right w:val="none" w:sz="0" w:space="0" w:color="auto"/>
                  </w:divBdr>
                  <w:divsChild>
                    <w:div w:id="4096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48211">
              <w:marLeft w:val="0"/>
              <w:marRight w:val="0"/>
              <w:marTop w:val="0"/>
              <w:marBottom w:val="0"/>
              <w:divBdr>
                <w:top w:val="none" w:sz="0" w:space="0" w:color="auto"/>
                <w:left w:val="none" w:sz="0" w:space="0" w:color="auto"/>
                <w:bottom w:val="none" w:sz="0" w:space="0" w:color="auto"/>
                <w:right w:val="none" w:sz="0" w:space="0" w:color="auto"/>
              </w:divBdr>
              <w:divsChild>
                <w:div w:id="1889757244">
                  <w:marLeft w:val="0"/>
                  <w:marRight w:val="0"/>
                  <w:marTop w:val="0"/>
                  <w:marBottom w:val="0"/>
                  <w:divBdr>
                    <w:top w:val="none" w:sz="0" w:space="0" w:color="auto"/>
                    <w:left w:val="none" w:sz="0" w:space="0" w:color="auto"/>
                    <w:bottom w:val="none" w:sz="0" w:space="0" w:color="auto"/>
                    <w:right w:val="none" w:sz="0" w:space="0" w:color="auto"/>
                  </w:divBdr>
                  <w:divsChild>
                    <w:div w:id="15869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203839">
      <w:bodyDiv w:val="1"/>
      <w:marLeft w:val="0"/>
      <w:marRight w:val="0"/>
      <w:marTop w:val="0"/>
      <w:marBottom w:val="0"/>
      <w:divBdr>
        <w:top w:val="none" w:sz="0" w:space="0" w:color="auto"/>
        <w:left w:val="none" w:sz="0" w:space="0" w:color="auto"/>
        <w:bottom w:val="none" w:sz="0" w:space="0" w:color="auto"/>
        <w:right w:val="none" w:sz="0" w:space="0" w:color="auto"/>
      </w:divBdr>
    </w:div>
    <w:div w:id="1898977948">
      <w:bodyDiv w:val="1"/>
      <w:marLeft w:val="0"/>
      <w:marRight w:val="0"/>
      <w:marTop w:val="0"/>
      <w:marBottom w:val="0"/>
      <w:divBdr>
        <w:top w:val="none" w:sz="0" w:space="0" w:color="auto"/>
        <w:left w:val="none" w:sz="0" w:space="0" w:color="auto"/>
        <w:bottom w:val="none" w:sz="0" w:space="0" w:color="auto"/>
        <w:right w:val="none" w:sz="0" w:space="0" w:color="auto"/>
      </w:divBdr>
    </w:div>
    <w:div w:id="1921716614">
      <w:bodyDiv w:val="1"/>
      <w:marLeft w:val="0"/>
      <w:marRight w:val="0"/>
      <w:marTop w:val="0"/>
      <w:marBottom w:val="0"/>
      <w:divBdr>
        <w:top w:val="none" w:sz="0" w:space="0" w:color="auto"/>
        <w:left w:val="none" w:sz="0" w:space="0" w:color="auto"/>
        <w:bottom w:val="none" w:sz="0" w:space="0" w:color="auto"/>
        <w:right w:val="none" w:sz="0" w:space="0" w:color="auto"/>
      </w:divBdr>
      <w:divsChild>
        <w:div w:id="1319386076">
          <w:marLeft w:val="0"/>
          <w:marRight w:val="0"/>
          <w:marTop w:val="0"/>
          <w:marBottom w:val="0"/>
          <w:divBdr>
            <w:top w:val="none" w:sz="0" w:space="0" w:color="auto"/>
            <w:left w:val="none" w:sz="0" w:space="0" w:color="auto"/>
            <w:bottom w:val="none" w:sz="0" w:space="0" w:color="auto"/>
            <w:right w:val="none" w:sz="0" w:space="0" w:color="auto"/>
          </w:divBdr>
          <w:divsChild>
            <w:div w:id="1922331001">
              <w:marLeft w:val="0"/>
              <w:marRight w:val="0"/>
              <w:marTop w:val="0"/>
              <w:marBottom w:val="0"/>
              <w:divBdr>
                <w:top w:val="none" w:sz="0" w:space="0" w:color="auto"/>
                <w:left w:val="none" w:sz="0" w:space="0" w:color="auto"/>
                <w:bottom w:val="none" w:sz="0" w:space="0" w:color="auto"/>
                <w:right w:val="none" w:sz="0" w:space="0" w:color="auto"/>
              </w:divBdr>
              <w:divsChild>
                <w:div w:id="2474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69971">
      <w:bodyDiv w:val="1"/>
      <w:marLeft w:val="0"/>
      <w:marRight w:val="0"/>
      <w:marTop w:val="0"/>
      <w:marBottom w:val="0"/>
      <w:divBdr>
        <w:top w:val="none" w:sz="0" w:space="0" w:color="auto"/>
        <w:left w:val="none" w:sz="0" w:space="0" w:color="auto"/>
        <w:bottom w:val="none" w:sz="0" w:space="0" w:color="auto"/>
        <w:right w:val="none" w:sz="0" w:space="0" w:color="auto"/>
      </w:divBdr>
    </w:div>
    <w:div w:id="1943805167">
      <w:bodyDiv w:val="1"/>
      <w:marLeft w:val="0"/>
      <w:marRight w:val="0"/>
      <w:marTop w:val="0"/>
      <w:marBottom w:val="0"/>
      <w:divBdr>
        <w:top w:val="none" w:sz="0" w:space="0" w:color="auto"/>
        <w:left w:val="none" w:sz="0" w:space="0" w:color="auto"/>
        <w:bottom w:val="none" w:sz="0" w:space="0" w:color="auto"/>
        <w:right w:val="none" w:sz="0" w:space="0" w:color="auto"/>
      </w:divBdr>
      <w:divsChild>
        <w:div w:id="1765882423">
          <w:marLeft w:val="0"/>
          <w:marRight w:val="0"/>
          <w:marTop w:val="0"/>
          <w:marBottom w:val="0"/>
          <w:divBdr>
            <w:top w:val="none" w:sz="0" w:space="0" w:color="auto"/>
            <w:left w:val="none" w:sz="0" w:space="0" w:color="auto"/>
            <w:bottom w:val="none" w:sz="0" w:space="0" w:color="auto"/>
            <w:right w:val="none" w:sz="0" w:space="0" w:color="auto"/>
          </w:divBdr>
        </w:div>
        <w:div w:id="1902205317">
          <w:marLeft w:val="0"/>
          <w:marRight w:val="0"/>
          <w:marTop w:val="0"/>
          <w:marBottom w:val="0"/>
          <w:divBdr>
            <w:top w:val="none" w:sz="0" w:space="0" w:color="auto"/>
            <w:left w:val="none" w:sz="0" w:space="0" w:color="auto"/>
            <w:bottom w:val="none" w:sz="0" w:space="0" w:color="auto"/>
            <w:right w:val="none" w:sz="0" w:space="0" w:color="auto"/>
          </w:divBdr>
        </w:div>
      </w:divsChild>
    </w:div>
    <w:div w:id="1947156925">
      <w:bodyDiv w:val="1"/>
      <w:marLeft w:val="0"/>
      <w:marRight w:val="0"/>
      <w:marTop w:val="0"/>
      <w:marBottom w:val="0"/>
      <w:divBdr>
        <w:top w:val="none" w:sz="0" w:space="0" w:color="auto"/>
        <w:left w:val="none" w:sz="0" w:space="0" w:color="auto"/>
        <w:bottom w:val="none" w:sz="0" w:space="0" w:color="auto"/>
        <w:right w:val="none" w:sz="0" w:space="0" w:color="auto"/>
      </w:divBdr>
    </w:div>
    <w:div w:id="1963269674">
      <w:bodyDiv w:val="1"/>
      <w:marLeft w:val="0"/>
      <w:marRight w:val="0"/>
      <w:marTop w:val="0"/>
      <w:marBottom w:val="0"/>
      <w:divBdr>
        <w:top w:val="none" w:sz="0" w:space="0" w:color="auto"/>
        <w:left w:val="none" w:sz="0" w:space="0" w:color="auto"/>
        <w:bottom w:val="none" w:sz="0" w:space="0" w:color="auto"/>
        <w:right w:val="none" w:sz="0" w:space="0" w:color="auto"/>
      </w:divBdr>
    </w:div>
    <w:div w:id="1988582455">
      <w:bodyDiv w:val="1"/>
      <w:marLeft w:val="0"/>
      <w:marRight w:val="0"/>
      <w:marTop w:val="0"/>
      <w:marBottom w:val="0"/>
      <w:divBdr>
        <w:top w:val="none" w:sz="0" w:space="0" w:color="auto"/>
        <w:left w:val="none" w:sz="0" w:space="0" w:color="auto"/>
        <w:bottom w:val="none" w:sz="0" w:space="0" w:color="auto"/>
        <w:right w:val="none" w:sz="0" w:space="0" w:color="auto"/>
      </w:divBdr>
    </w:div>
    <w:div w:id="1995065829">
      <w:bodyDiv w:val="1"/>
      <w:marLeft w:val="0"/>
      <w:marRight w:val="0"/>
      <w:marTop w:val="0"/>
      <w:marBottom w:val="0"/>
      <w:divBdr>
        <w:top w:val="none" w:sz="0" w:space="0" w:color="auto"/>
        <w:left w:val="none" w:sz="0" w:space="0" w:color="auto"/>
        <w:bottom w:val="none" w:sz="0" w:space="0" w:color="auto"/>
        <w:right w:val="none" w:sz="0" w:space="0" w:color="auto"/>
      </w:divBdr>
    </w:div>
    <w:div w:id="2017803566">
      <w:bodyDiv w:val="1"/>
      <w:marLeft w:val="0"/>
      <w:marRight w:val="0"/>
      <w:marTop w:val="0"/>
      <w:marBottom w:val="0"/>
      <w:divBdr>
        <w:top w:val="none" w:sz="0" w:space="0" w:color="auto"/>
        <w:left w:val="none" w:sz="0" w:space="0" w:color="auto"/>
        <w:bottom w:val="none" w:sz="0" w:space="0" w:color="auto"/>
        <w:right w:val="none" w:sz="0" w:space="0" w:color="auto"/>
      </w:divBdr>
      <w:divsChild>
        <w:div w:id="1422334344">
          <w:marLeft w:val="0"/>
          <w:marRight w:val="0"/>
          <w:marTop w:val="0"/>
          <w:marBottom w:val="0"/>
          <w:divBdr>
            <w:top w:val="none" w:sz="0" w:space="0" w:color="auto"/>
            <w:left w:val="none" w:sz="0" w:space="0" w:color="auto"/>
            <w:bottom w:val="none" w:sz="0" w:space="0" w:color="auto"/>
            <w:right w:val="none" w:sz="0" w:space="0" w:color="auto"/>
          </w:divBdr>
          <w:divsChild>
            <w:div w:id="1689914998">
              <w:marLeft w:val="0"/>
              <w:marRight w:val="0"/>
              <w:marTop w:val="0"/>
              <w:marBottom w:val="0"/>
              <w:divBdr>
                <w:top w:val="none" w:sz="0" w:space="0" w:color="auto"/>
                <w:left w:val="none" w:sz="0" w:space="0" w:color="auto"/>
                <w:bottom w:val="none" w:sz="0" w:space="0" w:color="auto"/>
                <w:right w:val="none" w:sz="0" w:space="0" w:color="auto"/>
              </w:divBdr>
              <w:divsChild>
                <w:div w:id="298191211">
                  <w:marLeft w:val="0"/>
                  <w:marRight w:val="0"/>
                  <w:marTop w:val="0"/>
                  <w:marBottom w:val="0"/>
                  <w:divBdr>
                    <w:top w:val="none" w:sz="0" w:space="0" w:color="auto"/>
                    <w:left w:val="none" w:sz="0" w:space="0" w:color="auto"/>
                    <w:bottom w:val="none" w:sz="0" w:space="0" w:color="auto"/>
                    <w:right w:val="none" w:sz="0" w:space="0" w:color="auto"/>
                  </w:divBdr>
                  <w:divsChild>
                    <w:div w:id="128542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4339">
      <w:bodyDiv w:val="1"/>
      <w:marLeft w:val="0"/>
      <w:marRight w:val="0"/>
      <w:marTop w:val="0"/>
      <w:marBottom w:val="0"/>
      <w:divBdr>
        <w:top w:val="none" w:sz="0" w:space="0" w:color="auto"/>
        <w:left w:val="none" w:sz="0" w:space="0" w:color="auto"/>
        <w:bottom w:val="none" w:sz="0" w:space="0" w:color="auto"/>
        <w:right w:val="none" w:sz="0" w:space="0" w:color="auto"/>
      </w:divBdr>
      <w:divsChild>
        <w:div w:id="1179083833">
          <w:marLeft w:val="0"/>
          <w:marRight w:val="0"/>
          <w:marTop w:val="0"/>
          <w:marBottom w:val="0"/>
          <w:divBdr>
            <w:top w:val="none" w:sz="0" w:space="0" w:color="auto"/>
            <w:left w:val="none" w:sz="0" w:space="0" w:color="auto"/>
            <w:bottom w:val="none" w:sz="0" w:space="0" w:color="auto"/>
            <w:right w:val="none" w:sz="0" w:space="0" w:color="auto"/>
          </w:divBdr>
          <w:divsChild>
            <w:div w:id="959805503">
              <w:marLeft w:val="0"/>
              <w:marRight w:val="0"/>
              <w:marTop w:val="0"/>
              <w:marBottom w:val="0"/>
              <w:divBdr>
                <w:top w:val="none" w:sz="0" w:space="0" w:color="auto"/>
                <w:left w:val="none" w:sz="0" w:space="0" w:color="auto"/>
                <w:bottom w:val="none" w:sz="0" w:space="0" w:color="auto"/>
                <w:right w:val="none" w:sz="0" w:space="0" w:color="auto"/>
              </w:divBdr>
              <w:divsChild>
                <w:div w:id="115942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139">
      <w:bodyDiv w:val="1"/>
      <w:marLeft w:val="0"/>
      <w:marRight w:val="0"/>
      <w:marTop w:val="0"/>
      <w:marBottom w:val="0"/>
      <w:divBdr>
        <w:top w:val="none" w:sz="0" w:space="0" w:color="auto"/>
        <w:left w:val="none" w:sz="0" w:space="0" w:color="auto"/>
        <w:bottom w:val="none" w:sz="0" w:space="0" w:color="auto"/>
        <w:right w:val="none" w:sz="0" w:space="0" w:color="auto"/>
      </w:divBdr>
      <w:divsChild>
        <w:div w:id="1888762637">
          <w:marLeft w:val="0"/>
          <w:marRight w:val="0"/>
          <w:marTop w:val="0"/>
          <w:marBottom w:val="0"/>
          <w:divBdr>
            <w:top w:val="none" w:sz="0" w:space="0" w:color="auto"/>
            <w:left w:val="none" w:sz="0" w:space="0" w:color="auto"/>
            <w:bottom w:val="none" w:sz="0" w:space="0" w:color="auto"/>
            <w:right w:val="none" w:sz="0" w:space="0" w:color="auto"/>
          </w:divBdr>
          <w:divsChild>
            <w:div w:id="310446610">
              <w:marLeft w:val="0"/>
              <w:marRight w:val="0"/>
              <w:marTop w:val="0"/>
              <w:marBottom w:val="0"/>
              <w:divBdr>
                <w:top w:val="none" w:sz="0" w:space="0" w:color="auto"/>
                <w:left w:val="none" w:sz="0" w:space="0" w:color="auto"/>
                <w:bottom w:val="none" w:sz="0" w:space="0" w:color="auto"/>
                <w:right w:val="none" w:sz="0" w:space="0" w:color="auto"/>
              </w:divBdr>
              <w:divsChild>
                <w:div w:id="986200615">
                  <w:marLeft w:val="0"/>
                  <w:marRight w:val="0"/>
                  <w:marTop w:val="0"/>
                  <w:marBottom w:val="0"/>
                  <w:divBdr>
                    <w:top w:val="none" w:sz="0" w:space="0" w:color="auto"/>
                    <w:left w:val="none" w:sz="0" w:space="0" w:color="auto"/>
                    <w:bottom w:val="none" w:sz="0" w:space="0" w:color="auto"/>
                    <w:right w:val="none" w:sz="0" w:space="0" w:color="auto"/>
                  </w:divBdr>
                  <w:divsChild>
                    <w:div w:id="392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1546">
      <w:bodyDiv w:val="1"/>
      <w:marLeft w:val="0"/>
      <w:marRight w:val="0"/>
      <w:marTop w:val="0"/>
      <w:marBottom w:val="0"/>
      <w:divBdr>
        <w:top w:val="none" w:sz="0" w:space="0" w:color="auto"/>
        <w:left w:val="none" w:sz="0" w:space="0" w:color="auto"/>
        <w:bottom w:val="none" w:sz="0" w:space="0" w:color="auto"/>
        <w:right w:val="none" w:sz="0" w:space="0" w:color="auto"/>
      </w:divBdr>
      <w:divsChild>
        <w:div w:id="758328523">
          <w:marLeft w:val="0"/>
          <w:marRight w:val="0"/>
          <w:marTop w:val="0"/>
          <w:marBottom w:val="0"/>
          <w:divBdr>
            <w:top w:val="none" w:sz="0" w:space="0" w:color="auto"/>
            <w:left w:val="none" w:sz="0" w:space="0" w:color="auto"/>
            <w:bottom w:val="none" w:sz="0" w:space="0" w:color="auto"/>
            <w:right w:val="none" w:sz="0" w:space="0" w:color="auto"/>
          </w:divBdr>
          <w:divsChild>
            <w:div w:id="2125927470">
              <w:marLeft w:val="0"/>
              <w:marRight w:val="0"/>
              <w:marTop w:val="0"/>
              <w:marBottom w:val="0"/>
              <w:divBdr>
                <w:top w:val="none" w:sz="0" w:space="0" w:color="auto"/>
                <w:left w:val="none" w:sz="0" w:space="0" w:color="auto"/>
                <w:bottom w:val="none" w:sz="0" w:space="0" w:color="auto"/>
                <w:right w:val="none" w:sz="0" w:space="0" w:color="auto"/>
              </w:divBdr>
              <w:divsChild>
                <w:div w:id="725104393">
                  <w:marLeft w:val="0"/>
                  <w:marRight w:val="0"/>
                  <w:marTop w:val="0"/>
                  <w:marBottom w:val="0"/>
                  <w:divBdr>
                    <w:top w:val="none" w:sz="0" w:space="0" w:color="auto"/>
                    <w:left w:val="none" w:sz="0" w:space="0" w:color="auto"/>
                    <w:bottom w:val="none" w:sz="0" w:space="0" w:color="auto"/>
                    <w:right w:val="none" w:sz="0" w:space="0" w:color="auto"/>
                  </w:divBdr>
                  <w:divsChild>
                    <w:div w:id="3585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0727">
      <w:bodyDiv w:val="1"/>
      <w:marLeft w:val="0"/>
      <w:marRight w:val="0"/>
      <w:marTop w:val="0"/>
      <w:marBottom w:val="0"/>
      <w:divBdr>
        <w:top w:val="none" w:sz="0" w:space="0" w:color="auto"/>
        <w:left w:val="none" w:sz="0" w:space="0" w:color="auto"/>
        <w:bottom w:val="none" w:sz="0" w:space="0" w:color="auto"/>
        <w:right w:val="none" w:sz="0" w:space="0" w:color="auto"/>
      </w:divBdr>
    </w:div>
    <w:div w:id="2087915782">
      <w:bodyDiv w:val="1"/>
      <w:marLeft w:val="0"/>
      <w:marRight w:val="0"/>
      <w:marTop w:val="0"/>
      <w:marBottom w:val="0"/>
      <w:divBdr>
        <w:top w:val="none" w:sz="0" w:space="0" w:color="auto"/>
        <w:left w:val="none" w:sz="0" w:space="0" w:color="auto"/>
        <w:bottom w:val="none" w:sz="0" w:space="0" w:color="auto"/>
        <w:right w:val="none" w:sz="0" w:space="0" w:color="auto"/>
      </w:divBdr>
      <w:divsChild>
        <w:div w:id="1407341881">
          <w:marLeft w:val="0"/>
          <w:marRight w:val="0"/>
          <w:marTop w:val="0"/>
          <w:marBottom w:val="0"/>
          <w:divBdr>
            <w:top w:val="none" w:sz="0" w:space="0" w:color="auto"/>
            <w:left w:val="none" w:sz="0" w:space="0" w:color="auto"/>
            <w:bottom w:val="none" w:sz="0" w:space="0" w:color="auto"/>
            <w:right w:val="none" w:sz="0" w:space="0" w:color="auto"/>
          </w:divBdr>
          <w:divsChild>
            <w:div w:id="1355575202">
              <w:marLeft w:val="0"/>
              <w:marRight w:val="0"/>
              <w:marTop w:val="0"/>
              <w:marBottom w:val="0"/>
              <w:divBdr>
                <w:top w:val="none" w:sz="0" w:space="0" w:color="auto"/>
                <w:left w:val="none" w:sz="0" w:space="0" w:color="auto"/>
                <w:bottom w:val="none" w:sz="0" w:space="0" w:color="auto"/>
                <w:right w:val="none" w:sz="0" w:space="0" w:color="auto"/>
              </w:divBdr>
              <w:divsChild>
                <w:div w:id="16263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3028">
      <w:bodyDiv w:val="1"/>
      <w:marLeft w:val="0"/>
      <w:marRight w:val="0"/>
      <w:marTop w:val="0"/>
      <w:marBottom w:val="0"/>
      <w:divBdr>
        <w:top w:val="none" w:sz="0" w:space="0" w:color="auto"/>
        <w:left w:val="none" w:sz="0" w:space="0" w:color="auto"/>
        <w:bottom w:val="none" w:sz="0" w:space="0" w:color="auto"/>
        <w:right w:val="none" w:sz="0" w:space="0" w:color="auto"/>
      </w:divBdr>
    </w:div>
    <w:div w:id="2132936154">
      <w:bodyDiv w:val="1"/>
      <w:marLeft w:val="0"/>
      <w:marRight w:val="0"/>
      <w:marTop w:val="0"/>
      <w:marBottom w:val="0"/>
      <w:divBdr>
        <w:top w:val="none" w:sz="0" w:space="0" w:color="auto"/>
        <w:left w:val="none" w:sz="0" w:space="0" w:color="auto"/>
        <w:bottom w:val="none" w:sz="0" w:space="0" w:color="auto"/>
        <w:right w:val="none" w:sz="0" w:space="0" w:color="auto"/>
      </w:divBdr>
    </w:div>
    <w:div w:id="2133789798">
      <w:bodyDiv w:val="1"/>
      <w:marLeft w:val="0"/>
      <w:marRight w:val="0"/>
      <w:marTop w:val="0"/>
      <w:marBottom w:val="0"/>
      <w:divBdr>
        <w:top w:val="none" w:sz="0" w:space="0" w:color="auto"/>
        <w:left w:val="none" w:sz="0" w:space="0" w:color="auto"/>
        <w:bottom w:val="none" w:sz="0" w:space="0" w:color="auto"/>
        <w:right w:val="none" w:sz="0" w:space="0" w:color="auto"/>
      </w:divBdr>
      <w:divsChild>
        <w:div w:id="558442429">
          <w:marLeft w:val="0"/>
          <w:marRight w:val="0"/>
          <w:marTop w:val="0"/>
          <w:marBottom w:val="0"/>
          <w:divBdr>
            <w:top w:val="none" w:sz="0" w:space="0" w:color="auto"/>
            <w:left w:val="none" w:sz="0" w:space="0" w:color="auto"/>
            <w:bottom w:val="none" w:sz="0" w:space="0" w:color="auto"/>
            <w:right w:val="none" w:sz="0" w:space="0" w:color="auto"/>
          </w:divBdr>
          <w:divsChild>
            <w:div w:id="179197702">
              <w:marLeft w:val="0"/>
              <w:marRight w:val="0"/>
              <w:marTop w:val="0"/>
              <w:marBottom w:val="0"/>
              <w:divBdr>
                <w:top w:val="none" w:sz="0" w:space="0" w:color="auto"/>
                <w:left w:val="none" w:sz="0" w:space="0" w:color="auto"/>
                <w:bottom w:val="none" w:sz="0" w:space="0" w:color="auto"/>
                <w:right w:val="none" w:sz="0" w:space="0" w:color="auto"/>
              </w:divBdr>
              <w:divsChild>
                <w:div w:id="211721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356">
          <w:marLeft w:val="0"/>
          <w:marRight w:val="0"/>
          <w:marTop w:val="0"/>
          <w:marBottom w:val="0"/>
          <w:divBdr>
            <w:top w:val="none" w:sz="0" w:space="0" w:color="auto"/>
            <w:left w:val="none" w:sz="0" w:space="0" w:color="auto"/>
            <w:bottom w:val="none" w:sz="0" w:space="0" w:color="auto"/>
            <w:right w:val="none" w:sz="0" w:space="0" w:color="auto"/>
          </w:divBdr>
          <w:divsChild>
            <w:div w:id="885916971">
              <w:marLeft w:val="0"/>
              <w:marRight w:val="0"/>
              <w:marTop w:val="0"/>
              <w:marBottom w:val="0"/>
              <w:divBdr>
                <w:top w:val="none" w:sz="0" w:space="0" w:color="auto"/>
                <w:left w:val="none" w:sz="0" w:space="0" w:color="auto"/>
                <w:bottom w:val="none" w:sz="0" w:space="0" w:color="auto"/>
                <w:right w:val="none" w:sz="0" w:space="0" w:color="auto"/>
              </w:divBdr>
              <w:divsChild>
                <w:div w:id="4291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7354">
          <w:marLeft w:val="0"/>
          <w:marRight w:val="0"/>
          <w:marTop w:val="0"/>
          <w:marBottom w:val="0"/>
          <w:divBdr>
            <w:top w:val="none" w:sz="0" w:space="0" w:color="auto"/>
            <w:left w:val="none" w:sz="0" w:space="0" w:color="auto"/>
            <w:bottom w:val="none" w:sz="0" w:space="0" w:color="auto"/>
            <w:right w:val="none" w:sz="0" w:space="0" w:color="auto"/>
          </w:divBdr>
          <w:divsChild>
            <w:div w:id="260261720">
              <w:marLeft w:val="0"/>
              <w:marRight w:val="0"/>
              <w:marTop w:val="0"/>
              <w:marBottom w:val="0"/>
              <w:divBdr>
                <w:top w:val="none" w:sz="0" w:space="0" w:color="auto"/>
                <w:left w:val="none" w:sz="0" w:space="0" w:color="auto"/>
                <w:bottom w:val="none" w:sz="0" w:space="0" w:color="auto"/>
                <w:right w:val="none" w:sz="0" w:space="0" w:color="auto"/>
              </w:divBdr>
              <w:divsChild>
                <w:div w:id="288168435">
                  <w:marLeft w:val="0"/>
                  <w:marRight w:val="0"/>
                  <w:marTop w:val="0"/>
                  <w:marBottom w:val="0"/>
                  <w:divBdr>
                    <w:top w:val="none" w:sz="0" w:space="0" w:color="auto"/>
                    <w:left w:val="none" w:sz="0" w:space="0" w:color="auto"/>
                    <w:bottom w:val="none" w:sz="0" w:space="0" w:color="auto"/>
                    <w:right w:val="none" w:sz="0" w:space="0" w:color="auto"/>
                  </w:divBdr>
                </w:div>
              </w:divsChild>
            </w:div>
            <w:div w:id="948855631">
              <w:marLeft w:val="0"/>
              <w:marRight w:val="0"/>
              <w:marTop w:val="0"/>
              <w:marBottom w:val="0"/>
              <w:divBdr>
                <w:top w:val="none" w:sz="0" w:space="0" w:color="auto"/>
                <w:left w:val="none" w:sz="0" w:space="0" w:color="auto"/>
                <w:bottom w:val="none" w:sz="0" w:space="0" w:color="auto"/>
                <w:right w:val="none" w:sz="0" w:space="0" w:color="auto"/>
              </w:divBdr>
              <w:divsChild>
                <w:div w:id="419259362">
                  <w:marLeft w:val="0"/>
                  <w:marRight w:val="0"/>
                  <w:marTop w:val="0"/>
                  <w:marBottom w:val="0"/>
                  <w:divBdr>
                    <w:top w:val="none" w:sz="0" w:space="0" w:color="auto"/>
                    <w:left w:val="none" w:sz="0" w:space="0" w:color="auto"/>
                    <w:bottom w:val="none" w:sz="0" w:space="0" w:color="auto"/>
                    <w:right w:val="none" w:sz="0" w:space="0" w:color="auto"/>
                  </w:divBdr>
                </w:div>
                <w:div w:id="19493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D10CF0.2ACF2D40"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eader" Target="header4.xml"/></Relationships>
</file>

<file path=word/_rels/endnotes.xml.rels><?xml version="1.0" encoding="UTF-8" standalone="yes"?>
<Relationships xmlns="http://schemas.openxmlformats.org/package/2006/relationships"><Relationship Id="rId2" Type="http://schemas.openxmlformats.org/officeDocument/2006/relationships/hyperlink" Target="http://www.marathonhealth.com.au/uploads/Telehealth%20Documents/ACRRM_Effectiveness_Of_Telehealth_Consultations_v2.pdf" TargetMode="External"/><Relationship Id="rId1" Type="http://schemas.openxmlformats.org/officeDocument/2006/relationships/hyperlink" Target="https://www.royalfarwest.org.au/wp-content/uploads/2017/12/Invisible-children-web.pdf"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16" ma:contentTypeDescription="Create a new document." ma:contentTypeScope="" ma:versionID="9df34c50d087ac73e645bebf37be71ca">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a10b7c6b2bdffd3aa1d9fd76c1e6f657"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2945F4-E61B-458B-9437-1AA38E964F4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36487dd-ec90-4f99-8970-1318e5f29791"/>
    <ds:schemaRef ds:uri="dcf7b372-aaaa-46d8-9da6-ade9aab953df"/>
    <ds:schemaRef ds:uri="http://www.w3.org/XML/1998/namespace"/>
  </ds:schemaRefs>
</ds:datastoreItem>
</file>

<file path=customXml/itemProps3.xml><?xml version="1.0" encoding="utf-8"?>
<ds:datastoreItem xmlns:ds="http://schemas.openxmlformats.org/officeDocument/2006/customXml" ds:itemID="{BAEB20A6-37CF-4781-B54E-418CE7020742}">
  <ds:schemaRefs>
    <ds:schemaRef ds:uri="http://schemas.microsoft.com/sharepoint/v3/contenttype/forms"/>
  </ds:schemaRefs>
</ds:datastoreItem>
</file>

<file path=customXml/itemProps4.xml><?xml version="1.0" encoding="utf-8"?>
<ds:datastoreItem xmlns:ds="http://schemas.openxmlformats.org/officeDocument/2006/customXml" ds:itemID="{7AD4E695-5096-4DB4-BE7C-ABED5929D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0E4B772-1510-4D11-ACD3-8DAE7DEE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14681</Words>
  <Characters>83684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National Action Plan for the Health of Children and Young People (the Action Plan) provides a roadmap for a national approach to improve and ensure the health and wellbeing of all Australian children and young people – providing them with the best start to life</dc:subject>
  <dc:creator/>
  <cp:keywords>preventive health; children; young people; plan; roadmap</cp:keywords>
  <cp:lastModifiedBy/>
  <cp:revision>1</cp:revision>
  <dcterms:created xsi:type="dcterms:W3CDTF">2021-04-19T02:33:00Z</dcterms:created>
  <dcterms:modified xsi:type="dcterms:W3CDTF">2021-04-19T02:33:00Z</dcterms:modified>
  <cp:category>preventive health;children and young people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0x010100BA217076F0871349BCBE5A6EC7EEC4B3</vt:lpwstr>
  </property>
</Properties>
</file>