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F5CEA" w14:textId="7B0410EF" w:rsidR="00593D17" w:rsidRDefault="00C1572C" w:rsidP="00593D17">
      <w:pPr>
        <w:pStyle w:val="Heading1"/>
      </w:pPr>
      <w:r w:rsidRPr="007B374E">
        <w:t>1</w:t>
      </w:r>
      <w:r w:rsidR="00C2313A">
        <w:t>6</w:t>
      </w:r>
      <w:r w:rsidR="00053DDD" w:rsidRPr="007B374E">
        <w:t>th</w:t>
      </w:r>
      <w:r w:rsidR="00D85BD9" w:rsidRPr="007B374E">
        <w:t xml:space="preserve"> </w:t>
      </w:r>
      <w:r w:rsidR="00355522" w:rsidRPr="007B374E">
        <w:t>Implement</w:t>
      </w:r>
      <w:r w:rsidR="00D508FC" w:rsidRPr="007B374E">
        <w:t>ation Plan Advisory Group</w:t>
      </w:r>
    </w:p>
    <w:p w14:paraId="1998BAFB" w14:textId="77777777" w:rsidR="00522DA3" w:rsidRDefault="00D85BD9" w:rsidP="00522DA3">
      <w:pPr>
        <w:pStyle w:val="Heading1"/>
      </w:pPr>
      <w:r w:rsidRPr="007B374E">
        <w:t>Meeting</w:t>
      </w:r>
    </w:p>
    <w:p w14:paraId="561AE1B6" w14:textId="56AEE2B9" w:rsidR="00355522" w:rsidRPr="00593D17" w:rsidRDefault="00C2313A" w:rsidP="00522DA3">
      <w:pPr>
        <w:pStyle w:val="Heading1"/>
      </w:pPr>
      <w:r w:rsidRPr="00522DA3">
        <w:t>11 March 2021</w:t>
      </w:r>
      <w:r w:rsidR="00522DA3">
        <w:br/>
      </w:r>
      <w:r w:rsidR="006F3E72" w:rsidRPr="007B374E">
        <w:t>COM</w:t>
      </w:r>
      <w:r w:rsidR="00F80B8E" w:rsidRPr="007B374E">
        <w:t>M</w:t>
      </w:r>
      <w:r w:rsidR="006F3E72" w:rsidRPr="007B374E">
        <w:t>UNIQUE</w:t>
      </w:r>
      <w:bookmarkStart w:id="0" w:name="_GoBack"/>
      <w:bookmarkEnd w:id="0"/>
    </w:p>
    <w:p w14:paraId="6051DA2F" w14:textId="77777777" w:rsidR="00E354B0" w:rsidRPr="000214AD" w:rsidRDefault="00E354B0" w:rsidP="00593D17">
      <w:pPr>
        <w:pStyle w:val="Heading2"/>
      </w:pPr>
      <w:r w:rsidRPr="000214AD">
        <w:t>Summary</w:t>
      </w:r>
    </w:p>
    <w:p w14:paraId="3F2C1976" w14:textId="77777777" w:rsidR="00636F60" w:rsidRPr="000214AD" w:rsidRDefault="0079055E" w:rsidP="00D772A3">
      <w:pPr>
        <w:rPr>
          <w:color w:val="auto"/>
        </w:rPr>
      </w:pPr>
      <w:r w:rsidRPr="000214AD">
        <w:rPr>
          <w:color w:val="auto"/>
        </w:rPr>
        <w:t xml:space="preserve">The </w:t>
      </w:r>
      <w:r w:rsidR="00C2313A" w:rsidRPr="000214AD">
        <w:rPr>
          <w:color w:val="auto"/>
        </w:rPr>
        <w:t>six</w:t>
      </w:r>
      <w:r w:rsidR="007B374E" w:rsidRPr="000214AD">
        <w:rPr>
          <w:color w:val="auto"/>
        </w:rPr>
        <w:t>tee</w:t>
      </w:r>
      <w:r w:rsidR="0054035B" w:rsidRPr="000214AD">
        <w:rPr>
          <w:color w:val="auto"/>
        </w:rPr>
        <w:t xml:space="preserve">nth </w:t>
      </w:r>
      <w:r w:rsidRPr="000214AD">
        <w:rPr>
          <w:color w:val="auto"/>
        </w:rPr>
        <w:t>Implementation Plan Adviso</w:t>
      </w:r>
      <w:r w:rsidR="00444AEF" w:rsidRPr="000214AD">
        <w:rPr>
          <w:color w:val="auto"/>
        </w:rPr>
        <w:t xml:space="preserve">ry Group (IPAG) </w:t>
      </w:r>
      <w:r w:rsidR="00E079F0" w:rsidRPr="000214AD">
        <w:rPr>
          <w:color w:val="auto"/>
        </w:rPr>
        <w:t xml:space="preserve">meeting </w:t>
      </w:r>
      <w:r w:rsidR="0054035B" w:rsidRPr="000214AD">
        <w:rPr>
          <w:color w:val="auto"/>
        </w:rPr>
        <w:t xml:space="preserve">was held </w:t>
      </w:r>
      <w:r w:rsidR="00F3347A" w:rsidRPr="000214AD">
        <w:rPr>
          <w:color w:val="auto"/>
        </w:rPr>
        <w:t xml:space="preserve">by </w:t>
      </w:r>
      <w:r w:rsidR="007B374E" w:rsidRPr="000214AD">
        <w:rPr>
          <w:color w:val="auto"/>
        </w:rPr>
        <w:t>videoconference</w:t>
      </w:r>
      <w:r w:rsidR="00E079F0" w:rsidRPr="000214AD">
        <w:rPr>
          <w:color w:val="auto"/>
        </w:rPr>
        <w:t xml:space="preserve"> </w:t>
      </w:r>
      <w:r w:rsidRPr="000214AD">
        <w:rPr>
          <w:color w:val="auto"/>
        </w:rPr>
        <w:t>on</w:t>
      </w:r>
      <w:r w:rsidR="00E079F0" w:rsidRPr="000214AD">
        <w:rPr>
          <w:color w:val="auto"/>
        </w:rPr>
        <w:t xml:space="preserve"> </w:t>
      </w:r>
      <w:r w:rsidR="00C2313A" w:rsidRPr="000214AD">
        <w:rPr>
          <w:color w:val="auto"/>
        </w:rPr>
        <w:t>11</w:t>
      </w:r>
      <w:r w:rsidR="007B374E" w:rsidRPr="000214AD">
        <w:rPr>
          <w:color w:val="auto"/>
        </w:rPr>
        <w:t xml:space="preserve"> </w:t>
      </w:r>
      <w:r w:rsidR="00C2313A" w:rsidRPr="000214AD">
        <w:rPr>
          <w:color w:val="auto"/>
        </w:rPr>
        <w:t>March 2021</w:t>
      </w:r>
      <w:r w:rsidR="00737E42" w:rsidRPr="000214AD">
        <w:rPr>
          <w:color w:val="auto"/>
        </w:rPr>
        <w:t xml:space="preserve">. </w:t>
      </w:r>
      <w:r w:rsidR="00636F60" w:rsidRPr="000214AD">
        <w:rPr>
          <w:color w:val="auto"/>
        </w:rPr>
        <w:t xml:space="preserve">The meeting was co-chaired by </w:t>
      </w:r>
      <w:r w:rsidR="00C2313A" w:rsidRPr="000214AD">
        <w:rPr>
          <w:color w:val="auto"/>
        </w:rPr>
        <w:t>Ms Donna Murray</w:t>
      </w:r>
      <w:r w:rsidR="00636F60" w:rsidRPr="000214AD">
        <w:rPr>
          <w:color w:val="auto"/>
        </w:rPr>
        <w:t xml:space="preserve">, Chair of the National Health Leadership Forum (NHLF), and Mr Gavin Matthews, First Assistant Secretary of the Indigenous Health Division </w:t>
      </w:r>
      <w:r w:rsidR="001A2E64" w:rsidRPr="000214AD">
        <w:rPr>
          <w:color w:val="auto"/>
        </w:rPr>
        <w:t xml:space="preserve">(IHD) of the </w:t>
      </w:r>
      <w:r w:rsidR="00775F2B" w:rsidRPr="000214AD">
        <w:rPr>
          <w:color w:val="auto"/>
        </w:rPr>
        <w:t>Australian Government Department of Health (</w:t>
      </w:r>
      <w:proofErr w:type="spellStart"/>
      <w:r w:rsidR="00636F60" w:rsidRPr="000214AD">
        <w:rPr>
          <w:color w:val="auto"/>
        </w:rPr>
        <w:t>DoH</w:t>
      </w:r>
      <w:proofErr w:type="spellEnd"/>
      <w:r w:rsidR="00775F2B" w:rsidRPr="000214AD">
        <w:rPr>
          <w:color w:val="auto"/>
        </w:rPr>
        <w:t>)</w:t>
      </w:r>
      <w:r w:rsidR="00636F60" w:rsidRPr="000214AD">
        <w:rPr>
          <w:color w:val="auto"/>
        </w:rPr>
        <w:t>.</w:t>
      </w:r>
    </w:p>
    <w:p w14:paraId="19D99C49" w14:textId="77777777" w:rsidR="008B44ED" w:rsidRPr="000214AD" w:rsidRDefault="00737E42" w:rsidP="009462A3">
      <w:pPr>
        <w:rPr>
          <w:color w:val="auto"/>
          <w:highlight w:val="yellow"/>
        </w:rPr>
      </w:pPr>
      <w:r w:rsidRPr="000214AD">
        <w:rPr>
          <w:color w:val="auto"/>
        </w:rPr>
        <w:t>Th</w:t>
      </w:r>
      <w:r w:rsidR="00B83236" w:rsidRPr="000214AD">
        <w:rPr>
          <w:color w:val="auto"/>
        </w:rPr>
        <w:t>e</w:t>
      </w:r>
      <w:r w:rsidRPr="000214AD">
        <w:rPr>
          <w:color w:val="auto"/>
        </w:rPr>
        <w:t xml:space="preserve"> </w:t>
      </w:r>
      <w:r w:rsidR="00E354B0" w:rsidRPr="000214AD">
        <w:rPr>
          <w:color w:val="auto"/>
        </w:rPr>
        <w:t>main focus was</w:t>
      </w:r>
      <w:r w:rsidR="007B374E" w:rsidRPr="000214AD">
        <w:rPr>
          <w:color w:val="auto"/>
        </w:rPr>
        <w:t xml:space="preserve"> the refreshed National Aboriginal and Torres Strait Islander Health Plan (Health Plan</w:t>
      </w:r>
      <w:r w:rsidR="00D44DC7" w:rsidRPr="000214AD">
        <w:rPr>
          <w:color w:val="auto"/>
        </w:rPr>
        <w:t>)</w:t>
      </w:r>
      <w:r w:rsidR="00B83236" w:rsidRPr="000214AD">
        <w:rPr>
          <w:color w:val="auto"/>
        </w:rPr>
        <w:t xml:space="preserve">. </w:t>
      </w:r>
      <w:proofErr w:type="spellStart"/>
      <w:r w:rsidR="007769DA" w:rsidRPr="000214AD">
        <w:rPr>
          <w:color w:val="auto"/>
        </w:rPr>
        <w:t>DoH</w:t>
      </w:r>
      <w:proofErr w:type="spellEnd"/>
      <w:r w:rsidR="00E354B0" w:rsidRPr="000214AD">
        <w:rPr>
          <w:color w:val="auto"/>
        </w:rPr>
        <w:t xml:space="preserve"> provided an update</w:t>
      </w:r>
      <w:r w:rsidR="007769DA" w:rsidRPr="000214AD">
        <w:rPr>
          <w:color w:val="auto"/>
        </w:rPr>
        <w:t xml:space="preserve"> </w:t>
      </w:r>
      <w:r w:rsidR="00881521" w:rsidRPr="000214AD">
        <w:rPr>
          <w:color w:val="auto"/>
        </w:rPr>
        <w:t>on t</w:t>
      </w:r>
      <w:r w:rsidR="00B83236" w:rsidRPr="000214AD">
        <w:rPr>
          <w:color w:val="auto"/>
        </w:rPr>
        <w:t xml:space="preserve">he </w:t>
      </w:r>
      <w:r w:rsidR="00583AD8" w:rsidRPr="000214AD">
        <w:rPr>
          <w:color w:val="auto"/>
        </w:rPr>
        <w:t>COVID-19 response</w:t>
      </w:r>
      <w:r w:rsidR="00BF4A71" w:rsidRPr="000214AD">
        <w:rPr>
          <w:color w:val="auto"/>
        </w:rPr>
        <w:t xml:space="preserve"> for Aboriginal and Torres Strait Islander populations</w:t>
      </w:r>
      <w:r w:rsidR="008B44ED" w:rsidRPr="000214AD">
        <w:rPr>
          <w:color w:val="auto"/>
        </w:rPr>
        <w:t xml:space="preserve"> and</w:t>
      </w:r>
      <w:r w:rsidR="00881521" w:rsidRPr="000214AD">
        <w:rPr>
          <w:color w:val="auto"/>
        </w:rPr>
        <w:t xml:space="preserve"> </w:t>
      </w:r>
      <w:r w:rsidR="007B374E" w:rsidRPr="000214AD">
        <w:rPr>
          <w:color w:val="auto"/>
        </w:rPr>
        <w:t>the</w:t>
      </w:r>
      <w:r w:rsidR="0076077D" w:rsidRPr="000214AD">
        <w:rPr>
          <w:color w:val="auto"/>
        </w:rPr>
        <w:t xml:space="preserve"> </w:t>
      </w:r>
      <w:r w:rsidR="000B63D6" w:rsidRPr="000214AD">
        <w:rPr>
          <w:color w:val="auto"/>
        </w:rPr>
        <w:t>rollout of the COVID-19 vaccines</w:t>
      </w:r>
      <w:r w:rsidR="007769DA" w:rsidRPr="000214AD">
        <w:rPr>
          <w:color w:val="auto"/>
        </w:rPr>
        <w:t>;</w:t>
      </w:r>
      <w:r w:rsidR="007B374E" w:rsidRPr="000214AD">
        <w:rPr>
          <w:color w:val="auto"/>
        </w:rPr>
        <w:t xml:space="preserve"> </w:t>
      </w:r>
      <w:r w:rsidR="0076077D" w:rsidRPr="000214AD">
        <w:rPr>
          <w:color w:val="auto"/>
        </w:rPr>
        <w:t>and</w:t>
      </w:r>
      <w:r w:rsidR="008B44ED" w:rsidRPr="000214AD">
        <w:rPr>
          <w:color w:val="auto"/>
        </w:rPr>
        <w:t xml:space="preserve"> the National Indigenous Australians Agency (NIAA) </w:t>
      </w:r>
      <w:r w:rsidR="00E354B0" w:rsidRPr="000214AD">
        <w:rPr>
          <w:color w:val="auto"/>
        </w:rPr>
        <w:t>provided an update on</w:t>
      </w:r>
      <w:r w:rsidR="0076077D" w:rsidRPr="000214AD">
        <w:rPr>
          <w:color w:val="auto"/>
        </w:rPr>
        <w:t xml:space="preserve"> the </w:t>
      </w:r>
      <w:hyperlink r:id="rId8" w:history="1">
        <w:r w:rsidR="0076077D" w:rsidRPr="000B63D6">
          <w:rPr>
            <w:rStyle w:val="Hyperlink"/>
          </w:rPr>
          <w:t>National Agreement on Closing the Gap</w:t>
        </w:r>
      </w:hyperlink>
      <w:r w:rsidR="0076077D" w:rsidRPr="000B63D6">
        <w:t>.</w:t>
      </w:r>
    </w:p>
    <w:p w14:paraId="4C4D5CE2" w14:textId="77777777" w:rsidR="00444AEF" w:rsidRPr="00593D17" w:rsidRDefault="000B63D6" w:rsidP="000B63D6">
      <w:r w:rsidRPr="000214AD">
        <w:rPr>
          <w:color w:val="auto"/>
        </w:rPr>
        <w:t xml:space="preserve">Mr Simon Patterson </w:t>
      </w:r>
      <w:r w:rsidR="00716114" w:rsidRPr="000214AD">
        <w:rPr>
          <w:color w:val="auto"/>
        </w:rPr>
        <w:t>from</w:t>
      </w:r>
      <w:r w:rsidRPr="000214AD">
        <w:rPr>
          <w:color w:val="auto"/>
        </w:rPr>
        <w:t xml:space="preserve"> the Indigenous Executive Policy Group</w:t>
      </w:r>
      <w:r w:rsidR="00E354B0" w:rsidRPr="000214AD">
        <w:rPr>
          <w:color w:val="auto"/>
        </w:rPr>
        <w:t xml:space="preserve"> presented</w:t>
      </w:r>
      <w:r w:rsidR="008B44ED" w:rsidRPr="000214AD">
        <w:rPr>
          <w:color w:val="auto"/>
        </w:rPr>
        <w:t xml:space="preserve"> </w:t>
      </w:r>
      <w:r w:rsidR="00E354B0" w:rsidRPr="000214AD">
        <w:rPr>
          <w:color w:val="auto"/>
        </w:rPr>
        <w:t>policy options for</w:t>
      </w:r>
      <w:r w:rsidRPr="000214AD">
        <w:rPr>
          <w:color w:val="auto"/>
        </w:rPr>
        <w:t xml:space="preserve"> traditional healers</w:t>
      </w:r>
      <w:r w:rsidR="00E354B0" w:rsidRPr="000214AD">
        <w:rPr>
          <w:color w:val="auto"/>
        </w:rPr>
        <w:t>.</w:t>
      </w:r>
      <w:r w:rsidRPr="000214AD">
        <w:rPr>
          <w:color w:val="auto"/>
        </w:rPr>
        <w:t xml:space="preserve"> Professor Tom Calma </w:t>
      </w:r>
      <w:r w:rsidR="00E354B0" w:rsidRPr="000214AD">
        <w:rPr>
          <w:color w:val="auto"/>
        </w:rPr>
        <w:t xml:space="preserve">presented key findings from </w:t>
      </w:r>
      <w:r w:rsidRPr="000214AD">
        <w:rPr>
          <w:color w:val="auto"/>
        </w:rPr>
        <w:t>the mid-term</w:t>
      </w:r>
      <w:r w:rsidR="00E354B0" w:rsidRPr="000214AD">
        <w:rPr>
          <w:color w:val="auto"/>
        </w:rPr>
        <w:t xml:space="preserve"> evaluation of the</w:t>
      </w:r>
      <w:r w:rsidRPr="000214AD">
        <w:rPr>
          <w:color w:val="auto"/>
        </w:rPr>
        <w:t xml:space="preserve"> Tackling Indige</w:t>
      </w:r>
      <w:r w:rsidRPr="000214AD">
        <w:rPr>
          <w:color w:val="auto"/>
        </w:rPr>
        <w:lastRenderedPageBreak/>
        <w:t>nous Smoking</w:t>
      </w:r>
      <w:r w:rsidR="00DA4C5B">
        <w:rPr>
          <w:color w:val="auto"/>
        </w:rPr>
        <w:t xml:space="preserve"> Program</w:t>
      </w:r>
      <w:r w:rsidRPr="000214AD">
        <w:rPr>
          <w:color w:val="auto"/>
        </w:rPr>
        <w:t xml:space="preserve">, </w:t>
      </w:r>
      <w:r w:rsidR="00E354B0" w:rsidRPr="000214AD">
        <w:rPr>
          <w:color w:val="auto"/>
        </w:rPr>
        <w:t xml:space="preserve">and </w:t>
      </w:r>
      <w:r w:rsidRPr="000214AD">
        <w:rPr>
          <w:color w:val="auto"/>
        </w:rPr>
        <w:t>Associate Professor</w:t>
      </w:r>
      <w:r w:rsidR="00DA4C5B">
        <w:rPr>
          <w:color w:val="auto"/>
        </w:rPr>
        <w:t xml:space="preserve"> Ray</w:t>
      </w:r>
      <w:r w:rsidRPr="000214AD">
        <w:rPr>
          <w:color w:val="auto"/>
        </w:rPr>
        <w:t xml:space="preserve"> Lovett and Dr Raglan Maddox </w:t>
      </w:r>
      <w:r w:rsidR="00E354B0" w:rsidRPr="000214AD">
        <w:rPr>
          <w:color w:val="auto"/>
        </w:rPr>
        <w:t xml:space="preserve">presented recent findings on tobacco use, trauma and racism from the </w:t>
      </w:r>
      <w:proofErr w:type="spellStart"/>
      <w:r w:rsidRPr="000214AD">
        <w:rPr>
          <w:color w:val="auto"/>
        </w:rPr>
        <w:t>Mayi</w:t>
      </w:r>
      <w:proofErr w:type="spellEnd"/>
      <w:r w:rsidRPr="000214AD">
        <w:rPr>
          <w:color w:val="auto"/>
        </w:rPr>
        <w:t xml:space="preserve"> </w:t>
      </w:r>
      <w:proofErr w:type="spellStart"/>
      <w:r w:rsidRPr="000214AD">
        <w:rPr>
          <w:color w:val="auto"/>
        </w:rPr>
        <w:t>Kuwayu</w:t>
      </w:r>
      <w:proofErr w:type="spellEnd"/>
      <w:r w:rsidRPr="000214AD">
        <w:rPr>
          <w:color w:val="auto"/>
        </w:rPr>
        <w:t xml:space="preserve"> Study</w:t>
      </w:r>
      <w:r w:rsidR="00DA4C5B">
        <w:rPr>
          <w:color w:val="auto"/>
        </w:rPr>
        <w:t xml:space="preserve">. </w:t>
      </w:r>
      <w:r w:rsidR="00E354B0" w:rsidRPr="000214AD">
        <w:rPr>
          <w:color w:val="auto"/>
        </w:rPr>
        <w:t xml:space="preserve">Mr </w:t>
      </w:r>
      <w:r w:rsidRPr="000214AD">
        <w:rPr>
          <w:color w:val="auto"/>
        </w:rPr>
        <w:t xml:space="preserve">Ned Hardie-Boys </w:t>
      </w:r>
      <w:r w:rsidR="00E354B0" w:rsidRPr="000214AD">
        <w:rPr>
          <w:color w:val="auto"/>
        </w:rPr>
        <w:t xml:space="preserve">presented findings from the </w:t>
      </w:r>
      <w:r w:rsidRPr="000214AD">
        <w:rPr>
          <w:color w:val="auto"/>
        </w:rPr>
        <w:t>Aboriginal and Torres Strait Islander Primary Health Care Systems Evaluation.</w:t>
      </w:r>
    </w:p>
    <w:p w14:paraId="4EF12510" w14:textId="77777777" w:rsidR="00D772A3" w:rsidRPr="00593D17" w:rsidRDefault="003B3A99" w:rsidP="00593D17">
      <w:pPr>
        <w:pStyle w:val="Heading2"/>
      </w:pPr>
      <w:r w:rsidRPr="00593D17">
        <w:t>Coronavirus (COVID-19)</w:t>
      </w:r>
    </w:p>
    <w:p w14:paraId="1427C449" w14:textId="1CAC1AED" w:rsidR="00774DD0" w:rsidRPr="000214AD" w:rsidRDefault="00B83236" w:rsidP="009462A3">
      <w:pPr>
        <w:rPr>
          <w:color w:val="auto"/>
        </w:rPr>
      </w:pPr>
      <w:r w:rsidRPr="000214AD">
        <w:rPr>
          <w:color w:val="auto"/>
        </w:rPr>
        <w:t xml:space="preserve">Dr Lucas de </w:t>
      </w:r>
      <w:proofErr w:type="spellStart"/>
      <w:r w:rsidRPr="000214AD">
        <w:rPr>
          <w:color w:val="auto"/>
        </w:rPr>
        <w:t>Toca</w:t>
      </w:r>
      <w:proofErr w:type="spellEnd"/>
      <w:r w:rsidRPr="000214AD">
        <w:rPr>
          <w:color w:val="auto"/>
        </w:rPr>
        <w:t xml:space="preserve">, </w:t>
      </w:r>
      <w:r w:rsidR="00041242" w:rsidRPr="000214AD">
        <w:rPr>
          <w:color w:val="auto"/>
        </w:rPr>
        <w:t>First Assistant Secretary</w:t>
      </w:r>
      <w:r w:rsidR="005B0314" w:rsidRPr="000214AD">
        <w:rPr>
          <w:color w:val="auto"/>
        </w:rPr>
        <w:t>,</w:t>
      </w:r>
      <w:r w:rsidR="00041242" w:rsidRPr="000214AD">
        <w:rPr>
          <w:color w:val="auto"/>
        </w:rPr>
        <w:t xml:space="preserve"> </w:t>
      </w:r>
      <w:r w:rsidR="00C42C5C" w:rsidRPr="000214AD">
        <w:rPr>
          <w:color w:val="auto"/>
        </w:rPr>
        <w:t xml:space="preserve">COVID-19 Primary Care Response Team, </w:t>
      </w:r>
      <w:proofErr w:type="spellStart"/>
      <w:r w:rsidR="007769DA" w:rsidRPr="000214AD">
        <w:rPr>
          <w:color w:val="auto"/>
        </w:rPr>
        <w:t>DoH</w:t>
      </w:r>
      <w:proofErr w:type="spellEnd"/>
      <w:r w:rsidR="007769DA" w:rsidRPr="000214AD">
        <w:rPr>
          <w:color w:val="auto"/>
        </w:rPr>
        <w:t>,</w:t>
      </w:r>
      <w:r w:rsidR="003233E8" w:rsidRPr="000214AD">
        <w:rPr>
          <w:color w:val="auto"/>
        </w:rPr>
        <w:t xml:space="preserve"> </w:t>
      </w:r>
      <w:r w:rsidR="00041242" w:rsidRPr="000214AD">
        <w:rPr>
          <w:color w:val="auto"/>
        </w:rPr>
        <w:t>noted that</w:t>
      </w:r>
      <w:r w:rsidR="00FC3FA7" w:rsidRPr="000214AD">
        <w:rPr>
          <w:color w:val="auto"/>
        </w:rPr>
        <w:t xml:space="preserve"> the </w:t>
      </w:r>
      <w:r w:rsidR="00D90C2E" w:rsidRPr="000214AD">
        <w:rPr>
          <w:color w:val="auto"/>
        </w:rPr>
        <w:t xml:space="preserve">primary focus of the </w:t>
      </w:r>
      <w:r w:rsidR="00FC3FA7" w:rsidRPr="000214AD">
        <w:rPr>
          <w:color w:val="auto"/>
        </w:rPr>
        <w:t>Aboriginal and Torres Strait Islander Advisory Group</w:t>
      </w:r>
      <w:r w:rsidR="00D90C2E" w:rsidRPr="000214AD">
        <w:rPr>
          <w:color w:val="auto"/>
        </w:rPr>
        <w:t xml:space="preserve"> </w:t>
      </w:r>
      <w:r w:rsidR="00FC3FA7" w:rsidRPr="000214AD">
        <w:rPr>
          <w:color w:val="auto"/>
        </w:rPr>
        <w:t>is now the vaccine rollout</w:t>
      </w:r>
      <w:r w:rsidR="00D90C2E" w:rsidRPr="000214AD">
        <w:rPr>
          <w:color w:val="auto"/>
        </w:rPr>
        <w:t xml:space="preserve">. </w:t>
      </w:r>
      <w:r w:rsidR="00E354B0" w:rsidRPr="000214AD">
        <w:rPr>
          <w:color w:val="auto"/>
        </w:rPr>
        <w:t>A</w:t>
      </w:r>
      <w:r w:rsidR="00AF2103" w:rsidRPr="000214AD">
        <w:rPr>
          <w:color w:val="auto"/>
        </w:rPr>
        <w:t xml:space="preserve">s a priority population, </w:t>
      </w:r>
      <w:r w:rsidR="00A1021B" w:rsidRPr="000214AD">
        <w:rPr>
          <w:color w:val="auto"/>
        </w:rPr>
        <w:t xml:space="preserve">Aboriginal and Torres Strait Islander </w:t>
      </w:r>
      <w:r w:rsidR="001F62B0">
        <w:rPr>
          <w:color w:val="auto"/>
        </w:rPr>
        <w:t>adults</w:t>
      </w:r>
      <w:r w:rsidR="00BF59E7">
        <w:rPr>
          <w:color w:val="auto"/>
        </w:rPr>
        <w:t xml:space="preserve"> </w:t>
      </w:r>
      <w:r w:rsidR="00AF2103" w:rsidRPr="000214AD">
        <w:rPr>
          <w:color w:val="auto"/>
        </w:rPr>
        <w:t xml:space="preserve">can begin to receive vaccines </w:t>
      </w:r>
      <w:r w:rsidR="001F62B0">
        <w:rPr>
          <w:color w:val="auto"/>
        </w:rPr>
        <w:t xml:space="preserve">as a part of phase 1b </w:t>
      </w:r>
      <w:r w:rsidR="00AF2103" w:rsidRPr="000214AD">
        <w:rPr>
          <w:color w:val="auto"/>
        </w:rPr>
        <w:t>from 22 March 2021</w:t>
      </w:r>
      <w:r w:rsidR="00EF758B" w:rsidRPr="000214AD">
        <w:rPr>
          <w:color w:val="auto"/>
        </w:rPr>
        <w:t>.</w:t>
      </w:r>
    </w:p>
    <w:p w14:paraId="54A1E675" w14:textId="1CF3E57B" w:rsidR="00965BF0" w:rsidRPr="00593D17" w:rsidRDefault="00BC6EC1" w:rsidP="00593D17">
      <w:pPr>
        <w:pStyle w:val="Heading2"/>
      </w:pPr>
      <w:r w:rsidRPr="00593D17">
        <w:t xml:space="preserve">Mental Health </w:t>
      </w:r>
      <w:r w:rsidR="00593D17">
        <w:t>–</w:t>
      </w:r>
      <w:r w:rsidRPr="00593D17">
        <w:t xml:space="preserve"> </w:t>
      </w:r>
      <w:r w:rsidR="00965BF0" w:rsidRPr="00593D17">
        <w:t>Traditional Healers</w:t>
      </w:r>
      <w:r w:rsidRPr="00593D17">
        <w:t xml:space="preserve"> Policy</w:t>
      </w:r>
    </w:p>
    <w:p w14:paraId="6212EA59" w14:textId="5AF8AABE" w:rsidR="00965BF0" w:rsidRPr="00593D17" w:rsidRDefault="00965BF0" w:rsidP="0036792C">
      <w:r w:rsidRPr="000214AD">
        <w:t xml:space="preserve">Mr </w:t>
      </w:r>
      <w:r w:rsidR="00DA4C5B">
        <w:t>P</w:t>
      </w:r>
      <w:r w:rsidRPr="000214AD">
        <w:t>atterson</w:t>
      </w:r>
      <w:r w:rsidR="00E354B0" w:rsidRPr="000214AD">
        <w:t>,</w:t>
      </w:r>
      <w:r w:rsidRPr="000214AD">
        <w:t xml:space="preserve"> </w:t>
      </w:r>
      <w:r w:rsidR="00BC6EC1" w:rsidRPr="000214AD">
        <w:t>Indigenous Executive Policy Group</w:t>
      </w:r>
      <w:r w:rsidR="002A2869" w:rsidRPr="000214AD">
        <w:t xml:space="preserve">, </w:t>
      </w:r>
      <w:r w:rsidR="00B039F4">
        <w:t xml:space="preserve">provided a presentation on </w:t>
      </w:r>
      <w:r w:rsidR="00037530" w:rsidRPr="00037530">
        <w:t>examin</w:t>
      </w:r>
      <w:r w:rsidR="00037530">
        <w:t>ing</w:t>
      </w:r>
      <w:r w:rsidR="00037530" w:rsidRPr="00037530">
        <w:t xml:space="preserve"> the role of Traditional Healers in the mental health system</w:t>
      </w:r>
      <w:r w:rsidR="00037530">
        <w:t xml:space="preserve">. </w:t>
      </w:r>
      <w:r w:rsidR="001F62B0">
        <w:t xml:space="preserve">This work was </w:t>
      </w:r>
      <w:r w:rsidR="00A642EC">
        <w:t xml:space="preserve">undertaken </w:t>
      </w:r>
      <w:r w:rsidR="001F62B0">
        <w:t>by the Indigenous Executive Policy Group</w:t>
      </w:r>
      <w:r w:rsidR="001F62B0" w:rsidRPr="00037530">
        <w:t xml:space="preserve"> </w:t>
      </w:r>
      <w:r w:rsidR="001F62B0">
        <w:t xml:space="preserve">and delivered to Mr Mark Roddam, First Assistant Secretary, Mental Health Division, </w:t>
      </w:r>
      <w:proofErr w:type="spellStart"/>
      <w:proofErr w:type="gramStart"/>
      <w:r w:rsidR="001F62B0">
        <w:t>DoH</w:t>
      </w:r>
      <w:proofErr w:type="spellEnd"/>
      <w:proofErr w:type="gramEnd"/>
      <w:r w:rsidR="001A6B2D">
        <w:t>.</w:t>
      </w:r>
      <w:r w:rsidR="001F62B0" w:rsidRPr="00037530">
        <w:t xml:space="preserve"> </w:t>
      </w:r>
      <w:r w:rsidR="00037530">
        <w:t>Th</w:t>
      </w:r>
      <w:r w:rsidR="001F62B0">
        <w:t xml:space="preserve">e presentation indicated that there is </w:t>
      </w:r>
      <w:r w:rsidR="003E040F" w:rsidRPr="00593D17">
        <w:t xml:space="preserve">evidence of success </w:t>
      </w:r>
      <w:r w:rsidR="00037530" w:rsidRPr="00593D17">
        <w:t>of</w:t>
      </w:r>
      <w:r w:rsidR="00E354B0" w:rsidRPr="00593D17">
        <w:t xml:space="preserve"> traditional healing practices </w:t>
      </w:r>
      <w:r w:rsidR="003E040F" w:rsidRPr="00593D17">
        <w:t xml:space="preserve">where </w:t>
      </w:r>
      <w:r w:rsidR="00716114" w:rsidRPr="00593D17">
        <w:t>t</w:t>
      </w:r>
      <w:r w:rsidR="003E040F" w:rsidRPr="00593D17">
        <w:t>raditional healers and modern medicine ha</w:t>
      </w:r>
      <w:r w:rsidR="00B039F4" w:rsidRPr="00593D17">
        <w:t>ve</w:t>
      </w:r>
      <w:r w:rsidR="003E040F" w:rsidRPr="00593D17">
        <w:t xml:space="preserve"> interacted in supporting better </w:t>
      </w:r>
      <w:r w:rsidR="00DC308F" w:rsidRPr="00593D17">
        <w:t xml:space="preserve">mental health and </w:t>
      </w:r>
      <w:r w:rsidR="00994926" w:rsidRPr="00593D17">
        <w:t>s</w:t>
      </w:r>
      <w:r w:rsidR="00DC308F" w:rsidRPr="00593D17">
        <w:t xml:space="preserve">ocial and </w:t>
      </w:r>
      <w:r w:rsidR="00994926" w:rsidRPr="00593D17">
        <w:t>e</w:t>
      </w:r>
      <w:r w:rsidR="00DC308F" w:rsidRPr="00593D17">
        <w:t xml:space="preserve">motional </w:t>
      </w:r>
      <w:r w:rsidR="00994926" w:rsidRPr="00593D17">
        <w:t>w</w:t>
      </w:r>
      <w:r w:rsidR="00DC308F" w:rsidRPr="00593D17">
        <w:t xml:space="preserve">ellbeing outcomes </w:t>
      </w:r>
      <w:r w:rsidR="003E040F" w:rsidRPr="00593D17">
        <w:t>for</w:t>
      </w:r>
      <w:r w:rsidR="00DC308F" w:rsidRPr="00593D17">
        <w:t xml:space="preserve"> Aboriginal and Torres Strait Islander people</w:t>
      </w:r>
      <w:r w:rsidR="003E040F" w:rsidRPr="00593D17">
        <w:t>s</w:t>
      </w:r>
      <w:r w:rsidR="00DC308F" w:rsidRPr="00593D17">
        <w:t>.</w:t>
      </w:r>
      <w:r w:rsidR="00E354B0" w:rsidRPr="00593D17">
        <w:t xml:space="preserve"> </w:t>
      </w:r>
      <w:r w:rsidR="00613A60" w:rsidRPr="00593D17">
        <w:t>Th</w:t>
      </w:r>
      <w:r w:rsidR="001F62B0" w:rsidRPr="00593D17">
        <w:t>is includes</w:t>
      </w:r>
      <w:r w:rsidR="00613A60" w:rsidRPr="00593D17">
        <w:t xml:space="preserve"> successful models based in South Australia, </w:t>
      </w:r>
      <w:r w:rsidR="00A642EC" w:rsidRPr="00593D17">
        <w:t xml:space="preserve">which are outlined in </w:t>
      </w:r>
      <w:r w:rsidR="00613A60" w:rsidRPr="00593D17">
        <w:t xml:space="preserve">the </w:t>
      </w:r>
      <w:hyperlink r:id="rId9" w:history="1">
        <w:r w:rsidR="00613A60" w:rsidRPr="00613A60">
          <w:rPr>
            <w:rStyle w:val="Hyperlink"/>
          </w:rPr>
          <w:t>Hand-In-Hand Report on Aboriginal Traditional Medicine</w:t>
        </w:r>
      </w:hyperlink>
      <w:r w:rsidR="00613A60" w:rsidRPr="00613A60">
        <w:rPr>
          <w:rStyle w:val="Hyperlink"/>
          <w:color w:val="auto"/>
        </w:rPr>
        <w:t>.</w:t>
      </w:r>
    </w:p>
    <w:p w14:paraId="0AB53BFE" w14:textId="77777777" w:rsidR="006409C7" w:rsidRDefault="00BC6EC1" w:rsidP="00593D17">
      <w:pPr>
        <w:pStyle w:val="Heading2"/>
        <w:rPr>
          <w:bCs/>
        </w:rPr>
      </w:pPr>
      <w:r w:rsidRPr="00BC6EC1">
        <w:rPr>
          <w:bCs/>
        </w:rPr>
        <w:lastRenderedPageBreak/>
        <w:t>Mid-term Tackling Indigenous Smoking Evaluation</w:t>
      </w:r>
    </w:p>
    <w:p w14:paraId="65CB22B6" w14:textId="3591B6E0" w:rsidR="00BC6EC1" w:rsidRPr="00593D17" w:rsidRDefault="00637496" w:rsidP="006409C7">
      <w:r w:rsidRPr="00593D17">
        <w:t xml:space="preserve">Professor </w:t>
      </w:r>
      <w:proofErr w:type="spellStart"/>
      <w:r w:rsidRPr="00593D17">
        <w:t>Calma</w:t>
      </w:r>
      <w:proofErr w:type="spellEnd"/>
      <w:r w:rsidRPr="00593D17">
        <w:t xml:space="preserve">, </w:t>
      </w:r>
      <w:r w:rsidRPr="00210936">
        <w:rPr>
          <w:color w:val="auto"/>
        </w:rPr>
        <w:t>National Coordinator</w:t>
      </w:r>
      <w:r w:rsidR="005B0314">
        <w:rPr>
          <w:color w:val="auto"/>
        </w:rPr>
        <w:t>,</w:t>
      </w:r>
      <w:r w:rsidRPr="00210936">
        <w:rPr>
          <w:color w:val="auto"/>
        </w:rPr>
        <w:t xml:space="preserve"> Tackling Indigenous Smoking </w:t>
      </w:r>
      <w:r w:rsidR="005B0314">
        <w:rPr>
          <w:color w:val="auto"/>
        </w:rPr>
        <w:t>P</w:t>
      </w:r>
      <w:r w:rsidRPr="00210936">
        <w:rPr>
          <w:color w:val="auto"/>
        </w:rPr>
        <w:t xml:space="preserve">rogram, and </w:t>
      </w:r>
      <w:r w:rsidR="009C2670">
        <w:rPr>
          <w:color w:val="auto"/>
        </w:rPr>
        <w:br/>
      </w:r>
      <w:r w:rsidRPr="00210936">
        <w:rPr>
          <w:color w:val="auto"/>
        </w:rPr>
        <w:t>Ms Anita Dwyer, Assistant Secretary</w:t>
      </w:r>
      <w:r w:rsidR="005B0314">
        <w:rPr>
          <w:color w:val="auto"/>
        </w:rPr>
        <w:t>,</w:t>
      </w:r>
      <w:r w:rsidRPr="00210936">
        <w:rPr>
          <w:color w:val="auto"/>
        </w:rPr>
        <w:t xml:space="preserve"> Health Plan, Early Years and Engagement Branch, </w:t>
      </w:r>
      <w:proofErr w:type="spellStart"/>
      <w:r w:rsidR="00C5533C" w:rsidRPr="00210936">
        <w:rPr>
          <w:color w:val="auto"/>
        </w:rPr>
        <w:t>DoH</w:t>
      </w:r>
      <w:proofErr w:type="spellEnd"/>
      <w:r w:rsidR="003C1328">
        <w:rPr>
          <w:color w:val="auto"/>
        </w:rPr>
        <w:t>,</w:t>
      </w:r>
      <w:r w:rsidRPr="00210936">
        <w:rPr>
          <w:color w:val="auto"/>
        </w:rPr>
        <w:t xml:space="preserve"> </w:t>
      </w:r>
      <w:r w:rsidR="00E354B0">
        <w:rPr>
          <w:color w:val="auto"/>
        </w:rPr>
        <w:t>noted the Tackling Indigenous Smoking</w:t>
      </w:r>
      <w:r w:rsidR="00AA23DB" w:rsidRPr="00210936">
        <w:rPr>
          <w:color w:val="auto"/>
        </w:rPr>
        <w:t xml:space="preserve"> </w:t>
      </w:r>
      <w:r w:rsidR="00F42045" w:rsidRPr="00210936">
        <w:rPr>
          <w:color w:val="auto"/>
        </w:rPr>
        <w:t xml:space="preserve">mid-term report </w:t>
      </w:r>
      <w:r w:rsidR="00AA23DB" w:rsidRPr="00210936">
        <w:rPr>
          <w:color w:val="auto"/>
        </w:rPr>
        <w:t>found an overall reduction in smoking for Aboriginal and Torres Strait Islander people</w:t>
      </w:r>
      <w:r w:rsidR="00E354B0">
        <w:rPr>
          <w:color w:val="auto"/>
        </w:rPr>
        <w:t>. Professor Calma</w:t>
      </w:r>
      <w:r w:rsidR="009C2670">
        <w:rPr>
          <w:color w:val="auto"/>
        </w:rPr>
        <w:t xml:space="preserve"> </w:t>
      </w:r>
      <w:r w:rsidR="00944990" w:rsidRPr="00210936">
        <w:rPr>
          <w:color w:val="auto"/>
        </w:rPr>
        <w:t xml:space="preserve">noted that smoking rates remain higher </w:t>
      </w:r>
      <w:r w:rsidR="00AA23DB" w:rsidRPr="00210936">
        <w:rPr>
          <w:color w:val="auto"/>
        </w:rPr>
        <w:t xml:space="preserve">in remote and very remote areas. </w:t>
      </w:r>
      <w:r w:rsidR="00C5533C" w:rsidRPr="00210936">
        <w:rPr>
          <w:color w:val="auto"/>
        </w:rPr>
        <w:t>Professor</w:t>
      </w:r>
      <w:r w:rsidR="00EB14CA" w:rsidRPr="00210936">
        <w:rPr>
          <w:color w:val="auto"/>
        </w:rPr>
        <w:t xml:space="preserve"> Calma </w:t>
      </w:r>
      <w:r w:rsidR="009C2670">
        <w:rPr>
          <w:color w:val="auto"/>
        </w:rPr>
        <w:t xml:space="preserve">also </w:t>
      </w:r>
      <w:r w:rsidR="00EB14CA" w:rsidRPr="00210936">
        <w:rPr>
          <w:color w:val="auto"/>
        </w:rPr>
        <w:t xml:space="preserve">noted </w:t>
      </w:r>
      <w:r w:rsidR="00F42045" w:rsidRPr="00210936">
        <w:rPr>
          <w:color w:val="auto"/>
        </w:rPr>
        <w:t>that some grant recipients have</w:t>
      </w:r>
      <w:r w:rsidR="00EB14CA" w:rsidRPr="00593D17">
        <w:t xml:space="preserve"> a focus on schools to prevent children from taking up smoking</w:t>
      </w:r>
      <w:r w:rsidR="005B0314" w:rsidRPr="00593D17">
        <w:t>, and on creating</w:t>
      </w:r>
      <w:r w:rsidR="009C2670" w:rsidRPr="00593D17">
        <w:t xml:space="preserve"> </w:t>
      </w:r>
      <w:r w:rsidR="00EB14CA" w:rsidRPr="00593D17">
        <w:t xml:space="preserve">smoke free work places, homes and </w:t>
      </w:r>
      <w:r w:rsidR="00291A93" w:rsidRPr="00593D17">
        <w:t xml:space="preserve">community spaces. </w:t>
      </w:r>
      <w:r w:rsidR="00A642EC" w:rsidRPr="00593D17">
        <w:t xml:space="preserve">Timing for the release of the mid-term report is yet to be determined. </w:t>
      </w:r>
    </w:p>
    <w:p w14:paraId="3CFF9D19" w14:textId="77777777" w:rsidR="006666BA" w:rsidRPr="00593D17" w:rsidRDefault="006666BA" w:rsidP="00593D17">
      <w:pPr>
        <w:pStyle w:val="Heading2"/>
      </w:pPr>
      <w:r w:rsidRPr="00F27526">
        <w:t xml:space="preserve">The </w:t>
      </w:r>
      <w:proofErr w:type="spellStart"/>
      <w:r w:rsidRPr="00F27526">
        <w:t>Mayi</w:t>
      </w:r>
      <w:proofErr w:type="spellEnd"/>
      <w:r w:rsidRPr="00F27526">
        <w:t xml:space="preserve"> </w:t>
      </w:r>
      <w:proofErr w:type="spellStart"/>
      <w:r w:rsidRPr="00F27526">
        <w:t>Kuwayu</w:t>
      </w:r>
      <w:proofErr w:type="spellEnd"/>
      <w:r w:rsidRPr="00F27526">
        <w:t xml:space="preserve"> </w:t>
      </w:r>
      <w:r w:rsidR="00643E91">
        <w:t>S</w:t>
      </w:r>
      <w:r w:rsidRPr="00F27526">
        <w:t>tudy</w:t>
      </w:r>
      <w:r w:rsidR="00F27526" w:rsidRPr="00F27526">
        <w:t xml:space="preserve"> - </w:t>
      </w:r>
      <w:r w:rsidR="00C42C5C" w:rsidRPr="000B63D6">
        <w:t>analysis of the impact of tobacco use</w:t>
      </w:r>
      <w:r w:rsidR="00B038D9">
        <w:t>, t</w:t>
      </w:r>
      <w:r w:rsidR="00C42C5C" w:rsidRPr="000B63D6">
        <w:t>rauma and racism</w:t>
      </w:r>
    </w:p>
    <w:p w14:paraId="353AA106" w14:textId="77777777" w:rsidR="007C752B" w:rsidRPr="009C2670" w:rsidRDefault="00F27526" w:rsidP="009462A3">
      <w:pPr>
        <w:rPr>
          <w:color w:val="auto"/>
          <w:highlight w:val="yellow"/>
        </w:rPr>
      </w:pPr>
      <w:r w:rsidRPr="00593D17">
        <w:t xml:space="preserve">Dr </w:t>
      </w:r>
      <w:r w:rsidRPr="009C2670">
        <w:rPr>
          <w:color w:val="auto"/>
        </w:rPr>
        <w:t>Maddox</w:t>
      </w:r>
      <w:r w:rsidR="005B0314" w:rsidRPr="009C2670">
        <w:rPr>
          <w:color w:val="auto"/>
        </w:rPr>
        <w:t>,</w:t>
      </w:r>
      <w:r w:rsidRPr="009C2670">
        <w:rPr>
          <w:color w:val="auto"/>
        </w:rPr>
        <w:t xml:space="preserve"> Research School of Population Health, ANU</w:t>
      </w:r>
      <w:r w:rsidR="009C2670" w:rsidRPr="009C2670">
        <w:rPr>
          <w:color w:val="auto"/>
        </w:rPr>
        <w:t>,</w:t>
      </w:r>
      <w:r w:rsidRPr="009C2670">
        <w:rPr>
          <w:color w:val="auto"/>
        </w:rPr>
        <w:t xml:space="preserve"> </w:t>
      </w:r>
      <w:r w:rsidR="005B0314" w:rsidRPr="009C2670">
        <w:rPr>
          <w:color w:val="auto"/>
        </w:rPr>
        <w:t>showed that o</w:t>
      </w:r>
      <w:r w:rsidR="00547C09" w:rsidRPr="009C2670">
        <w:rPr>
          <w:color w:val="auto"/>
        </w:rPr>
        <w:t xml:space="preserve">ver a third of </w:t>
      </w:r>
      <w:proofErr w:type="spellStart"/>
      <w:r w:rsidR="005B0314" w:rsidRPr="009C2670">
        <w:rPr>
          <w:color w:val="auto"/>
        </w:rPr>
        <w:t>Mayi</w:t>
      </w:r>
      <w:proofErr w:type="spellEnd"/>
      <w:r w:rsidR="005B0314" w:rsidRPr="009C2670">
        <w:rPr>
          <w:color w:val="auto"/>
        </w:rPr>
        <w:t xml:space="preserve"> </w:t>
      </w:r>
      <w:proofErr w:type="spellStart"/>
      <w:r w:rsidR="005B0314" w:rsidRPr="009C2670">
        <w:rPr>
          <w:color w:val="auto"/>
        </w:rPr>
        <w:t>Kuwayu</w:t>
      </w:r>
      <w:proofErr w:type="spellEnd"/>
      <w:r w:rsidR="005B0314" w:rsidRPr="009C2670">
        <w:rPr>
          <w:color w:val="auto"/>
        </w:rPr>
        <w:t xml:space="preserve"> Study </w:t>
      </w:r>
      <w:r w:rsidR="00547C09" w:rsidRPr="009C2670">
        <w:rPr>
          <w:color w:val="auto"/>
        </w:rPr>
        <w:t xml:space="preserve">participants lived in an area serviced by a Tackling Indigenous Smoking (TIS) team. </w:t>
      </w:r>
      <w:r w:rsidR="007C752B" w:rsidRPr="009C2670">
        <w:rPr>
          <w:color w:val="auto"/>
        </w:rPr>
        <w:t>Behaviour</w:t>
      </w:r>
      <w:r w:rsidR="00B201A4" w:rsidRPr="009C2670">
        <w:rPr>
          <w:color w:val="auto"/>
        </w:rPr>
        <w:t>al</w:t>
      </w:r>
      <w:r w:rsidR="007C752B" w:rsidRPr="009C2670">
        <w:rPr>
          <w:color w:val="auto"/>
        </w:rPr>
        <w:t xml:space="preserve"> changes </w:t>
      </w:r>
      <w:r w:rsidR="00B201A4" w:rsidRPr="009C2670">
        <w:rPr>
          <w:color w:val="auto"/>
        </w:rPr>
        <w:t xml:space="preserve">towards smoking were evident </w:t>
      </w:r>
      <w:r w:rsidR="00117E88" w:rsidRPr="009C2670">
        <w:rPr>
          <w:color w:val="auto"/>
        </w:rPr>
        <w:t>by a reported</w:t>
      </w:r>
      <w:r w:rsidR="00B201A4" w:rsidRPr="009C2670">
        <w:rPr>
          <w:color w:val="auto"/>
        </w:rPr>
        <w:t xml:space="preserve"> reduction </w:t>
      </w:r>
      <w:r w:rsidR="00117E88" w:rsidRPr="009C2670">
        <w:rPr>
          <w:color w:val="auto"/>
        </w:rPr>
        <w:t>in people smoking in their home, increasi</w:t>
      </w:r>
      <w:r w:rsidR="007F44D3" w:rsidRPr="009C2670">
        <w:rPr>
          <w:color w:val="auto"/>
        </w:rPr>
        <w:t>ng quit attempts by smokers, lower levels of dependence on cigarette smoking, and lower levels of consumption of cigarettes by smokers.</w:t>
      </w:r>
      <w:r w:rsidR="004A0687" w:rsidRPr="009C2670">
        <w:rPr>
          <w:color w:val="auto"/>
        </w:rPr>
        <w:t xml:space="preserve"> </w:t>
      </w:r>
      <w:r w:rsidR="00C63209" w:rsidRPr="009C2670">
        <w:rPr>
          <w:color w:val="auto"/>
        </w:rPr>
        <w:t>It was noted that the evidence</w:t>
      </w:r>
      <w:r w:rsidR="004A0687" w:rsidRPr="009C2670">
        <w:rPr>
          <w:color w:val="auto"/>
        </w:rPr>
        <w:t xml:space="preserve"> suggests that changes in pre-cursers to smoking cessation are occurring in the Aboriginal and Torres Strait Islander population in areas </w:t>
      </w:r>
      <w:r w:rsidR="00C63209" w:rsidRPr="009C2670">
        <w:rPr>
          <w:color w:val="auto"/>
        </w:rPr>
        <w:t xml:space="preserve">that are </w:t>
      </w:r>
      <w:r w:rsidR="004A0687" w:rsidRPr="009C2670">
        <w:rPr>
          <w:color w:val="auto"/>
        </w:rPr>
        <w:t>serviced by the T</w:t>
      </w:r>
      <w:r w:rsidR="00547C09" w:rsidRPr="009C2670">
        <w:rPr>
          <w:color w:val="auto"/>
        </w:rPr>
        <w:t xml:space="preserve">IS </w:t>
      </w:r>
      <w:r w:rsidR="004A0687" w:rsidRPr="009C2670">
        <w:rPr>
          <w:color w:val="auto"/>
        </w:rPr>
        <w:t xml:space="preserve">program. </w:t>
      </w:r>
    </w:p>
    <w:p w14:paraId="25402DF6" w14:textId="77777777" w:rsidR="00B038D9" w:rsidRPr="009C2670" w:rsidRDefault="002D4925" w:rsidP="009462A3">
      <w:pPr>
        <w:rPr>
          <w:color w:val="auto"/>
          <w:highlight w:val="yellow"/>
        </w:rPr>
      </w:pPr>
      <w:r w:rsidRPr="009C2670">
        <w:rPr>
          <w:color w:val="auto"/>
        </w:rPr>
        <w:lastRenderedPageBreak/>
        <w:t xml:space="preserve">Associate Professor Lovett and Ms </w:t>
      </w:r>
      <w:r w:rsidR="00B038D9" w:rsidRPr="009C2670">
        <w:rPr>
          <w:color w:val="auto"/>
        </w:rPr>
        <w:t xml:space="preserve">Makayla-May </w:t>
      </w:r>
      <w:r w:rsidRPr="009C2670">
        <w:rPr>
          <w:color w:val="auto"/>
        </w:rPr>
        <w:t>Brinckley</w:t>
      </w:r>
      <w:r w:rsidR="00485E4F" w:rsidRPr="009C2670">
        <w:rPr>
          <w:color w:val="auto"/>
        </w:rPr>
        <w:t xml:space="preserve">, </w:t>
      </w:r>
      <w:r w:rsidR="007769DA" w:rsidRPr="009C2670">
        <w:rPr>
          <w:color w:val="auto"/>
        </w:rPr>
        <w:t>ANU</w:t>
      </w:r>
      <w:r w:rsidR="00B038D9" w:rsidRPr="009C2670">
        <w:rPr>
          <w:color w:val="auto"/>
        </w:rPr>
        <w:t xml:space="preserve"> Research School of Population Health</w:t>
      </w:r>
      <w:r w:rsidR="00485E4F" w:rsidRPr="009C2670">
        <w:rPr>
          <w:color w:val="auto"/>
        </w:rPr>
        <w:t>,</w:t>
      </w:r>
      <w:r w:rsidRPr="009C2670">
        <w:rPr>
          <w:color w:val="auto"/>
        </w:rPr>
        <w:t xml:space="preserve"> </w:t>
      </w:r>
      <w:r w:rsidR="005B0314" w:rsidRPr="009C2670">
        <w:rPr>
          <w:color w:val="auto"/>
        </w:rPr>
        <w:t>showed evidence that the</w:t>
      </w:r>
      <w:r w:rsidR="00107687" w:rsidRPr="009C2670">
        <w:rPr>
          <w:color w:val="auto"/>
        </w:rPr>
        <w:t xml:space="preserve"> high prevalence of discrimination </w:t>
      </w:r>
      <w:r w:rsidR="00B60413" w:rsidRPr="009C2670">
        <w:rPr>
          <w:color w:val="auto"/>
        </w:rPr>
        <w:t>experienced by Aboriginal and Torres Strait Islander people has</w:t>
      </w:r>
      <w:r w:rsidR="00107687" w:rsidRPr="009C2670">
        <w:rPr>
          <w:color w:val="auto"/>
        </w:rPr>
        <w:t xml:space="preserve"> wide-ranging links to wellbeing</w:t>
      </w:r>
      <w:r w:rsidR="00B60413" w:rsidRPr="009C2670">
        <w:rPr>
          <w:color w:val="auto"/>
        </w:rPr>
        <w:t xml:space="preserve"> inequities</w:t>
      </w:r>
      <w:r w:rsidR="00107687" w:rsidRPr="009C2670">
        <w:rPr>
          <w:color w:val="auto"/>
        </w:rPr>
        <w:t xml:space="preserve">. </w:t>
      </w:r>
      <w:r w:rsidR="00DC11DA" w:rsidRPr="009C2670">
        <w:rPr>
          <w:color w:val="auto"/>
        </w:rPr>
        <w:t>Th</w:t>
      </w:r>
      <w:r w:rsidR="00C5406E" w:rsidRPr="009C2670">
        <w:rPr>
          <w:color w:val="auto"/>
        </w:rPr>
        <w:t xml:space="preserve">e </w:t>
      </w:r>
      <w:proofErr w:type="spellStart"/>
      <w:r w:rsidR="00C5406E" w:rsidRPr="009C2670">
        <w:rPr>
          <w:color w:val="auto"/>
        </w:rPr>
        <w:t>Mayi</w:t>
      </w:r>
      <w:proofErr w:type="spellEnd"/>
      <w:r w:rsidR="00C5406E" w:rsidRPr="009C2670">
        <w:rPr>
          <w:color w:val="auto"/>
        </w:rPr>
        <w:t xml:space="preserve"> </w:t>
      </w:r>
      <w:proofErr w:type="spellStart"/>
      <w:r w:rsidR="00C5406E" w:rsidRPr="009C2670">
        <w:rPr>
          <w:color w:val="auto"/>
        </w:rPr>
        <w:t>Kuwayu</w:t>
      </w:r>
      <w:proofErr w:type="spellEnd"/>
      <w:r w:rsidR="00C5406E" w:rsidRPr="009C2670">
        <w:rPr>
          <w:color w:val="auto"/>
        </w:rPr>
        <w:t xml:space="preserve"> Study confirms that trauma</w:t>
      </w:r>
      <w:r w:rsidR="000C4248" w:rsidRPr="009C2670">
        <w:rPr>
          <w:color w:val="auto"/>
        </w:rPr>
        <w:t xml:space="preserve"> and racism </w:t>
      </w:r>
      <w:r w:rsidR="009E3998" w:rsidRPr="009C2670">
        <w:rPr>
          <w:color w:val="auto"/>
        </w:rPr>
        <w:t xml:space="preserve">negatively </w:t>
      </w:r>
      <w:r w:rsidR="00C5406E" w:rsidRPr="009C2670">
        <w:rPr>
          <w:color w:val="auto"/>
        </w:rPr>
        <w:t>impact</w:t>
      </w:r>
      <w:r w:rsidR="000C4248" w:rsidRPr="009C2670">
        <w:rPr>
          <w:color w:val="auto"/>
        </w:rPr>
        <w:t>s</w:t>
      </w:r>
      <w:r w:rsidR="00C5406E" w:rsidRPr="009C2670">
        <w:rPr>
          <w:color w:val="auto"/>
        </w:rPr>
        <w:t xml:space="preserve"> </w:t>
      </w:r>
      <w:r w:rsidR="009E3998" w:rsidRPr="009C2670">
        <w:rPr>
          <w:color w:val="auto"/>
        </w:rPr>
        <w:t>on</w:t>
      </w:r>
      <w:r w:rsidR="00C5406E" w:rsidRPr="009C2670">
        <w:rPr>
          <w:color w:val="auto"/>
        </w:rPr>
        <w:t xml:space="preserve"> health and wellbeing outcomes</w:t>
      </w:r>
      <w:r w:rsidR="00E53B48" w:rsidRPr="009C2670">
        <w:rPr>
          <w:color w:val="auto"/>
        </w:rPr>
        <w:t xml:space="preserve"> for Aboriginal and Torres Strait Islander people</w:t>
      </w:r>
      <w:r w:rsidR="00C5406E" w:rsidRPr="009C2670">
        <w:rPr>
          <w:color w:val="auto"/>
        </w:rPr>
        <w:t>.</w:t>
      </w:r>
      <w:r w:rsidR="0027217C" w:rsidRPr="009C2670">
        <w:rPr>
          <w:color w:val="auto"/>
        </w:rPr>
        <w:t xml:space="preserve"> </w:t>
      </w:r>
    </w:p>
    <w:p w14:paraId="2A2FF47C" w14:textId="77777777" w:rsidR="00B97391" w:rsidRDefault="00B97391" w:rsidP="009462A3">
      <w:pPr>
        <w:pStyle w:val="Heading2"/>
      </w:pPr>
      <w:r w:rsidRPr="00B97391">
        <w:t>Aboriginal and Torres Strait Islander Primary Health Care Systems Evaluation</w:t>
      </w:r>
    </w:p>
    <w:p w14:paraId="0CC302C8" w14:textId="77777777" w:rsidR="00B97391" w:rsidRPr="000214AD" w:rsidRDefault="00B97391" w:rsidP="00B97391">
      <w:pPr>
        <w:rPr>
          <w:color w:val="auto"/>
        </w:rPr>
      </w:pPr>
      <w:r w:rsidRPr="00D37170">
        <w:rPr>
          <w:color w:val="auto"/>
        </w:rPr>
        <w:t xml:space="preserve">The National Primary Health Care System Evaluation team provided an update on the Aboriginal and Torres Strait Islander Primary Health Care Systems Evaluation being undertaken. Members noted the re-engagement with all potential site partners in </w:t>
      </w:r>
      <w:r w:rsidRPr="00D37170">
        <w:rPr>
          <w:color w:val="auto"/>
        </w:rPr>
        <w:br/>
        <w:t xml:space="preserve">October 2020, following a series of webinars on the rollout of participation agreement workshop. The next steps in the evaluation’s main work </w:t>
      </w:r>
      <w:r w:rsidRPr="00B312EE">
        <w:rPr>
          <w:color w:val="auto"/>
        </w:rPr>
        <w:t xml:space="preserve">streams are </w:t>
      </w:r>
      <w:r w:rsidR="002D366B" w:rsidRPr="00210936">
        <w:rPr>
          <w:color w:val="auto"/>
        </w:rPr>
        <w:t>finalising participation agreements with site partners and commencing data gathering</w:t>
      </w:r>
      <w:r w:rsidRPr="00B312EE">
        <w:rPr>
          <w:color w:val="auto"/>
        </w:rPr>
        <w:t xml:space="preserve">, continued engagement with state, territory and national governments, and collaboration </w:t>
      </w:r>
      <w:r w:rsidRPr="00D37170">
        <w:rPr>
          <w:color w:val="auto"/>
        </w:rPr>
        <w:t xml:space="preserve">on cross-cutting themes. Members agreed to future update on the evaluation, once findings were available, however </w:t>
      </w:r>
      <w:r w:rsidRPr="000214AD">
        <w:rPr>
          <w:color w:val="auto"/>
        </w:rPr>
        <w:t>noted this information would not be available before finalisation of the refreshed Health Plan.</w:t>
      </w:r>
    </w:p>
    <w:p w14:paraId="304E5BF1" w14:textId="77777777" w:rsidR="00D772A3" w:rsidRPr="00593D17" w:rsidRDefault="006666BA" w:rsidP="00593D17">
      <w:pPr>
        <w:pStyle w:val="Heading2"/>
      </w:pPr>
      <w:r w:rsidRPr="00593D17">
        <w:t>The National Agreement on Closing the Gap</w:t>
      </w:r>
    </w:p>
    <w:p w14:paraId="492A099D" w14:textId="77777777" w:rsidR="001C6B71" w:rsidRPr="000214AD" w:rsidRDefault="006666BA">
      <w:pPr>
        <w:rPr>
          <w:color w:val="auto"/>
        </w:rPr>
      </w:pPr>
      <w:r w:rsidRPr="000214AD">
        <w:rPr>
          <w:color w:val="auto"/>
        </w:rPr>
        <w:t xml:space="preserve">Ms </w:t>
      </w:r>
      <w:r w:rsidR="001A54EC" w:rsidRPr="000214AD">
        <w:rPr>
          <w:color w:val="auto"/>
        </w:rPr>
        <w:t>Andrea Kelly</w:t>
      </w:r>
      <w:r w:rsidR="006C74BF" w:rsidRPr="000214AD">
        <w:rPr>
          <w:color w:val="auto"/>
        </w:rPr>
        <w:t xml:space="preserve">, </w:t>
      </w:r>
      <w:r w:rsidR="001A54EC" w:rsidRPr="000214AD">
        <w:rPr>
          <w:color w:val="auto"/>
        </w:rPr>
        <w:t>Branch</w:t>
      </w:r>
      <w:r w:rsidR="006C74BF" w:rsidRPr="000214AD">
        <w:rPr>
          <w:color w:val="auto"/>
        </w:rPr>
        <w:t xml:space="preserve"> Manager</w:t>
      </w:r>
      <w:r w:rsidR="005B0314" w:rsidRPr="000214AD">
        <w:rPr>
          <w:color w:val="auto"/>
        </w:rPr>
        <w:t xml:space="preserve">, </w:t>
      </w:r>
      <w:r w:rsidR="001A54EC" w:rsidRPr="000214AD">
        <w:rPr>
          <w:color w:val="auto"/>
        </w:rPr>
        <w:t>Health and Wellbeing Branch</w:t>
      </w:r>
      <w:r w:rsidR="005B0314" w:rsidRPr="000214AD">
        <w:rPr>
          <w:color w:val="auto"/>
        </w:rPr>
        <w:t xml:space="preserve">, </w:t>
      </w:r>
      <w:r w:rsidRPr="000214AD">
        <w:rPr>
          <w:color w:val="auto"/>
        </w:rPr>
        <w:t>NIAA</w:t>
      </w:r>
      <w:r w:rsidR="006C74BF" w:rsidRPr="000214AD">
        <w:rPr>
          <w:color w:val="auto"/>
        </w:rPr>
        <w:t>,</w:t>
      </w:r>
      <w:r w:rsidRPr="000214AD">
        <w:rPr>
          <w:color w:val="auto"/>
        </w:rPr>
        <w:t xml:space="preserve"> presented an update on next steps for the implementation of the </w:t>
      </w:r>
      <w:hyperlink r:id="rId10" w:history="1">
        <w:r w:rsidRPr="000214AD">
          <w:rPr>
            <w:color w:val="auto"/>
          </w:rPr>
          <w:t>National Agreement on Closing the Gap</w:t>
        </w:r>
      </w:hyperlink>
      <w:r w:rsidRPr="000214AD">
        <w:rPr>
          <w:color w:val="auto"/>
        </w:rPr>
        <w:t xml:space="preserve">. Members noted </w:t>
      </w:r>
      <w:r w:rsidR="004A3D46" w:rsidRPr="000214AD">
        <w:rPr>
          <w:color w:val="auto"/>
        </w:rPr>
        <w:t>the w</w:t>
      </w:r>
      <w:r w:rsidR="00FB2EB8" w:rsidRPr="000214AD">
        <w:rPr>
          <w:color w:val="auto"/>
        </w:rPr>
        <w:t xml:space="preserve">ork </w:t>
      </w:r>
      <w:r w:rsidR="00735A08" w:rsidRPr="000214AD">
        <w:rPr>
          <w:color w:val="auto"/>
        </w:rPr>
        <w:t xml:space="preserve">being </w:t>
      </w:r>
      <w:r w:rsidR="00FB2EB8" w:rsidRPr="000214AD">
        <w:rPr>
          <w:color w:val="auto"/>
        </w:rPr>
        <w:lastRenderedPageBreak/>
        <w:t xml:space="preserve">undertaken </w:t>
      </w:r>
      <w:r w:rsidR="00055CB6" w:rsidRPr="000214AD">
        <w:rPr>
          <w:color w:val="auto"/>
        </w:rPr>
        <w:t xml:space="preserve">on </w:t>
      </w:r>
      <w:r w:rsidR="00141C44" w:rsidRPr="000214AD">
        <w:rPr>
          <w:color w:val="auto"/>
        </w:rPr>
        <w:t>progressing</w:t>
      </w:r>
      <w:r w:rsidR="00FB2EB8" w:rsidRPr="000214AD">
        <w:rPr>
          <w:color w:val="auto"/>
        </w:rPr>
        <w:t xml:space="preserve"> the</w:t>
      </w:r>
      <w:r w:rsidR="007F44D3" w:rsidRPr="000214AD">
        <w:rPr>
          <w:color w:val="auto"/>
        </w:rPr>
        <w:t xml:space="preserve"> Priority Reforms of the</w:t>
      </w:r>
      <w:r w:rsidR="00FB2EB8" w:rsidRPr="000214AD">
        <w:rPr>
          <w:color w:val="auto"/>
        </w:rPr>
        <w:t xml:space="preserve"> National Agreement</w:t>
      </w:r>
      <w:r w:rsidR="001C6B71" w:rsidRPr="000214AD">
        <w:rPr>
          <w:color w:val="auto"/>
        </w:rPr>
        <w:t xml:space="preserve">, including: </w:t>
      </w:r>
    </w:p>
    <w:p w14:paraId="6CBF9670" w14:textId="77777777" w:rsidR="001C6B71" w:rsidRPr="000214AD" w:rsidRDefault="001C6B71" w:rsidP="00293FF1">
      <w:pPr>
        <w:pStyle w:val="ListParagraph"/>
        <w:numPr>
          <w:ilvl w:val="0"/>
          <w:numId w:val="7"/>
        </w:numPr>
        <w:rPr>
          <w:color w:val="auto"/>
        </w:rPr>
      </w:pPr>
      <w:r w:rsidRPr="000214AD">
        <w:rPr>
          <w:color w:val="auto"/>
        </w:rPr>
        <w:t xml:space="preserve">Joint Council will consider locations for up to six place-based partnerships at its </w:t>
      </w:r>
      <w:r w:rsidR="009C2670">
        <w:rPr>
          <w:color w:val="auto"/>
        </w:rPr>
        <w:br/>
      </w:r>
      <w:r w:rsidRPr="000214AD">
        <w:rPr>
          <w:color w:val="auto"/>
        </w:rPr>
        <w:t xml:space="preserve">July 2021 meeting. </w:t>
      </w:r>
    </w:p>
    <w:p w14:paraId="0CFB2EB1" w14:textId="77777777" w:rsidR="001C6B71" w:rsidRPr="000214AD" w:rsidRDefault="001C6B71" w:rsidP="001C6B71">
      <w:pPr>
        <w:pStyle w:val="ListParagraph"/>
        <w:numPr>
          <w:ilvl w:val="0"/>
          <w:numId w:val="7"/>
        </w:numPr>
        <w:rPr>
          <w:color w:val="auto"/>
        </w:rPr>
      </w:pPr>
      <w:r w:rsidRPr="000214AD">
        <w:rPr>
          <w:color w:val="auto"/>
        </w:rPr>
        <w:t xml:space="preserve">Joint Council has agreed to a strategic plan to guide investment from a joint funding pool to strengthen the community-controlled sector. </w:t>
      </w:r>
    </w:p>
    <w:p w14:paraId="1B3AF446" w14:textId="77777777" w:rsidR="001C6B71" w:rsidRPr="000214AD" w:rsidRDefault="001C6B71" w:rsidP="001C6B71">
      <w:pPr>
        <w:pStyle w:val="ListParagraph"/>
        <w:numPr>
          <w:ilvl w:val="0"/>
          <w:numId w:val="7"/>
        </w:numPr>
        <w:rPr>
          <w:color w:val="auto"/>
        </w:rPr>
      </w:pPr>
      <w:r w:rsidRPr="000214AD">
        <w:rPr>
          <w:color w:val="auto"/>
        </w:rPr>
        <w:t>Work is continuing to settle project locations for the first two data projects to enable Aboriginal and Torres Strait Islander communities and organisations to access and use location-specific data on the Closing the Gap outcome areas.</w:t>
      </w:r>
    </w:p>
    <w:p w14:paraId="3FB9EF35" w14:textId="77777777" w:rsidR="001C6B71" w:rsidRPr="000214AD" w:rsidRDefault="001C6B71" w:rsidP="001C6B71">
      <w:pPr>
        <w:pStyle w:val="ListParagraph"/>
        <w:numPr>
          <w:ilvl w:val="0"/>
          <w:numId w:val="7"/>
        </w:numPr>
        <w:rPr>
          <w:color w:val="auto"/>
        </w:rPr>
      </w:pPr>
      <w:r w:rsidRPr="000214AD">
        <w:rPr>
          <w:color w:val="auto"/>
        </w:rPr>
        <w:t>The Partnership</w:t>
      </w:r>
      <w:r w:rsidR="005B0314" w:rsidRPr="000214AD">
        <w:rPr>
          <w:color w:val="auto"/>
        </w:rPr>
        <w:t xml:space="preserve"> Working Group</w:t>
      </w:r>
      <w:r w:rsidRPr="000214AD">
        <w:rPr>
          <w:color w:val="auto"/>
        </w:rPr>
        <w:t xml:space="preserve"> is negotiating two new targets: community infrastructure and inland waters. </w:t>
      </w:r>
    </w:p>
    <w:p w14:paraId="5B1A8C8F" w14:textId="77777777" w:rsidR="001C6B71" w:rsidRPr="000214AD" w:rsidRDefault="001C6B71" w:rsidP="00293FF1">
      <w:pPr>
        <w:rPr>
          <w:color w:val="auto"/>
        </w:rPr>
      </w:pPr>
      <w:r w:rsidRPr="000214AD">
        <w:rPr>
          <w:color w:val="auto"/>
        </w:rPr>
        <w:t xml:space="preserve">Members requested further information on the proposed community infrastructure target, noting the intersections with the ‘healthy environments, sustainability and preparedness’ section of the refreshed Health Plan. </w:t>
      </w:r>
    </w:p>
    <w:p w14:paraId="248F2EA8" w14:textId="77777777" w:rsidR="00D772A3" w:rsidRPr="00593D17" w:rsidRDefault="000A72A5" w:rsidP="00593D17">
      <w:pPr>
        <w:pStyle w:val="Heading2"/>
      </w:pPr>
      <w:r w:rsidRPr="00593D17">
        <w:t>National Aboriginal and Torr</w:t>
      </w:r>
      <w:r w:rsidR="00737E42" w:rsidRPr="00593D17">
        <w:t>es Strait Islander Health Plan</w:t>
      </w:r>
      <w:r w:rsidR="00316326" w:rsidRPr="00593D17">
        <w:t xml:space="preserve"> refresh</w:t>
      </w:r>
    </w:p>
    <w:p w14:paraId="23FD9B4E" w14:textId="77777777" w:rsidR="00F64E0A" w:rsidRPr="000214AD" w:rsidRDefault="00F64E0A" w:rsidP="00297092">
      <w:pPr>
        <w:rPr>
          <w:color w:val="auto"/>
        </w:rPr>
      </w:pPr>
      <w:r w:rsidRPr="000214AD">
        <w:rPr>
          <w:color w:val="auto"/>
        </w:rPr>
        <w:t xml:space="preserve">Ms Murray and </w:t>
      </w:r>
      <w:r w:rsidR="007430C5" w:rsidRPr="000214AD">
        <w:rPr>
          <w:color w:val="auto"/>
        </w:rPr>
        <w:t>Mr Matthews</w:t>
      </w:r>
      <w:r w:rsidR="00453C8D" w:rsidRPr="000214AD">
        <w:rPr>
          <w:color w:val="auto"/>
        </w:rPr>
        <w:t xml:space="preserve"> </w:t>
      </w:r>
      <w:r w:rsidR="007430C5" w:rsidRPr="000214AD">
        <w:rPr>
          <w:color w:val="auto"/>
        </w:rPr>
        <w:t xml:space="preserve">presented the latest working draft of the </w:t>
      </w:r>
      <w:r w:rsidRPr="000214AD">
        <w:rPr>
          <w:color w:val="auto"/>
        </w:rPr>
        <w:t xml:space="preserve">refreshed </w:t>
      </w:r>
      <w:r w:rsidR="007430C5" w:rsidRPr="000214AD">
        <w:rPr>
          <w:color w:val="auto"/>
        </w:rPr>
        <w:t xml:space="preserve">National Aboriginal and Torres Strait Islander Health Plan. Mr Matthews noted the strategies </w:t>
      </w:r>
      <w:r w:rsidRPr="000214AD">
        <w:rPr>
          <w:color w:val="auto"/>
        </w:rPr>
        <w:t xml:space="preserve">and narrative </w:t>
      </w:r>
      <w:r w:rsidR="007430C5" w:rsidRPr="000214AD">
        <w:rPr>
          <w:color w:val="auto"/>
        </w:rPr>
        <w:t xml:space="preserve">had been further developed, and that </w:t>
      </w:r>
      <w:r w:rsidRPr="000214AD">
        <w:rPr>
          <w:color w:val="auto"/>
        </w:rPr>
        <w:t>consultation</w:t>
      </w:r>
      <w:r w:rsidR="007430C5" w:rsidRPr="000214AD">
        <w:rPr>
          <w:color w:val="auto"/>
        </w:rPr>
        <w:t xml:space="preserve"> had been broadened. </w:t>
      </w:r>
      <w:r w:rsidR="00D30F6E" w:rsidRPr="000214AD">
        <w:rPr>
          <w:color w:val="auto"/>
        </w:rPr>
        <w:t xml:space="preserve">Members </w:t>
      </w:r>
      <w:r w:rsidR="00290703" w:rsidRPr="000214AD">
        <w:rPr>
          <w:color w:val="auto"/>
        </w:rPr>
        <w:t xml:space="preserve">were invited to </w:t>
      </w:r>
      <w:r w:rsidR="00D30F6E" w:rsidRPr="000214AD">
        <w:rPr>
          <w:color w:val="auto"/>
        </w:rPr>
        <w:t>provide</w:t>
      </w:r>
      <w:r w:rsidR="00083583" w:rsidRPr="000214AD">
        <w:rPr>
          <w:color w:val="auto"/>
        </w:rPr>
        <w:t xml:space="preserve"> further</w:t>
      </w:r>
      <w:r w:rsidR="00D30F6E" w:rsidRPr="000214AD">
        <w:rPr>
          <w:color w:val="auto"/>
        </w:rPr>
        <w:t xml:space="preserve"> feedback on the draft</w:t>
      </w:r>
      <w:r w:rsidR="00C72424" w:rsidRPr="000214AD">
        <w:rPr>
          <w:color w:val="auto"/>
        </w:rPr>
        <w:t xml:space="preserve">. </w:t>
      </w:r>
    </w:p>
    <w:p w14:paraId="533BC29F" w14:textId="77777777" w:rsidR="00B97391" w:rsidRPr="000214AD" w:rsidRDefault="00297092" w:rsidP="00297092">
      <w:pPr>
        <w:rPr>
          <w:color w:val="auto"/>
        </w:rPr>
      </w:pPr>
      <w:r w:rsidRPr="000214AD">
        <w:rPr>
          <w:color w:val="auto"/>
        </w:rPr>
        <w:lastRenderedPageBreak/>
        <w:t xml:space="preserve">Members </w:t>
      </w:r>
      <w:r w:rsidR="00F64E0A" w:rsidRPr="000214AD">
        <w:rPr>
          <w:color w:val="auto"/>
        </w:rPr>
        <w:t xml:space="preserve">advised that the </w:t>
      </w:r>
      <w:r w:rsidRPr="000214AD">
        <w:rPr>
          <w:color w:val="auto"/>
        </w:rPr>
        <w:t xml:space="preserve">findings from the </w:t>
      </w:r>
      <w:proofErr w:type="spellStart"/>
      <w:r w:rsidRPr="000214AD">
        <w:rPr>
          <w:color w:val="auto"/>
        </w:rPr>
        <w:t>Mayi</w:t>
      </w:r>
      <w:proofErr w:type="spellEnd"/>
      <w:r w:rsidRPr="000214AD">
        <w:rPr>
          <w:color w:val="auto"/>
        </w:rPr>
        <w:t xml:space="preserve"> </w:t>
      </w:r>
      <w:proofErr w:type="spellStart"/>
      <w:r w:rsidRPr="000214AD">
        <w:rPr>
          <w:color w:val="auto"/>
        </w:rPr>
        <w:t>Kuwayu</w:t>
      </w:r>
      <w:proofErr w:type="spellEnd"/>
      <w:r w:rsidRPr="000214AD">
        <w:rPr>
          <w:color w:val="auto"/>
        </w:rPr>
        <w:t xml:space="preserve"> </w:t>
      </w:r>
      <w:r w:rsidR="009C2670">
        <w:rPr>
          <w:color w:val="auto"/>
        </w:rPr>
        <w:t>S</w:t>
      </w:r>
      <w:r w:rsidRPr="000214AD">
        <w:rPr>
          <w:color w:val="auto"/>
        </w:rPr>
        <w:t xml:space="preserve">tudy </w:t>
      </w:r>
      <w:r w:rsidR="002C6278" w:rsidRPr="000214AD">
        <w:rPr>
          <w:color w:val="auto"/>
        </w:rPr>
        <w:t xml:space="preserve">on racism </w:t>
      </w:r>
      <w:r w:rsidR="00F64E0A" w:rsidRPr="000214AD">
        <w:rPr>
          <w:color w:val="auto"/>
        </w:rPr>
        <w:t xml:space="preserve">should inform the Health Plan. Members also recommended further strengthening of the workforce section to acknowledge the important role of the Aboriginal and Torres Strait Islander health workforce organisations. </w:t>
      </w:r>
    </w:p>
    <w:p w14:paraId="36A62BF3" w14:textId="1DE125E5" w:rsidR="00B97391" w:rsidRPr="000214AD" w:rsidRDefault="00B97391" w:rsidP="00297092">
      <w:pPr>
        <w:rPr>
          <w:color w:val="auto"/>
        </w:rPr>
      </w:pPr>
      <w:r w:rsidRPr="000214AD">
        <w:rPr>
          <w:color w:val="auto"/>
        </w:rPr>
        <w:t xml:space="preserve">Members </w:t>
      </w:r>
      <w:r w:rsidR="00F64E0A" w:rsidRPr="000214AD">
        <w:rPr>
          <w:color w:val="auto"/>
        </w:rPr>
        <w:t>advised that further policy work is requi</w:t>
      </w:r>
      <w:r w:rsidRPr="000214AD">
        <w:rPr>
          <w:color w:val="auto"/>
        </w:rPr>
        <w:t>red to address access to specialist and tertiary services</w:t>
      </w:r>
      <w:r w:rsidR="00F64E0A" w:rsidRPr="000214AD">
        <w:rPr>
          <w:color w:val="auto"/>
        </w:rPr>
        <w:t xml:space="preserve">, </w:t>
      </w:r>
      <w:r w:rsidRPr="000214AD">
        <w:rPr>
          <w:color w:val="auto"/>
        </w:rPr>
        <w:t xml:space="preserve">noting that increases in the uptake of MBS 715 health checks has yet to translate into better access to follow-up care and treatment. Members recommended that there remain a dedicated </w:t>
      </w:r>
      <w:r w:rsidR="00B039F4">
        <w:rPr>
          <w:color w:val="auto"/>
        </w:rPr>
        <w:t>section and strategy</w:t>
      </w:r>
      <w:r w:rsidR="00B039F4" w:rsidRPr="000214AD">
        <w:rPr>
          <w:color w:val="auto"/>
        </w:rPr>
        <w:t xml:space="preserve"> </w:t>
      </w:r>
      <w:r w:rsidRPr="000214AD">
        <w:rPr>
          <w:color w:val="auto"/>
        </w:rPr>
        <w:t>on the community controlled health sector, with further work r</w:t>
      </w:r>
      <w:r w:rsidR="00593D17">
        <w:rPr>
          <w:color w:val="auto"/>
        </w:rPr>
        <w:t>equired to refine the language.</w:t>
      </w:r>
    </w:p>
    <w:p w14:paraId="1FF0C91E" w14:textId="77777777" w:rsidR="00743D97" w:rsidRPr="000214AD" w:rsidRDefault="00FF5D3B" w:rsidP="00297092">
      <w:pPr>
        <w:rPr>
          <w:color w:val="auto"/>
        </w:rPr>
      </w:pPr>
      <w:r w:rsidRPr="000214AD">
        <w:rPr>
          <w:color w:val="auto"/>
        </w:rPr>
        <w:t>Members are</w:t>
      </w:r>
      <w:r w:rsidR="00297092" w:rsidRPr="000214AD">
        <w:rPr>
          <w:color w:val="auto"/>
        </w:rPr>
        <w:t xml:space="preserve"> </w:t>
      </w:r>
      <w:r w:rsidRPr="000214AD">
        <w:rPr>
          <w:color w:val="auto"/>
        </w:rPr>
        <w:t xml:space="preserve">to provide feedback on the </w:t>
      </w:r>
      <w:r w:rsidR="00B97391" w:rsidRPr="000214AD">
        <w:rPr>
          <w:color w:val="auto"/>
        </w:rPr>
        <w:t xml:space="preserve">draft </w:t>
      </w:r>
      <w:r w:rsidRPr="000214AD">
        <w:rPr>
          <w:color w:val="auto"/>
        </w:rPr>
        <w:t>Health Plan by early April 2021.</w:t>
      </w:r>
    </w:p>
    <w:p w14:paraId="73605472" w14:textId="77777777" w:rsidR="00D772A3" w:rsidRPr="00593D17" w:rsidRDefault="00881521" w:rsidP="00593D17">
      <w:pPr>
        <w:pStyle w:val="Heading2"/>
      </w:pPr>
      <w:r w:rsidRPr="00593D17">
        <w:t>Updates</w:t>
      </w:r>
    </w:p>
    <w:p w14:paraId="51947D5E" w14:textId="77777777" w:rsidR="00831A17" w:rsidRPr="000214AD" w:rsidRDefault="001C3F06" w:rsidP="009462A3">
      <w:pPr>
        <w:rPr>
          <w:color w:val="auto"/>
          <w:highlight w:val="yellow"/>
        </w:rPr>
      </w:pPr>
      <w:r w:rsidRPr="000214AD">
        <w:rPr>
          <w:color w:val="auto"/>
        </w:rPr>
        <w:t xml:space="preserve">Dr </w:t>
      </w:r>
      <w:proofErr w:type="spellStart"/>
      <w:r w:rsidRPr="000214AD">
        <w:rPr>
          <w:color w:val="auto"/>
        </w:rPr>
        <w:t>Fadwa</w:t>
      </w:r>
      <w:proofErr w:type="spellEnd"/>
      <w:r w:rsidRPr="000214AD">
        <w:rPr>
          <w:color w:val="auto"/>
        </w:rPr>
        <w:t xml:space="preserve"> Al-</w:t>
      </w:r>
      <w:proofErr w:type="spellStart"/>
      <w:r w:rsidRPr="000214AD">
        <w:rPr>
          <w:color w:val="auto"/>
        </w:rPr>
        <w:t>Yama</w:t>
      </w:r>
      <w:r w:rsidR="00831A17" w:rsidRPr="000214AD">
        <w:rPr>
          <w:color w:val="auto"/>
        </w:rPr>
        <w:t>n</w:t>
      </w:r>
      <w:proofErr w:type="spellEnd"/>
      <w:r w:rsidR="005B0314" w:rsidRPr="000214AD">
        <w:rPr>
          <w:color w:val="auto"/>
        </w:rPr>
        <w:t>,</w:t>
      </w:r>
      <w:r w:rsidR="00B97391" w:rsidRPr="000214AD">
        <w:rPr>
          <w:color w:val="auto"/>
        </w:rPr>
        <w:t xml:space="preserve"> </w:t>
      </w:r>
      <w:r w:rsidR="0082015B">
        <w:rPr>
          <w:color w:val="auto"/>
        </w:rPr>
        <w:t>Australian Institute of Health and Welfare,</w:t>
      </w:r>
      <w:r w:rsidR="0082015B" w:rsidRPr="000214AD">
        <w:rPr>
          <w:color w:val="auto"/>
        </w:rPr>
        <w:t xml:space="preserve"> </w:t>
      </w:r>
      <w:r w:rsidR="00867F0E" w:rsidRPr="000214AD">
        <w:rPr>
          <w:color w:val="auto"/>
        </w:rPr>
        <w:t xml:space="preserve">presented an </w:t>
      </w:r>
      <w:r w:rsidRPr="000214AD">
        <w:rPr>
          <w:color w:val="auto"/>
        </w:rPr>
        <w:t>analysis of</w:t>
      </w:r>
      <w:r w:rsidR="00867F0E" w:rsidRPr="000214AD">
        <w:rPr>
          <w:color w:val="auto"/>
        </w:rPr>
        <w:t xml:space="preserve"> Implementation Plan Goals </w:t>
      </w:r>
      <w:r w:rsidR="00FD24FB" w:rsidRPr="000214AD">
        <w:rPr>
          <w:color w:val="auto"/>
        </w:rPr>
        <w:t>across Indigenous regions</w:t>
      </w:r>
      <w:r w:rsidR="00B97391" w:rsidRPr="000214AD">
        <w:rPr>
          <w:color w:val="auto"/>
        </w:rPr>
        <w:t>. Dr Al-Yaman</w:t>
      </w:r>
      <w:r w:rsidR="00867F0E" w:rsidRPr="000214AD">
        <w:rPr>
          <w:color w:val="auto"/>
        </w:rPr>
        <w:t xml:space="preserve"> will </w:t>
      </w:r>
      <w:r w:rsidR="005B0314" w:rsidRPr="000214AD">
        <w:rPr>
          <w:color w:val="auto"/>
        </w:rPr>
        <w:t>advise on</w:t>
      </w:r>
      <w:r w:rsidR="00867F0E" w:rsidRPr="000214AD">
        <w:rPr>
          <w:color w:val="auto"/>
        </w:rPr>
        <w:t xml:space="preserve"> health checks across </w:t>
      </w:r>
      <w:r w:rsidR="00B97391" w:rsidRPr="000214AD">
        <w:rPr>
          <w:color w:val="auto"/>
        </w:rPr>
        <w:t>P</w:t>
      </w:r>
      <w:r w:rsidR="00867F0E" w:rsidRPr="000214AD">
        <w:rPr>
          <w:color w:val="auto"/>
        </w:rPr>
        <w:t xml:space="preserve">rimary </w:t>
      </w:r>
      <w:r w:rsidR="00B97391" w:rsidRPr="000214AD">
        <w:rPr>
          <w:color w:val="auto"/>
        </w:rPr>
        <w:t>H</w:t>
      </w:r>
      <w:r w:rsidR="00867F0E" w:rsidRPr="000214AD">
        <w:rPr>
          <w:color w:val="auto"/>
        </w:rPr>
        <w:t xml:space="preserve">ealth </w:t>
      </w:r>
      <w:r w:rsidR="00B97391" w:rsidRPr="000214AD">
        <w:rPr>
          <w:color w:val="auto"/>
        </w:rPr>
        <w:t>N</w:t>
      </w:r>
      <w:r w:rsidR="00867F0E" w:rsidRPr="000214AD">
        <w:rPr>
          <w:color w:val="auto"/>
        </w:rPr>
        <w:t>etwork regions at a future meeting.</w:t>
      </w:r>
    </w:p>
    <w:p w14:paraId="489A64FA" w14:textId="77777777" w:rsidR="000421A5" w:rsidRPr="000214AD" w:rsidRDefault="000421A5" w:rsidP="009462A3">
      <w:pPr>
        <w:rPr>
          <w:color w:val="auto"/>
        </w:rPr>
      </w:pPr>
      <w:r w:rsidRPr="000214AD">
        <w:rPr>
          <w:color w:val="auto"/>
        </w:rPr>
        <w:t xml:space="preserve">The </w:t>
      </w:r>
      <w:r w:rsidR="00C2313A" w:rsidRPr="000214AD">
        <w:rPr>
          <w:color w:val="auto"/>
        </w:rPr>
        <w:t>next</w:t>
      </w:r>
      <w:r w:rsidRPr="000214AD">
        <w:rPr>
          <w:color w:val="auto"/>
        </w:rPr>
        <w:t xml:space="preserve"> IPAG meeting </w:t>
      </w:r>
      <w:r w:rsidR="00C2313A" w:rsidRPr="000214AD">
        <w:rPr>
          <w:color w:val="auto"/>
        </w:rPr>
        <w:t xml:space="preserve">will be an extra-ordinary meeting </w:t>
      </w:r>
      <w:r w:rsidR="00572E91" w:rsidRPr="000214AD">
        <w:rPr>
          <w:color w:val="auto"/>
        </w:rPr>
        <w:t>o</w:t>
      </w:r>
      <w:r w:rsidR="002C3402" w:rsidRPr="000214AD">
        <w:rPr>
          <w:color w:val="auto"/>
        </w:rPr>
        <w:t>n 10</w:t>
      </w:r>
      <w:r w:rsidR="00C2313A" w:rsidRPr="000214AD">
        <w:rPr>
          <w:color w:val="auto"/>
        </w:rPr>
        <w:t xml:space="preserve"> May 2021 and </w:t>
      </w:r>
      <w:r w:rsidR="00232E82" w:rsidRPr="000214AD">
        <w:rPr>
          <w:color w:val="auto"/>
        </w:rPr>
        <w:t>will</w:t>
      </w:r>
      <w:r w:rsidR="00EE6C72" w:rsidRPr="000214AD">
        <w:rPr>
          <w:color w:val="auto"/>
        </w:rPr>
        <w:t xml:space="preserve"> focus on </w:t>
      </w:r>
      <w:r w:rsidR="00C2313A" w:rsidRPr="000214AD">
        <w:rPr>
          <w:color w:val="auto"/>
        </w:rPr>
        <w:t>finalising</w:t>
      </w:r>
      <w:r w:rsidR="00EE6C72" w:rsidRPr="000214AD">
        <w:rPr>
          <w:color w:val="auto"/>
        </w:rPr>
        <w:t xml:space="preserve"> the </w:t>
      </w:r>
      <w:r w:rsidR="003D6D10" w:rsidRPr="000214AD">
        <w:rPr>
          <w:color w:val="auto"/>
        </w:rPr>
        <w:t xml:space="preserve">refreshed </w:t>
      </w:r>
      <w:r w:rsidR="00EE6C72" w:rsidRPr="000214AD">
        <w:rPr>
          <w:color w:val="auto"/>
        </w:rPr>
        <w:t>Health Plan</w:t>
      </w:r>
      <w:r w:rsidR="003A28BF" w:rsidRPr="000214AD">
        <w:rPr>
          <w:color w:val="auto"/>
        </w:rPr>
        <w:t>.</w:t>
      </w:r>
    </w:p>
    <w:p w14:paraId="66209EE3" w14:textId="77777777" w:rsidR="00863900" w:rsidRPr="009462A3" w:rsidRDefault="008C495A" w:rsidP="009462A3">
      <w:r w:rsidRPr="000214AD">
        <w:rPr>
          <w:color w:val="auto"/>
        </w:rPr>
        <w:t xml:space="preserve">For further information, please contact the </w:t>
      </w:r>
      <w:hyperlink r:id="rId11" w:history="1">
        <w:r w:rsidRPr="009462A3">
          <w:rPr>
            <w:rStyle w:val="Hyperlink"/>
          </w:rPr>
          <w:t>IPAG.Secretariat@health.gov.au</w:t>
        </w:r>
      </w:hyperlink>
    </w:p>
    <w:sectPr w:rsidR="00863900" w:rsidRPr="009462A3" w:rsidSect="002B29C4">
      <w:footerReference w:type="even" r:id="rId12"/>
      <w:footerReference w:type="default" r:id="rId13"/>
      <w:endnotePr>
        <w:numFmt w:val="decimal"/>
      </w:endnotePr>
      <w:pgSz w:w="11906" w:h="16838" w:code="9"/>
      <w:pgMar w:top="851" w:right="991" w:bottom="1440" w:left="1080" w:header="851" w:footer="720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0A82" w16cex:dateUtc="2021-03-31T05:19:00Z"/>
  <w16cex:commentExtensible w16cex:durableId="240F0B09" w16cex:dateUtc="2021-03-31T05:21:00Z"/>
  <w16cex:commentExtensible w16cex:durableId="240F0B94" w16cex:dateUtc="2021-03-31T05:24:00Z"/>
  <w16cex:commentExtensible w16cex:durableId="240F0CA4" w16cex:dateUtc="2021-03-31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38D74B" w16cid:durableId="240F0A82"/>
  <w16cid:commentId w16cid:paraId="3480E7BD" w16cid:durableId="240F0B09"/>
  <w16cid:commentId w16cid:paraId="5AF6E6D8" w16cid:durableId="240F0B94"/>
  <w16cid:commentId w16cid:paraId="1A70BAD4" w16cid:durableId="240F0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D190" w14:textId="77777777" w:rsidR="006552DC" w:rsidRDefault="006552DC">
      <w:r>
        <w:separator/>
      </w:r>
    </w:p>
  </w:endnote>
  <w:endnote w:type="continuationSeparator" w:id="0">
    <w:p w14:paraId="68B47A97" w14:textId="77777777" w:rsidR="006552DC" w:rsidRDefault="0065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1542" w14:textId="77777777" w:rsidR="009A39E5" w:rsidRDefault="00731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39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A45FA4" w14:textId="77777777" w:rsidR="009A39E5" w:rsidRDefault="009A39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D8C5" w14:textId="012A8F5A" w:rsidR="009A39E5" w:rsidRPr="0055533E" w:rsidRDefault="00731742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</w:rPr>
    </w:pPr>
    <w:r w:rsidRPr="0055533E">
      <w:rPr>
        <w:rStyle w:val="PageNumber"/>
        <w:rFonts w:asciiTheme="minorHAnsi" w:hAnsiTheme="minorHAnsi" w:cstheme="minorHAnsi"/>
      </w:rPr>
      <w:fldChar w:fldCharType="begin"/>
    </w:r>
    <w:r w:rsidR="009A39E5" w:rsidRPr="0055533E">
      <w:rPr>
        <w:rStyle w:val="PageNumber"/>
        <w:rFonts w:asciiTheme="minorHAnsi" w:hAnsiTheme="minorHAnsi" w:cstheme="minorHAnsi"/>
      </w:rPr>
      <w:instrText xml:space="preserve">PAGE  </w:instrText>
    </w:r>
    <w:r w:rsidRPr="0055533E">
      <w:rPr>
        <w:rStyle w:val="PageNumber"/>
        <w:rFonts w:asciiTheme="minorHAnsi" w:hAnsiTheme="minorHAnsi" w:cstheme="minorHAnsi"/>
      </w:rPr>
      <w:fldChar w:fldCharType="separate"/>
    </w:r>
    <w:r w:rsidR="00522DA3">
      <w:rPr>
        <w:rStyle w:val="PageNumber"/>
        <w:rFonts w:asciiTheme="minorHAnsi" w:hAnsiTheme="minorHAnsi" w:cstheme="minorHAnsi"/>
        <w:noProof/>
      </w:rPr>
      <w:t>4</w:t>
    </w:r>
    <w:r w:rsidRPr="0055533E">
      <w:rPr>
        <w:rStyle w:val="PageNumber"/>
        <w:rFonts w:asciiTheme="minorHAnsi" w:hAnsiTheme="minorHAnsi" w:cstheme="minorHAnsi"/>
      </w:rPr>
      <w:fldChar w:fldCharType="end"/>
    </w:r>
  </w:p>
  <w:p w14:paraId="6600CFE9" w14:textId="77777777" w:rsidR="009A39E5" w:rsidRPr="0055533E" w:rsidRDefault="00C2313A" w:rsidP="00AB0DCA">
    <w:pPr>
      <w:pStyle w:val="Footer"/>
      <w:pBdr>
        <w:top w:val="single" w:sz="4" w:space="1" w:color="auto"/>
      </w:pBdr>
      <w:ind w:right="36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i/>
      </w:rPr>
      <w:t>16</w:t>
    </w:r>
    <w:r w:rsidR="004B1B59" w:rsidRPr="004B1B59">
      <w:rPr>
        <w:rFonts w:asciiTheme="minorHAnsi" w:hAnsiTheme="minorHAnsi" w:cstheme="minorHAnsi"/>
        <w:i/>
        <w:vertAlign w:val="superscript"/>
      </w:rPr>
      <w:t>th</w:t>
    </w:r>
    <w:r w:rsidR="004B1B59">
      <w:rPr>
        <w:rFonts w:asciiTheme="minorHAnsi" w:hAnsiTheme="minorHAnsi" w:cstheme="minorHAnsi"/>
        <w:i/>
        <w:vertAlign w:val="superscript"/>
      </w:rPr>
      <w:t xml:space="preserve"> </w:t>
    </w:r>
    <w:r w:rsidR="00A14604" w:rsidRPr="0055533E">
      <w:rPr>
        <w:rFonts w:asciiTheme="minorHAnsi" w:hAnsiTheme="minorHAnsi" w:cstheme="minorHAnsi"/>
        <w:i/>
      </w:rPr>
      <w:t>IPAG</w:t>
    </w:r>
    <w:r w:rsidR="00BC7CDE" w:rsidRPr="0055533E">
      <w:rPr>
        <w:rFonts w:asciiTheme="minorHAnsi" w:hAnsiTheme="minorHAnsi" w:cstheme="minorHAnsi"/>
        <w:i/>
      </w:rPr>
      <w:t xml:space="preserve"> </w:t>
    </w:r>
    <w:r w:rsidR="00A735FB" w:rsidRPr="0055533E">
      <w:rPr>
        <w:rFonts w:asciiTheme="minorHAnsi" w:hAnsiTheme="minorHAnsi" w:cstheme="minorHAnsi"/>
        <w:i/>
      </w:rPr>
      <w:t>meeting</w:t>
    </w:r>
    <w:r w:rsidR="00DA010C" w:rsidRPr="0055533E">
      <w:rPr>
        <w:rFonts w:asciiTheme="minorHAnsi" w:hAnsiTheme="minorHAnsi" w:cstheme="minorHAnsi"/>
        <w:i/>
      </w:rPr>
      <w:t xml:space="preserve"> </w:t>
    </w:r>
    <w:r w:rsidR="00FF565C" w:rsidRPr="0055533E">
      <w:rPr>
        <w:rFonts w:asciiTheme="minorHAnsi" w:hAnsiTheme="minorHAnsi" w:cstheme="minorHAnsi"/>
        <w:i/>
      </w:rPr>
      <w:t>–</w:t>
    </w:r>
    <w:r w:rsidR="00AB0DCA" w:rsidRPr="0055533E">
      <w:rPr>
        <w:rFonts w:asciiTheme="minorHAnsi" w:hAnsiTheme="minorHAnsi" w:cstheme="minorHAnsi"/>
        <w:i/>
      </w:rPr>
      <w:t xml:space="preserve"> Communique</w:t>
    </w:r>
    <w:r w:rsidR="00FF565C" w:rsidRPr="0055533E">
      <w:rPr>
        <w:rFonts w:asciiTheme="minorHAnsi" w:hAnsiTheme="minorHAnsi" w:cstheme="minorHAnsi"/>
        <w:i/>
      </w:rPr>
      <w:t xml:space="preserve"> </w:t>
    </w:r>
    <w:r>
      <w:rPr>
        <w:rFonts w:asciiTheme="minorHAnsi" w:hAnsiTheme="minorHAnsi" w:cstheme="minorHAnsi"/>
        <w:i/>
      </w:rPr>
      <w:t>11 March</w:t>
    </w:r>
    <w:r w:rsidR="00E079F0">
      <w:rPr>
        <w:rFonts w:asciiTheme="minorHAnsi" w:hAnsiTheme="minorHAnsi" w:cstheme="minorHAnsi"/>
        <w:i/>
      </w:rPr>
      <w:t xml:space="preserve"> 202</w:t>
    </w:r>
    <w:r>
      <w:rPr>
        <w:rFonts w:asciiTheme="minorHAnsi" w:hAnsiTheme="minorHAnsi" w:cstheme="minorHAnsi"/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48A50" w14:textId="77777777" w:rsidR="006552DC" w:rsidRDefault="006552DC">
      <w:r>
        <w:separator/>
      </w:r>
    </w:p>
  </w:footnote>
  <w:footnote w:type="continuationSeparator" w:id="0">
    <w:p w14:paraId="1C5F243B" w14:textId="77777777" w:rsidR="006552DC" w:rsidRDefault="0065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FEA"/>
    <w:multiLevelType w:val="hybridMultilevel"/>
    <w:tmpl w:val="B3487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1526"/>
    <w:multiLevelType w:val="hybridMultilevel"/>
    <w:tmpl w:val="A06836E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06"/>
    <w:multiLevelType w:val="hybridMultilevel"/>
    <w:tmpl w:val="45509068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7898"/>
    <w:multiLevelType w:val="hybridMultilevel"/>
    <w:tmpl w:val="4134E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50FD"/>
    <w:multiLevelType w:val="hybridMultilevel"/>
    <w:tmpl w:val="83FCCCB0"/>
    <w:lvl w:ilvl="0" w:tplc="98DA49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CF8287E"/>
    <w:multiLevelType w:val="hybridMultilevel"/>
    <w:tmpl w:val="2514F326"/>
    <w:lvl w:ilvl="0" w:tplc="B6B61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A6422"/>
    <w:multiLevelType w:val="hybridMultilevel"/>
    <w:tmpl w:val="67F6A740"/>
    <w:lvl w:ilvl="0" w:tplc="18E45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04"/>
    <w:rsid w:val="0000034D"/>
    <w:rsid w:val="0000537D"/>
    <w:rsid w:val="000100EF"/>
    <w:rsid w:val="000214AD"/>
    <w:rsid w:val="00030E81"/>
    <w:rsid w:val="00037530"/>
    <w:rsid w:val="000403CC"/>
    <w:rsid w:val="00041242"/>
    <w:rsid w:val="000412F0"/>
    <w:rsid w:val="000421A5"/>
    <w:rsid w:val="0004267B"/>
    <w:rsid w:val="00043086"/>
    <w:rsid w:val="00053013"/>
    <w:rsid w:val="00053DC9"/>
    <w:rsid w:val="00053DDD"/>
    <w:rsid w:val="00055CB6"/>
    <w:rsid w:val="00064EA4"/>
    <w:rsid w:val="00067A70"/>
    <w:rsid w:val="00067F02"/>
    <w:rsid w:val="00074E6C"/>
    <w:rsid w:val="00083583"/>
    <w:rsid w:val="00084405"/>
    <w:rsid w:val="000867BA"/>
    <w:rsid w:val="00090584"/>
    <w:rsid w:val="000A3009"/>
    <w:rsid w:val="000A72A5"/>
    <w:rsid w:val="000B1EFF"/>
    <w:rsid w:val="000B2822"/>
    <w:rsid w:val="000B3C5B"/>
    <w:rsid w:val="000B63D6"/>
    <w:rsid w:val="000B6687"/>
    <w:rsid w:val="000C0C12"/>
    <w:rsid w:val="000C3C5B"/>
    <w:rsid w:val="000C4248"/>
    <w:rsid w:val="000D5315"/>
    <w:rsid w:val="000E2012"/>
    <w:rsid w:val="000E7506"/>
    <w:rsid w:val="000F106E"/>
    <w:rsid w:val="000F2E4B"/>
    <w:rsid w:val="000F437C"/>
    <w:rsid w:val="00107687"/>
    <w:rsid w:val="00117E88"/>
    <w:rsid w:val="001257B4"/>
    <w:rsid w:val="00126765"/>
    <w:rsid w:val="00141C44"/>
    <w:rsid w:val="00144E63"/>
    <w:rsid w:val="00145C65"/>
    <w:rsid w:val="00147658"/>
    <w:rsid w:val="00151B2F"/>
    <w:rsid w:val="00151E20"/>
    <w:rsid w:val="00155AFC"/>
    <w:rsid w:val="001624AB"/>
    <w:rsid w:val="00162B3D"/>
    <w:rsid w:val="00170F42"/>
    <w:rsid w:val="00172DA2"/>
    <w:rsid w:val="001803E0"/>
    <w:rsid w:val="00182B43"/>
    <w:rsid w:val="001876F8"/>
    <w:rsid w:val="00192BBB"/>
    <w:rsid w:val="00192F62"/>
    <w:rsid w:val="001955E7"/>
    <w:rsid w:val="00195A45"/>
    <w:rsid w:val="00195EA7"/>
    <w:rsid w:val="001A2635"/>
    <w:rsid w:val="001A2E64"/>
    <w:rsid w:val="001A54EC"/>
    <w:rsid w:val="001A577A"/>
    <w:rsid w:val="001A6B2D"/>
    <w:rsid w:val="001B30A9"/>
    <w:rsid w:val="001B51AD"/>
    <w:rsid w:val="001C013F"/>
    <w:rsid w:val="001C08CF"/>
    <w:rsid w:val="001C34E8"/>
    <w:rsid w:val="001C3F06"/>
    <w:rsid w:val="001C6B71"/>
    <w:rsid w:val="001E1D7C"/>
    <w:rsid w:val="001E6136"/>
    <w:rsid w:val="001E6196"/>
    <w:rsid w:val="001E63F9"/>
    <w:rsid w:val="001E6E11"/>
    <w:rsid w:val="001F62B0"/>
    <w:rsid w:val="002004B2"/>
    <w:rsid w:val="00200B75"/>
    <w:rsid w:val="002032F4"/>
    <w:rsid w:val="0020513B"/>
    <w:rsid w:val="00207191"/>
    <w:rsid w:val="002104CA"/>
    <w:rsid w:val="00210936"/>
    <w:rsid w:val="00210C4E"/>
    <w:rsid w:val="00210F9E"/>
    <w:rsid w:val="002123D8"/>
    <w:rsid w:val="002172B6"/>
    <w:rsid w:val="00217DBC"/>
    <w:rsid w:val="00222F7A"/>
    <w:rsid w:val="00223124"/>
    <w:rsid w:val="00223F22"/>
    <w:rsid w:val="00223FFF"/>
    <w:rsid w:val="00224A5E"/>
    <w:rsid w:val="00230F90"/>
    <w:rsid w:val="00232E82"/>
    <w:rsid w:val="00241409"/>
    <w:rsid w:val="00242D92"/>
    <w:rsid w:val="00245A83"/>
    <w:rsid w:val="00246738"/>
    <w:rsid w:val="002467FB"/>
    <w:rsid w:val="002468A8"/>
    <w:rsid w:val="00253D55"/>
    <w:rsid w:val="002545BA"/>
    <w:rsid w:val="00256AFD"/>
    <w:rsid w:val="002619B4"/>
    <w:rsid w:val="00271A9A"/>
    <w:rsid w:val="0027217C"/>
    <w:rsid w:val="00283BC3"/>
    <w:rsid w:val="00286CB5"/>
    <w:rsid w:val="00290259"/>
    <w:rsid w:val="00290703"/>
    <w:rsid w:val="002910BF"/>
    <w:rsid w:val="00291A93"/>
    <w:rsid w:val="00293FF1"/>
    <w:rsid w:val="002943C3"/>
    <w:rsid w:val="0029580D"/>
    <w:rsid w:val="00297092"/>
    <w:rsid w:val="00297318"/>
    <w:rsid w:val="00297BB4"/>
    <w:rsid w:val="002A2869"/>
    <w:rsid w:val="002A57D0"/>
    <w:rsid w:val="002A73DA"/>
    <w:rsid w:val="002B27EB"/>
    <w:rsid w:val="002B29C4"/>
    <w:rsid w:val="002B309F"/>
    <w:rsid w:val="002C3402"/>
    <w:rsid w:val="002C4DCB"/>
    <w:rsid w:val="002C6278"/>
    <w:rsid w:val="002C68D3"/>
    <w:rsid w:val="002D24C4"/>
    <w:rsid w:val="002D366B"/>
    <w:rsid w:val="002D4925"/>
    <w:rsid w:val="002D4A40"/>
    <w:rsid w:val="002D56B5"/>
    <w:rsid w:val="002D6860"/>
    <w:rsid w:val="002F0933"/>
    <w:rsid w:val="002F2191"/>
    <w:rsid w:val="002F335F"/>
    <w:rsid w:val="002F7D9E"/>
    <w:rsid w:val="003033BD"/>
    <w:rsid w:val="00303B60"/>
    <w:rsid w:val="00305DC1"/>
    <w:rsid w:val="00314083"/>
    <w:rsid w:val="00316326"/>
    <w:rsid w:val="0031652E"/>
    <w:rsid w:val="00320F5F"/>
    <w:rsid w:val="00321388"/>
    <w:rsid w:val="00321856"/>
    <w:rsid w:val="003218F2"/>
    <w:rsid w:val="003233E8"/>
    <w:rsid w:val="0032493C"/>
    <w:rsid w:val="0033076F"/>
    <w:rsid w:val="00330DF0"/>
    <w:rsid w:val="0033596A"/>
    <w:rsid w:val="00351B5D"/>
    <w:rsid w:val="00351D78"/>
    <w:rsid w:val="00352763"/>
    <w:rsid w:val="00355522"/>
    <w:rsid w:val="00363C62"/>
    <w:rsid w:val="00364DDC"/>
    <w:rsid w:val="0036792C"/>
    <w:rsid w:val="00367DE4"/>
    <w:rsid w:val="00367E54"/>
    <w:rsid w:val="00371A75"/>
    <w:rsid w:val="003722FE"/>
    <w:rsid w:val="003723D7"/>
    <w:rsid w:val="003808E0"/>
    <w:rsid w:val="0038188C"/>
    <w:rsid w:val="003861AD"/>
    <w:rsid w:val="0038656F"/>
    <w:rsid w:val="00390B51"/>
    <w:rsid w:val="00392254"/>
    <w:rsid w:val="00394EAA"/>
    <w:rsid w:val="003A1DE3"/>
    <w:rsid w:val="003A28BF"/>
    <w:rsid w:val="003A7B2F"/>
    <w:rsid w:val="003B3A99"/>
    <w:rsid w:val="003B4705"/>
    <w:rsid w:val="003B4767"/>
    <w:rsid w:val="003B58F0"/>
    <w:rsid w:val="003B7158"/>
    <w:rsid w:val="003C1328"/>
    <w:rsid w:val="003C4FE2"/>
    <w:rsid w:val="003C71E4"/>
    <w:rsid w:val="003D19FD"/>
    <w:rsid w:val="003D6D10"/>
    <w:rsid w:val="003E040F"/>
    <w:rsid w:val="003E2892"/>
    <w:rsid w:val="003E48AB"/>
    <w:rsid w:val="003E4A57"/>
    <w:rsid w:val="003F2207"/>
    <w:rsid w:val="003F4BB1"/>
    <w:rsid w:val="00400FA0"/>
    <w:rsid w:val="00401916"/>
    <w:rsid w:val="00404B8B"/>
    <w:rsid w:val="00406A79"/>
    <w:rsid w:val="00410529"/>
    <w:rsid w:val="00410A4B"/>
    <w:rsid w:val="00411A47"/>
    <w:rsid w:val="0041472B"/>
    <w:rsid w:val="00416B0A"/>
    <w:rsid w:val="0042375A"/>
    <w:rsid w:val="004255B0"/>
    <w:rsid w:val="004306E4"/>
    <w:rsid w:val="00432D93"/>
    <w:rsid w:val="00433C77"/>
    <w:rsid w:val="00433F48"/>
    <w:rsid w:val="0044164B"/>
    <w:rsid w:val="00441775"/>
    <w:rsid w:val="00444AEF"/>
    <w:rsid w:val="00444CD2"/>
    <w:rsid w:val="00446BF2"/>
    <w:rsid w:val="004475C4"/>
    <w:rsid w:val="004523A1"/>
    <w:rsid w:val="00453C8D"/>
    <w:rsid w:val="00454B9C"/>
    <w:rsid w:val="004552C7"/>
    <w:rsid w:val="00463897"/>
    <w:rsid w:val="00466E19"/>
    <w:rsid w:val="0047447B"/>
    <w:rsid w:val="00475775"/>
    <w:rsid w:val="0048369F"/>
    <w:rsid w:val="00483C6E"/>
    <w:rsid w:val="00485E4F"/>
    <w:rsid w:val="004901E9"/>
    <w:rsid w:val="00490602"/>
    <w:rsid w:val="00494ECF"/>
    <w:rsid w:val="004956A2"/>
    <w:rsid w:val="00497B6B"/>
    <w:rsid w:val="004A0687"/>
    <w:rsid w:val="004A3276"/>
    <w:rsid w:val="004A3D46"/>
    <w:rsid w:val="004A7A4D"/>
    <w:rsid w:val="004B0269"/>
    <w:rsid w:val="004B1B59"/>
    <w:rsid w:val="004B6C1D"/>
    <w:rsid w:val="004B76DB"/>
    <w:rsid w:val="004C3CA1"/>
    <w:rsid w:val="004C69C3"/>
    <w:rsid w:val="004D2C87"/>
    <w:rsid w:val="004D44C1"/>
    <w:rsid w:val="004D6A08"/>
    <w:rsid w:val="004E4593"/>
    <w:rsid w:val="004E61A0"/>
    <w:rsid w:val="004E7777"/>
    <w:rsid w:val="004F79D3"/>
    <w:rsid w:val="00503E41"/>
    <w:rsid w:val="00507535"/>
    <w:rsid w:val="00510117"/>
    <w:rsid w:val="00513E52"/>
    <w:rsid w:val="00517045"/>
    <w:rsid w:val="005210E8"/>
    <w:rsid w:val="00522DA3"/>
    <w:rsid w:val="00522F7E"/>
    <w:rsid w:val="0052327F"/>
    <w:rsid w:val="00525462"/>
    <w:rsid w:val="00530A75"/>
    <w:rsid w:val="00531F3D"/>
    <w:rsid w:val="005332B5"/>
    <w:rsid w:val="005350B3"/>
    <w:rsid w:val="0054035B"/>
    <w:rsid w:val="00547C09"/>
    <w:rsid w:val="005501D5"/>
    <w:rsid w:val="0055533E"/>
    <w:rsid w:val="00560B25"/>
    <w:rsid w:val="00560F32"/>
    <w:rsid w:val="005631DE"/>
    <w:rsid w:val="00564837"/>
    <w:rsid w:val="005655CA"/>
    <w:rsid w:val="005701C5"/>
    <w:rsid w:val="00571627"/>
    <w:rsid w:val="00572E91"/>
    <w:rsid w:val="0057593E"/>
    <w:rsid w:val="00577711"/>
    <w:rsid w:val="0058165E"/>
    <w:rsid w:val="00583AD8"/>
    <w:rsid w:val="00586788"/>
    <w:rsid w:val="005921AB"/>
    <w:rsid w:val="00593828"/>
    <w:rsid w:val="00593D17"/>
    <w:rsid w:val="0059490D"/>
    <w:rsid w:val="005956C9"/>
    <w:rsid w:val="00595926"/>
    <w:rsid w:val="00597710"/>
    <w:rsid w:val="005A6664"/>
    <w:rsid w:val="005A6CAE"/>
    <w:rsid w:val="005B0314"/>
    <w:rsid w:val="005D17B6"/>
    <w:rsid w:val="005D2EB5"/>
    <w:rsid w:val="005D77EB"/>
    <w:rsid w:val="005E0742"/>
    <w:rsid w:val="005E0EA6"/>
    <w:rsid w:val="005E123C"/>
    <w:rsid w:val="005E21A7"/>
    <w:rsid w:val="005E41D6"/>
    <w:rsid w:val="005F2337"/>
    <w:rsid w:val="005F3211"/>
    <w:rsid w:val="005F46E3"/>
    <w:rsid w:val="006004EF"/>
    <w:rsid w:val="006017B8"/>
    <w:rsid w:val="00607DBA"/>
    <w:rsid w:val="00611C34"/>
    <w:rsid w:val="0061349A"/>
    <w:rsid w:val="00613A60"/>
    <w:rsid w:val="0062146B"/>
    <w:rsid w:val="0062561B"/>
    <w:rsid w:val="00630E1D"/>
    <w:rsid w:val="00636F60"/>
    <w:rsid w:val="00637496"/>
    <w:rsid w:val="00637D08"/>
    <w:rsid w:val="006409C7"/>
    <w:rsid w:val="00640DC9"/>
    <w:rsid w:val="0064210E"/>
    <w:rsid w:val="006434D1"/>
    <w:rsid w:val="00643B34"/>
    <w:rsid w:val="00643E91"/>
    <w:rsid w:val="00651232"/>
    <w:rsid w:val="00652B86"/>
    <w:rsid w:val="006552DC"/>
    <w:rsid w:val="00655B91"/>
    <w:rsid w:val="00660FD9"/>
    <w:rsid w:val="006666BA"/>
    <w:rsid w:val="006717F6"/>
    <w:rsid w:val="00675B61"/>
    <w:rsid w:val="00681B7B"/>
    <w:rsid w:val="00684DCB"/>
    <w:rsid w:val="00685B75"/>
    <w:rsid w:val="006919A2"/>
    <w:rsid w:val="006966E0"/>
    <w:rsid w:val="00697562"/>
    <w:rsid w:val="006A53CA"/>
    <w:rsid w:val="006A7B85"/>
    <w:rsid w:val="006B105A"/>
    <w:rsid w:val="006C034D"/>
    <w:rsid w:val="006C74BF"/>
    <w:rsid w:val="006D7219"/>
    <w:rsid w:val="006E2BCF"/>
    <w:rsid w:val="006E4279"/>
    <w:rsid w:val="006E4AC6"/>
    <w:rsid w:val="006E6516"/>
    <w:rsid w:val="006E6694"/>
    <w:rsid w:val="006F3439"/>
    <w:rsid w:val="006F3E72"/>
    <w:rsid w:val="007004DC"/>
    <w:rsid w:val="00701D81"/>
    <w:rsid w:val="007045FA"/>
    <w:rsid w:val="00707625"/>
    <w:rsid w:val="00710044"/>
    <w:rsid w:val="0071040E"/>
    <w:rsid w:val="00716114"/>
    <w:rsid w:val="00717597"/>
    <w:rsid w:val="007235DD"/>
    <w:rsid w:val="00726CF8"/>
    <w:rsid w:val="00730CFA"/>
    <w:rsid w:val="00731742"/>
    <w:rsid w:val="00734EF6"/>
    <w:rsid w:val="00735A08"/>
    <w:rsid w:val="00735F09"/>
    <w:rsid w:val="00737E42"/>
    <w:rsid w:val="007430C5"/>
    <w:rsid w:val="00743D97"/>
    <w:rsid w:val="00744506"/>
    <w:rsid w:val="007464E5"/>
    <w:rsid w:val="0075246D"/>
    <w:rsid w:val="007604D3"/>
    <w:rsid w:val="0076077D"/>
    <w:rsid w:val="00760DBA"/>
    <w:rsid w:val="0076231B"/>
    <w:rsid w:val="0076241E"/>
    <w:rsid w:val="00763E85"/>
    <w:rsid w:val="00772B50"/>
    <w:rsid w:val="00774DD0"/>
    <w:rsid w:val="00775CF5"/>
    <w:rsid w:val="00775F2B"/>
    <w:rsid w:val="007769DA"/>
    <w:rsid w:val="007779FB"/>
    <w:rsid w:val="00780026"/>
    <w:rsid w:val="00780689"/>
    <w:rsid w:val="00782F58"/>
    <w:rsid w:val="00783569"/>
    <w:rsid w:val="00783FB9"/>
    <w:rsid w:val="00785E87"/>
    <w:rsid w:val="0079055E"/>
    <w:rsid w:val="00790C51"/>
    <w:rsid w:val="00791339"/>
    <w:rsid w:val="00794646"/>
    <w:rsid w:val="007B09AF"/>
    <w:rsid w:val="007B0BA4"/>
    <w:rsid w:val="007B16B0"/>
    <w:rsid w:val="007B19F0"/>
    <w:rsid w:val="007B2C2E"/>
    <w:rsid w:val="007B2D46"/>
    <w:rsid w:val="007B374E"/>
    <w:rsid w:val="007B43B2"/>
    <w:rsid w:val="007B4927"/>
    <w:rsid w:val="007B5C37"/>
    <w:rsid w:val="007C5328"/>
    <w:rsid w:val="007C752B"/>
    <w:rsid w:val="007D0FE4"/>
    <w:rsid w:val="007D41A8"/>
    <w:rsid w:val="007D543A"/>
    <w:rsid w:val="007D5E10"/>
    <w:rsid w:val="007D6119"/>
    <w:rsid w:val="007E47B0"/>
    <w:rsid w:val="007E5262"/>
    <w:rsid w:val="007E7F73"/>
    <w:rsid w:val="007F44D3"/>
    <w:rsid w:val="007F45CD"/>
    <w:rsid w:val="007F5678"/>
    <w:rsid w:val="007F7726"/>
    <w:rsid w:val="008008CD"/>
    <w:rsid w:val="00801365"/>
    <w:rsid w:val="00804BBD"/>
    <w:rsid w:val="00806B11"/>
    <w:rsid w:val="00806E5D"/>
    <w:rsid w:val="008075EB"/>
    <w:rsid w:val="00810BCA"/>
    <w:rsid w:val="0081101E"/>
    <w:rsid w:val="0081283D"/>
    <w:rsid w:val="008144E9"/>
    <w:rsid w:val="00815AA5"/>
    <w:rsid w:val="00817205"/>
    <w:rsid w:val="0082015B"/>
    <w:rsid w:val="00822C67"/>
    <w:rsid w:val="00824979"/>
    <w:rsid w:val="00825A7C"/>
    <w:rsid w:val="0083089D"/>
    <w:rsid w:val="00831A17"/>
    <w:rsid w:val="00833D7D"/>
    <w:rsid w:val="00837788"/>
    <w:rsid w:val="008409FB"/>
    <w:rsid w:val="0085077B"/>
    <w:rsid w:val="00850E07"/>
    <w:rsid w:val="00857546"/>
    <w:rsid w:val="00860CCF"/>
    <w:rsid w:val="00863900"/>
    <w:rsid w:val="00863DDD"/>
    <w:rsid w:val="00866331"/>
    <w:rsid w:val="00867760"/>
    <w:rsid w:val="00867A30"/>
    <w:rsid w:val="00867F0E"/>
    <w:rsid w:val="00881521"/>
    <w:rsid w:val="008838FF"/>
    <w:rsid w:val="00891002"/>
    <w:rsid w:val="00891EDB"/>
    <w:rsid w:val="0089666D"/>
    <w:rsid w:val="008A3185"/>
    <w:rsid w:val="008A44F6"/>
    <w:rsid w:val="008A760E"/>
    <w:rsid w:val="008B16D2"/>
    <w:rsid w:val="008B44ED"/>
    <w:rsid w:val="008C0334"/>
    <w:rsid w:val="008C2B08"/>
    <w:rsid w:val="008C3C0D"/>
    <w:rsid w:val="008C495A"/>
    <w:rsid w:val="008C5796"/>
    <w:rsid w:val="008C6793"/>
    <w:rsid w:val="008C768D"/>
    <w:rsid w:val="008D5E1D"/>
    <w:rsid w:val="008D67C4"/>
    <w:rsid w:val="008D7BED"/>
    <w:rsid w:val="008D7EB0"/>
    <w:rsid w:val="008E1041"/>
    <w:rsid w:val="008E2471"/>
    <w:rsid w:val="008E5673"/>
    <w:rsid w:val="008F3027"/>
    <w:rsid w:val="008F549B"/>
    <w:rsid w:val="008F5F2B"/>
    <w:rsid w:val="008F6BB0"/>
    <w:rsid w:val="008F7A5D"/>
    <w:rsid w:val="00900136"/>
    <w:rsid w:val="00907C12"/>
    <w:rsid w:val="00910EA4"/>
    <w:rsid w:val="00910EED"/>
    <w:rsid w:val="0091443E"/>
    <w:rsid w:val="00921810"/>
    <w:rsid w:val="00927D87"/>
    <w:rsid w:val="00931A49"/>
    <w:rsid w:val="00936713"/>
    <w:rsid w:val="00936C25"/>
    <w:rsid w:val="00937359"/>
    <w:rsid w:val="0094203B"/>
    <w:rsid w:val="00942467"/>
    <w:rsid w:val="00944990"/>
    <w:rsid w:val="009462A3"/>
    <w:rsid w:val="00946D09"/>
    <w:rsid w:val="00950B81"/>
    <w:rsid w:val="0095449E"/>
    <w:rsid w:val="00961B5A"/>
    <w:rsid w:val="0096412A"/>
    <w:rsid w:val="00965BF0"/>
    <w:rsid w:val="00967A2E"/>
    <w:rsid w:val="0098110D"/>
    <w:rsid w:val="009815DF"/>
    <w:rsid w:val="009849CE"/>
    <w:rsid w:val="00984E15"/>
    <w:rsid w:val="00986E98"/>
    <w:rsid w:val="009901CF"/>
    <w:rsid w:val="00991EA1"/>
    <w:rsid w:val="00993A3D"/>
    <w:rsid w:val="00994590"/>
    <w:rsid w:val="00994926"/>
    <w:rsid w:val="00996FB3"/>
    <w:rsid w:val="00997BB5"/>
    <w:rsid w:val="009A39E5"/>
    <w:rsid w:val="009A4539"/>
    <w:rsid w:val="009B7565"/>
    <w:rsid w:val="009C20B8"/>
    <w:rsid w:val="009C2670"/>
    <w:rsid w:val="009D6E5E"/>
    <w:rsid w:val="009E268D"/>
    <w:rsid w:val="009E36F2"/>
    <w:rsid w:val="009E3998"/>
    <w:rsid w:val="009F3112"/>
    <w:rsid w:val="009F632E"/>
    <w:rsid w:val="009F78D1"/>
    <w:rsid w:val="00A1021B"/>
    <w:rsid w:val="00A12A9C"/>
    <w:rsid w:val="00A14604"/>
    <w:rsid w:val="00A336FF"/>
    <w:rsid w:val="00A3554D"/>
    <w:rsid w:val="00A35FC9"/>
    <w:rsid w:val="00A367DC"/>
    <w:rsid w:val="00A41251"/>
    <w:rsid w:val="00A50798"/>
    <w:rsid w:val="00A50ABD"/>
    <w:rsid w:val="00A51EE3"/>
    <w:rsid w:val="00A556E0"/>
    <w:rsid w:val="00A55BCF"/>
    <w:rsid w:val="00A574B3"/>
    <w:rsid w:val="00A57940"/>
    <w:rsid w:val="00A627D8"/>
    <w:rsid w:val="00A6390F"/>
    <w:rsid w:val="00A642EC"/>
    <w:rsid w:val="00A66ED2"/>
    <w:rsid w:val="00A711DD"/>
    <w:rsid w:val="00A735FB"/>
    <w:rsid w:val="00A73B74"/>
    <w:rsid w:val="00A82515"/>
    <w:rsid w:val="00A8301A"/>
    <w:rsid w:val="00A831DC"/>
    <w:rsid w:val="00A835FD"/>
    <w:rsid w:val="00A85B7E"/>
    <w:rsid w:val="00A929A6"/>
    <w:rsid w:val="00A94BEA"/>
    <w:rsid w:val="00A96DA0"/>
    <w:rsid w:val="00AA1985"/>
    <w:rsid w:val="00AA23DB"/>
    <w:rsid w:val="00AA3DCE"/>
    <w:rsid w:val="00AB0DCA"/>
    <w:rsid w:val="00AB0F09"/>
    <w:rsid w:val="00AB799B"/>
    <w:rsid w:val="00AC35AC"/>
    <w:rsid w:val="00AC61F9"/>
    <w:rsid w:val="00AC6898"/>
    <w:rsid w:val="00AC7797"/>
    <w:rsid w:val="00AD259E"/>
    <w:rsid w:val="00AD510F"/>
    <w:rsid w:val="00AE2B92"/>
    <w:rsid w:val="00AE3828"/>
    <w:rsid w:val="00AE50CD"/>
    <w:rsid w:val="00AE689E"/>
    <w:rsid w:val="00AF2103"/>
    <w:rsid w:val="00B038D9"/>
    <w:rsid w:val="00B039F4"/>
    <w:rsid w:val="00B057C5"/>
    <w:rsid w:val="00B05C00"/>
    <w:rsid w:val="00B071D5"/>
    <w:rsid w:val="00B1013F"/>
    <w:rsid w:val="00B201A4"/>
    <w:rsid w:val="00B2356D"/>
    <w:rsid w:val="00B267B9"/>
    <w:rsid w:val="00B26D5E"/>
    <w:rsid w:val="00B274BB"/>
    <w:rsid w:val="00B312EE"/>
    <w:rsid w:val="00B320EF"/>
    <w:rsid w:val="00B3330D"/>
    <w:rsid w:val="00B4375E"/>
    <w:rsid w:val="00B500AC"/>
    <w:rsid w:val="00B56799"/>
    <w:rsid w:val="00B60413"/>
    <w:rsid w:val="00B60747"/>
    <w:rsid w:val="00B61F6A"/>
    <w:rsid w:val="00B62CD0"/>
    <w:rsid w:val="00B67A88"/>
    <w:rsid w:val="00B7224A"/>
    <w:rsid w:val="00B76497"/>
    <w:rsid w:val="00B774BC"/>
    <w:rsid w:val="00B778E2"/>
    <w:rsid w:val="00B83236"/>
    <w:rsid w:val="00B842B7"/>
    <w:rsid w:val="00B9425D"/>
    <w:rsid w:val="00B95CC3"/>
    <w:rsid w:val="00B97391"/>
    <w:rsid w:val="00BA10B2"/>
    <w:rsid w:val="00BA12DD"/>
    <w:rsid w:val="00BB0F3E"/>
    <w:rsid w:val="00BB3DD3"/>
    <w:rsid w:val="00BC1709"/>
    <w:rsid w:val="00BC42B4"/>
    <w:rsid w:val="00BC5403"/>
    <w:rsid w:val="00BC6EC1"/>
    <w:rsid w:val="00BC7A5E"/>
    <w:rsid w:val="00BC7CDE"/>
    <w:rsid w:val="00BD421B"/>
    <w:rsid w:val="00BD5DEA"/>
    <w:rsid w:val="00BD60E2"/>
    <w:rsid w:val="00BE298D"/>
    <w:rsid w:val="00BF3DC9"/>
    <w:rsid w:val="00BF4A71"/>
    <w:rsid w:val="00BF59E7"/>
    <w:rsid w:val="00BF5ECF"/>
    <w:rsid w:val="00C01071"/>
    <w:rsid w:val="00C07A44"/>
    <w:rsid w:val="00C12671"/>
    <w:rsid w:val="00C13AEA"/>
    <w:rsid w:val="00C1572C"/>
    <w:rsid w:val="00C2058D"/>
    <w:rsid w:val="00C21868"/>
    <w:rsid w:val="00C2313A"/>
    <w:rsid w:val="00C24DF8"/>
    <w:rsid w:val="00C277D5"/>
    <w:rsid w:val="00C42C5C"/>
    <w:rsid w:val="00C46248"/>
    <w:rsid w:val="00C50093"/>
    <w:rsid w:val="00C50FE3"/>
    <w:rsid w:val="00C51ACC"/>
    <w:rsid w:val="00C5406E"/>
    <w:rsid w:val="00C5533C"/>
    <w:rsid w:val="00C571DB"/>
    <w:rsid w:val="00C57A4D"/>
    <w:rsid w:val="00C60994"/>
    <w:rsid w:val="00C61D20"/>
    <w:rsid w:val="00C63209"/>
    <w:rsid w:val="00C67F3E"/>
    <w:rsid w:val="00C709B2"/>
    <w:rsid w:val="00C70EA5"/>
    <w:rsid w:val="00C72424"/>
    <w:rsid w:val="00C75F9A"/>
    <w:rsid w:val="00C761DA"/>
    <w:rsid w:val="00C83F2C"/>
    <w:rsid w:val="00C84956"/>
    <w:rsid w:val="00C96FC1"/>
    <w:rsid w:val="00CA026B"/>
    <w:rsid w:val="00CA2CA3"/>
    <w:rsid w:val="00CA42B6"/>
    <w:rsid w:val="00CA5D14"/>
    <w:rsid w:val="00CC2D92"/>
    <w:rsid w:val="00CC5618"/>
    <w:rsid w:val="00CC70CA"/>
    <w:rsid w:val="00CD093F"/>
    <w:rsid w:val="00CD3981"/>
    <w:rsid w:val="00CD4192"/>
    <w:rsid w:val="00CD5280"/>
    <w:rsid w:val="00CE28F6"/>
    <w:rsid w:val="00CE6532"/>
    <w:rsid w:val="00CF318F"/>
    <w:rsid w:val="00CF331C"/>
    <w:rsid w:val="00CF5B0E"/>
    <w:rsid w:val="00CF7C64"/>
    <w:rsid w:val="00D0013C"/>
    <w:rsid w:val="00D0094D"/>
    <w:rsid w:val="00D0166E"/>
    <w:rsid w:val="00D01D67"/>
    <w:rsid w:val="00D033E1"/>
    <w:rsid w:val="00D07A81"/>
    <w:rsid w:val="00D177BF"/>
    <w:rsid w:val="00D2082D"/>
    <w:rsid w:val="00D23841"/>
    <w:rsid w:val="00D23A8B"/>
    <w:rsid w:val="00D27526"/>
    <w:rsid w:val="00D30F6E"/>
    <w:rsid w:val="00D36AD6"/>
    <w:rsid w:val="00D37170"/>
    <w:rsid w:val="00D44D2C"/>
    <w:rsid w:val="00D44DC7"/>
    <w:rsid w:val="00D47458"/>
    <w:rsid w:val="00D474B0"/>
    <w:rsid w:val="00D508FC"/>
    <w:rsid w:val="00D545EA"/>
    <w:rsid w:val="00D60CF5"/>
    <w:rsid w:val="00D77055"/>
    <w:rsid w:val="00D772A3"/>
    <w:rsid w:val="00D779FF"/>
    <w:rsid w:val="00D8052C"/>
    <w:rsid w:val="00D81D23"/>
    <w:rsid w:val="00D84D4A"/>
    <w:rsid w:val="00D85BD9"/>
    <w:rsid w:val="00D86AE4"/>
    <w:rsid w:val="00D90C2E"/>
    <w:rsid w:val="00D9687E"/>
    <w:rsid w:val="00DA010C"/>
    <w:rsid w:val="00DA1883"/>
    <w:rsid w:val="00DA3A7D"/>
    <w:rsid w:val="00DA4C5B"/>
    <w:rsid w:val="00DB1795"/>
    <w:rsid w:val="00DB3EE9"/>
    <w:rsid w:val="00DB7DCF"/>
    <w:rsid w:val="00DC0F27"/>
    <w:rsid w:val="00DC11DA"/>
    <w:rsid w:val="00DC1AB0"/>
    <w:rsid w:val="00DC308F"/>
    <w:rsid w:val="00DC43F2"/>
    <w:rsid w:val="00DC7600"/>
    <w:rsid w:val="00DD3670"/>
    <w:rsid w:val="00DD42A7"/>
    <w:rsid w:val="00DD6BD4"/>
    <w:rsid w:val="00DE0AC3"/>
    <w:rsid w:val="00DE1417"/>
    <w:rsid w:val="00DE58BE"/>
    <w:rsid w:val="00DF08C4"/>
    <w:rsid w:val="00DF383E"/>
    <w:rsid w:val="00DF402D"/>
    <w:rsid w:val="00E03655"/>
    <w:rsid w:val="00E07443"/>
    <w:rsid w:val="00E079F0"/>
    <w:rsid w:val="00E1027A"/>
    <w:rsid w:val="00E26E02"/>
    <w:rsid w:val="00E34589"/>
    <w:rsid w:val="00E354B0"/>
    <w:rsid w:val="00E3688E"/>
    <w:rsid w:val="00E53B48"/>
    <w:rsid w:val="00E55B0C"/>
    <w:rsid w:val="00E56DC3"/>
    <w:rsid w:val="00E575E6"/>
    <w:rsid w:val="00E629A0"/>
    <w:rsid w:val="00E6319F"/>
    <w:rsid w:val="00E631CC"/>
    <w:rsid w:val="00E70A5D"/>
    <w:rsid w:val="00E71EBF"/>
    <w:rsid w:val="00E73A4E"/>
    <w:rsid w:val="00E73FCC"/>
    <w:rsid w:val="00E8233F"/>
    <w:rsid w:val="00E82D50"/>
    <w:rsid w:val="00E832C9"/>
    <w:rsid w:val="00E83C9C"/>
    <w:rsid w:val="00E83FF0"/>
    <w:rsid w:val="00E8578B"/>
    <w:rsid w:val="00E92004"/>
    <w:rsid w:val="00E928E1"/>
    <w:rsid w:val="00E9304C"/>
    <w:rsid w:val="00E9352C"/>
    <w:rsid w:val="00E96853"/>
    <w:rsid w:val="00EA2A0C"/>
    <w:rsid w:val="00EA7F2F"/>
    <w:rsid w:val="00EB0D53"/>
    <w:rsid w:val="00EB14CA"/>
    <w:rsid w:val="00EB244C"/>
    <w:rsid w:val="00EC2A7D"/>
    <w:rsid w:val="00EC5BEF"/>
    <w:rsid w:val="00EC6E7C"/>
    <w:rsid w:val="00ED15D1"/>
    <w:rsid w:val="00ED56CF"/>
    <w:rsid w:val="00EE1D72"/>
    <w:rsid w:val="00EE6C72"/>
    <w:rsid w:val="00EF3000"/>
    <w:rsid w:val="00EF3516"/>
    <w:rsid w:val="00EF3E38"/>
    <w:rsid w:val="00EF480A"/>
    <w:rsid w:val="00EF72D8"/>
    <w:rsid w:val="00EF758B"/>
    <w:rsid w:val="00EF7BA4"/>
    <w:rsid w:val="00F00D98"/>
    <w:rsid w:val="00F16F85"/>
    <w:rsid w:val="00F2469A"/>
    <w:rsid w:val="00F25294"/>
    <w:rsid w:val="00F27526"/>
    <w:rsid w:val="00F3038D"/>
    <w:rsid w:val="00F30D93"/>
    <w:rsid w:val="00F3347A"/>
    <w:rsid w:val="00F352B9"/>
    <w:rsid w:val="00F42045"/>
    <w:rsid w:val="00F46B97"/>
    <w:rsid w:val="00F47977"/>
    <w:rsid w:val="00F5250B"/>
    <w:rsid w:val="00F566E0"/>
    <w:rsid w:val="00F57EED"/>
    <w:rsid w:val="00F62CFC"/>
    <w:rsid w:val="00F632E6"/>
    <w:rsid w:val="00F64724"/>
    <w:rsid w:val="00F64E0A"/>
    <w:rsid w:val="00F656D7"/>
    <w:rsid w:val="00F65E8B"/>
    <w:rsid w:val="00F722B6"/>
    <w:rsid w:val="00F76151"/>
    <w:rsid w:val="00F77DC8"/>
    <w:rsid w:val="00F80422"/>
    <w:rsid w:val="00F80B8E"/>
    <w:rsid w:val="00F865F8"/>
    <w:rsid w:val="00F9007B"/>
    <w:rsid w:val="00FA03EE"/>
    <w:rsid w:val="00FA1224"/>
    <w:rsid w:val="00FA3F13"/>
    <w:rsid w:val="00FA5150"/>
    <w:rsid w:val="00FA7449"/>
    <w:rsid w:val="00FA7527"/>
    <w:rsid w:val="00FB17FA"/>
    <w:rsid w:val="00FB1FA5"/>
    <w:rsid w:val="00FB2EB8"/>
    <w:rsid w:val="00FB39B7"/>
    <w:rsid w:val="00FB6528"/>
    <w:rsid w:val="00FC01B6"/>
    <w:rsid w:val="00FC3FA7"/>
    <w:rsid w:val="00FC635A"/>
    <w:rsid w:val="00FD24FB"/>
    <w:rsid w:val="00FD5525"/>
    <w:rsid w:val="00FE06E4"/>
    <w:rsid w:val="00FE0DD7"/>
    <w:rsid w:val="00FE5E1D"/>
    <w:rsid w:val="00FE6959"/>
    <w:rsid w:val="00FF565C"/>
    <w:rsid w:val="00FF573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7DAE1B5"/>
  <w15:docId w15:val="{84968426-9016-469D-947D-94ACA59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2A3"/>
    <w:pPr>
      <w:spacing w:before="100" w:beforeAutospacing="1" w:after="100" w:afterAutospacing="1" w:line="240" w:lineRule="auto"/>
    </w:pPr>
    <w:rPr>
      <w:rFonts w:ascii="Segoe UI" w:hAnsi="Segoe UI" w:cs="Segoe UI"/>
      <w:color w:val="313131"/>
    </w:rPr>
  </w:style>
  <w:style w:type="paragraph" w:styleId="Heading1">
    <w:name w:val="heading 1"/>
    <w:next w:val="Normal"/>
    <w:link w:val="Heading1Char"/>
    <w:uiPriority w:val="9"/>
    <w:qFormat/>
    <w:rsid w:val="00593D17"/>
    <w:pPr>
      <w:pBdr>
        <w:bottom w:val="single" w:sz="4" w:space="1" w:color="auto"/>
      </w:pBdr>
      <w:spacing w:before="120" w:after="0" w:line="240" w:lineRule="auto"/>
      <w:jc w:val="center"/>
      <w:outlineLvl w:val="0"/>
    </w:pPr>
    <w:rPr>
      <w:rFonts w:ascii="Segoe UI" w:hAnsi="Segoe UI" w:cs="Segoe UI"/>
      <w:b/>
      <w:bCs/>
      <w:color w:val="313131"/>
      <w:kern w:val="3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93D17"/>
    <w:pPr>
      <w:pBdr>
        <w:bottom w:val="none" w:sz="0" w:space="0" w:color="auto"/>
      </w:pBdr>
      <w:shd w:val="clear" w:color="auto" w:fill="FFFFFF"/>
      <w:spacing w:after="120"/>
      <w:jc w:val="left"/>
      <w:outlineLvl w:val="1"/>
    </w:pPr>
    <w:rPr>
      <w:bCs w:val="0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72A3"/>
    <w:pPr>
      <w:shd w:val="clear" w:color="auto" w:fill="FFFFFF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2A3"/>
    <w:pPr>
      <w:shd w:val="clear" w:color="auto" w:fill="FFFFFF"/>
      <w:spacing w:after="0"/>
      <w:outlineLvl w:val="3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7317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31742"/>
  </w:style>
  <w:style w:type="paragraph" w:styleId="Title">
    <w:name w:val="Title"/>
    <w:basedOn w:val="Normal"/>
    <w:next w:val="Normal"/>
    <w:link w:val="TitleChar"/>
    <w:uiPriority w:val="10"/>
    <w:qFormat/>
    <w:rsid w:val="00D772A3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D772A3"/>
    <w:pPr>
      <w:tabs>
        <w:tab w:val="center" w:pos="4513"/>
        <w:tab w:val="right" w:pos="9026"/>
      </w:tabs>
      <w:spacing w:after="120" w:line="276" w:lineRule="auto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qFormat/>
    <w:rsid w:val="00D772A3"/>
    <w:pPr>
      <w:tabs>
        <w:tab w:val="center" w:pos="4513"/>
        <w:tab w:val="right" w:pos="9026"/>
      </w:tabs>
      <w:spacing w:after="120" w:line="276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731742"/>
  </w:style>
  <w:style w:type="character" w:customStyle="1" w:styleId="HeaderChar">
    <w:name w:val="Header Char"/>
    <w:basedOn w:val="DefaultParagraphFont"/>
    <w:link w:val="Header"/>
    <w:rsid w:val="00D772A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point,List Paragraph1,List Paragraph11,Recommendation,List Paragraph Number,Bulleted Para,NFP GP Bulleted List,bullet point list,L,Bullet points,Content descriptions,Bullet Point,List Paragraph2,Dot Point,NAST Quote,Bullets,CV text"/>
    <w:basedOn w:val="Normal"/>
    <w:link w:val="ListParagraphChar"/>
    <w:uiPriority w:val="34"/>
    <w:qFormat/>
    <w:rsid w:val="00D772A3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,List Paragraph11 Char,Recommendation Char,List Paragraph Number Char,Bulleted Para Char,NFP GP Bulleted List Char,bullet point list Char,L Char,Bullet points Char,Content descriptions Char"/>
    <w:link w:val="ListParagraph"/>
    <w:uiPriority w:val="34"/>
    <w:locked/>
    <w:rsid w:val="003D19FD"/>
    <w:rPr>
      <w:rFonts w:ascii="Segoe UI" w:hAnsi="Segoe UI" w:cs="Segoe UI"/>
      <w:color w:val="313131"/>
    </w:rPr>
  </w:style>
  <w:style w:type="character" w:styleId="Hyperlink">
    <w:name w:val="Hyperlink"/>
    <w:basedOn w:val="DefaultParagraphFont"/>
    <w:uiPriority w:val="99"/>
    <w:rsid w:val="00D772A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6959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A44F6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unhideWhenUsed/>
    <w:rsid w:val="00C70EA5"/>
    <w:rPr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1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57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572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572C"/>
    <w:rPr>
      <w:b/>
      <w:bCs/>
      <w:snapToGrid w:val="0"/>
      <w:lang w:val="en-US" w:eastAsia="en-US"/>
    </w:rPr>
  </w:style>
  <w:style w:type="paragraph" w:styleId="Revision">
    <w:name w:val="Revision"/>
    <w:hidden/>
    <w:uiPriority w:val="99"/>
    <w:semiHidden/>
    <w:rsid w:val="00CA42B6"/>
    <w:rPr>
      <w:snapToGrid w:val="0"/>
      <w:lang w:val="en-US" w:eastAsia="en-US"/>
    </w:rPr>
  </w:style>
  <w:style w:type="paragraph" w:customStyle="1" w:styleId="TableText">
    <w:name w:val="Table Text"/>
    <w:autoRedefine/>
    <w:locked/>
    <w:rsid w:val="00D772A3"/>
    <w:pPr>
      <w:spacing w:before="60" w:after="60"/>
    </w:pPr>
    <w:rPr>
      <w:rFonts w:ascii="Arial" w:hAnsi="Arial"/>
      <w:color w:val="000000" w:themeColor="text1"/>
      <w:sz w:val="22"/>
      <w:lang w:eastAsia="en-US"/>
    </w:rPr>
  </w:style>
  <w:style w:type="paragraph" w:customStyle="1" w:styleId="TableTitle">
    <w:name w:val="Table Title"/>
    <w:locked/>
    <w:rsid w:val="00D772A3"/>
    <w:pPr>
      <w:spacing w:before="120" w:after="120"/>
    </w:pPr>
    <w:rPr>
      <w:rFonts w:ascii="Arial" w:hAnsi="Arial"/>
      <w:b/>
      <w:color w:val="000000" w:themeColor="text1"/>
      <w:sz w:val="22"/>
      <w:lang w:val="en-US" w:eastAsia="en-US"/>
    </w:rPr>
  </w:style>
  <w:style w:type="paragraph" w:customStyle="1" w:styleId="TableHeaderWhite">
    <w:name w:val="Table Header White"/>
    <w:basedOn w:val="Normal"/>
    <w:next w:val="TableText"/>
    <w:rsid w:val="00D772A3"/>
    <w:pPr>
      <w:spacing w:before="80" w:after="80" w:line="276" w:lineRule="auto"/>
    </w:pPr>
    <w:rPr>
      <w:rFonts w:eastAsia="Cambria"/>
      <w:color w:val="FFFFFF" w:themeColor="background1"/>
      <w:sz w:val="22"/>
      <w:szCs w:val="22"/>
    </w:rPr>
  </w:style>
  <w:style w:type="paragraph" w:customStyle="1" w:styleId="Tablelistnumber">
    <w:name w:val="Table list number"/>
    <w:basedOn w:val="TableText"/>
    <w:rsid w:val="00D772A3"/>
    <w:pPr>
      <w:numPr>
        <w:numId w:val="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rsid w:val="00D772A3"/>
    <w:pPr>
      <w:spacing w:before="80" w:after="80" w:line="276" w:lineRule="auto"/>
    </w:pPr>
    <w:rPr>
      <w:rFonts w:eastAsia="Cambria"/>
      <w:b/>
      <w:color w:val="000000" w:themeColor="text1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72A3"/>
    <w:rPr>
      <w:rFonts w:ascii="Arial" w:hAnsi="Arial"/>
      <w:szCs w:val="24"/>
      <w:lang w:eastAsia="en-US"/>
    </w:rPr>
  </w:style>
  <w:style w:type="paragraph" w:styleId="ListBullet">
    <w:name w:val="List Bullet"/>
    <w:basedOn w:val="Normal"/>
    <w:rsid w:val="00D772A3"/>
    <w:pPr>
      <w:numPr>
        <w:numId w:val="2"/>
      </w:numPr>
      <w:spacing w:before="60" w:after="60" w:line="276" w:lineRule="auto"/>
    </w:pPr>
    <w:rPr>
      <w:color w:val="000000" w:themeColor="text1"/>
      <w:sz w:val="21"/>
    </w:rPr>
  </w:style>
  <w:style w:type="character" w:customStyle="1" w:styleId="TitleChar">
    <w:name w:val="Title Char"/>
    <w:basedOn w:val="DefaultParagraphFont"/>
    <w:link w:val="Title"/>
    <w:uiPriority w:val="10"/>
    <w:rsid w:val="00D7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next w:val="Normal"/>
    <w:link w:val="SubtitleChar"/>
    <w:uiPriority w:val="11"/>
    <w:qFormat/>
    <w:rsid w:val="00D772A3"/>
    <w:pPr>
      <w:numPr>
        <w:ilvl w:val="1"/>
      </w:numPr>
      <w:spacing w:before="100" w:beforeAutospacing="1" w:afterAutospacing="1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72A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next w:val="Normal"/>
    <w:link w:val="QuoteChar"/>
    <w:uiPriority w:val="29"/>
    <w:qFormat/>
    <w:rsid w:val="00D772A3"/>
    <w:pPr>
      <w:spacing w:before="200" w:beforeAutospacing="1" w:afterAutospacing="1" w:line="240" w:lineRule="auto"/>
      <w:ind w:left="864" w:right="864"/>
      <w:jc w:val="center"/>
    </w:pPr>
    <w:rPr>
      <w:rFonts w:ascii="Segoe UI" w:hAnsi="Segoe UI" w:cs="Segoe U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2A3"/>
    <w:rPr>
      <w:rFonts w:ascii="Segoe UI" w:hAnsi="Segoe UI" w:cs="Segoe U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2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2A3"/>
    <w:rPr>
      <w:rFonts w:ascii="Segoe UI" w:hAnsi="Segoe UI" w:cs="Segoe UI"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2A3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93D17"/>
    <w:rPr>
      <w:rFonts w:ascii="Segoe UI" w:hAnsi="Segoe UI" w:cs="Segoe UI"/>
      <w:b/>
      <w:bCs/>
      <w:color w:val="313131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3D17"/>
    <w:rPr>
      <w:rFonts w:ascii="Segoe UI" w:hAnsi="Segoe UI" w:cs="Segoe UI"/>
      <w:b/>
      <w:color w:val="313131"/>
      <w:kern w:val="36"/>
      <w:sz w:val="32"/>
      <w:szCs w:val="36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772A3"/>
    <w:rPr>
      <w:rFonts w:ascii="Segoe UI" w:hAnsi="Segoe UI" w:cs="Segoe UI"/>
      <w:b/>
      <w:bCs/>
      <w:color w:val="313131"/>
      <w:sz w:val="27"/>
      <w:szCs w:val="27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D772A3"/>
    <w:rPr>
      <w:rFonts w:ascii="Segoe UI" w:hAnsi="Segoe UI" w:cs="Segoe UI"/>
      <w:b/>
      <w:bCs/>
      <w:color w:val="313131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D772A3"/>
    <w:rPr>
      <w:b/>
      <w:bCs/>
    </w:rPr>
  </w:style>
  <w:style w:type="paragraph" w:styleId="NoSpacing">
    <w:name w:val="No Spacing"/>
    <w:uiPriority w:val="1"/>
    <w:qFormat/>
    <w:rsid w:val="00D772A3"/>
    <w:pPr>
      <w:spacing w:beforeAutospacing="1" w:after="0" w:afterAutospacing="1" w:line="240" w:lineRule="auto"/>
    </w:pPr>
    <w:rPr>
      <w:rFonts w:ascii="Segoe UI" w:eastAsia="Times New Roman" w:hAnsi="Segoe UI" w:cs="Segoe UI"/>
      <w:color w:val="3131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49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singthegap.gov.au/national-agreement-closing-gap-g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AG.Secretariat@health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sites/default/files/documents/2021/02/of%20the%20commitments%20in%20the%20National%20Agreement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antac.org.au/view-shop/hand-in-hand-report-on-aboriginal-traditional-medicine-folder/hand-in-hand-report-on-aboriginal-traditional-medicine-boo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pittj.CENTRAL\AppData\Local\Microsoft\Windows\Temporary%20Internet%20Files\Content.Outlook\FRZVN1ZM\JBC%2093%20-%20Agenda%20pap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DE67-8B5B-481E-B798-B840BA93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JBC 93 - Agenda paper template (2)</Template>
  <TotalTime>1</TotalTime>
  <Pages>4</Pages>
  <Words>1157</Words>
  <Characters>7195</Characters>
  <Application>Microsoft Office Word</Application>
  <DocSecurity>0</DocSecurity>
  <Lines>224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Plan Advisory Group (IPAG) communique – 11 March 2021</vt:lpstr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Plan Advisory Group (IPAG) communique – 11 March 2021</dc:title>
  <dc:subject>Aboriginal and Torres Strait Islander health</dc:subject>
  <dc:creator>Australian Government Department of Health</dc:creator>
  <cp:keywords>IPAG; minutes</cp:keywords>
  <cp:lastModifiedBy>MASCHKE, Elvia</cp:lastModifiedBy>
  <cp:revision>4</cp:revision>
  <cp:lastPrinted>2021-01-04T22:48:00Z</cp:lastPrinted>
  <dcterms:created xsi:type="dcterms:W3CDTF">2021-04-27T06:22:00Z</dcterms:created>
  <dcterms:modified xsi:type="dcterms:W3CDTF">2021-04-27T06:24:00Z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