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ECA94" w14:textId="77777777" w:rsidR="00146E3E" w:rsidRDefault="00146E3E" w:rsidP="009B45BF">
      <w:pPr>
        <w:pStyle w:val="Heading1"/>
      </w:pPr>
    </w:p>
    <w:p w14:paraId="1AEE5228" w14:textId="77777777" w:rsidR="006E7E3B" w:rsidRPr="009B45BF" w:rsidRDefault="00146E3E" w:rsidP="00AA21D9">
      <w:pPr>
        <w:pStyle w:val="Heading1"/>
        <w:spacing w:before="0"/>
      </w:pPr>
      <w:r>
        <w:t xml:space="preserve">Disability Provider </w:t>
      </w:r>
      <w:r w:rsidRPr="009338FD">
        <w:t>Al</w:t>
      </w:r>
      <w:r>
        <w:t>ert</w:t>
      </w:r>
    </w:p>
    <w:p w14:paraId="43D27976" w14:textId="3870E98F" w:rsidR="006E7E3B" w:rsidRDefault="008467D9" w:rsidP="00DF582B">
      <w:pPr>
        <w:spacing w:before="0" w:after="240"/>
        <w:rPr>
          <w:color w:val="3665AE"/>
        </w:rPr>
      </w:pPr>
      <w:r>
        <w:rPr>
          <w:color w:val="3665AE"/>
        </w:rPr>
        <w:t>1</w:t>
      </w:r>
      <w:r w:rsidR="0087715C">
        <w:rPr>
          <w:color w:val="3665AE"/>
        </w:rPr>
        <w:t>6</w:t>
      </w:r>
      <w:r w:rsidR="00146E3E" w:rsidRPr="009338FD">
        <w:rPr>
          <w:color w:val="3665AE"/>
        </w:rPr>
        <w:t xml:space="preserve"> </w:t>
      </w:r>
      <w:r w:rsidR="00581D09">
        <w:rPr>
          <w:color w:val="3665AE"/>
        </w:rPr>
        <w:t>April</w:t>
      </w:r>
      <w:r w:rsidR="008375A5">
        <w:rPr>
          <w:color w:val="3665AE"/>
        </w:rPr>
        <w:t xml:space="preserve"> </w:t>
      </w:r>
      <w:r w:rsidR="00146E3E" w:rsidRPr="009338FD">
        <w:rPr>
          <w:color w:val="3665AE"/>
        </w:rPr>
        <w:t>2021</w:t>
      </w:r>
    </w:p>
    <w:p w14:paraId="7C8A85CC" w14:textId="5E09EC5C" w:rsidR="00C549EC" w:rsidRDefault="00ED554C">
      <w:pPr>
        <w:spacing w:before="0" w:after="240"/>
      </w:pPr>
      <w:r>
        <w:t xml:space="preserve">The Australian </w:t>
      </w:r>
      <w:r w:rsidR="0087715C">
        <w:t>G</w:t>
      </w:r>
      <w:r>
        <w:t xml:space="preserve">overnment </w:t>
      </w:r>
      <w:r w:rsidR="009864AD">
        <w:t>i</w:t>
      </w:r>
      <w:r>
        <w:t xml:space="preserve">s </w:t>
      </w:r>
      <w:r w:rsidR="009864AD">
        <w:t xml:space="preserve">currently considering </w:t>
      </w:r>
      <w:r>
        <w:t>change</w:t>
      </w:r>
      <w:r w:rsidR="009864AD">
        <w:t>s</w:t>
      </w:r>
      <w:r>
        <w:t xml:space="preserve"> in the COVID-19 vaccine rollout based </w:t>
      </w:r>
      <w:r w:rsidR="009864AD">
        <w:t xml:space="preserve">on </w:t>
      </w:r>
      <w:r>
        <w:t>new advice from the Australian Technical Advisory Group on Immunisation (ATAGI).</w:t>
      </w:r>
    </w:p>
    <w:p w14:paraId="693BCC75" w14:textId="793E0769" w:rsidR="006B2887" w:rsidRDefault="009864AD">
      <w:pPr>
        <w:spacing w:before="0" w:after="240"/>
      </w:pPr>
      <w:r>
        <w:t xml:space="preserve">National Cabinet is meeting </w:t>
      </w:r>
      <w:r w:rsidR="00DB1C1A">
        <w:t>in the week of</w:t>
      </w:r>
      <w:r>
        <w:t xml:space="preserve"> 19 April</w:t>
      </w:r>
      <w:r w:rsidR="0037538C">
        <w:t xml:space="preserve"> 2021</w:t>
      </w:r>
      <w:r>
        <w:t xml:space="preserve"> to provide further guidance on the </w:t>
      </w:r>
      <w:r w:rsidR="0037538C">
        <w:t xml:space="preserve">COVID-19 </w:t>
      </w:r>
      <w:r>
        <w:t>vaccine roll out. We will provide more information when it becomes available</w:t>
      </w:r>
      <w:r w:rsidR="00C549EC">
        <w:t xml:space="preserve"> to provide </w:t>
      </w:r>
      <w:r w:rsidR="009E4347">
        <w:t xml:space="preserve">a </w:t>
      </w:r>
      <w:r w:rsidR="00C549EC">
        <w:t xml:space="preserve">clear understanding of the vaccine roll out for 1a and 1b </w:t>
      </w:r>
      <w:r w:rsidR="009E4347">
        <w:t xml:space="preserve">going forward. </w:t>
      </w:r>
    </w:p>
    <w:p w14:paraId="361F8D54" w14:textId="6B44F450" w:rsidR="0037538C" w:rsidRDefault="009E4347">
      <w:pPr>
        <w:spacing w:before="0" w:after="240"/>
      </w:pPr>
      <w:r>
        <w:t>P</w:t>
      </w:r>
      <w:r w:rsidR="00ED554C" w:rsidRPr="00411D9C">
        <w:t xml:space="preserve">eople </w:t>
      </w:r>
      <w:r w:rsidR="0099503B">
        <w:t>with disability living in residential accommodation of two or more people</w:t>
      </w:r>
      <w:r>
        <w:t xml:space="preserve"> and staff</w:t>
      </w:r>
      <w:r w:rsidR="006B2887">
        <w:t>,</w:t>
      </w:r>
      <w:r w:rsidR="0099503B">
        <w:t xml:space="preserve"> </w:t>
      </w:r>
      <w:r w:rsidR="006B2887">
        <w:t>eligible under phase 1A of the vaccine rollout</w:t>
      </w:r>
      <w:r>
        <w:t>,</w:t>
      </w:r>
      <w:r w:rsidR="009864AD">
        <w:t xml:space="preserve"> are a priority group and will </w:t>
      </w:r>
      <w:r w:rsidR="0099503B" w:rsidRPr="001C0320">
        <w:t xml:space="preserve">receive the </w:t>
      </w:r>
      <w:r w:rsidR="00ED554C" w:rsidRPr="001C0320">
        <w:t>vaccine</w:t>
      </w:r>
      <w:r w:rsidR="009864AD" w:rsidRPr="001C0320">
        <w:t xml:space="preserve"> that is most appropriate for them</w:t>
      </w:r>
      <w:r w:rsidR="00ED554C" w:rsidRPr="009864AD">
        <w:t>.</w:t>
      </w:r>
      <w:r w:rsidR="0099503B">
        <w:t xml:space="preserve"> </w:t>
      </w:r>
    </w:p>
    <w:p w14:paraId="737DADC6" w14:textId="65569477" w:rsidR="0037538C" w:rsidRDefault="0099503B" w:rsidP="0037538C">
      <w:pPr>
        <w:spacing w:before="0" w:after="240"/>
        <w:rPr>
          <w:b/>
        </w:rPr>
      </w:pPr>
      <w:r>
        <w:t>Th</w:t>
      </w:r>
      <w:r w:rsidR="0037538C">
        <w:t>e new advice from ATAGI</w:t>
      </w:r>
      <w:r>
        <w:t xml:space="preserve"> </w:t>
      </w:r>
      <w:r w:rsidR="009864AD">
        <w:t xml:space="preserve">is </w:t>
      </w:r>
      <w:r>
        <w:t>impact</w:t>
      </w:r>
      <w:r w:rsidR="0037538C">
        <w:t>ing</w:t>
      </w:r>
      <w:r>
        <w:t xml:space="preserve"> on the pace at which we can schedule vaccination</w:t>
      </w:r>
      <w:r w:rsidR="0037538C">
        <w:t>s in residential accommodation settings</w:t>
      </w:r>
      <w:r>
        <w:t xml:space="preserve">. </w:t>
      </w:r>
      <w:r w:rsidR="0042061C">
        <w:t xml:space="preserve">The Department of Health appreciates the patience of </w:t>
      </w:r>
      <w:r w:rsidR="009864AD">
        <w:t xml:space="preserve">people with disability and </w:t>
      </w:r>
      <w:r w:rsidR="0087715C">
        <w:t xml:space="preserve">disability </w:t>
      </w:r>
      <w:r w:rsidR="0042061C">
        <w:t xml:space="preserve">providers </w:t>
      </w:r>
      <w:r w:rsidR="004A6D37">
        <w:t xml:space="preserve">during this period of change </w:t>
      </w:r>
      <w:r w:rsidR="0042061C">
        <w:t xml:space="preserve">whilst the logistics of coordinating the vaccine roll out are </w:t>
      </w:r>
      <w:r w:rsidR="0087715C">
        <w:t>finalised</w:t>
      </w:r>
      <w:r w:rsidR="0042061C">
        <w:t>.</w:t>
      </w:r>
      <w:r w:rsidR="0037538C" w:rsidRPr="0037538C">
        <w:rPr>
          <w:b/>
        </w:rPr>
        <w:t xml:space="preserve"> </w:t>
      </w:r>
    </w:p>
    <w:p w14:paraId="3780721A" w14:textId="77777777" w:rsidR="0037538C" w:rsidRPr="007E36C5" w:rsidRDefault="0037538C" w:rsidP="0037538C">
      <w:pPr>
        <w:spacing w:before="0" w:after="240"/>
        <w:rPr>
          <w:b/>
        </w:rPr>
      </w:pPr>
      <w:r w:rsidRPr="007E36C5">
        <w:rPr>
          <w:b/>
        </w:rPr>
        <w:t xml:space="preserve">People with disability who have had the first dose of COVID-19 Vaccine AstraZeneca without any serious adverse effects can </w:t>
      </w:r>
      <w:r>
        <w:rPr>
          <w:b/>
        </w:rPr>
        <w:t xml:space="preserve">safely </w:t>
      </w:r>
      <w:r w:rsidRPr="007E36C5">
        <w:rPr>
          <w:b/>
        </w:rPr>
        <w:t xml:space="preserve">be given the second dose, including adults under 50 years. </w:t>
      </w:r>
    </w:p>
    <w:p w14:paraId="4F473BA7" w14:textId="77777777" w:rsidR="008467D9" w:rsidRPr="0063459E" w:rsidRDefault="008467D9" w:rsidP="0063459E">
      <w:pPr>
        <w:spacing w:before="0" w:after="240"/>
      </w:pPr>
      <w:r w:rsidRPr="0063459E">
        <w:t xml:space="preserve">We are </w:t>
      </w:r>
      <w:r w:rsidR="009864AD" w:rsidRPr="0063459E">
        <w:t xml:space="preserve">still </w:t>
      </w:r>
      <w:r w:rsidRPr="0063459E">
        <w:t xml:space="preserve">encouraging providers to do preliminary planning about how they will manage the vaccination process at their sites. This includes </w:t>
      </w:r>
      <w:r w:rsidR="009864AD" w:rsidRPr="0063459E">
        <w:t xml:space="preserve">continuing </w:t>
      </w:r>
      <w:r w:rsidRPr="0063459E">
        <w:t>conversations with people with disability and workers about:</w:t>
      </w:r>
    </w:p>
    <w:p w14:paraId="7AC84DEE" w14:textId="77777777" w:rsidR="008467D9" w:rsidRPr="00997A88" w:rsidRDefault="008467D9" w:rsidP="008467D9">
      <w:pPr>
        <w:numPr>
          <w:ilvl w:val="1"/>
          <w:numId w:val="48"/>
        </w:numPr>
        <w:spacing w:before="0" w:after="0" w:line="360" w:lineRule="auto"/>
        <w:rPr>
          <w:rFonts w:eastAsia="Times New Roman"/>
        </w:rPr>
      </w:pPr>
      <w:r w:rsidRPr="00997A88">
        <w:rPr>
          <w:rFonts w:eastAsia="Times New Roman"/>
        </w:rPr>
        <w:t xml:space="preserve">the rollout of the vaccination program and the benefits of getting the vaccine, and </w:t>
      </w:r>
    </w:p>
    <w:p w14:paraId="7162A29D" w14:textId="77777777" w:rsidR="008467D9" w:rsidRPr="00997A88" w:rsidRDefault="008467D9" w:rsidP="008467D9">
      <w:pPr>
        <w:numPr>
          <w:ilvl w:val="1"/>
          <w:numId w:val="48"/>
        </w:numPr>
        <w:spacing w:before="0" w:after="0" w:line="360" w:lineRule="auto"/>
        <w:rPr>
          <w:rFonts w:eastAsia="Times New Roman"/>
        </w:rPr>
      </w:pPr>
      <w:proofErr w:type="gramStart"/>
      <w:r w:rsidRPr="00997A88">
        <w:rPr>
          <w:rFonts w:eastAsia="Times New Roman"/>
        </w:rPr>
        <w:t>getting</w:t>
      </w:r>
      <w:proofErr w:type="gramEnd"/>
      <w:r w:rsidRPr="00997A88">
        <w:rPr>
          <w:rFonts w:eastAsia="Times New Roman"/>
        </w:rPr>
        <w:t xml:space="preserve"> consent and having the required conversations with family members, carers and/or substitute decision-makers if relevant.</w:t>
      </w:r>
    </w:p>
    <w:p w14:paraId="70054450" w14:textId="34E28B04" w:rsidR="00566CF1" w:rsidRDefault="008467D9" w:rsidP="00566CF1">
      <w:pPr>
        <w:autoSpaceDE w:val="0"/>
        <w:autoSpaceDN w:val="0"/>
        <w:adjustRightInd w:val="0"/>
        <w:spacing w:line="240" w:lineRule="auto"/>
        <w:rPr>
          <w:b/>
        </w:rPr>
      </w:pPr>
      <w:r w:rsidRPr="00997A88">
        <w:rPr>
          <w:b/>
        </w:rPr>
        <w:t>The consent form for people with disability that has been u</w:t>
      </w:r>
      <w:r w:rsidR="0087715C">
        <w:rPr>
          <w:b/>
        </w:rPr>
        <w:t>sed</w:t>
      </w:r>
      <w:r w:rsidRPr="00997A88">
        <w:rPr>
          <w:b/>
        </w:rPr>
        <w:t xml:space="preserve"> to date is suitable for the Pfizer vaccine. You do not need to get consent again. </w:t>
      </w:r>
      <w:r w:rsidR="0087715C">
        <w:rPr>
          <w:b/>
        </w:rPr>
        <w:t xml:space="preserve">However, additional consent may be required for the </w:t>
      </w:r>
      <w:proofErr w:type="spellStart"/>
      <w:r w:rsidR="0087715C">
        <w:rPr>
          <w:b/>
        </w:rPr>
        <w:t>AstraZenica</w:t>
      </w:r>
      <w:proofErr w:type="spellEnd"/>
      <w:r w:rsidR="0087715C">
        <w:rPr>
          <w:b/>
        </w:rPr>
        <w:t xml:space="preserve"> vaccine. </w:t>
      </w:r>
      <w:r w:rsidR="00232C41">
        <w:rPr>
          <w:b/>
        </w:rPr>
        <w:t xml:space="preserve">An updated form is available </w:t>
      </w:r>
      <w:hyperlink r:id="rId8" w:history="1">
        <w:r w:rsidR="00232C41" w:rsidRPr="00232C41">
          <w:rPr>
            <w:rStyle w:val="Hyperlink"/>
          </w:rPr>
          <w:t>onli</w:t>
        </w:r>
        <w:bookmarkStart w:id="0" w:name="_GoBack"/>
        <w:bookmarkEnd w:id="0"/>
        <w:r w:rsidR="00232C41" w:rsidRPr="00232C41">
          <w:rPr>
            <w:rStyle w:val="Hyperlink"/>
          </w:rPr>
          <w:t>n</w:t>
        </w:r>
        <w:r w:rsidR="00232C41" w:rsidRPr="00232C41">
          <w:rPr>
            <w:rStyle w:val="Hyperlink"/>
          </w:rPr>
          <w:t>e</w:t>
        </w:r>
      </w:hyperlink>
      <w:r w:rsidR="00232C41">
        <w:rPr>
          <w:b/>
        </w:rPr>
        <w:t>.</w:t>
      </w:r>
    </w:p>
    <w:p w14:paraId="0DDF6707" w14:textId="77777777" w:rsidR="0087715C" w:rsidRDefault="0087715C" w:rsidP="00566CF1">
      <w:pPr>
        <w:autoSpaceDE w:val="0"/>
        <w:autoSpaceDN w:val="0"/>
        <w:adjustRightInd w:val="0"/>
        <w:spacing w:line="240" w:lineRule="auto"/>
      </w:pPr>
    </w:p>
    <w:p w14:paraId="151AA4D4" w14:textId="35A173AC" w:rsidR="00566CF1" w:rsidRDefault="00E07EE8" w:rsidP="00566CF1">
      <w:pPr>
        <w:autoSpaceDE w:val="0"/>
        <w:autoSpaceDN w:val="0"/>
        <w:adjustRightInd w:val="0"/>
        <w:spacing w:line="240" w:lineRule="auto"/>
      </w:pPr>
      <w:hyperlink r:id="rId9" w:history="1">
        <w:r w:rsidR="00566CF1" w:rsidRPr="004208D4">
          <w:rPr>
            <w:rStyle w:val="Hyperlink"/>
            <w:b w:val="0"/>
          </w:rPr>
          <w:t>The Pfizer vaccine – Easy Read</w:t>
        </w:r>
      </w:hyperlink>
      <w:r w:rsidR="00566CF1" w:rsidRPr="004208D4">
        <w:rPr>
          <w:b/>
        </w:rPr>
        <w:t xml:space="preserve"> </w:t>
      </w:r>
      <w:r w:rsidR="00566CF1" w:rsidRPr="00B569E2">
        <w:t xml:space="preserve">is available on the Department of Health website. </w:t>
      </w:r>
    </w:p>
    <w:p w14:paraId="3A3224EB" w14:textId="77777777" w:rsidR="0037538C" w:rsidRDefault="00E07EE8" w:rsidP="0037538C">
      <w:pPr>
        <w:autoSpaceDE w:val="0"/>
        <w:autoSpaceDN w:val="0"/>
        <w:adjustRightInd w:val="0"/>
        <w:spacing w:line="240" w:lineRule="auto"/>
      </w:pPr>
      <w:hyperlink r:id="rId10" w:history="1">
        <w:r w:rsidR="0037538C" w:rsidRPr="00B569E2">
          <w:rPr>
            <w:rStyle w:val="Hyperlink"/>
            <w:b w:val="0"/>
          </w:rPr>
          <w:t xml:space="preserve">The </w:t>
        </w:r>
        <w:r w:rsidR="000C2FEC">
          <w:rPr>
            <w:rStyle w:val="Hyperlink"/>
            <w:b w:val="0"/>
          </w:rPr>
          <w:t>AstraZeneca</w:t>
        </w:r>
        <w:r w:rsidR="0037538C" w:rsidRPr="00B569E2">
          <w:rPr>
            <w:rStyle w:val="Hyperlink"/>
            <w:b w:val="0"/>
          </w:rPr>
          <w:t xml:space="preserve"> vaccine – Easy Read</w:t>
        </w:r>
      </w:hyperlink>
      <w:r w:rsidR="0037538C" w:rsidRPr="00B569E2">
        <w:t xml:space="preserve"> is </w:t>
      </w:r>
      <w:r w:rsidR="008F22B2" w:rsidRPr="0063459E">
        <w:t xml:space="preserve">currently being updated and will be </w:t>
      </w:r>
      <w:r w:rsidR="0037538C" w:rsidRPr="0063459E">
        <w:t>available on the Department of Health website</w:t>
      </w:r>
      <w:r w:rsidR="008F22B2" w:rsidRPr="0063459E">
        <w:t xml:space="preserve"> soon</w:t>
      </w:r>
      <w:r w:rsidR="0037538C" w:rsidRPr="0063459E">
        <w:t>.</w:t>
      </w:r>
      <w:r w:rsidR="0037538C" w:rsidRPr="00B569E2">
        <w:t xml:space="preserve"> </w:t>
      </w:r>
    </w:p>
    <w:p w14:paraId="0EC2755E" w14:textId="77777777" w:rsidR="00346A88" w:rsidRDefault="00346A88" w:rsidP="009E4347">
      <w:pPr>
        <w:pStyle w:val="Heading2"/>
        <w:spacing w:before="120" w:after="240"/>
        <w:rPr>
          <w:lang w:val="en"/>
        </w:rPr>
      </w:pPr>
    </w:p>
    <w:p w14:paraId="30063A29" w14:textId="0FF6EBD8" w:rsidR="009E4347" w:rsidRDefault="009E4347" w:rsidP="009E4347">
      <w:pPr>
        <w:pStyle w:val="Heading2"/>
        <w:spacing w:before="120" w:after="240"/>
        <w:rPr>
          <w:lang w:val="en"/>
        </w:rPr>
      </w:pPr>
      <w:r>
        <w:rPr>
          <w:lang w:val="en"/>
        </w:rPr>
        <w:t>Additional vaccination options for Phase 1a</w:t>
      </w:r>
    </w:p>
    <w:p w14:paraId="79F20C29" w14:textId="5C6BCFF4" w:rsidR="006B2887" w:rsidRDefault="00A143A5" w:rsidP="00ED3034">
      <w:r>
        <w:t>In addition to</w:t>
      </w:r>
      <w:r w:rsidR="009864AD">
        <w:t xml:space="preserve"> the</w:t>
      </w:r>
      <w:r>
        <w:t xml:space="preserve"> in-reach vaccinations, p</w:t>
      </w:r>
      <w:r w:rsidR="00611606">
        <w:t xml:space="preserve">eople with disability and workers eligible in Phase 1a </w:t>
      </w:r>
      <w:r w:rsidR="00346A88">
        <w:t xml:space="preserve">and 1b </w:t>
      </w:r>
      <w:r w:rsidR="00611606">
        <w:t xml:space="preserve">are </w:t>
      </w:r>
      <w:r w:rsidR="00411D9C">
        <w:t xml:space="preserve">still </w:t>
      </w:r>
      <w:r w:rsidR="00611606">
        <w:t>able to</w:t>
      </w:r>
      <w:r w:rsidR="004471EF">
        <w:t xml:space="preserve"> have the vaccine at </w:t>
      </w:r>
      <w:r w:rsidR="00ED3034">
        <w:t>participating</w:t>
      </w:r>
      <w:r w:rsidR="006B2887">
        <w:t>:</w:t>
      </w:r>
    </w:p>
    <w:p w14:paraId="55C975DB" w14:textId="77777777" w:rsidR="006B2887" w:rsidRDefault="00E564FD" w:rsidP="007E36C5">
      <w:pPr>
        <w:pStyle w:val="ListParagraph"/>
        <w:numPr>
          <w:ilvl w:val="0"/>
          <w:numId w:val="47"/>
        </w:numPr>
      </w:pPr>
      <w:r>
        <w:t>G</w:t>
      </w:r>
      <w:r w:rsidR="00BD54C3">
        <w:t xml:space="preserve">eneral </w:t>
      </w:r>
      <w:r>
        <w:t>P</w:t>
      </w:r>
      <w:r w:rsidR="00BD54C3">
        <w:t>ractices</w:t>
      </w:r>
      <w:r w:rsidR="006B2887">
        <w:t>;</w:t>
      </w:r>
      <w:r w:rsidR="00BD54C3">
        <w:t xml:space="preserve"> </w:t>
      </w:r>
    </w:p>
    <w:p w14:paraId="2CBB413B" w14:textId="77777777" w:rsidR="006B2887" w:rsidRDefault="00BD54C3" w:rsidP="007E36C5">
      <w:pPr>
        <w:pStyle w:val="ListParagraph"/>
        <w:numPr>
          <w:ilvl w:val="0"/>
          <w:numId w:val="47"/>
        </w:numPr>
      </w:pPr>
      <w:r>
        <w:t>Aboriginal Controlled Community Health Services</w:t>
      </w:r>
      <w:r w:rsidR="006B2887">
        <w:t>;</w:t>
      </w:r>
      <w:r>
        <w:t xml:space="preserve"> and </w:t>
      </w:r>
    </w:p>
    <w:p w14:paraId="26C232C7" w14:textId="77777777" w:rsidR="004471EF" w:rsidRDefault="00BD54C3" w:rsidP="007E36C5">
      <w:pPr>
        <w:pStyle w:val="ListParagraph"/>
        <w:numPr>
          <w:ilvl w:val="0"/>
          <w:numId w:val="47"/>
        </w:numPr>
      </w:pPr>
      <w:r>
        <w:t>GP-led respiratory clinics</w:t>
      </w:r>
      <w:r w:rsidR="00E564FD">
        <w:t xml:space="preserve">. </w:t>
      </w:r>
    </w:p>
    <w:p w14:paraId="774CDFDD" w14:textId="77777777" w:rsidR="00346A88" w:rsidRDefault="004471EF">
      <w:pPr>
        <w:rPr>
          <w:rStyle w:val="Hyperlink"/>
        </w:rPr>
      </w:pPr>
      <w:r>
        <w:t xml:space="preserve">To book go to </w:t>
      </w:r>
      <w:hyperlink r:id="rId11" w:history="1">
        <w:r w:rsidR="000D360D" w:rsidRPr="00943B6D">
          <w:rPr>
            <w:rStyle w:val="Hyperlink"/>
            <w:b w:val="0"/>
          </w:rPr>
          <w:t>The COVID-19 Vaccine Eligibility Checker</w:t>
        </w:r>
      </w:hyperlink>
      <w:r w:rsidR="00A143A5">
        <w:rPr>
          <w:rStyle w:val="Hyperlink"/>
        </w:rPr>
        <w:t xml:space="preserve">. </w:t>
      </w:r>
    </w:p>
    <w:p w14:paraId="6575E1F6" w14:textId="74CCB915" w:rsidR="000D360D" w:rsidRPr="00FE684C" w:rsidRDefault="0055520B">
      <w:pPr>
        <w:rPr>
          <w:rFonts w:eastAsia="Times New Roman"/>
          <w:lang w:val="en" w:eastAsia="en-AU"/>
        </w:rPr>
      </w:pPr>
      <w:r>
        <w:t>If you are under 50, i</w:t>
      </w:r>
      <w:r w:rsidR="00A143A5">
        <w:t>nformation about l</w:t>
      </w:r>
      <w:r w:rsidR="004471EF">
        <w:t xml:space="preserve">ocal </w:t>
      </w:r>
      <w:r w:rsidR="004471EF">
        <w:rPr>
          <w:rFonts w:eastAsia="Times New Roman"/>
          <w:lang w:val="en" w:eastAsia="en-AU"/>
        </w:rPr>
        <w:t xml:space="preserve">clinic </w:t>
      </w:r>
      <w:r w:rsidR="000D360D" w:rsidRPr="00FE684C">
        <w:rPr>
          <w:rFonts w:eastAsia="Times New Roman"/>
          <w:lang w:val="en" w:eastAsia="en-AU"/>
        </w:rPr>
        <w:t>locations</w:t>
      </w:r>
      <w:r w:rsidR="004471EF">
        <w:rPr>
          <w:rFonts w:eastAsia="Times New Roman"/>
          <w:lang w:val="en" w:eastAsia="en-AU"/>
        </w:rPr>
        <w:t xml:space="preserve"> </w:t>
      </w:r>
      <w:r w:rsidR="004355E0">
        <w:rPr>
          <w:rFonts w:eastAsia="Times New Roman"/>
          <w:lang w:val="en" w:eastAsia="en-AU"/>
        </w:rPr>
        <w:t xml:space="preserve">that have access to Pfizer </w:t>
      </w:r>
      <w:r>
        <w:rPr>
          <w:rFonts w:eastAsia="Times New Roman"/>
          <w:lang w:val="en" w:eastAsia="en-AU"/>
        </w:rPr>
        <w:t>are</w:t>
      </w:r>
      <w:r w:rsidR="004471EF">
        <w:rPr>
          <w:rFonts w:eastAsia="Times New Roman"/>
          <w:lang w:val="en" w:eastAsia="en-AU"/>
        </w:rPr>
        <w:t xml:space="preserve"> </w:t>
      </w:r>
      <w:r w:rsidR="004355E0">
        <w:rPr>
          <w:rFonts w:eastAsia="Times New Roman"/>
          <w:lang w:val="en" w:eastAsia="en-AU"/>
        </w:rPr>
        <w:t>currently being updated</w:t>
      </w:r>
      <w:r w:rsidR="00A143A5">
        <w:rPr>
          <w:rFonts w:eastAsia="Times New Roman"/>
          <w:lang w:val="en" w:eastAsia="en-AU"/>
        </w:rPr>
        <w:t>.</w:t>
      </w:r>
      <w:r w:rsidR="004355E0">
        <w:rPr>
          <w:rFonts w:eastAsia="Times New Roman"/>
          <w:lang w:val="en" w:eastAsia="en-AU"/>
        </w:rPr>
        <w:t xml:space="preserve">  Please be patient this may take some time. </w:t>
      </w:r>
    </w:p>
    <w:p w14:paraId="766A788D" w14:textId="77777777" w:rsidR="009864AD" w:rsidRPr="0087715C" w:rsidRDefault="00A143A5" w:rsidP="009E4347">
      <w:pPr>
        <w:pStyle w:val="Heading2"/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jc w:val="center"/>
        <w:rPr>
          <w:rFonts w:eastAsia="Times New Roman"/>
          <w:sz w:val="28"/>
          <w:szCs w:val="28"/>
          <w:lang w:val="en" w:eastAsia="en-AU"/>
        </w:rPr>
      </w:pPr>
      <w:r w:rsidRPr="0087715C">
        <w:rPr>
          <w:rFonts w:eastAsia="Times New Roman"/>
          <w:sz w:val="28"/>
          <w:szCs w:val="28"/>
          <w:lang w:val="en" w:eastAsia="en-AU"/>
        </w:rPr>
        <w:t>For m</w:t>
      </w:r>
      <w:r w:rsidR="000D360D" w:rsidRPr="0087715C">
        <w:rPr>
          <w:rFonts w:eastAsia="Times New Roman"/>
          <w:sz w:val="28"/>
          <w:szCs w:val="28"/>
          <w:lang w:val="en" w:eastAsia="en-AU"/>
        </w:rPr>
        <w:t xml:space="preserve">ore information </w:t>
      </w:r>
      <w:r w:rsidRPr="0087715C">
        <w:rPr>
          <w:rFonts w:eastAsia="Times New Roman"/>
          <w:sz w:val="28"/>
          <w:szCs w:val="28"/>
          <w:lang w:val="en" w:eastAsia="en-AU"/>
        </w:rPr>
        <w:t xml:space="preserve">call </w:t>
      </w:r>
      <w:r w:rsidR="000D360D" w:rsidRPr="0087715C">
        <w:rPr>
          <w:rFonts w:eastAsia="Times New Roman"/>
          <w:sz w:val="28"/>
          <w:szCs w:val="28"/>
          <w:lang w:val="en" w:eastAsia="en-AU"/>
        </w:rPr>
        <w:t xml:space="preserve">the National Coronavirus and </w:t>
      </w:r>
      <w:r w:rsidR="009E4347">
        <w:rPr>
          <w:rFonts w:eastAsia="Times New Roman"/>
          <w:sz w:val="28"/>
          <w:szCs w:val="28"/>
          <w:lang w:val="en" w:eastAsia="en-AU"/>
        </w:rPr>
        <w:br/>
      </w:r>
      <w:r w:rsidR="000D360D" w:rsidRPr="0087715C">
        <w:rPr>
          <w:rFonts w:eastAsia="Times New Roman"/>
          <w:sz w:val="28"/>
          <w:szCs w:val="28"/>
          <w:lang w:val="en" w:eastAsia="en-AU"/>
        </w:rPr>
        <w:t>COVID-19 Vaccination Helpline on 1800 020 080.</w:t>
      </w:r>
    </w:p>
    <w:p w14:paraId="6D9FB66D" w14:textId="77777777" w:rsidR="005A7E8A" w:rsidRDefault="005A7E8A" w:rsidP="005A7E8A">
      <w:pPr>
        <w:pStyle w:val="Heading2"/>
      </w:pPr>
      <w:r>
        <w:t>COVID-19 Vaccine and the Flu Vaccine</w:t>
      </w:r>
    </w:p>
    <w:p w14:paraId="1277F0C7" w14:textId="77777777" w:rsidR="000921EC" w:rsidRDefault="000921EC" w:rsidP="00943B6D">
      <w:pPr>
        <w:spacing w:line="276" w:lineRule="auto"/>
      </w:pPr>
      <w:r>
        <w:t>Advice on the flu vaccine timing with the COVID-19 vaccines is outlined below.</w:t>
      </w:r>
    </w:p>
    <w:p w14:paraId="1E5CC462" w14:textId="77777777" w:rsidR="00A143A5" w:rsidRPr="00943B6D" w:rsidRDefault="00A143A5" w:rsidP="00943B6D">
      <w:pPr>
        <w:spacing w:line="276" w:lineRule="auto"/>
      </w:pPr>
      <w:r w:rsidRPr="00943B6D">
        <w:t xml:space="preserve">The ATAGI advises the minimum </w:t>
      </w:r>
      <w:r w:rsidR="00997A88">
        <w:t>time</w:t>
      </w:r>
      <w:r w:rsidR="00997A88" w:rsidRPr="00943B6D">
        <w:t xml:space="preserve"> </w:t>
      </w:r>
      <w:r w:rsidRPr="00943B6D">
        <w:t xml:space="preserve">between receipt of a COVID-19 vaccine and any inactivated influenza vaccine </w:t>
      </w:r>
      <w:r w:rsidR="00997A88">
        <w:t xml:space="preserve">(the flu vaccine) </w:t>
      </w:r>
      <w:r w:rsidRPr="00943B6D">
        <w:t>is 14 days.</w:t>
      </w:r>
    </w:p>
    <w:p w14:paraId="67E69F05" w14:textId="77777777" w:rsidR="00A143A5" w:rsidRPr="00943B6D" w:rsidRDefault="00A143A5" w:rsidP="00943B6D">
      <w:pPr>
        <w:spacing w:line="276" w:lineRule="auto"/>
      </w:pPr>
      <w:r w:rsidRPr="00943B6D">
        <w:t>This means there needs to be at least a 14 day gap:</w:t>
      </w:r>
    </w:p>
    <w:p w14:paraId="156F5E3B" w14:textId="77777777" w:rsidR="00A143A5" w:rsidRPr="00943B6D" w:rsidRDefault="00A143A5" w:rsidP="00943B6D">
      <w:pPr>
        <w:pStyle w:val="ListParagraph"/>
        <w:numPr>
          <w:ilvl w:val="0"/>
          <w:numId w:val="42"/>
        </w:numPr>
        <w:spacing w:line="276" w:lineRule="auto"/>
      </w:pPr>
      <w:r w:rsidRPr="00943B6D">
        <w:t xml:space="preserve">between </w:t>
      </w:r>
      <w:r w:rsidR="00997A88">
        <w:t>the flu</w:t>
      </w:r>
      <w:r w:rsidR="00997A88" w:rsidRPr="00943B6D">
        <w:t xml:space="preserve"> </w:t>
      </w:r>
      <w:r w:rsidRPr="00943B6D">
        <w:t>vaccination, and</w:t>
      </w:r>
    </w:p>
    <w:p w14:paraId="6C7EC7FC" w14:textId="77777777" w:rsidR="00A143A5" w:rsidRPr="00943B6D" w:rsidRDefault="00A143A5" w:rsidP="00943B6D">
      <w:pPr>
        <w:pStyle w:val="ListParagraph"/>
        <w:numPr>
          <w:ilvl w:val="0"/>
          <w:numId w:val="42"/>
        </w:numPr>
        <w:spacing w:line="276" w:lineRule="auto"/>
      </w:pPr>
      <w:proofErr w:type="gramStart"/>
      <w:r w:rsidRPr="00943B6D">
        <w:t>a</w:t>
      </w:r>
      <w:proofErr w:type="gramEnd"/>
      <w:r w:rsidRPr="00943B6D">
        <w:t xml:space="preserve"> first or second dose of a COVID-19 vaccine.</w:t>
      </w:r>
    </w:p>
    <w:p w14:paraId="56CB047C" w14:textId="77777777" w:rsidR="00A143A5" w:rsidRPr="00943B6D" w:rsidRDefault="00A143A5" w:rsidP="00943B6D">
      <w:pPr>
        <w:spacing w:line="276" w:lineRule="auto"/>
      </w:pPr>
      <w:r w:rsidRPr="00943B6D">
        <w:t xml:space="preserve">The timing of your COVID-19 vaccination clinics and </w:t>
      </w:r>
      <w:r w:rsidR="00997A88">
        <w:t>flu vaccine</w:t>
      </w:r>
      <w:r w:rsidR="00997A88" w:rsidRPr="00943B6D">
        <w:t xml:space="preserve"> </w:t>
      </w:r>
      <w:r w:rsidRPr="00943B6D">
        <w:t xml:space="preserve">clinics will need careful consideration to maintain this minimum 14 day gap. </w:t>
      </w:r>
      <w:r w:rsidR="00997A88">
        <w:t xml:space="preserve">The flu </w:t>
      </w:r>
      <w:r w:rsidRPr="00943B6D">
        <w:t>vaccinations for residents and staff should occur:</w:t>
      </w:r>
    </w:p>
    <w:p w14:paraId="4577DF4A" w14:textId="77777777" w:rsidR="00A143A5" w:rsidRPr="00943B6D" w:rsidRDefault="00A143A5" w:rsidP="00943B6D">
      <w:pPr>
        <w:pStyle w:val="ListParagraph"/>
        <w:numPr>
          <w:ilvl w:val="0"/>
          <w:numId w:val="43"/>
        </w:numPr>
        <w:spacing w:line="276" w:lineRule="auto"/>
      </w:pPr>
      <w:r w:rsidRPr="00943B6D">
        <w:t>14 or more days before their first Pfizer dose;</w:t>
      </w:r>
    </w:p>
    <w:p w14:paraId="22BDF659" w14:textId="77777777" w:rsidR="00A143A5" w:rsidRPr="00943B6D" w:rsidRDefault="00A143A5" w:rsidP="00943B6D">
      <w:pPr>
        <w:pStyle w:val="ListParagraph"/>
        <w:numPr>
          <w:ilvl w:val="0"/>
          <w:numId w:val="43"/>
        </w:numPr>
        <w:spacing w:line="276" w:lineRule="auto"/>
      </w:pPr>
      <w:r w:rsidRPr="00943B6D">
        <w:t>14 or more days after their second (and final) Pfizer dose;</w:t>
      </w:r>
    </w:p>
    <w:p w14:paraId="6CA06D5A" w14:textId="77777777" w:rsidR="00A143A5" w:rsidRPr="00943B6D" w:rsidRDefault="00A143A5" w:rsidP="00943B6D">
      <w:pPr>
        <w:pStyle w:val="ListParagraph"/>
        <w:numPr>
          <w:ilvl w:val="0"/>
          <w:numId w:val="43"/>
        </w:numPr>
        <w:spacing w:line="276" w:lineRule="auto"/>
      </w:pPr>
      <w:r w:rsidRPr="00943B6D">
        <w:t>14 or more days before or after their first AstraZeneca dose; or</w:t>
      </w:r>
    </w:p>
    <w:p w14:paraId="618FF84D" w14:textId="77777777" w:rsidR="00A143A5" w:rsidRPr="00943B6D" w:rsidRDefault="00A143A5" w:rsidP="00943B6D">
      <w:pPr>
        <w:pStyle w:val="ListParagraph"/>
        <w:numPr>
          <w:ilvl w:val="0"/>
          <w:numId w:val="43"/>
        </w:numPr>
        <w:spacing w:line="276" w:lineRule="auto"/>
      </w:pPr>
      <w:r w:rsidRPr="00943B6D">
        <w:t>14 or more days before or after their second (and final) AstraZeneca dose.</w:t>
      </w:r>
    </w:p>
    <w:p w14:paraId="6B357D4F" w14:textId="3C2ACE08" w:rsidR="00A143A5" w:rsidRDefault="00A143A5" w:rsidP="00943B6D">
      <w:pPr>
        <w:spacing w:line="276" w:lineRule="auto"/>
      </w:pPr>
      <w:r w:rsidRPr="00943B6D">
        <w:t xml:space="preserve">For more information </w:t>
      </w:r>
      <w:r>
        <w:t>about COVID-19 Vaccine and the Flu Vaccine go to</w:t>
      </w:r>
      <w:r w:rsidR="000C2FEC">
        <w:t xml:space="preserve"> this link on the</w:t>
      </w:r>
      <w:r>
        <w:t xml:space="preserve"> </w:t>
      </w:r>
      <w:r w:rsidR="00346A88">
        <w:t>D</w:t>
      </w:r>
      <w:r>
        <w:t xml:space="preserve">epartment of Health’s </w:t>
      </w:r>
      <w:hyperlink r:id="rId12" w:history="1">
        <w:r w:rsidRPr="00943B6D">
          <w:rPr>
            <w:color w:val="4472C4" w:themeColor="accent1"/>
            <w:u w:val="single"/>
          </w:rPr>
          <w:t>website</w:t>
        </w:r>
      </w:hyperlink>
      <w:r>
        <w:t xml:space="preserve">. </w:t>
      </w:r>
    </w:p>
    <w:p w14:paraId="2D48314B" w14:textId="77777777" w:rsidR="00346A88" w:rsidRDefault="00346A88">
      <w:pPr>
        <w:spacing w:before="0" w:after="0" w:line="240" w:lineRule="auto"/>
        <w:rPr>
          <w:rFonts w:eastAsiaTheme="majorEastAsia" w:cstheme="majorBidi"/>
          <w:b/>
          <w:color w:val="3665AE"/>
          <w:sz w:val="36"/>
          <w:szCs w:val="36"/>
        </w:rPr>
      </w:pPr>
      <w:r>
        <w:br w:type="page"/>
      </w:r>
    </w:p>
    <w:p w14:paraId="7E1529A5" w14:textId="3A215F0C" w:rsidR="00C54434" w:rsidRDefault="00C54434" w:rsidP="00C54434">
      <w:pPr>
        <w:pStyle w:val="Heading2"/>
      </w:pPr>
      <w:r>
        <w:lastRenderedPageBreak/>
        <w:t>Resources</w:t>
      </w:r>
    </w:p>
    <w:p w14:paraId="0CEB9927" w14:textId="77777777" w:rsidR="005605AD" w:rsidRDefault="00E07EE8" w:rsidP="005605AD">
      <w:pPr>
        <w:pStyle w:val="Default"/>
        <w:numPr>
          <w:ilvl w:val="0"/>
          <w:numId w:val="39"/>
        </w:numPr>
        <w:rPr>
          <w:sz w:val="22"/>
          <w:szCs w:val="22"/>
        </w:rPr>
      </w:pPr>
      <w:hyperlink r:id="rId13" w:history="1">
        <w:r w:rsidR="005605AD" w:rsidRPr="007E37F9">
          <w:rPr>
            <w:rStyle w:val="Hyperlink"/>
            <w:b w:val="0"/>
            <w:sz w:val="22"/>
            <w:szCs w:val="22"/>
            <w:lang w:val="en"/>
          </w:rPr>
          <w:t xml:space="preserve">ATAGI – COVID-19 vaccination decision guide for people with </w:t>
        </w:r>
        <w:proofErr w:type="spellStart"/>
        <w:r w:rsidR="005605AD" w:rsidRPr="007E37F9">
          <w:rPr>
            <w:rStyle w:val="Hyperlink"/>
            <w:b w:val="0"/>
            <w:sz w:val="22"/>
            <w:szCs w:val="22"/>
            <w:lang w:val="en"/>
          </w:rPr>
          <w:t>immunocompromise</w:t>
        </w:r>
        <w:proofErr w:type="spellEnd"/>
      </w:hyperlink>
      <w:r w:rsidR="005605AD">
        <w:rPr>
          <w:b/>
          <w:sz w:val="22"/>
          <w:szCs w:val="22"/>
          <w:lang w:val="en"/>
        </w:rPr>
        <w:t xml:space="preserve"> </w:t>
      </w:r>
      <w:r w:rsidR="005605AD" w:rsidRPr="006D7172">
        <w:rPr>
          <w:sz w:val="22"/>
          <w:szCs w:val="22"/>
        </w:rPr>
        <w:t xml:space="preserve">is available on the Department of Health website. </w:t>
      </w:r>
    </w:p>
    <w:p w14:paraId="455F2A89" w14:textId="63E15863" w:rsidR="0042061C" w:rsidRPr="00D45169" w:rsidRDefault="00E07EE8">
      <w:pPr>
        <w:pStyle w:val="ListParagraph"/>
        <w:numPr>
          <w:ilvl w:val="0"/>
          <w:numId w:val="39"/>
        </w:numPr>
        <w:rPr>
          <w:rFonts w:ascii="Calibri" w:eastAsiaTheme="minorHAnsi" w:hAnsi="Calibri" w:cs="Calibri"/>
          <w:b/>
        </w:rPr>
      </w:pPr>
      <w:hyperlink r:id="rId14" w:history="1">
        <w:r w:rsidR="00D45169" w:rsidRPr="00D45169">
          <w:rPr>
            <w:rStyle w:val="Hyperlink"/>
            <w:b w:val="0"/>
          </w:rPr>
          <w:t>ATAGI statement</w:t>
        </w:r>
      </w:hyperlink>
    </w:p>
    <w:p w14:paraId="6EEF9A8A" w14:textId="369D9914" w:rsidR="0042061C" w:rsidRPr="00D45169" w:rsidRDefault="00E07EE8">
      <w:pPr>
        <w:pStyle w:val="ListParagraph"/>
        <w:numPr>
          <w:ilvl w:val="0"/>
          <w:numId w:val="39"/>
        </w:numPr>
        <w:rPr>
          <w:b/>
        </w:rPr>
      </w:pPr>
      <w:hyperlink r:id="rId15" w:history="1">
        <w:r w:rsidR="0042061C" w:rsidRPr="00D45169">
          <w:rPr>
            <w:rStyle w:val="Hyperlink"/>
            <w:b w:val="0"/>
          </w:rPr>
          <w:t>Department of Health Secretary and Ch</w:t>
        </w:r>
        <w:r w:rsidR="00D45169" w:rsidRPr="00D45169">
          <w:rPr>
            <w:rStyle w:val="Hyperlink"/>
            <w:b w:val="0"/>
          </w:rPr>
          <w:t>ief Medical Officer statement</w:t>
        </w:r>
      </w:hyperlink>
    </w:p>
    <w:p w14:paraId="790898FD" w14:textId="6BBDCA34" w:rsidR="0042061C" w:rsidRPr="00D45169" w:rsidRDefault="00E07EE8">
      <w:pPr>
        <w:pStyle w:val="ListParagraph"/>
        <w:numPr>
          <w:ilvl w:val="0"/>
          <w:numId w:val="39"/>
        </w:numPr>
        <w:rPr>
          <w:b/>
        </w:rPr>
      </w:pPr>
      <w:hyperlink r:id="rId16" w:history="1">
        <w:r w:rsidR="00D45169" w:rsidRPr="00D45169">
          <w:rPr>
            <w:rStyle w:val="Hyperlink"/>
            <w:b w:val="0"/>
          </w:rPr>
          <w:t>TGA statement</w:t>
        </w:r>
      </w:hyperlink>
    </w:p>
    <w:sectPr w:rsidR="0042061C" w:rsidRPr="00D45169" w:rsidSect="00C61C7E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1440" w:bottom="1474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0A556" w14:textId="77777777" w:rsidR="00B8652A" w:rsidRDefault="00B8652A" w:rsidP="00CE7D4D">
      <w:r>
        <w:separator/>
      </w:r>
    </w:p>
  </w:endnote>
  <w:endnote w:type="continuationSeparator" w:id="0">
    <w:p w14:paraId="1D29495A" w14:textId="77777777" w:rsidR="00B8652A" w:rsidRDefault="00B8652A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551CC" w14:textId="51CE66AB" w:rsidR="00F61DEC" w:rsidRPr="00B8301C" w:rsidRDefault="00F61DEC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E07EE8">
      <w:rPr>
        <w:noProof/>
      </w:rPr>
      <w:t>3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15FD0" w14:textId="77777777" w:rsidR="00F61DEC" w:rsidRDefault="00F61DEC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5407" behindDoc="0" locked="0" layoutInCell="1" allowOverlap="1" wp14:anchorId="0EE1C26E" wp14:editId="05ECB3C8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5" name="Picture 5" descr="A large tick which is part of the COVID-19 Vaccination logo.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61AA8" w14:textId="77777777" w:rsidR="00B8652A" w:rsidRDefault="00B8652A" w:rsidP="00CE7D4D">
      <w:r>
        <w:separator/>
      </w:r>
    </w:p>
  </w:footnote>
  <w:footnote w:type="continuationSeparator" w:id="0">
    <w:p w14:paraId="67029CC2" w14:textId="77777777" w:rsidR="00B8652A" w:rsidRDefault="00B8652A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34EC3" w14:textId="77777777" w:rsidR="00F61DEC" w:rsidRDefault="00F61DEC" w:rsidP="00673492">
    <w:pPr>
      <w:pStyle w:val="Header"/>
    </w:pPr>
    <w:r>
      <w:rPr>
        <w:lang w:eastAsia="en-AU"/>
      </w:rPr>
      <w:drawing>
        <wp:anchor distT="0" distB="0" distL="114300" distR="114300" simplePos="0" relativeHeight="251664383" behindDoc="1" locked="0" layoutInCell="1" allowOverlap="1" wp14:anchorId="66029852" wp14:editId="0C9A6346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3" name="Picture 3" descr="A frame around the page.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66B79" w14:textId="77777777" w:rsidR="00F61DEC" w:rsidRDefault="00F61DEC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63358" behindDoc="1" locked="0" layoutInCell="1" allowOverlap="1" wp14:anchorId="19DF33F9" wp14:editId="22D98C22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4" name="Picture 4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50C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3E1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0EE5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E4CB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27A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2F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A84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048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942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6419"/>
    <w:multiLevelType w:val="hybridMultilevel"/>
    <w:tmpl w:val="AF4C842E"/>
    <w:lvl w:ilvl="0" w:tplc="D4765F4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2F1426"/>
    <w:multiLevelType w:val="hybridMultilevel"/>
    <w:tmpl w:val="81F408CE"/>
    <w:lvl w:ilvl="0" w:tplc="7BC6DA7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6904AF"/>
    <w:multiLevelType w:val="hybridMultilevel"/>
    <w:tmpl w:val="20E090E6"/>
    <w:lvl w:ilvl="0" w:tplc="DED40D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7B7ACA"/>
    <w:multiLevelType w:val="hybridMultilevel"/>
    <w:tmpl w:val="E5E6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396551"/>
    <w:multiLevelType w:val="hybridMultilevel"/>
    <w:tmpl w:val="379CC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4A4FE5"/>
    <w:multiLevelType w:val="hybridMultilevel"/>
    <w:tmpl w:val="7D5CD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776CB4"/>
    <w:multiLevelType w:val="hybridMultilevel"/>
    <w:tmpl w:val="A4525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E25F27"/>
    <w:multiLevelType w:val="hybridMultilevel"/>
    <w:tmpl w:val="334E7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6B47B5"/>
    <w:multiLevelType w:val="hybridMultilevel"/>
    <w:tmpl w:val="CFBCD5AC"/>
    <w:lvl w:ilvl="0" w:tplc="C93469F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2811CF6"/>
    <w:multiLevelType w:val="hybridMultilevel"/>
    <w:tmpl w:val="5942D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CC4584"/>
    <w:multiLevelType w:val="hybridMultilevel"/>
    <w:tmpl w:val="3A9CC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BD2B0E"/>
    <w:multiLevelType w:val="hybridMultilevel"/>
    <w:tmpl w:val="E97AA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644AEA"/>
    <w:multiLevelType w:val="hybridMultilevel"/>
    <w:tmpl w:val="70F04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C8739D"/>
    <w:multiLevelType w:val="hybridMultilevel"/>
    <w:tmpl w:val="40F2D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00455D"/>
    <w:multiLevelType w:val="hybridMultilevel"/>
    <w:tmpl w:val="7F50A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776AF4"/>
    <w:multiLevelType w:val="multilevel"/>
    <w:tmpl w:val="C44C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DA7DC8"/>
    <w:multiLevelType w:val="hybridMultilevel"/>
    <w:tmpl w:val="84EE1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360888"/>
    <w:multiLevelType w:val="hybridMultilevel"/>
    <w:tmpl w:val="028AE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8B51E8"/>
    <w:multiLevelType w:val="hybridMultilevel"/>
    <w:tmpl w:val="E73A1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696426"/>
    <w:multiLevelType w:val="hybridMultilevel"/>
    <w:tmpl w:val="DF74E0D6"/>
    <w:lvl w:ilvl="0" w:tplc="62C0B7C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D4EE0"/>
    <w:multiLevelType w:val="hybridMultilevel"/>
    <w:tmpl w:val="3BF6C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5E0526"/>
    <w:multiLevelType w:val="hybridMultilevel"/>
    <w:tmpl w:val="486CE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0362E6"/>
    <w:multiLevelType w:val="hybridMultilevel"/>
    <w:tmpl w:val="C7D84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3130A"/>
    <w:multiLevelType w:val="hybridMultilevel"/>
    <w:tmpl w:val="1098F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5050F"/>
    <w:multiLevelType w:val="hybridMultilevel"/>
    <w:tmpl w:val="ED14C7EE"/>
    <w:lvl w:ilvl="0" w:tplc="6B8C519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A37F1"/>
    <w:multiLevelType w:val="hybridMultilevel"/>
    <w:tmpl w:val="B2A2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101102"/>
    <w:multiLevelType w:val="multilevel"/>
    <w:tmpl w:val="7D54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D92161"/>
    <w:multiLevelType w:val="hybridMultilevel"/>
    <w:tmpl w:val="BA18C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5C0E41"/>
    <w:multiLevelType w:val="hybridMultilevel"/>
    <w:tmpl w:val="F5EAC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53169"/>
    <w:multiLevelType w:val="hybridMultilevel"/>
    <w:tmpl w:val="7DA23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96CCA"/>
    <w:multiLevelType w:val="hybridMultilevel"/>
    <w:tmpl w:val="2A0C6D9E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B66AA"/>
    <w:multiLevelType w:val="hybridMultilevel"/>
    <w:tmpl w:val="ADD44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378EE"/>
    <w:multiLevelType w:val="hybridMultilevel"/>
    <w:tmpl w:val="11A08EFA"/>
    <w:lvl w:ilvl="0" w:tplc="F4C2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174888"/>
    <w:multiLevelType w:val="hybridMultilevel"/>
    <w:tmpl w:val="79149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30350"/>
    <w:multiLevelType w:val="hybridMultilevel"/>
    <w:tmpl w:val="7B04B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23DFE"/>
    <w:multiLevelType w:val="hybridMultilevel"/>
    <w:tmpl w:val="138E8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118A6"/>
    <w:multiLevelType w:val="hybridMultilevel"/>
    <w:tmpl w:val="A3242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320E85"/>
    <w:multiLevelType w:val="hybridMultilevel"/>
    <w:tmpl w:val="82D47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8"/>
  </w:num>
  <w:num w:numId="14">
    <w:abstractNumId w:val="35"/>
  </w:num>
  <w:num w:numId="15">
    <w:abstractNumId w:val="10"/>
  </w:num>
  <w:num w:numId="16">
    <w:abstractNumId w:val="45"/>
  </w:num>
  <w:num w:numId="17">
    <w:abstractNumId w:val="30"/>
  </w:num>
  <w:num w:numId="18">
    <w:abstractNumId w:val="14"/>
  </w:num>
  <w:num w:numId="19">
    <w:abstractNumId w:val="21"/>
  </w:num>
  <w:num w:numId="20">
    <w:abstractNumId w:val="47"/>
  </w:num>
  <w:num w:numId="21">
    <w:abstractNumId w:val="39"/>
  </w:num>
  <w:num w:numId="22">
    <w:abstractNumId w:val="43"/>
  </w:num>
  <w:num w:numId="23">
    <w:abstractNumId w:val="16"/>
  </w:num>
  <w:num w:numId="24">
    <w:abstractNumId w:val="46"/>
  </w:num>
  <w:num w:numId="25">
    <w:abstractNumId w:val="17"/>
  </w:num>
  <w:num w:numId="26">
    <w:abstractNumId w:val="37"/>
  </w:num>
  <w:num w:numId="27">
    <w:abstractNumId w:val="24"/>
  </w:num>
  <w:num w:numId="28">
    <w:abstractNumId w:val="32"/>
  </w:num>
  <w:num w:numId="29">
    <w:abstractNumId w:val="13"/>
  </w:num>
  <w:num w:numId="30">
    <w:abstractNumId w:val="22"/>
  </w:num>
  <w:num w:numId="31">
    <w:abstractNumId w:val="27"/>
  </w:num>
  <w:num w:numId="32">
    <w:abstractNumId w:val="34"/>
  </w:num>
  <w:num w:numId="33">
    <w:abstractNumId w:val="28"/>
  </w:num>
  <w:num w:numId="34">
    <w:abstractNumId w:val="23"/>
  </w:num>
  <w:num w:numId="35">
    <w:abstractNumId w:val="41"/>
  </w:num>
  <w:num w:numId="36">
    <w:abstractNumId w:val="44"/>
  </w:num>
  <w:num w:numId="37">
    <w:abstractNumId w:val="31"/>
  </w:num>
  <w:num w:numId="38">
    <w:abstractNumId w:val="33"/>
  </w:num>
  <w:num w:numId="39">
    <w:abstractNumId w:val="18"/>
  </w:num>
  <w:num w:numId="40">
    <w:abstractNumId w:val="36"/>
  </w:num>
  <w:num w:numId="41">
    <w:abstractNumId w:val="25"/>
  </w:num>
  <w:num w:numId="42">
    <w:abstractNumId w:val="26"/>
  </w:num>
  <w:num w:numId="43">
    <w:abstractNumId w:val="20"/>
  </w:num>
  <w:num w:numId="44">
    <w:abstractNumId w:val="12"/>
  </w:num>
  <w:num w:numId="45">
    <w:abstractNumId w:val="11"/>
  </w:num>
  <w:num w:numId="46">
    <w:abstractNumId w:val="29"/>
  </w:num>
  <w:num w:numId="47">
    <w:abstractNumId w:val="15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5E"/>
    <w:rsid w:val="00000197"/>
    <w:rsid w:val="00005C6B"/>
    <w:rsid w:val="00007A3C"/>
    <w:rsid w:val="00025C4A"/>
    <w:rsid w:val="00031E66"/>
    <w:rsid w:val="00045CAE"/>
    <w:rsid w:val="00052742"/>
    <w:rsid w:val="0005282D"/>
    <w:rsid w:val="00071CA6"/>
    <w:rsid w:val="00082485"/>
    <w:rsid w:val="000824E2"/>
    <w:rsid w:val="000921EC"/>
    <w:rsid w:val="000B0742"/>
    <w:rsid w:val="000B3C9B"/>
    <w:rsid w:val="000B6604"/>
    <w:rsid w:val="000C2FEC"/>
    <w:rsid w:val="000C7484"/>
    <w:rsid w:val="000C7CEC"/>
    <w:rsid w:val="000D083B"/>
    <w:rsid w:val="000D177F"/>
    <w:rsid w:val="000D360D"/>
    <w:rsid w:val="000D5955"/>
    <w:rsid w:val="000D787F"/>
    <w:rsid w:val="000E449A"/>
    <w:rsid w:val="000E7174"/>
    <w:rsid w:val="000F5D35"/>
    <w:rsid w:val="000F71A5"/>
    <w:rsid w:val="00116CA8"/>
    <w:rsid w:val="0013264D"/>
    <w:rsid w:val="00140D3C"/>
    <w:rsid w:val="00141433"/>
    <w:rsid w:val="00146E3E"/>
    <w:rsid w:val="00177561"/>
    <w:rsid w:val="001778A2"/>
    <w:rsid w:val="0018013C"/>
    <w:rsid w:val="00183F41"/>
    <w:rsid w:val="00193F1A"/>
    <w:rsid w:val="00195361"/>
    <w:rsid w:val="001A2AB8"/>
    <w:rsid w:val="001A76C1"/>
    <w:rsid w:val="001A77AA"/>
    <w:rsid w:val="001B2076"/>
    <w:rsid w:val="001B3624"/>
    <w:rsid w:val="001B51DF"/>
    <w:rsid w:val="001C0320"/>
    <w:rsid w:val="001C0346"/>
    <w:rsid w:val="001C2A5D"/>
    <w:rsid w:val="001D105B"/>
    <w:rsid w:val="001D44BE"/>
    <w:rsid w:val="00204305"/>
    <w:rsid w:val="002050DA"/>
    <w:rsid w:val="002147B1"/>
    <w:rsid w:val="00221E5E"/>
    <w:rsid w:val="00225063"/>
    <w:rsid w:val="00232C41"/>
    <w:rsid w:val="00236CB1"/>
    <w:rsid w:val="002465F5"/>
    <w:rsid w:val="00252DD3"/>
    <w:rsid w:val="0026396B"/>
    <w:rsid w:val="00265D30"/>
    <w:rsid w:val="00266FE4"/>
    <w:rsid w:val="00270C76"/>
    <w:rsid w:val="002712C0"/>
    <w:rsid w:val="00274442"/>
    <w:rsid w:val="00275270"/>
    <w:rsid w:val="0027687D"/>
    <w:rsid w:val="00277408"/>
    <w:rsid w:val="00282489"/>
    <w:rsid w:val="0029274E"/>
    <w:rsid w:val="002A6113"/>
    <w:rsid w:val="002B15DE"/>
    <w:rsid w:val="002F6867"/>
    <w:rsid w:val="003011C4"/>
    <w:rsid w:val="00306ED1"/>
    <w:rsid w:val="0032665A"/>
    <w:rsid w:val="00331635"/>
    <w:rsid w:val="00331E56"/>
    <w:rsid w:val="003353BF"/>
    <w:rsid w:val="00342D9F"/>
    <w:rsid w:val="00342DA6"/>
    <w:rsid w:val="00344917"/>
    <w:rsid w:val="00346A88"/>
    <w:rsid w:val="00353FE4"/>
    <w:rsid w:val="00354C4C"/>
    <w:rsid w:val="00356F58"/>
    <w:rsid w:val="00367A58"/>
    <w:rsid w:val="0037538C"/>
    <w:rsid w:val="00375EC1"/>
    <w:rsid w:val="00383F88"/>
    <w:rsid w:val="003869F9"/>
    <w:rsid w:val="003900E7"/>
    <w:rsid w:val="0039034D"/>
    <w:rsid w:val="00397029"/>
    <w:rsid w:val="003A3F78"/>
    <w:rsid w:val="003A42A7"/>
    <w:rsid w:val="003C1A65"/>
    <w:rsid w:val="003C5AC0"/>
    <w:rsid w:val="003C6770"/>
    <w:rsid w:val="003C78E5"/>
    <w:rsid w:val="003D2564"/>
    <w:rsid w:val="003D2BCA"/>
    <w:rsid w:val="003D7721"/>
    <w:rsid w:val="003F1AD2"/>
    <w:rsid w:val="003F2FBF"/>
    <w:rsid w:val="003F560D"/>
    <w:rsid w:val="003F75AF"/>
    <w:rsid w:val="0040177B"/>
    <w:rsid w:val="00404F5F"/>
    <w:rsid w:val="00411D9C"/>
    <w:rsid w:val="004152C3"/>
    <w:rsid w:val="00416204"/>
    <w:rsid w:val="0042061C"/>
    <w:rsid w:val="00423187"/>
    <w:rsid w:val="004355E0"/>
    <w:rsid w:val="00435E89"/>
    <w:rsid w:val="004471EF"/>
    <w:rsid w:val="00450393"/>
    <w:rsid w:val="00464379"/>
    <w:rsid w:val="004662DF"/>
    <w:rsid w:val="0047050F"/>
    <w:rsid w:val="00470865"/>
    <w:rsid w:val="00470F08"/>
    <w:rsid w:val="004715CD"/>
    <w:rsid w:val="00472A24"/>
    <w:rsid w:val="00473E38"/>
    <w:rsid w:val="004756C3"/>
    <w:rsid w:val="00485A2F"/>
    <w:rsid w:val="00493E88"/>
    <w:rsid w:val="004A000E"/>
    <w:rsid w:val="004A214F"/>
    <w:rsid w:val="004A6D37"/>
    <w:rsid w:val="004C0D70"/>
    <w:rsid w:val="004C6F2D"/>
    <w:rsid w:val="004E3E3F"/>
    <w:rsid w:val="004E4082"/>
    <w:rsid w:val="004F3946"/>
    <w:rsid w:val="004F5BF7"/>
    <w:rsid w:val="004F6612"/>
    <w:rsid w:val="00505008"/>
    <w:rsid w:val="00505C52"/>
    <w:rsid w:val="00506436"/>
    <w:rsid w:val="00507E57"/>
    <w:rsid w:val="00510EC1"/>
    <w:rsid w:val="005146D3"/>
    <w:rsid w:val="00514F87"/>
    <w:rsid w:val="005175F9"/>
    <w:rsid w:val="00517CF4"/>
    <w:rsid w:val="00531FBB"/>
    <w:rsid w:val="00537635"/>
    <w:rsid w:val="0054748B"/>
    <w:rsid w:val="0055039E"/>
    <w:rsid w:val="00553EF8"/>
    <w:rsid w:val="0055520B"/>
    <w:rsid w:val="005559FC"/>
    <w:rsid w:val="00555DBE"/>
    <w:rsid w:val="0056044B"/>
    <w:rsid w:val="005605AD"/>
    <w:rsid w:val="00566CF1"/>
    <w:rsid w:val="00567B41"/>
    <w:rsid w:val="005708B5"/>
    <w:rsid w:val="00577798"/>
    <w:rsid w:val="00577962"/>
    <w:rsid w:val="00581D09"/>
    <w:rsid w:val="00587069"/>
    <w:rsid w:val="005901F5"/>
    <w:rsid w:val="00591CDA"/>
    <w:rsid w:val="00593D5F"/>
    <w:rsid w:val="005944D1"/>
    <w:rsid w:val="00597A33"/>
    <w:rsid w:val="005A298F"/>
    <w:rsid w:val="005A4FA9"/>
    <w:rsid w:val="005A6F0C"/>
    <w:rsid w:val="005A7E8A"/>
    <w:rsid w:val="005B39BB"/>
    <w:rsid w:val="005B6774"/>
    <w:rsid w:val="005B7E15"/>
    <w:rsid w:val="005D2987"/>
    <w:rsid w:val="005E05A3"/>
    <w:rsid w:val="005E0AB9"/>
    <w:rsid w:val="005E67B8"/>
    <w:rsid w:val="005F6C21"/>
    <w:rsid w:val="005F7722"/>
    <w:rsid w:val="00611606"/>
    <w:rsid w:val="0061300D"/>
    <w:rsid w:val="00614B45"/>
    <w:rsid w:val="0063059B"/>
    <w:rsid w:val="0063459E"/>
    <w:rsid w:val="006604F9"/>
    <w:rsid w:val="00663DCB"/>
    <w:rsid w:val="00665291"/>
    <w:rsid w:val="00665549"/>
    <w:rsid w:val="0066726A"/>
    <w:rsid w:val="00673492"/>
    <w:rsid w:val="0068136F"/>
    <w:rsid w:val="00682713"/>
    <w:rsid w:val="006A1D14"/>
    <w:rsid w:val="006A24C6"/>
    <w:rsid w:val="006A6DA1"/>
    <w:rsid w:val="006B2519"/>
    <w:rsid w:val="006B2887"/>
    <w:rsid w:val="006B4A08"/>
    <w:rsid w:val="006C6DB3"/>
    <w:rsid w:val="006D7DC9"/>
    <w:rsid w:val="006E7E3B"/>
    <w:rsid w:val="006F0FF1"/>
    <w:rsid w:val="006F3C33"/>
    <w:rsid w:val="007004A6"/>
    <w:rsid w:val="00702FDF"/>
    <w:rsid w:val="00703903"/>
    <w:rsid w:val="00706151"/>
    <w:rsid w:val="00711812"/>
    <w:rsid w:val="00716EE6"/>
    <w:rsid w:val="00723AC7"/>
    <w:rsid w:val="00727D33"/>
    <w:rsid w:val="007318BB"/>
    <w:rsid w:val="00731E3A"/>
    <w:rsid w:val="00732F26"/>
    <w:rsid w:val="00735EB1"/>
    <w:rsid w:val="0073755F"/>
    <w:rsid w:val="007479FE"/>
    <w:rsid w:val="00747EBC"/>
    <w:rsid w:val="00751BBE"/>
    <w:rsid w:val="007837E4"/>
    <w:rsid w:val="0078435A"/>
    <w:rsid w:val="007901B8"/>
    <w:rsid w:val="00793261"/>
    <w:rsid w:val="00796ECA"/>
    <w:rsid w:val="007A1A4A"/>
    <w:rsid w:val="007A213E"/>
    <w:rsid w:val="007B3156"/>
    <w:rsid w:val="007B5298"/>
    <w:rsid w:val="007C319E"/>
    <w:rsid w:val="007D0CD8"/>
    <w:rsid w:val="007E2463"/>
    <w:rsid w:val="007E36C5"/>
    <w:rsid w:val="007E37F9"/>
    <w:rsid w:val="007E49EA"/>
    <w:rsid w:val="007F1C2D"/>
    <w:rsid w:val="007F5CC3"/>
    <w:rsid w:val="00800130"/>
    <w:rsid w:val="008062C1"/>
    <w:rsid w:val="008078AC"/>
    <w:rsid w:val="0081274F"/>
    <w:rsid w:val="008169CC"/>
    <w:rsid w:val="008201FF"/>
    <w:rsid w:val="00822CD2"/>
    <w:rsid w:val="00822D26"/>
    <w:rsid w:val="00825C40"/>
    <w:rsid w:val="00835A53"/>
    <w:rsid w:val="008375A5"/>
    <w:rsid w:val="0084078C"/>
    <w:rsid w:val="00842B7B"/>
    <w:rsid w:val="00845C2F"/>
    <w:rsid w:val="008467D9"/>
    <w:rsid w:val="00852F0B"/>
    <w:rsid w:val="00853260"/>
    <w:rsid w:val="008541BB"/>
    <w:rsid w:val="0085680E"/>
    <w:rsid w:val="008631C8"/>
    <w:rsid w:val="0087715C"/>
    <w:rsid w:val="00882362"/>
    <w:rsid w:val="00885EC5"/>
    <w:rsid w:val="008A2BA8"/>
    <w:rsid w:val="008A628E"/>
    <w:rsid w:val="008B2EC7"/>
    <w:rsid w:val="008F1A76"/>
    <w:rsid w:val="008F22B2"/>
    <w:rsid w:val="0090006F"/>
    <w:rsid w:val="00902A69"/>
    <w:rsid w:val="00925BE3"/>
    <w:rsid w:val="00930D98"/>
    <w:rsid w:val="009338FD"/>
    <w:rsid w:val="0094001F"/>
    <w:rsid w:val="00943B6D"/>
    <w:rsid w:val="00943D9B"/>
    <w:rsid w:val="009605E2"/>
    <w:rsid w:val="009631A7"/>
    <w:rsid w:val="00966110"/>
    <w:rsid w:val="009760B5"/>
    <w:rsid w:val="009864AD"/>
    <w:rsid w:val="0099503B"/>
    <w:rsid w:val="0099536D"/>
    <w:rsid w:val="00997A88"/>
    <w:rsid w:val="009B01E9"/>
    <w:rsid w:val="009B18CA"/>
    <w:rsid w:val="009B45BF"/>
    <w:rsid w:val="009B6151"/>
    <w:rsid w:val="009C60A4"/>
    <w:rsid w:val="009C78E5"/>
    <w:rsid w:val="009D2355"/>
    <w:rsid w:val="009D633F"/>
    <w:rsid w:val="009E4347"/>
    <w:rsid w:val="009E43AF"/>
    <w:rsid w:val="009E5615"/>
    <w:rsid w:val="009E7C5E"/>
    <w:rsid w:val="00A044AC"/>
    <w:rsid w:val="00A07A3D"/>
    <w:rsid w:val="00A143A5"/>
    <w:rsid w:val="00A153F1"/>
    <w:rsid w:val="00A22D89"/>
    <w:rsid w:val="00A2309A"/>
    <w:rsid w:val="00A23BF9"/>
    <w:rsid w:val="00A35853"/>
    <w:rsid w:val="00A43384"/>
    <w:rsid w:val="00A63166"/>
    <w:rsid w:val="00A7468E"/>
    <w:rsid w:val="00A81AFF"/>
    <w:rsid w:val="00A84077"/>
    <w:rsid w:val="00AA1BF5"/>
    <w:rsid w:val="00AA21D9"/>
    <w:rsid w:val="00AA2F07"/>
    <w:rsid w:val="00AB048F"/>
    <w:rsid w:val="00AC33EC"/>
    <w:rsid w:val="00AC7925"/>
    <w:rsid w:val="00AE38E1"/>
    <w:rsid w:val="00AE71FF"/>
    <w:rsid w:val="00B0263B"/>
    <w:rsid w:val="00B04E6C"/>
    <w:rsid w:val="00B13920"/>
    <w:rsid w:val="00B151E1"/>
    <w:rsid w:val="00B1716B"/>
    <w:rsid w:val="00B174A8"/>
    <w:rsid w:val="00B25B8C"/>
    <w:rsid w:val="00B34278"/>
    <w:rsid w:val="00B43E2C"/>
    <w:rsid w:val="00B44149"/>
    <w:rsid w:val="00B44519"/>
    <w:rsid w:val="00B53C13"/>
    <w:rsid w:val="00B63EE7"/>
    <w:rsid w:val="00B63F52"/>
    <w:rsid w:val="00B8167B"/>
    <w:rsid w:val="00B8215E"/>
    <w:rsid w:val="00B8301C"/>
    <w:rsid w:val="00B83EA7"/>
    <w:rsid w:val="00B8652A"/>
    <w:rsid w:val="00B873F0"/>
    <w:rsid w:val="00BA1FCB"/>
    <w:rsid w:val="00BC2437"/>
    <w:rsid w:val="00BC3EEE"/>
    <w:rsid w:val="00BD4A6E"/>
    <w:rsid w:val="00BD54C3"/>
    <w:rsid w:val="00BD7DFC"/>
    <w:rsid w:val="00BE16B7"/>
    <w:rsid w:val="00BF7DC4"/>
    <w:rsid w:val="00C161C4"/>
    <w:rsid w:val="00C16484"/>
    <w:rsid w:val="00C17EB9"/>
    <w:rsid w:val="00C20FD4"/>
    <w:rsid w:val="00C2515D"/>
    <w:rsid w:val="00C339AB"/>
    <w:rsid w:val="00C35221"/>
    <w:rsid w:val="00C54434"/>
    <w:rsid w:val="00C549EC"/>
    <w:rsid w:val="00C56635"/>
    <w:rsid w:val="00C603F8"/>
    <w:rsid w:val="00C6095F"/>
    <w:rsid w:val="00C61C7E"/>
    <w:rsid w:val="00C70C51"/>
    <w:rsid w:val="00C74FB6"/>
    <w:rsid w:val="00C74FEA"/>
    <w:rsid w:val="00C83A9E"/>
    <w:rsid w:val="00C90B00"/>
    <w:rsid w:val="00C96A3B"/>
    <w:rsid w:val="00CA0F1D"/>
    <w:rsid w:val="00CC29AF"/>
    <w:rsid w:val="00CC5155"/>
    <w:rsid w:val="00CC581B"/>
    <w:rsid w:val="00CE6E32"/>
    <w:rsid w:val="00CE7D4D"/>
    <w:rsid w:val="00D033C4"/>
    <w:rsid w:val="00D04151"/>
    <w:rsid w:val="00D24736"/>
    <w:rsid w:val="00D40098"/>
    <w:rsid w:val="00D4113C"/>
    <w:rsid w:val="00D4348D"/>
    <w:rsid w:val="00D45169"/>
    <w:rsid w:val="00D4728F"/>
    <w:rsid w:val="00D500CA"/>
    <w:rsid w:val="00D564D7"/>
    <w:rsid w:val="00D66289"/>
    <w:rsid w:val="00D712FF"/>
    <w:rsid w:val="00D75D1B"/>
    <w:rsid w:val="00D801B7"/>
    <w:rsid w:val="00D850E1"/>
    <w:rsid w:val="00D85C7C"/>
    <w:rsid w:val="00D9134F"/>
    <w:rsid w:val="00D94458"/>
    <w:rsid w:val="00D970B6"/>
    <w:rsid w:val="00DB1C1A"/>
    <w:rsid w:val="00DB244E"/>
    <w:rsid w:val="00DB6F55"/>
    <w:rsid w:val="00DC53C2"/>
    <w:rsid w:val="00DD7677"/>
    <w:rsid w:val="00DD788E"/>
    <w:rsid w:val="00DE3210"/>
    <w:rsid w:val="00DF582B"/>
    <w:rsid w:val="00DF5AD7"/>
    <w:rsid w:val="00E06DAA"/>
    <w:rsid w:val="00E07EE8"/>
    <w:rsid w:val="00E101E8"/>
    <w:rsid w:val="00E12E6C"/>
    <w:rsid w:val="00E14A41"/>
    <w:rsid w:val="00E23AF8"/>
    <w:rsid w:val="00E25672"/>
    <w:rsid w:val="00E37552"/>
    <w:rsid w:val="00E40DB4"/>
    <w:rsid w:val="00E42ADD"/>
    <w:rsid w:val="00E42DE2"/>
    <w:rsid w:val="00E52CE1"/>
    <w:rsid w:val="00E55537"/>
    <w:rsid w:val="00E564FD"/>
    <w:rsid w:val="00E56E6E"/>
    <w:rsid w:val="00E74B17"/>
    <w:rsid w:val="00E909C7"/>
    <w:rsid w:val="00EB264A"/>
    <w:rsid w:val="00EB34C7"/>
    <w:rsid w:val="00EC1AD9"/>
    <w:rsid w:val="00EC3098"/>
    <w:rsid w:val="00EC3224"/>
    <w:rsid w:val="00EC323C"/>
    <w:rsid w:val="00EC7DA6"/>
    <w:rsid w:val="00ED2012"/>
    <w:rsid w:val="00ED3034"/>
    <w:rsid w:val="00ED3094"/>
    <w:rsid w:val="00ED554C"/>
    <w:rsid w:val="00EE2DBA"/>
    <w:rsid w:val="00EF397F"/>
    <w:rsid w:val="00EF4313"/>
    <w:rsid w:val="00EF77EF"/>
    <w:rsid w:val="00F023B4"/>
    <w:rsid w:val="00F11039"/>
    <w:rsid w:val="00F25A4F"/>
    <w:rsid w:val="00F30766"/>
    <w:rsid w:val="00F34922"/>
    <w:rsid w:val="00F34A50"/>
    <w:rsid w:val="00F432F8"/>
    <w:rsid w:val="00F5672C"/>
    <w:rsid w:val="00F61DEC"/>
    <w:rsid w:val="00F77B13"/>
    <w:rsid w:val="00F922F3"/>
    <w:rsid w:val="00F94722"/>
    <w:rsid w:val="00F95601"/>
    <w:rsid w:val="00F95E86"/>
    <w:rsid w:val="00FA4C77"/>
    <w:rsid w:val="00FB5B94"/>
    <w:rsid w:val="00FC2B79"/>
    <w:rsid w:val="00FC40CC"/>
    <w:rsid w:val="00FD14A0"/>
    <w:rsid w:val="00FD38E6"/>
    <w:rsid w:val="00FE32D5"/>
    <w:rsid w:val="00FE7990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16DAFA"/>
  <w15:chartTrackingRefBased/>
  <w15:docId w15:val="{4FBD62B3-8616-49D0-BA93-C001D222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4A0"/>
    <w:pPr>
      <w:spacing w:before="120" w:after="120" w:line="271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02A69"/>
    <w:pPr>
      <w:keepNext/>
      <w:keepLines/>
      <w:spacing w:before="24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F94722"/>
    <w:pPr>
      <w:keepNext/>
      <w:keepLines/>
      <w:spacing w:before="480" w:after="40" w:line="271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2A69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94722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semiHidden/>
    <w:unhideWhenUsed/>
    <w:rsid w:val="001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publications/covid-19-vaccination-consent-form-for-covid-19-vaccination" TargetMode="External"/><Relationship Id="rId13" Type="http://schemas.openxmlformats.org/officeDocument/2006/relationships/hyperlink" Target="https://www.health.gov.au/resources/publications/atagi-covid-19-vaccination-decision-guide-for-people-with-immunocompromis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health.gov.au/resources/publications/covid-19-vaccination-atagi-advice-on-influenza-and-covid-19-vaccin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tga.gov.au/media-release/astrazeneca-chadox1-s-covid-19-vaccin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vid-vaccine.healthdirect.gov.au/eligibili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ealth.gov.au/news/joint-statement-on-covid-19-astrazeneca-vaccine-advice-from-atagi" TargetMode="External"/><Relationship Id="rId10" Type="http://schemas.openxmlformats.org/officeDocument/2006/relationships/hyperlink" Target="https://www.health.gov.au/resources/publications/covid-19-vaccination-the-astrazeneca-vaccine-easy-read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publications/covid-19-vaccination-the-pfizer-vaccine-easy-read" TargetMode="External"/><Relationship Id="rId14" Type="http://schemas.openxmlformats.org/officeDocument/2006/relationships/hyperlink" Target="https://www.health.gov.au/news/atagi-statement-on-astrazeneca-vaccine-in-response-to-new-vaccine-safety-concern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EEBD3-00DF-4E5E-9FDB-18A0C39D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11 March 2021</vt:lpstr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11 March 2021</dc:title>
  <dc:subject>Communicable diseases; Disability; Emergency health management</dc:subject>
  <dc:creator>Australian Government Department of Health</dc:creator>
  <cp:keywords>covid-19; coronavirus; vaccines; disability</cp:keywords>
  <dc:description/>
  <cp:lastModifiedBy>EALS, Andrew</cp:lastModifiedBy>
  <cp:revision>7</cp:revision>
  <cp:lastPrinted>2021-02-23T09:57:00Z</cp:lastPrinted>
  <dcterms:created xsi:type="dcterms:W3CDTF">2021-04-16T01:16:00Z</dcterms:created>
  <dcterms:modified xsi:type="dcterms:W3CDTF">2021-04-16T04:54:00Z</dcterms:modified>
</cp:coreProperties>
</file>