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8628BE" w:rsidRDefault="00F209FD" w:rsidP="006E6275">
      <w:pPr>
        <w:pStyle w:val="Title"/>
      </w:pPr>
      <w:r w:rsidRPr="008628BE">
        <w:t>COVID</w:t>
      </w:r>
      <w:r w:rsidRPr="008628BE">
        <w:noBreakHyphen/>
        <w:t>19 outbreaks in Australian residential aged care facilities</w:t>
      </w:r>
    </w:p>
    <w:p w:rsidR="00F209FD" w:rsidRPr="008628BE" w:rsidRDefault="00F209FD" w:rsidP="006E6275">
      <w:pPr>
        <w:pStyle w:val="Heading1"/>
      </w:pPr>
      <w:r w:rsidRPr="008628BE">
        <w:t xml:space="preserve">National </w:t>
      </w:r>
      <w:r w:rsidR="00B065FB" w:rsidRPr="008628BE">
        <w:t>s</w:t>
      </w:r>
      <w:r w:rsidRPr="008628BE">
        <w:t>napshot</w:t>
      </w:r>
    </w:p>
    <w:p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563DDB">
        <w:t xml:space="preserve">9 </w:t>
      </w:r>
      <w:r w:rsidR="00243542">
        <w:t>April</w:t>
      </w:r>
      <w:r w:rsidR="00243542" w:rsidRPr="008628BE">
        <w:t xml:space="preserve"> </w:t>
      </w:r>
      <w:r w:rsidR="00A96A4B" w:rsidRPr="008628BE">
        <w:t>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rsidR="00F209FD" w:rsidRPr="008628BE" w:rsidRDefault="004F4537" w:rsidP="004F4537">
      <w:pPr>
        <w:pStyle w:val="Caption"/>
      </w:pPr>
      <w:r w:rsidRPr="008628BE">
        <w:t xml:space="preserve">Table </w:t>
      </w:r>
      <w:fldSimple w:instr=" SEQ Table \* ARABIC ">
        <w:r w:rsidR="00693D80">
          <w:rPr>
            <w:noProof/>
          </w:rPr>
          <w:t>1</w:t>
        </w:r>
      </w:fldSimple>
      <w:r w:rsidR="00F209FD" w:rsidRPr="008628BE">
        <w:t>:</w:t>
      </w:r>
      <w:r w:rsidR="00F84ADD" w:rsidRPr="008628BE">
        <w:t xml:space="preserve"> Aged C</w:t>
      </w:r>
      <w:r w:rsidR="00F209FD" w:rsidRPr="008628BE">
        <w:t>ar</w:t>
      </w:r>
      <w:r w:rsidR="00B92768" w:rsidRPr="008628BE">
        <w:t xml:space="preserve">e COVID-19 data as at 0800 on </w:t>
      </w:r>
      <w:r w:rsidR="00563DDB">
        <w:t xml:space="preserve">9 </w:t>
      </w:r>
      <w:r w:rsidR="00243542">
        <w:t xml:space="preserve">April </w:t>
      </w:r>
      <w:r w:rsidR="00A96A4B" w:rsidRPr="008628BE">
        <w:t>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rsidTr="003A1F64">
        <w:trPr>
          <w:tblHeader/>
        </w:trPr>
        <w:tc>
          <w:tcPr>
            <w:tcW w:w="6578" w:type="dxa"/>
          </w:tcPr>
          <w:p w:rsidR="00F209FD" w:rsidRPr="008628BE" w:rsidRDefault="00F209FD" w:rsidP="006E6275">
            <w:r w:rsidRPr="008628BE">
              <w:t>Active outbreaks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Active resident cases</w:t>
            </w:r>
          </w:p>
        </w:tc>
        <w:tc>
          <w:tcPr>
            <w:tcW w:w="2551" w:type="dxa"/>
          </w:tcPr>
          <w:p w:rsidR="00F209FD" w:rsidRPr="008628BE" w:rsidRDefault="006C71B8" w:rsidP="006E6275">
            <w:r w:rsidRPr="008628BE">
              <w:t>0</w:t>
            </w:r>
          </w:p>
        </w:tc>
      </w:tr>
      <w:tr w:rsidR="00F209FD" w:rsidRPr="008628BE" w:rsidTr="003A1F64">
        <w:tc>
          <w:tcPr>
            <w:tcW w:w="6578" w:type="dxa"/>
          </w:tcPr>
          <w:p w:rsidR="00F209FD" w:rsidRPr="008628BE" w:rsidRDefault="00F209FD" w:rsidP="006E6275">
            <w:r w:rsidRPr="008628BE">
              <w:t>Active staff cases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Deaths</w:t>
            </w:r>
          </w:p>
        </w:tc>
        <w:tc>
          <w:tcPr>
            <w:tcW w:w="2551" w:type="dxa"/>
          </w:tcPr>
          <w:p w:rsidR="00F209FD" w:rsidRPr="008628BE" w:rsidRDefault="00BE40E8" w:rsidP="006E6275">
            <w:r w:rsidRPr="008628BE">
              <w:t>678</w:t>
            </w:r>
            <w:r w:rsidR="009935EA">
              <w:rPr>
                <w:rStyle w:val="FootnoteReference"/>
              </w:rPr>
              <w:footnoteReference w:id="2"/>
            </w:r>
          </w:p>
        </w:tc>
      </w:tr>
      <w:tr w:rsidR="00F209FD" w:rsidRPr="008628BE" w:rsidTr="003A1F64">
        <w:tc>
          <w:tcPr>
            <w:tcW w:w="6578" w:type="dxa"/>
          </w:tcPr>
          <w:p w:rsidR="00F209FD" w:rsidRPr="008628BE" w:rsidRDefault="00F209FD" w:rsidP="006E6275">
            <w:r w:rsidRPr="008628BE">
              <w:t xml:space="preserve">Total number of residential aged care facilities that have had an outbreak </w:t>
            </w:r>
          </w:p>
        </w:tc>
        <w:tc>
          <w:tcPr>
            <w:tcW w:w="2551" w:type="dxa"/>
          </w:tcPr>
          <w:p w:rsidR="00F209FD" w:rsidRPr="008628BE" w:rsidRDefault="002F552B" w:rsidP="006E6275">
            <w:r w:rsidRPr="008628BE">
              <w:t>2</w:t>
            </w:r>
            <w:r w:rsidR="00EF6D8A" w:rsidRPr="008628BE">
              <w:t>1</w:t>
            </w:r>
            <w:r w:rsidR="00D905A1">
              <w:t>4</w:t>
            </w:r>
          </w:p>
        </w:tc>
      </w:tr>
      <w:tr w:rsidR="003A415B"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3A415B" w:rsidRPr="008628BE" w:rsidRDefault="003A415B" w:rsidP="006E6275">
            <w:r w:rsidRPr="008628BE">
              <w:t>Total number of outbreaks at residential aged care facilities</w:t>
            </w:r>
          </w:p>
        </w:tc>
        <w:tc>
          <w:tcPr>
            <w:tcW w:w="2551" w:type="dxa"/>
          </w:tcPr>
          <w:p w:rsidR="003A415B" w:rsidRPr="008628BE" w:rsidRDefault="00013712" w:rsidP="006E6275">
            <w:r w:rsidRPr="008628BE">
              <w:t>221</w:t>
            </w:r>
          </w:p>
        </w:tc>
      </w:tr>
      <w:tr w:rsidR="00F209FD" w:rsidRPr="008628BE" w:rsidTr="003A1F64">
        <w:tc>
          <w:tcPr>
            <w:tcW w:w="6578" w:type="dxa"/>
          </w:tcPr>
          <w:p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Number of residential aged care facilities with only one case (resident or staff member) of COVID-19</w:t>
            </w:r>
          </w:p>
        </w:tc>
        <w:tc>
          <w:tcPr>
            <w:tcW w:w="2551" w:type="dxa"/>
          </w:tcPr>
          <w:p w:rsidR="00F209FD" w:rsidRPr="008628BE" w:rsidRDefault="003E4F64" w:rsidP="006E6275">
            <w:r w:rsidRPr="008628BE">
              <w:t>9</w:t>
            </w:r>
            <w:r w:rsidR="00D905A1">
              <w:t>4</w:t>
            </w:r>
          </w:p>
        </w:tc>
      </w:tr>
      <w:tr w:rsidR="00F209FD" w:rsidRPr="008628BE" w:rsidTr="003A1F64">
        <w:tc>
          <w:tcPr>
            <w:tcW w:w="6578" w:type="dxa"/>
          </w:tcPr>
          <w:p w:rsidR="00F209FD" w:rsidRPr="008628BE" w:rsidRDefault="00F209FD" w:rsidP="006E6275">
            <w:r w:rsidRPr="008628BE">
              <w:t xml:space="preserve">Total resident cases </w:t>
            </w:r>
          </w:p>
        </w:tc>
        <w:tc>
          <w:tcPr>
            <w:tcW w:w="2551" w:type="dxa"/>
          </w:tcPr>
          <w:p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R</w:t>
            </w:r>
            <w:r w:rsidR="009E42B3" w:rsidRPr="008628BE">
              <w:t>ecovered</w:t>
            </w:r>
            <w:r w:rsidRPr="008628BE">
              <w:t xml:space="preserve"> resident cases</w:t>
            </w:r>
          </w:p>
        </w:tc>
        <w:tc>
          <w:tcPr>
            <w:tcW w:w="2551" w:type="dxa"/>
          </w:tcPr>
          <w:p w:rsidR="00F209FD" w:rsidRPr="008628BE" w:rsidRDefault="00BE40E8" w:rsidP="006E6275">
            <w:r w:rsidRPr="008628BE">
              <w:t>1</w:t>
            </w:r>
            <w:r w:rsidR="004963D1" w:rsidRPr="008628BE">
              <w:t>,</w:t>
            </w:r>
            <w:r w:rsidRPr="008628BE">
              <w:t>3</w:t>
            </w:r>
            <w:r w:rsidR="00C6434D" w:rsidRPr="008628BE">
              <w:t>51</w:t>
            </w:r>
          </w:p>
        </w:tc>
      </w:tr>
      <w:tr w:rsidR="00F209FD" w:rsidRPr="008628BE" w:rsidTr="003A1F64">
        <w:tc>
          <w:tcPr>
            <w:tcW w:w="6578" w:type="dxa"/>
          </w:tcPr>
          <w:p w:rsidR="00F209FD" w:rsidRPr="008628BE" w:rsidRDefault="00F209FD" w:rsidP="006E6275">
            <w:r w:rsidRPr="008628BE">
              <w:t xml:space="preserve">Total staff cases </w:t>
            </w:r>
          </w:p>
        </w:tc>
        <w:tc>
          <w:tcPr>
            <w:tcW w:w="2551" w:type="dxa"/>
          </w:tcPr>
          <w:p w:rsidR="00F209FD" w:rsidRPr="008628BE" w:rsidRDefault="00543499" w:rsidP="009935EA">
            <w:r w:rsidRPr="008628BE">
              <w:t>2</w:t>
            </w:r>
            <w:r w:rsidR="004963D1" w:rsidRPr="008628BE">
              <w:t>,</w:t>
            </w:r>
            <w:r w:rsidR="000F1E9E" w:rsidRPr="008628BE">
              <w:t>2</w:t>
            </w:r>
            <w:r w:rsidR="00C6434D" w:rsidRPr="008628BE">
              <w:t>27</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rsidR="00F209FD" w:rsidRPr="008628BE" w:rsidRDefault="009E42B3" w:rsidP="006E6275">
            <w:r w:rsidRPr="008628BE">
              <w:t>Recovered</w:t>
            </w:r>
            <w:r w:rsidR="00F209FD" w:rsidRPr="008628BE">
              <w:t xml:space="preserve"> staff cases</w:t>
            </w:r>
          </w:p>
        </w:tc>
        <w:tc>
          <w:tcPr>
            <w:tcW w:w="2551" w:type="dxa"/>
          </w:tcPr>
          <w:p w:rsidR="00F209FD" w:rsidRPr="008628BE" w:rsidRDefault="000F1E9E" w:rsidP="006E6275">
            <w:r w:rsidRPr="008628BE">
              <w:t>2</w:t>
            </w:r>
            <w:r w:rsidR="004963D1" w:rsidRPr="008628BE">
              <w:t>,</w:t>
            </w:r>
            <w:r w:rsidRPr="008628BE">
              <w:t>2</w:t>
            </w:r>
            <w:r w:rsidR="00C6434D" w:rsidRPr="008628BE">
              <w:t>27</w:t>
            </w:r>
          </w:p>
        </w:tc>
      </w:tr>
    </w:tbl>
    <w:p w:rsidR="00F209FD" w:rsidRPr="008628BE" w:rsidRDefault="00F209FD" w:rsidP="00624AC1">
      <w:pPr>
        <w:pStyle w:val="Heading1"/>
        <w:pageBreakBefore/>
      </w:pPr>
      <w:r w:rsidRPr="008628BE">
        <w:lastRenderedPageBreak/>
        <w:t>Analysis</w:t>
      </w:r>
    </w:p>
    <w:p w:rsidR="00F209FD" w:rsidRPr="008628BE" w:rsidRDefault="00F209FD" w:rsidP="004F4537">
      <w:pPr>
        <w:pStyle w:val="Heading2"/>
        <w:rPr>
          <w:rFonts w:eastAsia="Calibri"/>
        </w:rPr>
      </w:pPr>
      <w:r w:rsidRPr="008628BE">
        <w:rPr>
          <w:rFonts w:eastAsia="Calibri"/>
        </w:rPr>
        <w:t>Current situation in Australia</w:t>
      </w:r>
    </w:p>
    <w:p w:rsidR="009656BE" w:rsidRPr="008628BE" w:rsidRDefault="00B92768" w:rsidP="006E6275">
      <w:r w:rsidRPr="00A37E6B">
        <w:t xml:space="preserve">In Australia, a total of </w:t>
      </w:r>
      <w:r w:rsidR="004E33D4" w:rsidRPr="00A37E6B">
        <w:t>29,</w:t>
      </w:r>
      <w:r w:rsidR="002063D7">
        <w:t>385</w:t>
      </w:r>
      <w:r w:rsidR="002063D7" w:rsidRPr="00A37E6B">
        <w:t xml:space="preserve"> </w:t>
      </w:r>
      <w:r w:rsidR="00F209FD" w:rsidRPr="00A37E6B">
        <w:t>cases of COVID-19 hav</w:t>
      </w:r>
      <w:r w:rsidRPr="00A37E6B">
        <w:t xml:space="preserve">e been reported, including </w:t>
      </w:r>
      <w:r w:rsidR="002063D7">
        <w:t>145</w:t>
      </w:r>
      <w:r w:rsidR="00074221">
        <w:rPr>
          <w:rStyle w:val="FootnoteReference"/>
        </w:rPr>
        <w:footnoteReference w:id="4"/>
      </w:r>
      <w:r w:rsidR="00A37E6B" w:rsidRPr="00A37E6B">
        <w:t xml:space="preserve"> </w:t>
      </w:r>
      <w:r w:rsidR="00F209FD" w:rsidRPr="00A37E6B">
        <w:t xml:space="preserve">active cases and </w:t>
      </w:r>
      <w:r w:rsidR="009E2F97" w:rsidRPr="00A37E6B">
        <w:t>909</w:t>
      </w:r>
      <w:r w:rsidR="00F209FD" w:rsidRPr="00AE31FB">
        <w:t xml:space="preserve"> deaths.</w:t>
      </w:r>
    </w:p>
    <w:p w:rsidR="00CE74D3" w:rsidRPr="008628BE" w:rsidRDefault="00CE74D3" w:rsidP="00CE74D3">
      <w:r w:rsidRPr="008628BE">
        <w:t>As at</w:t>
      </w:r>
      <w:r w:rsidR="002168E4">
        <w:t xml:space="preserve"> 8:00am</w:t>
      </w:r>
      <w:r w:rsidRPr="008628BE">
        <w:t xml:space="preserve"> </w:t>
      </w:r>
      <w:r w:rsidR="00563DDB">
        <w:t xml:space="preserve">9 </w:t>
      </w:r>
      <w:r w:rsidR="00243542">
        <w:t>April</w:t>
      </w:r>
      <w:r w:rsidRPr="008628BE">
        <w:t xml:space="preserve"> 2021, there are no active cases of COVID-19 in a staff member in a Commonwealth funded aged care service.</w:t>
      </w:r>
    </w:p>
    <w:p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563DDB">
        <w:t xml:space="preserve">9 </w:t>
      </w:r>
      <w:r w:rsidR="00243542">
        <w:t>April</w:t>
      </w:r>
      <w:r w:rsidR="00FC2516" w:rsidRPr="008628BE">
        <w:t xml:space="preserve"> 2021</w:t>
      </w:r>
      <w:r w:rsidR="00BF7765" w:rsidRPr="008628BE">
        <w:t xml:space="preserve">, there are no active cases in residential aged care recipients. </w:t>
      </w:r>
    </w:p>
    <w:p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50736AAA" wp14:editId="76CFD1C6">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fldSimple w:instr=" SEQ Figure \* ARABIC ">
        <w:r w:rsidR="00693D80">
          <w:rPr>
            <w:noProof/>
          </w:rPr>
          <w:t>1</w:t>
        </w:r>
      </w:fldSimple>
      <w:r w:rsidR="00F209FD" w:rsidRPr="008628BE">
        <w:t>: Distribution of Australian residential aged care facilities by total number of cases of COVID-19 (includes staff and resident cases)</w:t>
      </w:r>
    </w:p>
    <w:p w:rsidR="003F705F" w:rsidRPr="008628BE" w:rsidRDefault="002F552B" w:rsidP="006E6275">
      <w:r w:rsidRPr="008628BE">
        <w:t>Of the 2</w:t>
      </w:r>
      <w:r w:rsidR="000F1E9E" w:rsidRPr="008628BE">
        <w:t>1</w:t>
      </w:r>
      <w:r w:rsidR="00802BE1">
        <w:t>4</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rsidR="004963D1" w:rsidRPr="008628BE" w:rsidRDefault="004963D1" w:rsidP="006E6275"/>
    <w:p w:rsidR="004963D1" w:rsidRPr="008628BE" w:rsidRDefault="004963D1">
      <w:pPr>
        <w:widowControl/>
        <w:spacing w:before="0" w:after="160" w:line="259" w:lineRule="auto"/>
      </w:pPr>
      <w:r w:rsidRPr="008628BE">
        <w:br w:type="page"/>
      </w:r>
    </w:p>
    <w:p w:rsidR="0032048B" w:rsidRDefault="00CC1D7D" w:rsidP="00180A91">
      <w:pPr>
        <w:rPr>
          <w:b/>
          <w:highlight w:val="yellow"/>
        </w:rPr>
      </w:pPr>
      <w:r w:rsidRPr="00CC1D7D">
        <w:rPr>
          <w:b/>
          <w:noProof/>
          <w:lang w:eastAsia="en-AU"/>
        </w:rPr>
        <w:lastRenderedPageBreak/>
        <w:drawing>
          <wp:inline distT="0" distB="0" distL="0" distR="0" wp14:anchorId="1DAF86DA" wp14:editId="71D51EA7">
            <wp:extent cx="5731510" cy="3396450"/>
            <wp:effectExtent l="0" t="0" r="2540" b="0"/>
            <wp:docPr id="4" name="Picture 4" descr="U:\Documents\2021-04-08 - Aged care COVID-19 cases by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04-08 -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396450"/>
                    </a:xfrm>
                    <a:prstGeom prst="rect">
                      <a:avLst/>
                    </a:prstGeom>
                    <a:noFill/>
                    <a:ln>
                      <a:noFill/>
                    </a:ln>
                  </pic:spPr>
                </pic:pic>
              </a:graphicData>
            </a:graphic>
          </wp:inline>
        </w:drawing>
      </w:r>
    </w:p>
    <w:p w:rsidR="00E6520E" w:rsidRPr="00703FB5" w:rsidRDefault="00E6520E" w:rsidP="00180A91">
      <w:pPr>
        <w:rPr>
          <w:b/>
        </w:rPr>
      </w:pPr>
      <w:r w:rsidRPr="00703FB5">
        <w:rPr>
          <w:b/>
        </w:rPr>
        <w:t>Figure 2: Number of daily reported COVID-19 cases in Australian residential aged care facilities overlayed with national locally acquired cases</w:t>
      </w:r>
      <w:r w:rsidRPr="00703FB5">
        <w:rPr>
          <w:rStyle w:val="FootnoteReference"/>
          <w:b/>
        </w:rPr>
        <w:footnoteReference w:id="5"/>
      </w:r>
      <w:r w:rsidRPr="00703FB5">
        <w:rPr>
          <w:b/>
        </w:rPr>
        <w:t xml:space="preserve">. </w:t>
      </w:r>
    </w:p>
    <w:p w:rsidR="006A4D63" w:rsidRPr="00703FB5" w:rsidRDefault="006E6275" w:rsidP="004F4537">
      <w:pPr>
        <w:pStyle w:val="Heading2"/>
        <w:rPr>
          <w:rFonts w:eastAsia="Calibri"/>
        </w:rPr>
      </w:pPr>
      <w:r w:rsidRPr="00703FB5">
        <w:t>International comparisons</w:t>
      </w:r>
    </w:p>
    <w:p w:rsidR="00805942" w:rsidRPr="009A1802" w:rsidRDefault="00805942" w:rsidP="00805942">
      <w:r w:rsidRPr="009A1802">
        <w:t xml:space="preserve">During the COVID-19 pandemic, no country has been able to avoid outbreaks or deaths in residential aged care when there has been widespread community transmission. </w:t>
      </w:r>
    </w:p>
    <w:p w:rsidR="00805942" w:rsidRPr="00C8044A" w:rsidRDefault="00805942" w:rsidP="00805942">
      <w:r w:rsidRPr="00E918DD">
        <w:t>The</w:t>
      </w:r>
      <w:r w:rsidRPr="00C8044A">
        <w:t xml:space="preserve"> Australian death rate is 0.37 per cent (3.7 in 1,000) against the total number of residential aged care beds across the country.</w:t>
      </w:r>
    </w:p>
    <w:p w:rsidR="00A50807" w:rsidRDefault="00A50807" w:rsidP="00A50807">
      <w:pPr>
        <w:pStyle w:val="Heading2"/>
        <w:rPr>
          <w:b w:val="0"/>
        </w:rPr>
      </w:pPr>
      <w:r w:rsidRPr="00A50807">
        <w:rPr>
          <w:b w:val="0"/>
        </w:rPr>
        <w:t xml:space="preserve">By comparison, Canada has experienced more than 21 times the number of deaths in care homes; than Australia as at </w:t>
      </w:r>
      <w:r w:rsidR="002A03C3">
        <w:rPr>
          <w:b w:val="0"/>
        </w:rPr>
        <w:t>9</w:t>
      </w:r>
      <w:r w:rsidR="002A03C3" w:rsidRPr="00A50807">
        <w:rPr>
          <w:b w:val="0"/>
        </w:rPr>
        <w:t xml:space="preserve"> </w:t>
      </w:r>
      <w:r w:rsidR="002A03C3">
        <w:rPr>
          <w:b w:val="0"/>
        </w:rPr>
        <w:t>April</w:t>
      </w:r>
      <w:r w:rsidRPr="00A50807">
        <w:rPr>
          <w:b w:val="0"/>
        </w:rPr>
        <w:t xml:space="preserve"> 2021. </w:t>
      </w:r>
    </w:p>
    <w:p w:rsidR="00A50807" w:rsidRPr="00703FB5" w:rsidRDefault="00A50807" w:rsidP="00F655D8">
      <w:pPr>
        <w:pStyle w:val="Heading2"/>
        <w:numPr>
          <w:ilvl w:val="0"/>
          <w:numId w:val="27"/>
        </w:numPr>
        <w:rPr>
          <w:b w:val="0"/>
        </w:rPr>
      </w:pPr>
      <w:r w:rsidRPr="00A50807">
        <w:rPr>
          <w:b w:val="0"/>
        </w:rPr>
        <w:t xml:space="preserve">As at </w:t>
      </w:r>
      <w:r w:rsidR="002063D7">
        <w:rPr>
          <w:b w:val="0"/>
        </w:rPr>
        <w:t xml:space="preserve">9 </w:t>
      </w:r>
      <w:r w:rsidR="002168E4">
        <w:rPr>
          <w:b w:val="0"/>
        </w:rPr>
        <w:t>April</w:t>
      </w:r>
      <w:r w:rsidRPr="00A50807">
        <w:rPr>
          <w:b w:val="0"/>
        </w:rPr>
        <w:t xml:space="preserve"> 2021, Canada had experienced 22,238 deaths – 14,</w:t>
      </w:r>
      <w:r w:rsidR="002063D7">
        <w:rPr>
          <w:b w:val="0"/>
        </w:rPr>
        <w:t>814</w:t>
      </w:r>
      <w:r w:rsidR="002063D7" w:rsidRPr="00A50807">
        <w:rPr>
          <w:b w:val="0"/>
        </w:rPr>
        <w:t xml:space="preserve"> </w:t>
      </w:r>
      <w:r w:rsidRPr="00A50807">
        <w:rPr>
          <w:b w:val="0"/>
        </w:rPr>
        <w:t>(or 67 per cent) in care homes.</w:t>
      </w:r>
    </w:p>
    <w:p w:rsidR="007710BC" w:rsidRPr="008628BE" w:rsidRDefault="007710BC" w:rsidP="004F4537">
      <w:pPr>
        <w:pStyle w:val="Heading2"/>
      </w:pPr>
      <w:r w:rsidRPr="008628BE">
        <w:t>Influenza cases and influenza-associated deaths</w:t>
      </w:r>
    </w:p>
    <w:p w:rsidR="007710BC" w:rsidRPr="008628BE" w:rsidRDefault="007710BC" w:rsidP="00327282">
      <w:r w:rsidRPr="008628BE">
        <w:t>Sadly influenza kills many elderly Australians each year many of whom live in aged care facilities.</w:t>
      </w:r>
    </w:p>
    <w:p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6"/>
      </w:r>
      <w:r w:rsidR="009421F8" w:rsidRPr="008628BE">
        <w:t>.</w:t>
      </w:r>
    </w:p>
    <w:p w:rsidR="007710BC" w:rsidRPr="008628BE" w:rsidRDefault="007710BC" w:rsidP="00327282">
      <w:r w:rsidRPr="008628BE">
        <w:t>Notification data for influenza by accommodation setting is not reported to the National Notifiable Disease Surveillance System (NNDSS).</w:t>
      </w:r>
    </w:p>
    <w:p w:rsidR="007710BC" w:rsidRPr="008628BE" w:rsidRDefault="007710BC" w:rsidP="00327282">
      <w:r w:rsidRPr="008628BE">
        <w:lastRenderedPageBreak/>
        <w:t>The following data represents persons aged 65 and over for all accommodation settings. In those aged over 65 years, in the period 1 January to 31 December for each year</w:t>
      </w:r>
      <w:r w:rsidR="009421F8" w:rsidRPr="008628BE">
        <w:t>*:</w:t>
      </w:r>
    </w:p>
    <w:p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rsidR="007710BC" w:rsidRPr="008628BE" w:rsidRDefault="007710BC" w:rsidP="00327282">
      <w:pPr>
        <w:pStyle w:val="ListParagraph"/>
        <w:numPr>
          <w:ilvl w:val="0"/>
          <w:numId w:val="24"/>
        </w:numPr>
      </w:pPr>
      <w:r w:rsidRPr="008628BE">
        <w:t>In 2018, 115 older Australians died from influenza.</w:t>
      </w:r>
    </w:p>
    <w:p w:rsidR="007710BC" w:rsidRPr="008628BE" w:rsidRDefault="007710BC" w:rsidP="00327282">
      <w:pPr>
        <w:pStyle w:val="ListParagraph"/>
        <w:numPr>
          <w:ilvl w:val="0"/>
          <w:numId w:val="24"/>
        </w:numPr>
      </w:pPr>
      <w:r w:rsidRPr="008628BE">
        <w:t>In 2019, 839 older Australians died from influenza.</w:t>
      </w:r>
    </w:p>
    <w:p w:rsidR="007710BC" w:rsidRPr="008628BE" w:rsidRDefault="007710BC" w:rsidP="00327282">
      <w:pPr>
        <w:pStyle w:val="ListParagraph"/>
        <w:numPr>
          <w:ilvl w:val="0"/>
          <w:numId w:val="24"/>
        </w:numPr>
      </w:pPr>
      <w:r w:rsidRPr="008628BE">
        <w:t>In 2020, 28 older Australians died from influenza.</w:t>
      </w:r>
    </w:p>
    <w:p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rsidR="00F209FD" w:rsidRPr="008628BE" w:rsidRDefault="00F209FD" w:rsidP="004F4537">
      <w:pPr>
        <w:pStyle w:val="Heading2"/>
      </w:pPr>
      <w:r w:rsidRPr="008628BE">
        <w:t xml:space="preserve">Workforce in active residential aged care outbreaks </w:t>
      </w:r>
    </w:p>
    <w:p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rsidR="00F209FD" w:rsidRPr="008628BE" w:rsidRDefault="004F4537" w:rsidP="004F4537">
      <w:pPr>
        <w:pStyle w:val="Caption"/>
      </w:pPr>
      <w:r w:rsidRPr="008628BE">
        <w:t xml:space="preserve">Table </w:t>
      </w:r>
      <w:fldSimple w:instr=" SEQ Table \* ARABIC ">
        <w:r w:rsidR="00693D80">
          <w:rPr>
            <w:noProof/>
          </w:rPr>
          <w:t>2</w:t>
        </w:r>
      </w:fldSimple>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8628BE" w:rsidRDefault="00F209FD" w:rsidP="006E6275">
            <w:r w:rsidRPr="008628BE">
              <w:t>Agency</w:t>
            </w:r>
          </w:p>
        </w:tc>
        <w:tc>
          <w:tcPr>
            <w:tcW w:w="5760" w:type="dxa"/>
            <w:vAlign w:val="bottom"/>
          </w:tcPr>
          <w:p w:rsidR="00F209FD" w:rsidRPr="008628BE" w:rsidRDefault="00F209FD" w:rsidP="00627D7C">
            <w:r w:rsidRPr="008628BE">
              <w:t>Resources Supplied</w:t>
            </w:r>
            <w:r w:rsidR="00460B4C" w:rsidRPr="008628BE">
              <w:t xml:space="preserve"> (as at </w:t>
            </w:r>
            <w:r w:rsidR="008B7AAB">
              <w:t>4 April</w:t>
            </w:r>
            <w:r w:rsidR="008B7AAB" w:rsidRPr="008628BE">
              <w:t xml:space="preserve"> </w:t>
            </w:r>
            <w:r w:rsidR="00805942" w:rsidRPr="008628BE">
              <w:t>2021</w:t>
            </w:r>
            <w:r w:rsidR="00B76679"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State and NACER (National Aged Care Emergency Response) Teams</w:t>
            </w:r>
          </w:p>
        </w:tc>
        <w:tc>
          <w:tcPr>
            <w:tcW w:w="5760" w:type="dxa"/>
          </w:tcPr>
          <w:p w:rsidR="00B44044" w:rsidRPr="008628BE" w:rsidRDefault="00B44044" w:rsidP="006E6275">
            <w:r w:rsidRPr="008628BE">
              <w:t>Tasmanian Government: 7 clinical and 2 support staff.</w:t>
            </w:r>
          </w:p>
          <w:p w:rsidR="00B44044" w:rsidRPr="008628BE" w:rsidRDefault="00B44044" w:rsidP="006E6275">
            <w:r w:rsidRPr="008628BE">
              <w:t>Western Australian Government: 19 clinical personnel and 4 support staff.</w:t>
            </w:r>
          </w:p>
          <w:p w:rsidR="00B44044" w:rsidRPr="008628BE" w:rsidRDefault="00B44044" w:rsidP="006E6275">
            <w:r w:rsidRPr="008628BE">
              <w:t xml:space="preserve">South Australian Government: 18 clinical personnel and </w:t>
            </w:r>
            <w:r w:rsidRPr="008628BE">
              <w:br/>
              <w:t>4 support staff.</w:t>
            </w:r>
          </w:p>
          <w:p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rsidTr="0042292B">
        <w:trPr>
          <w:trHeight w:val="287"/>
        </w:trPr>
        <w:tc>
          <w:tcPr>
            <w:tcW w:w="3256" w:type="dxa"/>
          </w:tcPr>
          <w:p w:rsidR="00F209FD" w:rsidRPr="008628BE" w:rsidRDefault="00F209FD" w:rsidP="006E6275">
            <w:r w:rsidRPr="008628BE">
              <w:t xml:space="preserve">AUSMAT </w:t>
            </w:r>
          </w:p>
        </w:tc>
        <w:tc>
          <w:tcPr>
            <w:tcW w:w="5760" w:type="dxa"/>
          </w:tcPr>
          <w:p w:rsidR="00F209FD" w:rsidRPr="008628BE" w:rsidRDefault="00F209FD" w:rsidP="00607B5C">
            <w:r w:rsidRPr="008628BE">
              <w:t>Completed 174 visits to 80 aged care facilities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Australian Defence Force </w:t>
            </w:r>
          </w:p>
        </w:tc>
        <w:tc>
          <w:tcPr>
            <w:tcW w:w="5760" w:type="dxa"/>
          </w:tcPr>
          <w:p w:rsidR="00B11603" w:rsidRPr="008628BE" w:rsidRDefault="0070110C" w:rsidP="00DC6C8B">
            <w:r w:rsidRPr="008628BE">
              <w:t>Have visited 5</w:t>
            </w:r>
            <w:r w:rsidR="00DD45B8" w:rsidRPr="008628BE">
              <w:t>93</w:t>
            </w:r>
            <w:r w:rsidR="00F209FD" w:rsidRPr="008628BE">
              <w:t xml:space="preserve"> facilities conducting clinical screens</w:t>
            </w:r>
            <w:r w:rsidR="00E95740" w:rsidRPr="008628BE">
              <w:t>, and conducted a total num</w:t>
            </w:r>
            <w:r w:rsidR="00DD45B8" w:rsidRPr="008628BE">
              <w:t>ber of 679</w:t>
            </w:r>
            <w:r w:rsidR="0075124E" w:rsidRPr="008628BE">
              <w:t xml:space="preserve"> preventative support visits.</w:t>
            </w:r>
          </w:p>
        </w:tc>
      </w:tr>
      <w:tr w:rsidR="00F209FD" w:rsidRPr="008628BE" w:rsidTr="0042292B">
        <w:trPr>
          <w:trHeight w:val="287"/>
        </w:trPr>
        <w:tc>
          <w:tcPr>
            <w:tcW w:w="3256" w:type="dxa"/>
          </w:tcPr>
          <w:p w:rsidR="00F209FD" w:rsidRPr="008628BE" w:rsidRDefault="00F209FD" w:rsidP="006E6275">
            <w:r w:rsidRPr="008628BE">
              <w:t xml:space="preserve">Recruitment, Consulting, and Staffing Association (RCSA) </w:t>
            </w:r>
          </w:p>
        </w:tc>
        <w:tc>
          <w:tcPr>
            <w:tcW w:w="5760" w:type="dxa"/>
          </w:tcPr>
          <w:p w:rsidR="00F209FD" w:rsidRPr="008628BE" w:rsidRDefault="00B76679" w:rsidP="00607B5C">
            <w:r w:rsidRPr="008628BE">
              <w:t>Staff supplied to fill 2</w:t>
            </w:r>
            <w:r w:rsidR="0037788F" w:rsidRPr="008628BE">
              <w:t>4,</w:t>
            </w:r>
            <w:r w:rsidR="00380552" w:rsidRPr="008628BE">
              <w:t>746</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lastRenderedPageBreak/>
              <w:t xml:space="preserve">Healthcare Australia </w:t>
            </w:r>
          </w:p>
        </w:tc>
        <w:tc>
          <w:tcPr>
            <w:tcW w:w="5760" w:type="dxa"/>
          </w:tcPr>
          <w:p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Mable </w:t>
            </w:r>
          </w:p>
        </w:tc>
        <w:tc>
          <w:tcPr>
            <w:tcW w:w="5760" w:type="dxa"/>
          </w:tcPr>
          <w:p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Aspen Medical </w:t>
            </w:r>
          </w:p>
        </w:tc>
        <w:tc>
          <w:tcPr>
            <w:tcW w:w="5760" w:type="dxa"/>
          </w:tcPr>
          <w:p w:rsidR="00F209FD" w:rsidRPr="008628BE" w:rsidRDefault="00B76679" w:rsidP="00467248">
            <w:r w:rsidRPr="008628BE">
              <w:t xml:space="preserve">Supplied </w:t>
            </w:r>
            <w:r w:rsidR="002759CA" w:rsidRPr="008628BE">
              <w:t>270</w:t>
            </w:r>
            <w:r w:rsidR="00793049" w:rsidRPr="008628BE">
              <w:t xml:space="preserve"> </w:t>
            </w:r>
            <w:r w:rsidRPr="008628BE">
              <w:t xml:space="preserve">staff to fill </w:t>
            </w:r>
            <w:r w:rsidR="00E57139" w:rsidRPr="008628BE">
              <w:t>7</w:t>
            </w:r>
            <w:r w:rsidR="00DE5817">
              <w:t>50</w:t>
            </w:r>
            <w:r w:rsidR="00E57139"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Health X </w:t>
            </w:r>
          </w:p>
        </w:tc>
        <w:tc>
          <w:tcPr>
            <w:tcW w:w="5760" w:type="dxa"/>
          </w:tcPr>
          <w:p w:rsidR="00F209FD" w:rsidRPr="008628BE" w:rsidRDefault="0037788F" w:rsidP="00B825BB">
            <w:r w:rsidRPr="008628BE">
              <w:t xml:space="preserve">Supplied </w:t>
            </w:r>
            <w:r w:rsidR="00805942" w:rsidRPr="008628BE">
              <w:t>40</w:t>
            </w:r>
            <w:r w:rsidR="00B76679" w:rsidRPr="008628BE">
              <w:t xml:space="preserve"> staff to fill </w:t>
            </w:r>
            <w:r w:rsidR="008F1F6C">
              <w:t>1</w:t>
            </w:r>
            <w:r w:rsidR="003B3B60">
              <w:t>,</w:t>
            </w:r>
            <w:r w:rsidR="00D905A1">
              <w:t>7</w:t>
            </w:r>
            <w:r w:rsidR="00DE5817">
              <w:t>9</w:t>
            </w:r>
            <w:r w:rsidR="00D905A1">
              <w:t>9</w:t>
            </w:r>
            <w:r w:rsidR="00D905A1" w:rsidRPr="008628BE">
              <w:t xml:space="preserve"> </w:t>
            </w:r>
            <w:r w:rsidR="00F209FD" w:rsidRPr="008628BE">
              <w:t>shifts</w:t>
            </w:r>
            <w:r w:rsidR="00E95740" w:rsidRPr="008628BE">
              <w:t>.</w:t>
            </w:r>
          </w:p>
        </w:tc>
      </w:tr>
      <w:tr w:rsidR="00B76679"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8628BE" w:rsidRDefault="00B76679" w:rsidP="006E6275">
            <w:r w:rsidRPr="008628BE">
              <w:t>Torrens</w:t>
            </w:r>
            <w:r w:rsidR="00694647" w:rsidRPr="008628BE">
              <w:t xml:space="preserve"> Health</w:t>
            </w:r>
          </w:p>
        </w:tc>
        <w:tc>
          <w:tcPr>
            <w:tcW w:w="5760" w:type="dxa"/>
          </w:tcPr>
          <w:p w:rsidR="00B76679" w:rsidRPr="008628BE" w:rsidRDefault="003F0363" w:rsidP="00607B5C">
            <w:r w:rsidRPr="008628BE">
              <w:t>Supplied</w:t>
            </w:r>
            <w:r w:rsidR="00B76679" w:rsidRPr="008628BE">
              <w:t xml:space="preserve"> </w:t>
            </w:r>
            <w:r w:rsidR="00521A22" w:rsidRPr="008628BE">
              <w:t>1,</w:t>
            </w:r>
            <w:r w:rsidR="00805942" w:rsidRPr="008628BE">
              <w:t>20</w:t>
            </w:r>
            <w:r w:rsidR="00E57139" w:rsidRPr="008628BE">
              <w:t>8</w:t>
            </w:r>
            <w:r w:rsidR="00521A22" w:rsidRPr="008628BE">
              <w:t xml:space="preserve"> 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F209FD" w:rsidRPr="008628BE" w:rsidTr="0042292B">
        <w:trPr>
          <w:trHeight w:val="287"/>
        </w:trPr>
        <w:tc>
          <w:tcPr>
            <w:tcW w:w="3256" w:type="dxa"/>
          </w:tcPr>
          <w:p w:rsidR="00F209FD" w:rsidRPr="008628BE" w:rsidRDefault="00F209FD" w:rsidP="006E6275">
            <w:r w:rsidRPr="008628BE">
              <w:t xml:space="preserve">Western Health </w:t>
            </w:r>
          </w:p>
        </w:tc>
        <w:tc>
          <w:tcPr>
            <w:tcW w:w="5760" w:type="dxa"/>
          </w:tcPr>
          <w:p w:rsidR="00F209FD" w:rsidRPr="008628BE" w:rsidRDefault="00F209FD" w:rsidP="00607B5C">
            <w:r w:rsidRPr="008628BE">
              <w:t xml:space="preserve">Visited 37 facilities to provide assistance. </w:t>
            </w:r>
            <w:r w:rsidR="00A33802" w:rsidRPr="008628BE">
              <w:t>Agency is continuing to provide support to one aged care facility.</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Residential Aged Care Assistants (RACA)</w:t>
            </w:r>
          </w:p>
        </w:tc>
        <w:tc>
          <w:tcPr>
            <w:tcW w:w="5760" w:type="dxa"/>
          </w:tcPr>
          <w:p w:rsidR="00F209FD" w:rsidRPr="008628BE" w:rsidRDefault="00F209FD" w:rsidP="00607B5C">
            <w:r w:rsidRPr="008628BE">
              <w:t xml:space="preserve">Supplied </w:t>
            </w:r>
            <w:r w:rsidR="003F0363" w:rsidRPr="008628BE">
              <w:t>54</w:t>
            </w:r>
            <w:r w:rsidRPr="008628BE">
              <w:t xml:space="preserve"> RACAs to </w:t>
            </w:r>
            <w:r w:rsidR="003F0363" w:rsidRPr="008628BE">
              <w:t>six</w:t>
            </w:r>
            <w:r w:rsidRPr="008628BE">
              <w:t xml:space="preserve"> facilities that have completed </w:t>
            </w:r>
            <w:r w:rsidR="00065DAD" w:rsidRPr="008628BE">
              <w:br/>
            </w:r>
            <w:r w:rsidR="00EA061D" w:rsidRPr="008628BE">
              <w:t>8</w:t>
            </w:r>
            <w:r w:rsidR="008D3473" w:rsidRPr="008628BE">
              <w:t>32</w:t>
            </w:r>
            <w:r w:rsidRPr="008628BE">
              <w:t xml:space="preserve"> shifts</w:t>
            </w:r>
            <w:r w:rsidR="00E95740" w:rsidRPr="008628BE">
              <w:t>.</w:t>
            </w:r>
          </w:p>
        </w:tc>
      </w:tr>
      <w:tr w:rsidR="00F209FD" w:rsidRPr="008628BE" w:rsidTr="0042292B">
        <w:trPr>
          <w:trHeight w:val="287"/>
        </w:trPr>
        <w:tc>
          <w:tcPr>
            <w:tcW w:w="3256" w:type="dxa"/>
          </w:tcPr>
          <w:p w:rsidR="00F209FD" w:rsidRPr="008628BE" w:rsidRDefault="00F209FD" w:rsidP="006E6275">
            <w:r w:rsidRPr="008628BE">
              <w:t>Residential Aged Care Safety Observers (RACSO)</w:t>
            </w:r>
          </w:p>
        </w:tc>
        <w:tc>
          <w:tcPr>
            <w:tcW w:w="5760" w:type="dxa"/>
          </w:tcPr>
          <w:p w:rsidR="00F209FD" w:rsidRPr="008628BE" w:rsidRDefault="00F209FD" w:rsidP="00607B5C">
            <w:r w:rsidRPr="008628BE">
              <w:t xml:space="preserve">Supplied </w:t>
            </w:r>
            <w:r w:rsidR="00F27B45" w:rsidRPr="008628BE">
              <w:t>47</w:t>
            </w:r>
            <w:r w:rsidRPr="008628BE">
              <w:t xml:space="preserve"> RACSOs to </w:t>
            </w:r>
            <w:r w:rsidR="003F0363" w:rsidRPr="008628BE">
              <w:t>18</w:t>
            </w:r>
            <w:r w:rsidRPr="008628BE">
              <w:t xml:space="preserve"> facilities that have completed </w:t>
            </w:r>
            <w:r w:rsidR="00F27B45" w:rsidRPr="008628BE">
              <w:t>1,</w:t>
            </w:r>
            <w:r w:rsidR="008D3473" w:rsidRPr="008628BE">
              <w:t>3</w:t>
            </w:r>
            <w:r w:rsidR="00362415" w:rsidRPr="008628BE">
              <w:t>46</w:t>
            </w:r>
            <w:r w:rsidRPr="008628BE">
              <w:t xml:space="preserve"> shifts</w:t>
            </w:r>
            <w:r w:rsidR="00E95740" w:rsidRPr="008628BE">
              <w:t>.</w:t>
            </w:r>
          </w:p>
        </w:tc>
      </w:tr>
      <w:tr w:rsidR="00B10BF6"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8628BE" w:rsidRDefault="00B10BF6" w:rsidP="006E6275">
            <w:r w:rsidRPr="008628BE">
              <w:t>Residential Aged Care Visitation Assistant (RACVA)</w:t>
            </w:r>
          </w:p>
        </w:tc>
        <w:tc>
          <w:tcPr>
            <w:tcW w:w="5760" w:type="dxa"/>
          </w:tcPr>
          <w:p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rsidR="002168E4" w:rsidRDefault="002168E4" w:rsidP="004F4537">
      <w:pPr>
        <w:pStyle w:val="Heading2"/>
      </w:pPr>
      <w:r>
        <w:t>Single site workforce</w:t>
      </w:r>
    </w:p>
    <w:p w:rsidR="002168E4" w:rsidRPr="00074221" w:rsidRDefault="002168E4" w:rsidP="005A02A7">
      <w:r>
        <w:t xml:space="preserve">Following the declaration of Greater Brisbane as a COVID-19 hot spot for the purposes of Commonwealth </w:t>
      </w:r>
      <w:r w:rsidR="006F3759">
        <w:t>support,</w:t>
      </w:r>
      <w:r>
        <w:t xml:space="preserve"> </w:t>
      </w:r>
      <w:r w:rsidR="006F3759">
        <w:t>g</w:t>
      </w:r>
      <w:r>
        <w:t xml:space="preserve">rant funding to support single site arrangements </w:t>
      </w:r>
      <w:r w:rsidR="006F3759">
        <w:t>has been made</w:t>
      </w:r>
      <w:r>
        <w:t xml:space="preserve"> available </w:t>
      </w:r>
      <w:r w:rsidR="006F3759">
        <w:t xml:space="preserve">through the Support for Aged Care Workers </w:t>
      </w:r>
      <w:proofErr w:type="gramStart"/>
      <w:r w:rsidR="006F3759">
        <w:t>In</w:t>
      </w:r>
      <w:proofErr w:type="gramEnd"/>
      <w:r w:rsidR="006F3759">
        <w:t xml:space="preserve"> COVID-19 (SACWIC) grant.</w:t>
      </w:r>
    </w:p>
    <w:p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rsidR="00F209FD" w:rsidRPr="008628BE" w:rsidRDefault="00F209FD" w:rsidP="006E6275">
      <w:r w:rsidRPr="008628BE">
        <w:t>A range of resources and online training on the use of PPE is available on the Department’s website for aged care workers.</w:t>
      </w:r>
    </w:p>
    <w:p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rsidR="00211D84" w:rsidRDefault="00F209FD" w:rsidP="00211D84">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rsidR="00F46785" w:rsidRDefault="00F46785" w:rsidP="00F46785">
      <w:r>
        <w:t xml:space="preserve">As at </w:t>
      </w:r>
      <w:r w:rsidR="0065406E">
        <w:t>6 April</w:t>
      </w:r>
      <w:r w:rsidR="00D3646C">
        <w:t xml:space="preserve"> </w:t>
      </w:r>
      <w:r>
        <w:t>2021, the NMS has provided aged care facilities with approximately:</w:t>
      </w:r>
    </w:p>
    <w:p w:rsidR="00F46785" w:rsidRDefault="00F46785" w:rsidP="00F46785">
      <w:pPr>
        <w:pStyle w:val="ListParagraph"/>
        <w:numPr>
          <w:ilvl w:val="0"/>
          <w:numId w:val="26"/>
        </w:numPr>
      </w:pPr>
      <w:r>
        <w:t>20 million masks</w:t>
      </w:r>
    </w:p>
    <w:p w:rsidR="00F46785" w:rsidRDefault="00F46785" w:rsidP="00F46785">
      <w:pPr>
        <w:pStyle w:val="ListParagraph"/>
        <w:numPr>
          <w:ilvl w:val="0"/>
          <w:numId w:val="26"/>
        </w:numPr>
      </w:pPr>
      <w:r>
        <w:t>5 million gowns</w:t>
      </w:r>
    </w:p>
    <w:p w:rsidR="00F46785" w:rsidRDefault="00F46785" w:rsidP="00F46785">
      <w:pPr>
        <w:pStyle w:val="ListParagraph"/>
        <w:numPr>
          <w:ilvl w:val="0"/>
          <w:numId w:val="26"/>
        </w:numPr>
      </w:pPr>
      <w:r>
        <w:t>11 million gloves</w:t>
      </w:r>
    </w:p>
    <w:p w:rsidR="00F46785" w:rsidRDefault="00F46785" w:rsidP="00F46785">
      <w:pPr>
        <w:pStyle w:val="ListParagraph"/>
        <w:numPr>
          <w:ilvl w:val="0"/>
          <w:numId w:val="26"/>
        </w:numPr>
      </w:pPr>
      <w:r>
        <w:lastRenderedPageBreak/>
        <w:t>4 million goggles and face shields</w:t>
      </w:r>
    </w:p>
    <w:p w:rsidR="00F46785" w:rsidRDefault="00F46785" w:rsidP="00F46785">
      <w:pPr>
        <w:pStyle w:val="ListParagraph"/>
        <w:numPr>
          <w:ilvl w:val="0"/>
          <w:numId w:val="26"/>
        </w:numPr>
      </w:pPr>
      <w:r>
        <w:t>90,000 bottles of hand sanitiser</w:t>
      </w:r>
    </w:p>
    <w:p w:rsidR="00D711D9" w:rsidRPr="00211D84" w:rsidRDefault="00D711D9" w:rsidP="005A02A7">
      <w:pPr>
        <w:widowControl/>
        <w:spacing w:before="0" w:after="160" w:line="259" w:lineRule="auto"/>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rsidR="00F209FD" w:rsidRPr="008628BE" w:rsidRDefault="00F209FD" w:rsidP="00A86013">
      <w:pPr>
        <w:pStyle w:val="Heading2"/>
      </w:pPr>
      <w:r w:rsidRPr="008628BE">
        <w:t>Testing of aged care residents and staff</w:t>
      </w:r>
    </w:p>
    <w:p w:rsidR="00F209FD" w:rsidRPr="008628BE" w:rsidRDefault="00F209FD" w:rsidP="006E627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p>
    <w:p w:rsidR="002E6255" w:rsidRPr="005A02A7" w:rsidRDefault="00F209FD" w:rsidP="006E6275">
      <w:r w:rsidRPr="00B36B17">
        <w:t xml:space="preserve">As </w:t>
      </w:r>
      <w:r w:rsidR="008734EB" w:rsidRPr="00B36B17">
        <w:t xml:space="preserve">at </w:t>
      </w:r>
      <w:r w:rsidR="006368D3">
        <w:t xml:space="preserve">30 </w:t>
      </w:r>
      <w:r w:rsidR="008E030E">
        <w:t>March</w:t>
      </w:r>
      <w:r w:rsidR="004314CE" w:rsidRPr="00B36B17">
        <w:t xml:space="preserve"> 2021</w:t>
      </w:r>
      <w:r w:rsidRPr="00B36B17">
        <w:t>, So</w:t>
      </w:r>
      <w:r w:rsidR="00A035BE" w:rsidRPr="00B36B17">
        <w:t xml:space="preserve">nic Healthcare has conducted </w:t>
      </w:r>
      <w:r w:rsidR="006368D3">
        <w:t>344,018</w:t>
      </w:r>
      <w:r w:rsidR="000301B1">
        <w:t xml:space="preserve"> </w:t>
      </w:r>
      <w:r w:rsidR="00467248" w:rsidRPr="00B36B17">
        <w:t>COVID</w:t>
      </w:r>
      <w:r w:rsidR="00A035BE" w:rsidRPr="00B36B17">
        <w:noBreakHyphen/>
        <w:t xml:space="preserve">19 tests at </w:t>
      </w:r>
      <w:r w:rsidR="006368D3">
        <w:t>2,387</w:t>
      </w:r>
      <w:r w:rsidR="000301B1" w:rsidRPr="00B36B17">
        <w:t xml:space="preserve"> </w:t>
      </w:r>
      <w:r w:rsidRPr="00B36B17">
        <w:t>unique residential aged care faciliti</w:t>
      </w:r>
      <w:r w:rsidR="00383151" w:rsidRPr="00B36B17">
        <w:t xml:space="preserve">es nationally. This includes </w:t>
      </w:r>
      <w:r w:rsidR="006368D3">
        <w:t>289,392</w:t>
      </w:r>
      <w:r w:rsidR="00A035BE" w:rsidRPr="00B36B17">
        <w:t xml:space="preserve"> COVID</w:t>
      </w:r>
      <w:r w:rsidR="00A035BE" w:rsidRPr="00B36B17">
        <w:noBreakHyphen/>
        <w:t xml:space="preserve">19 tests at </w:t>
      </w:r>
      <w:r w:rsidR="000301B1">
        <w:t>730</w:t>
      </w:r>
      <w:r w:rsidR="000301B1" w:rsidRPr="00B36B17">
        <w:t xml:space="preserve"> </w:t>
      </w:r>
      <w:r w:rsidRPr="00B36B17">
        <w:t>unique residential ag</w:t>
      </w:r>
      <w:r w:rsidR="0042292B" w:rsidRPr="00B36B17">
        <w:t xml:space="preserve">ed care facilities in </w:t>
      </w:r>
      <w:r w:rsidR="002E6255" w:rsidRPr="00B36B17">
        <w:t>Victori</w:t>
      </w:r>
      <w:r w:rsidR="002168E4" w:rsidRPr="005A02A7">
        <w:t xml:space="preserve">a and </w:t>
      </w:r>
      <w:r w:rsidR="002168E4">
        <w:t>5,</w:t>
      </w:r>
      <w:r w:rsidR="006368D3">
        <w:t xml:space="preserve">867 </w:t>
      </w:r>
      <w:r w:rsidR="002168E4">
        <w:t xml:space="preserve">COVID-19 tests at </w:t>
      </w:r>
      <w:r w:rsidR="006368D3">
        <w:t xml:space="preserve">413 </w:t>
      </w:r>
      <w:r w:rsidR="002168E4">
        <w:t>unique residential aged care facilities in Queensland.</w:t>
      </w:r>
    </w:p>
    <w:p w:rsidR="00F209FD" w:rsidRDefault="002E6255" w:rsidP="006E6275">
      <w:r w:rsidRPr="008628BE">
        <w:t>Testing</w:t>
      </w:r>
      <w:r w:rsidR="00F209FD" w:rsidRPr="008628BE">
        <w:t xml:space="preserve"> regimens for residents and staff at aged care facilities that experience a COVID-19 outbreak is based on advice from the relevant Public Health Unit.</w:t>
      </w:r>
    </w:p>
    <w:p w:rsidR="00A72749" w:rsidRPr="00327801" w:rsidRDefault="00F0115C" w:rsidP="005B7285">
      <w:r>
        <w:t xml:space="preserve">In response to the recent outbreak, </w:t>
      </w:r>
      <w:r w:rsidR="009A54D5" w:rsidRPr="006D6F62">
        <w:t xml:space="preserve">Sonic, under contract with the Commonwealth, </w:t>
      </w:r>
      <w:r w:rsidR="00AB3448">
        <w:t xml:space="preserve">offered </w:t>
      </w:r>
      <w:r w:rsidR="009A54D5" w:rsidRPr="006D6F62">
        <w:t>targeted asymptomatic testing at</w:t>
      </w:r>
      <w:r w:rsidR="002168E4">
        <w:t xml:space="preserve"> </w:t>
      </w:r>
      <w:r w:rsidR="000F612D">
        <w:t>a number of</w:t>
      </w:r>
      <w:r w:rsidR="009A54D5" w:rsidRPr="006D6F62">
        <w:t xml:space="preserve"> facilities within the </w:t>
      </w:r>
      <w:r w:rsidR="00583C3D">
        <w:t>five</w:t>
      </w:r>
      <w:r w:rsidR="009A54D5" w:rsidRPr="006D6F62">
        <w:t xml:space="preserve"> greater Bri</w:t>
      </w:r>
      <w:r w:rsidR="009A54D5">
        <w:t>sbane Local Government Areas</w:t>
      </w:r>
      <w:r w:rsidR="00E07E0B">
        <w:t>.</w:t>
      </w:r>
    </w:p>
    <w:p w:rsidR="00E07E0B" w:rsidRPr="001B4A77" w:rsidRDefault="00E07E0B" w:rsidP="00327801">
      <w:pPr>
        <w:pStyle w:val="Heading2"/>
      </w:pPr>
      <w:r w:rsidRPr="001B4A77">
        <w:t>Vaccination in Residential Aged Care Facilities</w:t>
      </w:r>
    </w:p>
    <w:p w:rsidR="00E07E0B" w:rsidRDefault="00C62B72" w:rsidP="005B7285">
      <w:r w:rsidRPr="001B4A77">
        <w:t>The Australian Government has identified consumers and staff in RACFs as being high priority targets for</w:t>
      </w:r>
      <w:r w:rsidR="00A72749" w:rsidRPr="001B4A77">
        <w:t xml:space="preserve"> Phase 1 of</w:t>
      </w:r>
      <w:r w:rsidRPr="001B4A77">
        <w:t xml:space="preserve"> its vaccine rollout</w:t>
      </w:r>
      <w:r w:rsidR="00A72749" w:rsidRPr="001B4A77">
        <w:t>. They will be among the first to receive the vaccine</w:t>
      </w:r>
      <w:r w:rsidR="00AA1359" w:rsidRPr="001B4A77">
        <w:t xml:space="preserve"> (along with residents of disability facilities)</w:t>
      </w:r>
      <w:r w:rsidR="00A72749" w:rsidRPr="001B4A77">
        <w:t>.</w:t>
      </w:r>
    </w:p>
    <w:p w:rsidR="006042FE" w:rsidRDefault="005C11A4" w:rsidP="00DA250B">
      <w:pPr>
        <w:spacing w:line="240" w:lineRule="auto"/>
      </w:pPr>
      <w:r w:rsidRPr="005C11A4">
        <w:t xml:space="preserve">As at </w:t>
      </w:r>
      <w:r w:rsidR="008B7AAB">
        <w:t>9</w:t>
      </w:r>
      <w:r w:rsidR="00583C3D">
        <w:t xml:space="preserve"> April</w:t>
      </w:r>
      <w:r w:rsidRPr="005C11A4">
        <w:t xml:space="preserve"> 2021, over </w:t>
      </w:r>
      <w:r w:rsidR="008B7AAB">
        <w:t>133</w:t>
      </w:r>
      <w:r w:rsidR="00583C3D">
        <w:t>,</w:t>
      </w:r>
      <w:r w:rsidR="008B7AAB">
        <w:t>050</w:t>
      </w:r>
      <w:r w:rsidR="008B7AAB" w:rsidRPr="005C11A4">
        <w:t xml:space="preserve"> </w:t>
      </w:r>
      <w:r w:rsidRPr="005C11A4">
        <w:t xml:space="preserve">COVID-19 vaccine doses have been </w:t>
      </w:r>
      <w:r w:rsidR="00583C3D">
        <w:t>delivered</w:t>
      </w:r>
      <w:r w:rsidR="006042FE">
        <w:t xml:space="preserve"> in aged care facilities and disability accommodation. </w:t>
      </w:r>
    </w:p>
    <w:p w:rsidR="00775798" w:rsidRDefault="006042FE" w:rsidP="00DA250B">
      <w:pPr>
        <w:spacing w:line="240" w:lineRule="auto"/>
      </w:pPr>
      <w:r>
        <w:t xml:space="preserve">As at </w:t>
      </w:r>
      <w:r w:rsidR="008B7AAB">
        <w:t xml:space="preserve">9 </w:t>
      </w:r>
      <w:r w:rsidR="00583C3D">
        <w:t>April 2021</w:t>
      </w:r>
      <w:r>
        <w:t xml:space="preserve">, </w:t>
      </w:r>
      <w:r w:rsidR="008B7AAB">
        <w:t>1,052 </w:t>
      </w:r>
      <w:r w:rsidR="005C11A4" w:rsidRPr="005C11A4">
        <w:t>aged care facilit</w:t>
      </w:r>
      <w:r w:rsidR="005C11A4">
        <w:t>ies across Australia</w:t>
      </w:r>
      <w:r>
        <w:t xml:space="preserve"> have received the COVID-19 vaccine and of these,</w:t>
      </w:r>
      <w:r w:rsidR="005C11A4">
        <w:t xml:space="preserve"> </w:t>
      </w:r>
      <w:r w:rsidR="008B7AAB">
        <w:t>475</w:t>
      </w:r>
      <w:r w:rsidR="008B7AAB" w:rsidRPr="005C11A4">
        <w:t xml:space="preserve"> </w:t>
      </w:r>
      <w:r w:rsidR="005C11A4" w:rsidRPr="005C11A4">
        <w:t>have received a second dose visit.</w:t>
      </w:r>
    </w:p>
    <w:p w:rsidR="008A6912" w:rsidRPr="008A6912" w:rsidRDefault="008A6912" w:rsidP="008A6912">
      <w:pPr>
        <w:spacing w:line="240" w:lineRule="auto"/>
      </w:pPr>
      <w:r w:rsidRPr="008A6912">
        <w:t>In response to the COVID</w:t>
      </w:r>
      <w:r>
        <w:noBreakHyphen/>
        <w:t>19</w:t>
      </w:r>
      <w:r w:rsidRPr="008A6912">
        <w:t xml:space="preserve"> situation in Queensland, prioritisation has been given to vaccinating more than 100 additional residential aged care facilities</w:t>
      </w:r>
      <w:r w:rsidR="006E3411">
        <w:t>.</w:t>
      </w:r>
    </w:p>
    <w:p w:rsidR="008A6912" w:rsidRPr="008A6912" w:rsidRDefault="008A6912" w:rsidP="008A6912">
      <w:pPr>
        <w:spacing w:line="240" w:lineRule="auto"/>
      </w:pPr>
      <w:r w:rsidRPr="008A6912">
        <w:t>This will result in the vaccination of over 10,000 aged care residents in Queensland as a priority.</w:t>
      </w:r>
    </w:p>
    <w:p w:rsidR="008A6912" w:rsidRDefault="008A6912" w:rsidP="00DA250B">
      <w:pPr>
        <w:pStyle w:val="Heading2"/>
        <w:spacing w:before="0" w:after="0"/>
      </w:pPr>
    </w:p>
    <w:p w:rsidR="00F209FD" w:rsidRPr="008628BE" w:rsidRDefault="00F209FD" w:rsidP="00DA250B">
      <w:pPr>
        <w:pStyle w:val="Heading2"/>
        <w:spacing w:before="0" w:after="0"/>
      </w:pPr>
      <w:r w:rsidRPr="008628BE">
        <w:t>Infection control and audits</w:t>
      </w:r>
    </w:p>
    <w:p w:rsidR="00F209FD" w:rsidRPr="008628BE" w:rsidRDefault="00065DAD" w:rsidP="006E6275">
      <w:r w:rsidRPr="008628BE">
        <w:t xml:space="preserve">The Aged Care Quality and Safety Commission (Commission) </w:t>
      </w:r>
      <w:r w:rsidR="00E93DD8" w:rsidRPr="008628BE">
        <w:t>is conducting an ongoing infection control monitoring program in all Australian jurisdictions, working in partnership with local health authorities.</w:t>
      </w:r>
      <w:r w:rsidR="00A47D7F" w:rsidRPr="008628BE">
        <w:t xml:space="preserve"> This program is in addition to the Commission’s usual assessment and auditing program, and includes spot checks to residential aged care services, without an outbreak, to check compliance with PPE and infection control arrangements. </w:t>
      </w:r>
      <w:r w:rsidR="00F61AEB">
        <w:br/>
      </w:r>
      <w:r w:rsidR="00F209FD" w:rsidRPr="008628BE">
        <w:t>The purpose of the visit is to observe infection control practices, to ensure that staff, management and visitors are adhering to safe personal protective equipment protocols and to safe infection control arrangements</w:t>
      </w:r>
      <w:r w:rsidR="00F72FC6" w:rsidRPr="008628BE">
        <w:t xml:space="preserve"> as required under the quality standards</w:t>
      </w:r>
      <w:r w:rsidR="00F209FD" w:rsidRPr="008628BE">
        <w:t xml:space="preserve">. </w:t>
      </w:r>
    </w:p>
    <w:p w:rsidR="00B825BB" w:rsidRDefault="00D6241A" w:rsidP="00327801">
      <w:r w:rsidRPr="00C8044A">
        <w:t xml:space="preserve">Between </w:t>
      </w:r>
      <w:r w:rsidR="007902CA" w:rsidRPr="00C8044A">
        <w:t xml:space="preserve">1 March </w:t>
      </w:r>
      <w:r w:rsidR="00843466" w:rsidRPr="00C8044A">
        <w:t>2020</w:t>
      </w:r>
      <w:r w:rsidRPr="00C8044A">
        <w:t xml:space="preserve"> and </w:t>
      </w:r>
      <w:r w:rsidR="00B8546D">
        <w:t>8 April</w:t>
      </w:r>
      <w:r w:rsidRPr="00C8044A">
        <w:t xml:space="preserve"> 2021</w:t>
      </w:r>
      <w:r w:rsidR="00843466" w:rsidRPr="00C8044A">
        <w:t xml:space="preserve">, </w:t>
      </w:r>
      <w:r w:rsidR="007902CA" w:rsidRPr="00C8044A">
        <w:t xml:space="preserve">the Commission </w:t>
      </w:r>
      <w:r w:rsidRPr="00C8044A">
        <w:t>undertook</w:t>
      </w:r>
      <w:r w:rsidR="00053056" w:rsidRPr="00C8044A">
        <w:t xml:space="preserve"> </w:t>
      </w:r>
      <w:r w:rsidR="008C47B5" w:rsidRPr="00C8044A">
        <w:t>3</w:t>
      </w:r>
      <w:r w:rsidR="00ED532A">
        <w:t>,</w:t>
      </w:r>
      <w:r w:rsidR="00B8546D">
        <w:t>601</w:t>
      </w:r>
      <w:r w:rsidR="00ED532A" w:rsidRPr="00C8044A">
        <w:t xml:space="preserve"> </w:t>
      </w:r>
      <w:r w:rsidR="00EF6EA8" w:rsidRPr="00C8044A">
        <w:t>unannounced visits and announced/short notice visits nationally. During this period</w:t>
      </w:r>
      <w:r w:rsidR="007902CA" w:rsidRPr="00C8044A">
        <w:t xml:space="preserve"> </w:t>
      </w:r>
      <w:r w:rsidR="00FF43E4" w:rsidRPr="00C8044A">
        <w:t>2</w:t>
      </w:r>
      <w:r w:rsidR="00ED532A" w:rsidRPr="00C8044A">
        <w:t>,</w:t>
      </w:r>
      <w:r w:rsidR="00ED532A">
        <w:t>9</w:t>
      </w:r>
      <w:r w:rsidR="00B8546D">
        <w:t>64</w:t>
      </w:r>
      <w:r w:rsidR="00ED532A" w:rsidRPr="00C8044A">
        <w:t> </w:t>
      </w:r>
      <w:r w:rsidR="007902CA" w:rsidRPr="00C8044A">
        <w:t>visits</w:t>
      </w:r>
      <w:r w:rsidR="00233D52" w:rsidRPr="00C8044A">
        <w:t xml:space="preserve"> relating to infection control</w:t>
      </w:r>
      <w:r w:rsidR="00EF6EA8" w:rsidRPr="00C8044A">
        <w:t xml:space="preserve"> were made nationally.</w:t>
      </w:r>
    </w:p>
    <w:p w:rsidR="003D1942" w:rsidRDefault="003D1942" w:rsidP="00327801">
      <w:bookmarkStart w:id="0" w:name="_GoBack"/>
      <w:bookmarkEnd w:id="0"/>
    </w:p>
    <w:p w:rsidR="002C4EAD" w:rsidRPr="008628BE" w:rsidRDefault="002C4EAD" w:rsidP="006E6275">
      <w:r w:rsidRPr="008628BE">
        <w:lastRenderedPageBreak/>
        <w:t xml:space="preserve">All residential aged care facilities </w:t>
      </w:r>
      <w:r w:rsidR="00402965" w:rsidRPr="008628BE">
        <w:t xml:space="preserve">are </w:t>
      </w:r>
      <w:r w:rsidRPr="008628BE">
        <w:t xml:space="preserve">required to engage an onsite clinical lead to provide </w:t>
      </w:r>
      <w:proofErr w:type="gramStart"/>
      <w:r w:rsidRPr="008628BE">
        <w:t>leadership</w:t>
      </w:r>
      <w:proofErr w:type="gramEnd"/>
      <w:r w:rsidRPr="008628BE">
        <w:t xml:space="preserve">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rsidR="00E95A54" w:rsidRPr="008628BE"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F95E2E">
        <w:br/>
      </w:r>
    </w:p>
    <w:p w:rsidR="008064D1" w:rsidRPr="008E44FF" w:rsidRDefault="00A86013" w:rsidP="008064D1">
      <w:pPr>
        <w:rPr>
          <w:b/>
        </w:rPr>
      </w:pPr>
      <w:r w:rsidRPr="00C8044A">
        <w:rPr>
          <w:b/>
        </w:rPr>
        <w:t xml:space="preserve">Table </w:t>
      </w:r>
      <w:r w:rsidR="00944C7E" w:rsidRPr="00C8044A">
        <w:rPr>
          <w:b/>
        </w:rPr>
        <w:fldChar w:fldCharType="begin"/>
      </w:r>
      <w:r w:rsidR="00944C7E" w:rsidRPr="00C8044A">
        <w:rPr>
          <w:b/>
        </w:rPr>
        <w:instrText xml:space="preserve"> SEQ Table \* ARABIC </w:instrText>
      </w:r>
      <w:r w:rsidR="00944C7E" w:rsidRPr="00C8044A">
        <w:rPr>
          <w:b/>
          <w:noProof/>
        </w:rPr>
        <w:fldChar w:fldCharType="separate"/>
      </w:r>
      <w:r w:rsidR="00693D80">
        <w:rPr>
          <w:b/>
          <w:noProof/>
        </w:rPr>
        <w:t>3</w:t>
      </w:r>
      <w:r w:rsidR="00944C7E" w:rsidRPr="00C8044A">
        <w:rPr>
          <w:b/>
          <w:noProof/>
        </w:rPr>
        <w:fldChar w:fldCharType="end"/>
      </w:r>
      <w:r w:rsidRPr="00C8044A">
        <w:rPr>
          <w:b/>
        </w:rPr>
        <w:t>:</w:t>
      </w:r>
      <w:r w:rsidR="00834CD3" w:rsidRPr="00C8044A">
        <w:rPr>
          <w:b/>
        </w:rPr>
        <w:t xml:space="preserve"> Total Quality Assessment and Monitoring Activities with residential ser</w:t>
      </w:r>
      <w:r w:rsidR="00C97CA8" w:rsidRPr="00C8044A">
        <w:rPr>
          <w:b/>
        </w:rPr>
        <w:t>vices</w:t>
      </w:r>
      <w:r w:rsidR="00990891" w:rsidRPr="00C8044A">
        <w:rPr>
          <w:b/>
        </w:rPr>
        <w:t xml:space="preserve"> (including IPC)</w:t>
      </w:r>
      <w:r w:rsidR="00C97CA8" w:rsidRPr="00C8044A">
        <w:rPr>
          <w:b/>
        </w:rPr>
        <w:t xml:space="preserve">, by type and month </w:t>
      </w:r>
      <w:r w:rsidR="007810B5" w:rsidRPr="00C8044A">
        <w:rPr>
          <w:b/>
        </w:rPr>
        <w:t xml:space="preserve">1 </w:t>
      </w:r>
      <w:r w:rsidR="00F95E2E">
        <w:rPr>
          <w:b/>
        </w:rPr>
        <w:t>April</w:t>
      </w:r>
      <w:r w:rsidR="00F95E2E" w:rsidRPr="00C8044A">
        <w:rPr>
          <w:b/>
        </w:rPr>
        <w:t xml:space="preserve"> </w:t>
      </w:r>
      <w:r w:rsidR="00F95E2E">
        <w:rPr>
          <w:b/>
        </w:rPr>
        <w:t xml:space="preserve">2020 </w:t>
      </w:r>
      <w:r w:rsidR="00C97CA8" w:rsidRPr="00C8044A">
        <w:rPr>
          <w:b/>
        </w:rPr>
        <w:t xml:space="preserve">– to </w:t>
      </w:r>
      <w:r w:rsidR="00F95E2E">
        <w:rPr>
          <w:b/>
        </w:rPr>
        <w:t>8 April</w:t>
      </w:r>
      <w:r w:rsidR="00834CD3" w:rsidRPr="00C8044A">
        <w:rPr>
          <w:b/>
        </w:rPr>
        <w:t xml:space="preserve"> 202</w:t>
      </w:r>
      <w:r w:rsidR="00D43DD2" w:rsidRPr="00C8044A">
        <w:rPr>
          <w:b/>
        </w:rPr>
        <w:t>1</w:t>
      </w:r>
    </w:p>
    <w:tbl>
      <w:tblPr>
        <w:tblStyle w:val="GridTable4-Accent51"/>
        <w:tblW w:w="5739" w:type="pct"/>
        <w:tblInd w:w="-572"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33"/>
        <w:gridCol w:w="570"/>
        <w:gridCol w:w="566"/>
        <w:gridCol w:w="565"/>
        <w:gridCol w:w="710"/>
        <w:gridCol w:w="708"/>
        <w:gridCol w:w="710"/>
        <w:gridCol w:w="567"/>
        <w:gridCol w:w="735"/>
        <w:gridCol w:w="710"/>
        <w:gridCol w:w="565"/>
        <w:gridCol w:w="712"/>
        <w:gridCol w:w="544"/>
        <w:gridCol w:w="710"/>
        <w:gridCol w:w="844"/>
      </w:tblGrid>
      <w:tr w:rsidR="00F95E2E" w:rsidRPr="0067119C" w:rsidTr="00B30811">
        <w:trPr>
          <w:cnfStyle w:val="100000000000" w:firstRow="1" w:lastRow="0" w:firstColumn="0" w:lastColumn="0" w:oddVBand="0" w:evenVBand="0" w:oddHBand="0" w:evenHBand="0" w:firstRowFirstColumn="0" w:firstRowLastColumn="0" w:lastRowFirstColumn="0" w:lastRowLastColumn="0"/>
          <w:trHeight w:val="734"/>
          <w:tblHeader/>
        </w:trPr>
        <w:tc>
          <w:tcPr>
            <w:cnfStyle w:val="001000000000" w:firstRow="0" w:lastRow="0" w:firstColumn="1" w:lastColumn="0" w:oddVBand="0" w:evenVBand="0" w:oddHBand="0" w:evenHBand="0" w:firstRowFirstColumn="0" w:firstRowLastColumn="0" w:lastRowFirstColumn="0" w:lastRowLastColumn="0"/>
            <w:tcW w:w="547" w:type="pct"/>
            <w:noWrap/>
            <w:vAlign w:val="bottom"/>
            <w:hideMark/>
          </w:tcPr>
          <w:p w:rsidR="00F95E2E" w:rsidRPr="008E44FF" w:rsidRDefault="00F95E2E" w:rsidP="001B4A77">
            <w:pPr>
              <w:rPr>
                <w:rFonts w:cs="Arial"/>
                <w:sz w:val="17"/>
                <w:szCs w:val="17"/>
              </w:rPr>
            </w:pPr>
            <w:r w:rsidRPr="008E44FF">
              <w:rPr>
                <w:rFonts w:cs="Arial"/>
                <w:sz w:val="17"/>
                <w:szCs w:val="17"/>
              </w:rPr>
              <w:t>Regulatory Activities</w:t>
            </w:r>
          </w:p>
        </w:tc>
        <w:tc>
          <w:tcPr>
            <w:tcW w:w="275"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Apr- 20</w:t>
            </w:r>
          </w:p>
        </w:tc>
        <w:tc>
          <w:tcPr>
            <w:tcW w:w="27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May-20</w:t>
            </w:r>
          </w:p>
        </w:tc>
        <w:tc>
          <w:tcPr>
            <w:tcW w:w="27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34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42"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34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74" w:type="pct"/>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355" w:type="pct"/>
            <w:vAlign w:val="center"/>
          </w:tcPr>
          <w:p w:rsidR="00F95E2E" w:rsidRPr="008E44FF" w:rsidRDefault="00F95E2E" w:rsidP="002108B7">
            <w:pPr>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w:t>
            </w:r>
            <w:r w:rsidRPr="008E44FF">
              <w:rPr>
                <w:rFonts w:cs="Arial"/>
                <w:sz w:val="17"/>
                <w:szCs w:val="17"/>
              </w:rPr>
              <w:br/>
              <w:t>20</w:t>
            </w:r>
          </w:p>
        </w:tc>
        <w:tc>
          <w:tcPr>
            <w:tcW w:w="343"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73"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44"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263"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343" w:type="pct"/>
            <w:vAlign w:val="center"/>
          </w:tcPr>
          <w:p w:rsidR="00F95E2E" w:rsidRPr="008E44FF" w:rsidRDefault="00F95E2E">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Apr-21</w:t>
            </w:r>
          </w:p>
        </w:tc>
        <w:tc>
          <w:tcPr>
            <w:tcW w:w="408" w:type="pct"/>
            <w:noWrap/>
            <w:vAlign w:val="bottom"/>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F95E2E" w:rsidRPr="008628BE" w:rsidTr="00B30811">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547" w:type="pct"/>
            <w:noWrap/>
            <w:vAlign w:val="center"/>
            <w:hideMark/>
          </w:tcPr>
          <w:p w:rsidR="00F95E2E" w:rsidRPr="008E44FF" w:rsidRDefault="00F95E2E" w:rsidP="001B4A77">
            <w:pPr>
              <w:rPr>
                <w:rFonts w:cs="Arial"/>
                <w:sz w:val="17"/>
                <w:szCs w:val="17"/>
              </w:rPr>
            </w:pPr>
            <w:r w:rsidRPr="008E44FF">
              <w:rPr>
                <w:rFonts w:cs="Arial"/>
                <w:sz w:val="17"/>
                <w:szCs w:val="17"/>
              </w:rPr>
              <w:t>Site visits</w:t>
            </w:r>
          </w:p>
        </w:tc>
        <w:tc>
          <w:tcPr>
            <w:tcW w:w="275"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12</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94</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342"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274"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355"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43"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362</w:t>
            </w:r>
          </w:p>
        </w:tc>
        <w:tc>
          <w:tcPr>
            <w:tcW w:w="273"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Pr>
                <w:color w:val="000000"/>
                <w:sz w:val="17"/>
                <w:szCs w:val="17"/>
              </w:rPr>
              <w:t>2</w:t>
            </w:r>
          </w:p>
        </w:tc>
        <w:tc>
          <w:tcPr>
            <w:tcW w:w="344"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258</w:t>
            </w:r>
          </w:p>
        </w:tc>
        <w:tc>
          <w:tcPr>
            <w:tcW w:w="263" w:type="pct"/>
            <w:vAlign w:val="center"/>
          </w:tcPr>
          <w:p w:rsidR="00F95E2E" w:rsidRDefault="00454617" w:rsidP="00F655D8">
            <w:pP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2</w:t>
            </w:r>
            <w:r w:rsidR="00F42E8F">
              <w:rPr>
                <w:color w:val="000000"/>
                <w:sz w:val="17"/>
                <w:szCs w:val="17"/>
              </w:rPr>
              <w:t>96</w:t>
            </w:r>
          </w:p>
        </w:tc>
        <w:tc>
          <w:tcPr>
            <w:tcW w:w="343" w:type="pct"/>
            <w:vAlign w:val="center"/>
          </w:tcPr>
          <w:p w:rsidR="00F95E2E" w:rsidRDefault="00F95E2E">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36</w:t>
            </w:r>
          </w:p>
        </w:tc>
        <w:tc>
          <w:tcPr>
            <w:tcW w:w="408" w:type="pct"/>
            <w:noWrap/>
            <w:vAlign w:val="center"/>
          </w:tcPr>
          <w:p w:rsidR="00F95E2E" w:rsidRPr="00876EED" w:rsidRDefault="00F95E2E">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3,320</w:t>
            </w:r>
          </w:p>
        </w:tc>
      </w:tr>
      <w:tr w:rsidR="00F95E2E" w:rsidRPr="0067119C" w:rsidTr="002108B7">
        <w:trPr>
          <w:trHeight w:val="454"/>
        </w:trPr>
        <w:tc>
          <w:tcPr>
            <w:cnfStyle w:val="001000000000" w:firstRow="0" w:lastRow="0" w:firstColumn="1" w:lastColumn="0" w:oddVBand="0" w:evenVBand="0" w:oddHBand="0" w:evenHBand="0" w:firstRowFirstColumn="0" w:firstRowLastColumn="0" w:lastRowFirstColumn="0" w:lastRowLastColumn="0"/>
            <w:tcW w:w="547" w:type="pct"/>
            <w:noWrap/>
          </w:tcPr>
          <w:p w:rsidR="00F95E2E" w:rsidRPr="0067119C" w:rsidRDefault="00F95E2E" w:rsidP="001B4A77">
            <w:pPr>
              <w:rPr>
                <w:rFonts w:cs="Arial"/>
                <w:sz w:val="17"/>
                <w:szCs w:val="17"/>
              </w:rPr>
            </w:pPr>
            <w:r w:rsidRPr="008E44FF">
              <w:rPr>
                <w:sz w:val="17"/>
                <w:szCs w:val="17"/>
              </w:rPr>
              <w:t>Non-site activities</w:t>
            </w:r>
          </w:p>
        </w:tc>
        <w:tc>
          <w:tcPr>
            <w:tcW w:w="275"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419</w:t>
            </w:r>
          </w:p>
        </w:tc>
        <w:tc>
          <w:tcPr>
            <w:tcW w:w="273"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8</w:t>
            </w:r>
            <w:r>
              <w:rPr>
                <w:sz w:val="17"/>
                <w:szCs w:val="17"/>
              </w:rPr>
              <w:t>1</w:t>
            </w:r>
          </w:p>
        </w:tc>
        <w:tc>
          <w:tcPr>
            <w:tcW w:w="273"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73</w:t>
            </w:r>
          </w:p>
        </w:tc>
        <w:tc>
          <w:tcPr>
            <w:tcW w:w="343"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w:t>
            </w:r>
            <w:r>
              <w:rPr>
                <w:sz w:val="17"/>
                <w:szCs w:val="17"/>
              </w:rPr>
              <w:t>6</w:t>
            </w:r>
          </w:p>
        </w:tc>
        <w:tc>
          <w:tcPr>
            <w:tcW w:w="342"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w:t>
            </w:r>
            <w:r w:rsidR="00C8044A">
              <w:rPr>
                <w:sz w:val="17"/>
                <w:szCs w:val="17"/>
              </w:rPr>
              <w:t>78</w:t>
            </w:r>
            <w:r w:rsidR="000B37FE">
              <w:rPr>
                <w:sz w:val="17"/>
                <w:szCs w:val="17"/>
              </w:rPr>
              <w:t>8</w:t>
            </w:r>
          </w:p>
        </w:tc>
        <w:tc>
          <w:tcPr>
            <w:tcW w:w="343" w:type="pct"/>
            <w:noWrap/>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w:t>
            </w:r>
            <w:r w:rsidR="00B701B6">
              <w:rPr>
                <w:sz w:val="17"/>
                <w:szCs w:val="17"/>
              </w:rPr>
              <w:t>2</w:t>
            </w:r>
            <w:r w:rsidR="000B37FE">
              <w:rPr>
                <w:sz w:val="17"/>
                <w:szCs w:val="17"/>
              </w:rPr>
              <w:t>6</w:t>
            </w:r>
          </w:p>
        </w:tc>
        <w:tc>
          <w:tcPr>
            <w:tcW w:w="274" w:type="pct"/>
            <w:noWrap/>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w:t>
            </w:r>
            <w:r w:rsidR="00B701B6">
              <w:rPr>
                <w:sz w:val="17"/>
                <w:szCs w:val="17"/>
              </w:rPr>
              <w:t>3</w:t>
            </w:r>
            <w:r w:rsidR="00B654AB">
              <w:rPr>
                <w:sz w:val="17"/>
                <w:szCs w:val="17"/>
              </w:rPr>
              <w:t>6</w:t>
            </w:r>
          </w:p>
        </w:tc>
        <w:tc>
          <w:tcPr>
            <w:tcW w:w="355" w:type="pct"/>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w:t>
            </w:r>
            <w:r w:rsidR="00B30811">
              <w:rPr>
                <w:sz w:val="17"/>
                <w:szCs w:val="17"/>
              </w:rPr>
              <w:t>63</w:t>
            </w:r>
          </w:p>
        </w:tc>
        <w:tc>
          <w:tcPr>
            <w:tcW w:w="343" w:type="pct"/>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w:t>
            </w:r>
            <w:r>
              <w:rPr>
                <w:sz w:val="17"/>
                <w:szCs w:val="17"/>
              </w:rPr>
              <w:t>,</w:t>
            </w:r>
            <w:r w:rsidR="00C8044A">
              <w:rPr>
                <w:sz w:val="17"/>
                <w:szCs w:val="17"/>
              </w:rPr>
              <w:t>09</w:t>
            </w:r>
            <w:r w:rsidR="00B30811">
              <w:rPr>
                <w:sz w:val="17"/>
                <w:szCs w:val="17"/>
              </w:rPr>
              <w:t>8</w:t>
            </w:r>
          </w:p>
        </w:tc>
        <w:tc>
          <w:tcPr>
            <w:tcW w:w="273" w:type="pct"/>
            <w:vAlign w:val="center"/>
          </w:tcPr>
          <w:p w:rsidR="00F95E2E" w:rsidRPr="0067119C" w:rsidRDefault="00B30811"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408</w:t>
            </w:r>
          </w:p>
        </w:tc>
        <w:tc>
          <w:tcPr>
            <w:tcW w:w="344" w:type="pct"/>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w:t>
            </w:r>
            <w:r w:rsidR="00B30811">
              <w:rPr>
                <w:sz w:val="17"/>
                <w:szCs w:val="17"/>
              </w:rPr>
              <w:t>22</w:t>
            </w:r>
          </w:p>
        </w:tc>
        <w:tc>
          <w:tcPr>
            <w:tcW w:w="263" w:type="pct"/>
            <w:vAlign w:val="center"/>
          </w:tcPr>
          <w:p w:rsidR="00F95E2E" w:rsidRDefault="00454617" w:rsidP="00F655D8">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w:t>
            </w:r>
            <w:r w:rsidR="00F42E8F">
              <w:rPr>
                <w:sz w:val="17"/>
                <w:szCs w:val="17"/>
              </w:rPr>
              <w:t>44</w:t>
            </w:r>
          </w:p>
        </w:tc>
        <w:tc>
          <w:tcPr>
            <w:tcW w:w="343" w:type="pct"/>
            <w:vAlign w:val="center"/>
          </w:tcPr>
          <w:p w:rsidR="00F95E2E" w:rsidRDefault="00F95E2E">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10</w:t>
            </w:r>
          </w:p>
        </w:tc>
        <w:tc>
          <w:tcPr>
            <w:tcW w:w="408" w:type="pct"/>
            <w:noWrap/>
            <w:vAlign w:val="center"/>
          </w:tcPr>
          <w:p w:rsidR="00F95E2E" w:rsidRPr="0067119C" w:rsidRDefault="00F95E2E">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7,974</w:t>
            </w:r>
          </w:p>
        </w:tc>
      </w:tr>
      <w:tr w:rsidR="00F95E2E" w:rsidRPr="0067119C" w:rsidTr="00B30811">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47" w:type="pct"/>
            <w:noWrap/>
          </w:tcPr>
          <w:p w:rsidR="00F95E2E" w:rsidRPr="0067119C" w:rsidRDefault="00F95E2E" w:rsidP="001B4A77">
            <w:pPr>
              <w:rPr>
                <w:rFonts w:cs="Arial"/>
                <w:sz w:val="17"/>
                <w:szCs w:val="17"/>
              </w:rPr>
            </w:pPr>
            <w:r w:rsidRPr="008E44FF">
              <w:rPr>
                <w:sz w:val="17"/>
                <w:szCs w:val="17"/>
              </w:rPr>
              <w:t xml:space="preserve">Total </w:t>
            </w:r>
            <w:r w:rsidRPr="008E44FF">
              <w:rPr>
                <w:color w:val="000000"/>
                <w:sz w:val="17"/>
                <w:szCs w:val="17"/>
              </w:rPr>
              <w:t>activities</w:t>
            </w:r>
          </w:p>
        </w:tc>
        <w:tc>
          <w:tcPr>
            <w:tcW w:w="275"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431</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17</w:t>
            </w:r>
            <w:r>
              <w:rPr>
                <w:b/>
                <w:sz w:val="17"/>
                <w:szCs w:val="17"/>
              </w:rPr>
              <w:t>5</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188</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w:t>
            </w:r>
            <w:r>
              <w:rPr>
                <w:b/>
                <w:sz w:val="17"/>
                <w:szCs w:val="17"/>
              </w:rPr>
              <w:t>8</w:t>
            </w:r>
          </w:p>
        </w:tc>
        <w:tc>
          <w:tcPr>
            <w:tcW w:w="342"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w:t>
            </w:r>
            <w:r w:rsidR="00C8044A">
              <w:rPr>
                <w:b/>
                <w:sz w:val="17"/>
                <w:szCs w:val="17"/>
              </w:rPr>
              <w:t>1</w:t>
            </w:r>
            <w:r w:rsidR="00B701B6">
              <w:rPr>
                <w:b/>
                <w:sz w:val="17"/>
                <w:szCs w:val="17"/>
              </w:rPr>
              <w:t>1</w:t>
            </w:r>
            <w:r w:rsidR="000B37FE">
              <w:rPr>
                <w:b/>
                <w:sz w:val="17"/>
                <w:szCs w:val="17"/>
              </w:rPr>
              <w:t>7</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w:t>
            </w:r>
            <w:r w:rsidR="00B701B6">
              <w:rPr>
                <w:b/>
                <w:sz w:val="17"/>
                <w:szCs w:val="17"/>
              </w:rPr>
              <w:t>00</w:t>
            </w:r>
            <w:r w:rsidR="000B37FE">
              <w:rPr>
                <w:b/>
                <w:sz w:val="17"/>
                <w:szCs w:val="17"/>
              </w:rPr>
              <w:t>6</w:t>
            </w:r>
          </w:p>
        </w:tc>
        <w:tc>
          <w:tcPr>
            <w:tcW w:w="274" w:type="pct"/>
            <w:noWrap/>
            <w:vAlign w:val="center"/>
          </w:tcPr>
          <w:p w:rsidR="00F95E2E"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8</w:t>
            </w:r>
            <w:r w:rsidR="00B654AB">
              <w:rPr>
                <w:b/>
                <w:sz w:val="17"/>
                <w:szCs w:val="17"/>
              </w:rPr>
              <w:t>21</w:t>
            </w:r>
          </w:p>
        </w:tc>
        <w:tc>
          <w:tcPr>
            <w:tcW w:w="355" w:type="pct"/>
            <w:vAlign w:val="center"/>
          </w:tcPr>
          <w:p w:rsidR="00F95E2E" w:rsidRPr="008E44FF" w:rsidRDefault="00C8044A" w:rsidP="00B701B6">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7</w:t>
            </w:r>
            <w:r w:rsidR="00B30811">
              <w:rPr>
                <w:b/>
                <w:sz w:val="17"/>
                <w:szCs w:val="17"/>
              </w:rPr>
              <w:t>92</w:t>
            </w:r>
          </w:p>
        </w:tc>
        <w:tc>
          <w:tcPr>
            <w:tcW w:w="343"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w:t>
            </w:r>
            <w:r w:rsidR="00C8044A">
              <w:rPr>
                <w:b/>
                <w:sz w:val="17"/>
                <w:szCs w:val="17"/>
              </w:rPr>
              <w:t>4</w:t>
            </w:r>
            <w:r w:rsidR="00B30811">
              <w:rPr>
                <w:b/>
                <w:sz w:val="17"/>
                <w:szCs w:val="17"/>
              </w:rPr>
              <w:t>60</w:t>
            </w:r>
          </w:p>
        </w:tc>
        <w:tc>
          <w:tcPr>
            <w:tcW w:w="273" w:type="pct"/>
            <w:vAlign w:val="center"/>
          </w:tcPr>
          <w:p w:rsidR="00F95E2E" w:rsidRPr="008E44FF" w:rsidRDefault="00B30811"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700</w:t>
            </w:r>
          </w:p>
        </w:tc>
        <w:tc>
          <w:tcPr>
            <w:tcW w:w="344" w:type="pct"/>
            <w:vAlign w:val="center"/>
          </w:tcPr>
          <w:p w:rsidR="00F95E2E"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5</w:t>
            </w:r>
            <w:r w:rsidR="00B30811">
              <w:rPr>
                <w:b/>
                <w:sz w:val="17"/>
                <w:szCs w:val="17"/>
              </w:rPr>
              <w:t>80</w:t>
            </w:r>
          </w:p>
        </w:tc>
        <w:tc>
          <w:tcPr>
            <w:tcW w:w="263" w:type="pct"/>
            <w:vAlign w:val="center"/>
          </w:tcPr>
          <w:p w:rsidR="00F95E2E" w:rsidRPr="008E44FF" w:rsidRDefault="00F42E8F" w:rsidP="00F655D8">
            <w:pP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440</w:t>
            </w:r>
          </w:p>
        </w:tc>
        <w:tc>
          <w:tcPr>
            <w:tcW w:w="343" w:type="pct"/>
            <w:vAlign w:val="center"/>
          </w:tcPr>
          <w:p w:rsidR="00F95E2E" w:rsidRDefault="00F95E2E">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46</w:t>
            </w:r>
          </w:p>
        </w:tc>
        <w:tc>
          <w:tcPr>
            <w:tcW w:w="408" w:type="pct"/>
            <w:noWrap/>
            <w:vAlign w:val="center"/>
          </w:tcPr>
          <w:p w:rsidR="00F95E2E" w:rsidRPr="00F655D8" w:rsidRDefault="00F95E2E">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11,294</w:t>
            </w:r>
          </w:p>
        </w:tc>
      </w:tr>
    </w:tbl>
    <w:p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8628BE" w:rsidRDefault="00F209FD" w:rsidP="00A86013">
      <w:pPr>
        <w:pStyle w:val="Heading1"/>
      </w:pPr>
      <w:r w:rsidRPr="008628BE">
        <w:lastRenderedPageBreak/>
        <w:t>Appendix 1: National residential aged care services with two or more positive COVID-19 cases</w:t>
      </w:r>
    </w:p>
    <w:p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F11326" w:rsidRPr="008628BE" w:rsidDel="00F11326">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8628BE" w:rsidRDefault="00C10B01" w:rsidP="006E6275">
            <w:pPr>
              <w:rPr>
                <w:lang w:eastAsia="en-AU"/>
              </w:rPr>
            </w:pPr>
            <w:r w:rsidRPr="008628BE">
              <w:rPr>
                <w:lang w:eastAsia="en-AU"/>
              </w:rPr>
              <w:t>No</w:t>
            </w:r>
          </w:p>
        </w:tc>
        <w:tc>
          <w:tcPr>
            <w:tcW w:w="851"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Elly</w:t>
            </w:r>
            <w:proofErr w:type="spellEnd"/>
            <w:r w:rsidRPr="008628BE">
              <w:rPr>
                <w:rFonts w:ascii="Calibri" w:hAnsi="Calibri" w:cs="Calibri"/>
                <w:color w:val="000000"/>
              </w:rPr>
              <w:t xml:space="preserve"> Kay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Silverwood</w:t>
            </w:r>
            <w:proofErr w:type="spellEnd"/>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33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Edithvale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Greensborough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Sunshine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Templestowe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Traralgon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Woodend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49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68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87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103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Rathdowne</w:t>
            </w:r>
            <w:proofErr w:type="spellEnd"/>
            <w:r w:rsidRPr="008628BE">
              <w:rPr>
                <w:rFonts w:ascii="Calibri" w:hAnsi="Calibri" w:cs="Calibri"/>
                <w:color w:val="000000"/>
              </w:rPr>
              <w:t xml:space="preserve"> Place Carlton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144" w:rsidRDefault="002A5144" w:rsidP="006E6275">
      <w:r>
        <w:separator/>
      </w:r>
    </w:p>
  </w:endnote>
  <w:endnote w:type="continuationSeparator" w:id="0">
    <w:p w:rsidR="002A5144" w:rsidRDefault="002A5144" w:rsidP="006E6275">
      <w:r>
        <w:continuationSeparator/>
      </w:r>
    </w:p>
  </w:endnote>
  <w:endnote w:type="continuationNotice" w:id="1">
    <w:p w:rsidR="002A5144" w:rsidRDefault="002A5144"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6E3411" w:rsidRDefault="006E3411" w:rsidP="006E6275">
        <w:pPr>
          <w:pStyle w:val="Footer"/>
        </w:pPr>
        <w:r>
          <w:fldChar w:fldCharType="begin"/>
        </w:r>
        <w:r>
          <w:instrText xml:space="preserve"> PAGE   \* MERGEFORMAT </w:instrText>
        </w:r>
        <w:r>
          <w:fldChar w:fldCharType="separate"/>
        </w:r>
        <w:r w:rsidR="003D1942">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144" w:rsidRDefault="002A5144" w:rsidP="006E6275">
      <w:r>
        <w:separator/>
      </w:r>
    </w:p>
  </w:footnote>
  <w:footnote w:type="continuationSeparator" w:id="0">
    <w:p w:rsidR="002A5144" w:rsidRDefault="002A5144" w:rsidP="006E6275">
      <w:r>
        <w:continuationSeparator/>
      </w:r>
    </w:p>
  </w:footnote>
  <w:footnote w:type="continuationNotice" w:id="1">
    <w:p w:rsidR="002A5144" w:rsidRDefault="002A5144" w:rsidP="006E6275"/>
  </w:footnote>
  <w:footnote w:id="2">
    <w:p w:rsidR="006E3411" w:rsidRDefault="006E3411">
      <w:pPr>
        <w:pStyle w:val="FootnoteText"/>
      </w:pPr>
      <w:r>
        <w:rPr>
          <w:rStyle w:val="FootnoteReference"/>
        </w:rPr>
        <w:footnoteRef/>
      </w:r>
      <w:r>
        <w:t xml:space="preserve"> The figure for deaths in RACFS excludes 7 cases that were identified in transition care services.</w:t>
      </w:r>
    </w:p>
  </w:footnote>
  <w:footnote w:id="3">
    <w:p w:rsidR="006E3411" w:rsidRDefault="006E3411" w:rsidP="006E6275">
      <w:pPr>
        <w:pStyle w:val="FootnoteText"/>
      </w:pPr>
      <w:r w:rsidRPr="00D06B9B">
        <w:rPr>
          <w:rStyle w:val="FootnoteReference"/>
        </w:rPr>
        <w:footnoteRef/>
      </w:r>
      <w:r w:rsidRPr="00D06B9B">
        <w:t xml:space="preserve"> Some residential aged care facilities have had more than one outbreak.</w:t>
      </w:r>
    </w:p>
    <w:p w:rsidR="006E3411" w:rsidRPr="00DA2C1D" w:rsidRDefault="006E3411" w:rsidP="006E6275">
      <w:pPr>
        <w:pStyle w:val="FootnoteText"/>
      </w:pPr>
    </w:p>
  </w:footnote>
  <w:footnote w:id="4">
    <w:p w:rsidR="006E3411" w:rsidRDefault="006E3411">
      <w:pPr>
        <w:pStyle w:val="FootnoteText"/>
      </w:pPr>
      <w:r>
        <w:rPr>
          <w:rStyle w:val="FootnoteReference"/>
        </w:rPr>
        <w:footnoteRef/>
      </w:r>
      <w:r>
        <w:t xml:space="preserve"> </w:t>
      </w:r>
      <w:r>
        <w:rPr>
          <w:sz w:val="16"/>
          <w:szCs w:val="16"/>
        </w:rPr>
        <w:t>*Classification of active cases varies by jurisdiction.</w:t>
      </w:r>
    </w:p>
  </w:footnote>
  <w:footnote w:id="5">
    <w:p w:rsidR="006E3411" w:rsidRDefault="006E3411" w:rsidP="00E6520E">
      <w:pPr>
        <w:pStyle w:val="FootnoteText"/>
      </w:pPr>
      <w:r>
        <w:rPr>
          <w:rStyle w:val="FootnoteReference"/>
        </w:rPr>
        <w:footnoteRef/>
      </w:r>
      <w:r>
        <w:t xml:space="preserve"> National daily cases sourced from NNDSS data as at 08 April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rsidR="006E3411" w:rsidRDefault="006E3411" w:rsidP="00E6520E">
      <w:pPr>
        <w:pStyle w:val="FootnoteText"/>
      </w:pPr>
      <w:r>
        <w:t>‘RACF’ refers to cases in residential aged care facilities (staff and residents)</w:t>
      </w:r>
    </w:p>
  </w:footnote>
  <w:footnote w:id="6">
    <w:p w:rsidR="006E3411" w:rsidRDefault="006E3411">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7">
    <w:p w:rsidR="006E3411" w:rsidRPr="00171DDF" w:rsidRDefault="006E3411"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11" w:rsidRDefault="006E3411" w:rsidP="006E6275">
    <w:pPr>
      <w:pStyle w:val="Header"/>
    </w:pPr>
    <w:r>
      <w:rPr>
        <w:noProof/>
        <w:lang w:eastAsia="en-AU"/>
      </w:rPr>
      <w:drawing>
        <wp:anchor distT="0" distB="0" distL="114300" distR="114300" simplePos="0" relativeHeight="251658242" behindDoc="1" locked="0" layoutInCell="1" allowOverlap="1" wp14:anchorId="08D2B0FE" wp14:editId="15DCA969">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11" w:rsidRDefault="006E3411" w:rsidP="006E6275">
    <w:pPr>
      <w:pStyle w:val="Header"/>
    </w:pPr>
    <w:r>
      <w:rPr>
        <w:noProof/>
        <w:lang w:eastAsia="en-AU"/>
      </w:rPr>
      <w:drawing>
        <wp:anchor distT="0" distB="0" distL="114300" distR="114300" simplePos="0" relativeHeight="251658240" behindDoc="1" locked="0" layoutInCell="1" allowOverlap="1" wp14:anchorId="4D5BF045" wp14:editId="5B1D59B6">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11" w:rsidRDefault="006E3411" w:rsidP="006E6275">
    <w:pPr>
      <w:pStyle w:val="Header"/>
    </w:pPr>
    <w:r>
      <w:rPr>
        <w:noProof/>
        <w:lang w:eastAsia="en-AU"/>
      </w:rPr>
      <w:drawing>
        <wp:anchor distT="0" distB="0" distL="114300" distR="114300" simplePos="0" relativeHeight="251658241" behindDoc="1" locked="0" layoutInCell="1" allowOverlap="1" wp14:anchorId="1007825F" wp14:editId="0B213588">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7"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5"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6"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5"/>
  </w:num>
  <w:num w:numId="4">
    <w:abstractNumId w:val="1"/>
  </w:num>
  <w:num w:numId="5">
    <w:abstractNumId w:val="16"/>
  </w:num>
  <w:num w:numId="6">
    <w:abstractNumId w:val="4"/>
  </w:num>
  <w:num w:numId="7">
    <w:abstractNumId w:val="10"/>
  </w:num>
  <w:num w:numId="8">
    <w:abstractNumId w:val="11"/>
  </w:num>
  <w:num w:numId="9">
    <w:abstractNumId w:val="5"/>
  </w:num>
  <w:num w:numId="10">
    <w:abstractNumId w:val="23"/>
  </w:num>
  <w:num w:numId="11">
    <w:abstractNumId w:val="25"/>
  </w:num>
  <w:num w:numId="12">
    <w:abstractNumId w:val="19"/>
  </w:num>
  <w:num w:numId="13">
    <w:abstractNumId w:val="6"/>
  </w:num>
  <w:num w:numId="14">
    <w:abstractNumId w:val="17"/>
  </w:num>
  <w:num w:numId="15">
    <w:abstractNumId w:val="9"/>
  </w:num>
  <w:num w:numId="16">
    <w:abstractNumId w:val="0"/>
  </w:num>
  <w:num w:numId="17">
    <w:abstractNumId w:val="26"/>
  </w:num>
  <w:num w:numId="18">
    <w:abstractNumId w:val="14"/>
  </w:num>
  <w:num w:numId="19">
    <w:abstractNumId w:val="19"/>
  </w:num>
  <w:num w:numId="20">
    <w:abstractNumId w:val="2"/>
  </w:num>
  <w:num w:numId="21">
    <w:abstractNumId w:val="24"/>
  </w:num>
  <w:num w:numId="22">
    <w:abstractNumId w:val="20"/>
  </w:num>
  <w:num w:numId="23">
    <w:abstractNumId w:val="18"/>
  </w:num>
  <w:num w:numId="24">
    <w:abstractNumId w:val="8"/>
  </w:num>
  <w:num w:numId="25">
    <w:abstractNumId w:val="12"/>
  </w:num>
  <w:num w:numId="26">
    <w:abstractNumId w:val="21"/>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2FCB"/>
    <w:rsid w:val="00013712"/>
    <w:rsid w:val="0001445D"/>
    <w:rsid w:val="0001488B"/>
    <w:rsid w:val="000155B4"/>
    <w:rsid w:val="00023AC4"/>
    <w:rsid w:val="00026A23"/>
    <w:rsid w:val="000301B1"/>
    <w:rsid w:val="0003071A"/>
    <w:rsid w:val="00032765"/>
    <w:rsid w:val="00033DDC"/>
    <w:rsid w:val="00042B66"/>
    <w:rsid w:val="00051435"/>
    <w:rsid w:val="00053056"/>
    <w:rsid w:val="00060BD0"/>
    <w:rsid w:val="000611FE"/>
    <w:rsid w:val="000657BF"/>
    <w:rsid w:val="00065DAD"/>
    <w:rsid w:val="00070742"/>
    <w:rsid w:val="0007309C"/>
    <w:rsid w:val="00074221"/>
    <w:rsid w:val="00076381"/>
    <w:rsid w:val="000800CE"/>
    <w:rsid w:val="00082005"/>
    <w:rsid w:val="00090247"/>
    <w:rsid w:val="00092DF3"/>
    <w:rsid w:val="00094FF7"/>
    <w:rsid w:val="000A20D8"/>
    <w:rsid w:val="000A4B5D"/>
    <w:rsid w:val="000A5734"/>
    <w:rsid w:val="000A68EE"/>
    <w:rsid w:val="000A6DB0"/>
    <w:rsid w:val="000B1993"/>
    <w:rsid w:val="000B37FE"/>
    <w:rsid w:val="000B44E5"/>
    <w:rsid w:val="000B481C"/>
    <w:rsid w:val="000C497D"/>
    <w:rsid w:val="000C5032"/>
    <w:rsid w:val="000C679E"/>
    <w:rsid w:val="000D5771"/>
    <w:rsid w:val="000D5D0A"/>
    <w:rsid w:val="000D72C3"/>
    <w:rsid w:val="000F1E9E"/>
    <w:rsid w:val="000F3922"/>
    <w:rsid w:val="000F468C"/>
    <w:rsid w:val="000F60B1"/>
    <w:rsid w:val="000F612D"/>
    <w:rsid w:val="00103AEC"/>
    <w:rsid w:val="00103C58"/>
    <w:rsid w:val="001043A8"/>
    <w:rsid w:val="00105B6C"/>
    <w:rsid w:val="00107980"/>
    <w:rsid w:val="00110C5F"/>
    <w:rsid w:val="00116661"/>
    <w:rsid w:val="00116D17"/>
    <w:rsid w:val="0012123F"/>
    <w:rsid w:val="00122449"/>
    <w:rsid w:val="00122596"/>
    <w:rsid w:val="0012315A"/>
    <w:rsid w:val="00123178"/>
    <w:rsid w:val="00123449"/>
    <w:rsid w:val="001247C1"/>
    <w:rsid w:val="00136721"/>
    <w:rsid w:val="00143073"/>
    <w:rsid w:val="00144B7B"/>
    <w:rsid w:val="00155042"/>
    <w:rsid w:val="00156EC2"/>
    <w:rsid w:val="00162245"/>
    <w:rsid w:val="001651FB"/>
    <w:rsid w:val="001676A2"/>
    <w:rsid w:val="00171DDF"/>
    <w:rsid w:val="00172206"/>
    <w:rsid w:val="00172489"/>
    <w:rsid w:val="00173E87"/>
    <w:rsid w:val="001778D5"/>
    <w:rsid w:val="0018020E"/>
    <w:rsid w:val="0018051B"/>
    <w:rsid w:val="001805B7"/>
    <w:rsid w:val="00180A91"/>
    <w:rsid w:val="00181380"/>
    <w:rsid w:val="0018637C"/>
    <w:rsid w:val="0018780B"/>
    <w:rsid w:val="00190632"/>
    <w:rsid w:val="00190DCA"/>
    <w:rsid w:val="001933B4"/>
    <w:rsid w:val="001957C9"/>
    <w:rsid w:val="00195FEE"/>
    <w:rsid w:val="0019790E"/>
    <w:rsid w:val="00197D4B"/>
    <w:rsid w:val="001A4CF1"/>
    <w:rsid w:val="001B4A77"/>
    <w:rsid w:val="001B5815"/>
    <w:rsid w:val="001C19F0"/>
    <w:rsid w:val="001C7042"/>
    <w:rsid w:val="001D00B2"/>
    <w:rsid w:val="001D0DF8"/>
    <w:rsid w:val="001D1FE0"/>
    <w:rsid w:val="001D3D58"/>
    <w:rsid w:val="001E0D83"/>
    <w:rsid w:val="001E141D"/>
    <w:rsid w:val="001E1DC3"/>
    <w:rsid w:val="001E4110"/>
    <w:rsid w:val="001E60E6"/>
    <w:rsid w:val="001E6D70"/>
    <w:rsid w:val="001F04C6"/>
    <w:rsid w:val="001F29B4"/>
    <w:rsid w:val="001F4404"/>
    <w:rsid w:val="001F4574"/>
    <w:rsid w:val="001F45B7"/>
    <w:rsid w:val="001F4FFF"/>
    <w:rsid w:val="001F5045"/>
    <w:rsid w:val="001F7DFA"/>
    <w:rsid w:val="00200585"/>
    <w:rsid w:val="00204E27"/>
    <w:rsid w:val="002063D7"/>
    <w:rsid w:val="002108B7"/>
    <w:rsid w:val="00211D84"/>
    <w:rsid w:val="002156FB"/>
    <w:rsid w:val="00215F00"/>
    <w:rsid w:val="002168E4"/>
    <w:rsid w:val="00221DEC"/>
    <w:rsid w:val="00222C45"/>
    <w:rsid w:val="00223223"/>
    <w:rsid w:val="00226B55"/>
    <w:rsid w:val="00231B90"/>
    <w:rsid w:val="00233D52"/>
    <w:rsid w:val="0023469F"/>
    <w:rsid w:val="00235C7F"/>
    <w:rsid w:val="00236EF8"/>
    <w:rsid w:val="00240DB9"/>
    <w:rsid w:val="00243542"/>
    <w:rsid w:val="00245173"/>
    <w:rsid w:val="0025140D"/>
    <w:rsid w:val="00255266"/>
    <w:rsid w:val="0026111E"/>
    <w:rsid w:val="00261969"/>
    <w:rsid w:val="00263C3E"/>
    <w:rsid w:val="002664FC"/>
    <w:rsid w:val="002759CA"/>
    <w:rsid w:val="00280050"/>
    <w:rsid w:val="00280B1F"/>
    <w:rsid w:val="00285D83"/>
    <w:rsid w:val="00287394"/>
    <w:rsid w:val="002909E7"/>
    <w:rsid w:val="002916BA"/>
    <w:rsid w:val="002935E5"/>
    <w:rsid w:val="002964BF"/>
    <w:rsid w:val="002A03C3"/>
    <w:rsid w:val="002A1AAF"/>
    <w:rsid w:val="002A343F"/>
    <w:rsid w:val="002A5144"/>
    <w:rsid w:val="002B138B"/>
    <w:rsid w:val="002B17BB"/>
    <w:rsid w:val="002B3605"/>
    <w:rsid w:val="002B55EC"/>
    <w:rsid w:val="002B5C38"/>
    <w:rsid w:val="002B5D8A"/>
    <w:rsid w:val="002B7DB1"/>
    <w:rsid w:val="002C0C9E"/>
    <w:rsid w:val="002C44D3"/>
    <w:rsid w:val="002C45AF"/>
    <w:rsid w:val="002C4EAD"/>
    <w:rsid w:val="002C5173"/>
    <w:rsid w:val="002C6C07"/>
    <w:rsid w:val="002C72C9"/>
    <w:rsid w:val="002D01E7"/>
    <w:rsid w:val="002E14F0"/>
    <w:rsid w:val="002E22B0"/>
    <w:rsid w:val="002E33ED"/>
    <w:rsid w:val="002E5045"/>
    <w:rsid w:val="002E6255"/>
    <w:rsid w:val="002F0283"/>
    <w:rsid w:val="002F552B"/>
    <w:rsid w:val="002F59A9"/>
    <w:rsid w:val="00302AA6"/>
    <w:rsid w:val="0030595A"/>
    <w:rsid w:val="00305F93"/>
    <w:rsid w:val="0030644E"/>
    <w:rsid w:val="003075ED"/>
    <w:rsid w:val="0031260F"/>
    <w:rsid w:val="00314C3F"/>
    <w:rsid w:val="00317738"/>
    <w:rsid w:val="0032048B"/>
    <w:rsid w:val="00327282"/>
    <w:rsid w:val="00327801"/>
    <w:rsid w:val="00331189"/>
    <w:rsid w:val="003326EB"/>
    <w:rsid w:val="00332EB4"/>
    <w:rsid w:val="00333A01"/>
    <w:rsid w:val="00340AC5"/>
    <w:rsid w:val="00343290"/>
    <w:rsid w:val="00346EE3"/>
    <w:rsid w:val="00350D41"/>
    <w:rsid w:val="00352387"/>
    <w:rsid w:val="00352AB5"/>
    <w:rsid w:val="00357B75"/>
    <w:rsid w:val="00361354"/>
    <w:rsid w:val="00362415"/>
    <w:rsid w:val="00364F19"/>
    <w:rsid w:val="003658AB"/>
    <w:rsid w:val="0036796A"/>
    <w:rsid w:val="00370971"/>
    <w:rsid w:val="00371304"/>
    <w:rsid w:val="00375712"/>
    <w:rsid w:val="0037788F"/>
    <w:rsid w:val="00380552"/>
    <w:rsid w:val="003807F2"/>
    <w:rsid w:val="00383151"/>
    <w:rsid w:val="00384E45"/>
    <w:rsid w:val="003865D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D28"/>
    <w:rsid w:val="003C0E26"/>
    <w:rsid w:val="003C40DF"/>
    <w:rsid w:val="003D1942"/>
    <w:rsid w:val="003D331F"/>
    <w:rsid w:val="003E1239"/>
    <w:rsid w:val="003E1F0A"/>
    <w:rsid w:val="003E2E7C"/>
    <w:rsid w:val="003E3F9A"/>
    <w:rsid w:val="003E48D0"/>
    <w:rsid w:val="003E4F64"/>
    <w:rsid w:val="003E6443"/>
    <w:rsid w:val="003E6DD0"/>
    <w:rsid w:val="003F0363"/>
    <w:rsid w:val="003F2BD7"/>
    <w:rsid w:val="003F4C80"/>
    <w:rsid w:val="003F645B"/>
    <w:rsid w:val="003F705F"/>
    <w:rsid w:val="00402965"/>
    <w:rsid w:val="00417832"/>
    <w:rsid w:val="00421ED3"/>
    <w:rsid w:val="0042292B"/>
    <w:rsid w:val="00423315"/>
    <w:rsid w:val="00424210"/>
    <w:rsid w:val="004314CE"/>
    <w:rsid w:val="0043284D"/>
    <w:rsid w:val="00436113"/>
    <w:rsid w:val="004367D8"/>
    <w:rsid w:val="004420BB"/>
    <w:rsid w:val="00452EA2"/>
    <w:rsid w:val="00454617"/>
    <w:rsid w:val="00455581"/>
    <w:rsid w:val="00456237"/>
    <w:rsid w:val="0045717B"/>
    <w:rsid w:val="00460B4C"/>
    <w:rsid w:val="00464DF0"/>
    <w:rsid w:val="00467248"/>
    <w:rsid w:val="00472E96"/>
    <w:rsid w:val="0047511C"/>
    <w:rsid w:val="00476D07"/>
    <w:rsid w:val="00477266"/>
    <w:rsid w:val="00483409"/>
    <w:rsid w:val="0048381F"/>
    <w:rsid w:val="004856F6"/>
    <w:rsid w:val="004904B8"/>
    <w:rsid w:val="004950A3"/>
    <w:rsid w:val="004963D1"/>
    <w:rsid w:val="00496AA1"/>
    <w:rsid w:val="004A0238"/>
    <w:rsid w:val="004A0797"/>
    <w:rsid w:val="004A295A"/>
    <w:rsid w:val="004A69BD"/>
    <w:rsid w:val="004B3EB3"/>
    <w:rsid w:val="004B4E7A"/>
    <w:rsid w:val="004B6289"/>
    <w:rsid w:val="004B67E4"/>
    <w:rsid w:val="004C547B"/>
    <w:rsid w:val="004D0B09"/>
    <w:rsid w:val="004D5F3F"/>
    <w:rsid w:val="004E0A0E"/>
    <w:rsid w:val="004E10F7"/>
    <w:rsid w:val="004E25C7"/>
    <w:rsid w:val="004E33D4"/>
    <w:rsid w:val="004E40DC"/>
    <w:rsid w:val="004E68B2"/>
    <w:rsid w:val="004F122E"/>
    <w:rsid w:val="004F4537"/>
    <w:rsid w:val="004F5F41"/>
    <w:rsid w:val="005002E0"/>
    <w:rsid w:val="00500B4F"/>
    <w:rsid w:val="005037DA"/>
    <w:rsid w:val="00505E53"/>
    <w:rsid w:val="00521A22"/>
    <w:rsid w:val="00524907"/>
    <w:rsid w:val="00527DAB"/>
    <w:rsid w:val="005301BA"/>
    <w:rsid w:val="0053499A"/>
    <w:rsid w:val="00543499"/>
    <w:rsid w:val="005450FD"/>
    <w:rsid w:val="005462B0"/>
    <w:rsid w:val="00547624"/>
    <w:rsid w:val="00554E5E"/>
    <w:rsid w:val="0055601C"/>
    <w:rsid w:val="0056352E"/>
    <w:rsid w:val="00563A6C"/>
    <w:rsid w:val="00563DDB"/>
    <w:rsid w:val="00563DDF"/>
    <w:rsid w:val="00566213"/>
    <w:rsid w:val="00570BBE"/>
    <w:rsid w:val="00572396"/>
    <w:rsid w:val="005747A0"/>
    <w:rsid w:val="00581AAC"/>
    <w:rsid w:val="00583C3D"/>
    <w:rsid w:val="00584462"/>
    <w:rsid w:val="00584B8B"/>
    <w:rsid w:val="0058508E"/>
    <w:rsid w:val="00586292"/>
    <w:rsid w:val="00594A43"/>
    <w:rsid w:val="005A02A7"/>
    <w:rsid w:val="005A1493"/>
    <w:rsid w:val="005A6D3C"/>
    <w:rsid w:val="005A7EDD"/>
    <w:rsid w:val="005B5E71"/>
    <w:rsid w:val="005B7285"/>
    <w:rsid w:val="005C01ED"/>
    <w:rsid w:val="005C11A4"/>
    <w:rsid w:val="005C1AE2"/>
    <w:rsid w:val="005D0845"/>
    <w:rsid w:val="005D1EFB"/>
    <w:rsid w:val="005E340C"/>
    <w:rsid w:val="005E6C1E"/>
    <w:rsid w:val="005F5808"/>
    <w:rsid w:val="005F5EF3"/>
    <w:rsid w:val="006025C2"/>
    <w:rsid w:val="0060377C"/>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6591"/>
    <w:rsid w:val="00636879"/>
    <w:rsid w:val="006368D3"/>
    <w:rsid w:val="00637163"/>
    <w:rsid w:val="00637370"/>
    <w:rsid w:val="006474E8"/>
    <w:rsid w:val="0065406E"/>
    <w:rsid w:val="00657298"/>
    <w:rsid w:val="006630A2"/>
    <w:rsid w:val="006649B0"/>
    <w:rsid w:val="00666373"/>
    <w:rsid w:val="00666F74"/>
    <w:rsid w:val="0067119C"/>
    <w:rsid w:val="0067360A"/>
    <w:rsid w:val="00675DF2"/>
    <w:rsid w:val="00681DB7"/>
    <w:rsid w:val="00682A9C"/>
    <w:rsid w:val="00690899"/>
    <w:rsid w:val="00691318"/>
    <w:rsid w:val="00692FA5"/>
    <w:rsid w:val="00693434"/>
    <w:rsid w:val="00693AB0"/>
    <w:rsid w:val="00693D80"/>
    <w:rsid w:val="00694647"/>
    <w:rsid w:val="006A1C1B"/>
    <w:rsid w:val="006A2E92"/>
    <w:rsid w:val="006A4D63"/>
    <w:rsid w:val="006A53AE"/>
    <w:rsid w:val="006A683D"/>
    <w:rsid w:val="006A736F"/>
    <w:rsid w:val="006A7502"/>
    <w:rsid w:val="006B2608"/>
    <w:rsid w:val="006B2819"/>
    <w:rsid w:val="006B65E5"/>
    <w:rsid w:val="006B68B3"/>
    <w:rsid w:val="006C597E"/>
    <w:rsid w:val="006C6670"/>
    <w:rsid w:val="006C71B8"/>
    <w:rsid w:val="006D004A"/>
    <w:rsid w:val="006D54DF"/>
    <w:rsid w:val="006D6F62"/>
    <w:rsid w:val="006E3411"/>
    <w:rsid w:val="006E6275"/>
    <w:rsid w:val="006E690B"/>
    <w:rsid w:val="006E6C56"/>
    <w:rsid w:val="006E76B8"/>
    <w:rsid w:val="006F1154"/>
    <w:rsid w:val="006F2266"/>
    <w:rsid w:val="006F3516"/>
    <w:rsid w:val="006F3759"/>
    <w:rsid w:val="006F5C81"/>
    <w:rsid w:val="006F7724"/>
    <w:rsid w:val="0070110C"/>
    <w:rsid w:val="00701754"/>
    <w:rsid w:val="00703FB5"/>
    <w:rsid w:val="007047A8"/>
    <w:rsid w:val="00717A93"/>
    <w:rsid w:val="007203D2"/>
    <w:rsid w:val="00720B92"/>
    <w:rsid w:val="00721839"/>
    <w:rsid w:val="0072216B"/>
    <w:rsid w:val="007271EC"/>
    <w:rsid w:val="007377F6"/>
    <w:rsid w:val="00741360"/>
    <w:rsid w:val="00745BA7"/>
    <w:rsid w:val="007465A0"/>
    <w:rsid w:val="00750868"/>
    <w:rsid w:val="00750BEA"/>
    <w:rsid w:val="0075124E"/>
    <w:rsid w:val="00752386"/>
    <w:rsid w:val="00753E98"/>
    <w:rsid w:val="00756DB1"/>
    <w:rsid w:val="0076037F"/>
    <w:rsid w:val="00770172"/>
    <w:rsid w:val="00770300"/>
    <w:rsid w:val="00770B47"/>
    <w:rsid w:val="00770CB4"/>
    <w:rsid w:val="0077100F"/>
    <w:rsid w:val="007710BC"/>
    <w:rsid w:val="00775798"/>
    <w:rsid w:val="0078035F"/>
    <w:rsid w:val="007810B5"/>
    <w:rsid w:val="00781637"/>
    <w:rsid w:val="0078173F"/>
    <w:rsid w:val="0078231F"/>
    <w:rsid w:val="00783213"/>
    <w:rsid w:val="00784910"/>
    <w:rsid w:val="007851AE"/>
    <w:rsid w:val="00785EFD"/>
    <w:rsid w:val="00787BCC"/>
    <w:rsid w:val="007902CA"/>
    <w:rsid w:val="00793049"/>
    <w:rsid w:val="007A00AE"/>
    <w:rsid w:val="007B05AD"/>
    <w:rsid w:val="007B13B6"/>
    <w:rsid w:val="007B3160"/>
    <w:rsid w:val="007B65EA"/>
    <w:rsid w:val="007B70ED"/>
    <w:rsid w:val="007C438B"/>
    <w:rsid w:val="007C5088"/>
    <w:rsid w:val="007D3570"/>
    <w:rsid w:val="007D37E1"/>
    <w:rsid w:val="007D51B3"/>
    <w:rsid w:val="007E23C2"/>
    <w:rsid w:val="007E28FD"/>
    <w:rsid w:val="007E6A39"/>
    <w:rsid w:val="00802BE1"/>
    <w:rsid w:val="00805942"/>
    <w:rsid w:val="008064D1"/>
    <w:rsid w:val="00810F86"/>
    <w:rsid w:val="008134D1"/>
    <w:rsid w:val="00820D95"/>
    <w:rsid w:val="008304BA"/>
    <w:rsid w:val="00834CD3"/>
    <w:rsid w:val="00836175"/>
    <w:rsid w:val="00836757"/>
    <w:rsid w:val="00840F65"/>
    <w:rsid w:val="008418C2"/>
    <w:rsid w:val="00842ACB"/>
    <w:rsid w:val="00843466"/>
    <w:rsid w:val="00843C8C"/>
    <w:rsid w:val="008452FA"/>
    <w:rsid w:val="00850F81"/>
    <w:rsid w:val="0085275B"/>
    <w:rsid w:val="00852AFF"/>
    <w:rsid w:val="00853F62"/>
    <w:rsid w:val="008572DA"/>
    <w:rsid w:val="00857F59"/>
    <w:rsid w:val="00860021"/>
    <w:rsid w:val="008628BE"/>
    <w:rsid w:val="00865DB9"/>
    <w:rsid w:val="00871D1D"/>
    <w:rsid w:val="00871F6D"/>
    <w:rsid w:val="008734EB"/>
    <w:rsid w:val="00876EED"/>
    <w:rsid w:val="00883D7F"/>
    <w:rsid w:val="00886579"/>
    <w:rsid w:val="00886F75"/>
    <w:rsid w:val="00890767"/>
    <w:rsid w:val="008A0297"/>
    <w:rsid w:val="008A1E93"/>
    <w:rsid w:val="008A6488"/>
    <w:rsid w:val="008A6912"/>
    <w:rsid w:val="008B0BCA"/>
    <w:rsid w:val="008B0F80"/>
    <w:rsid w:val="008B3515"/>
    <w:rsid w:val="008B3BE7"/>
    <w:rsid w:val="008B7AAB"/>
    <w:rsid w:val="008C1E35"/>
    <w:rsid w:val="008C3471"/>
    <w:rsid w:val="008C47B5"/>
    <w:rsid w:val="008D14E6"/>
    <w:rsid w:val="008D2DEC"/>
    <w:rsid w:val="008D3473"/>
    <w:rsid w:val="008D5C38"/>
    <w:rsid w:val="008D6338"/>
    <w:rsid w:val="008D6754"/>
    <w:rsid w:val="008D79E5"/>
    <w:rsid w:val="008E030E"/>
    <w:rsid w:val="008E055B"/>
    <w:rsid w:val="008E16BD"/>
    <w:rsid w:val="008E36F0"/>
    <w:rsid w:val="008E44FF"/>
    <w:rsid w:val="008F1F6C"/>
    <w:rsid w:val="0090258E"/>
    <w:rsid w:val="0090728E"/>
    <w:rsid w:val="009104B4"/>
    <w:rsid w:val="0091212E"/>
    <w:rsid w:val="009121E6"/>
    <w:rsid w:val="009149AE"/>
    <w:rsid w:val="009253DF"/>
    <w:rsid w:val="00926400"/>
    <w:rsid w:val="009348EF"/>
    <w:rsid w:val="00935355"/>
    <w:rsid w:val="009356C7"/>
    <w:rsid w:val="009421F8"/>
    <w:rsid w:val="00944C7E"/>
    <w:rsid w:val="00952E83"/>
    <w:rsid w:val="00957945"/>
    <w:rsid w:val="00957A17"/>
    <w:rsid w:val="0096031E"/>
    <w:rsid w:val="00961553"/>
    <w:rsid w:val="00962407"/>
    <w:rsid w:val="00965069"/>
    <w:rsid w:val="00965269"/>
    <w:rsid w:val="009656BE"/>
    <w:rsid w:val="009703F4"/>
    <w:rsid w:val="00974861"/>
    <w:rsid w:val="00985FF4"/>
    <w:rsid w:val="009905E3"/>
    <w:rsid w:val="00990891"/>
    <w:rsid w:val="009935EA"/>
    <w:rsid w:val="009A1802"/>
    <w:rsid w:val="009A54D5"/>
    <w:rsid w:val="009B27E7"/>
    <w:rsid w:val="009C1E21"/>
    <w:rsid w:val="009C364D"/>
    <w:rsid w:val="009C4007"/>
    <w:rsid w:val="009C5DE1"/>
    <w:rsid w:val="009C6DAD"/>
    <w:rsid w:val="009D4FA5"/>
    <w:rsid w:val="009E2F97"/>
    <w:rsid w:val="009E42B3"/>
    <w:rsid w:val="009E73AA"/>
    <w:rsid w:val="009E7C8C"/>
    <w:rsid w:val="009F0210"/>
    <w:rsid w:val="009F1A90"/>
    <w:rsid w:val="009F3172"/>
    <w:rsid w:val="009F441E"/>
    <w:rsid w:val="00A0030B"/>
    <w:rsid w:val="00A035BE"/>
    <w:rsid w:val="00A04E11"/>
    <w:rsid w:val="00A11F8D"/>
    <w:rsid w:val="00A128C5"/>
    <w:rsid w:val="00A140DB"/>
    <w:rsid w:val="00A21D97"/>
    <w:rsid w:val="00A21FF9"/>
    <w:rsid w:val="00A222F4"/>
    <w:rsid w:val="00A22967"/>
    <w:rsid w:val="00A22CBD"/>
    <w:rsid w:val="00A246EB"/>
    <w:rsid w:val="00A304F5"/>
    <w:rsid w:val="00A33802"/>
    <w:rsid w:val="00A37E6B"/>
    <w:rsid w:val="00A46339"/>
    <w:rsid w:val="00A47D7F"/>
    <w:rsid w:val="00A47E74"/>
    <w:rsid w:val="00A50807"/>
    <w:rsid w:val="00A52FD4"/>
    <w:rsid w:val="00A53E63"/>
    <w:rsid w:val="00A54AC7"/>
    <w:rsid w:val="00A56A21"/>
    <w:rsid w:val="00A62A95"/>
    <w:rsid w:val="00A6466E"/>
    <w:rsid w:val="00A6567F"/>
    <w:rsid w:val="00A72698"/>
    <w:rsid w:val="00A72749"/>
    <w:rsid w:val="00A73F20"/>
    <w:rsid w:val="00A8337E"/>
    <w:rsid w:val="00A86013"/>
    <w:rsid w:val="00A86ED8"/>
    <w:rsid w:val="00A924AC"/>
    <w:rsid w:val="00A96A4B"/>
    <w:rsid w:val="00A973F1"/>
    <w:rsid w:val="00AA1359"/>
    <w:rsid w:val="00AA1E61"/>
    <w:rsid w:val="00AA273C"/>
    <w:rsid w:val="00AA2A5D"/>
    <w:rsid w:val="00AA405E"/>
    <w:rsid w:val="00AA5BD0"/>
    <w:rsid w:val="00AA6A3A"/>
    <w:rsid w:val="00AB1F9B"/>
    <w:rsid w:val="00AB3448"/>
    <w:rsid w:val="00AB4338"/>
    <w:rsid w:val="00AC676B"/>
    <w:rsid w:val="00AC723A"/>
    <w:rsid w:val="00AD1BE6"/>
    <w:rsid w:val="00AD52AF"/>
    <w:rsid w:val="00AD61DF"/>
    <w:rsid w:val="00AD73E1"/>
    <w:rsid w:val="00AD7BB6"/>
    <w:rsid w:val="00AE31FB"/>
    <w:rsid w:val="00AE5A70"/>
    <w:rsid w:val="00AF1AA2"/>
    <w:rsid w:val="00AF69CB"/>
    <w:rsid w:val="00AF6E31"/>
    <w:rsid w:val="00B00C18"/>
    <w:rsid w:val="00B0100B"/>
    <w:rsid w:val="00B065FB"/>
    <w:rsid w:val="00B10BF6"/>
    <w:rsid w:val="00B11603"/>
    <w:rsid w:val="00B15882"/>
    <w:rsid w:val="00B23783"/>
    <w:rsid w:val="00B24BC6"/>
    <w:rsid w:val="00B30811"/>
    <w:rsid w:val="00B30F79"/>
    <w:rsid w:val="00B3239A"/>
    <w:rsid w:val="00B3508F"/>
    <w:rsid w:val="00B3693F"/>
    <w:rsid w:val="00B36B17"/>
    <w:rsid w:val="00B40E17"/>
    <w:rsid w:val="00B41EF8"/>
    <w:rsid w:val="00B4278B"/>
    <w:rsid w:val="00B43BD7"/>
    <w:rsid w:val="00B44044"/>
    <w:rsid w:val="00B46EDD"/>
    <w:rsid w:val="00B500A3"/>
    <w:rsid w:val="00B51C98"/>
    <w:rsid w:val="00B520BF"/>
    <w:rsid w:val="00B5558E"/>
    <w:rsid w:val="00B63DDB"/>
    <w:rsid w:val="00B654AB"/>
    <w:rsid w:val="00B701B6"/>
    <w:rsid w:val="00B71ED8"/>
    <w:rsid w:val="00B75B72"/>
    <w:rsid w:val="00B76679"/>
    <w:rsid w:val="00B7785E"/>
    <w:rsid w:val="00B825BB"/>
    <w:rsid w:val="00B835BE"/>
    <w:rsid w:val="00B8546D"/>
    <w:rsid w:val="00B87CB3"/>
    <w:rsid w:val="00B91EE7"/>
    <w:rsid w:val="00B92768"/>
    <w:rsid w:val="00B95A10"/>
    <w:rsid w:val="00B96B5A"/>
    <w:rsid w:val="00BA3942"/>
    <w:rsid w:val="00BB0EF6"/>
    <w:rsid w:val="00BB193D"/>
    <w:rsid w:val="00BB386A"/>
    <w:rsid w:val="00BB568D"/>
    <w:rsid w:val="00BB64A6"/>
    <w:rsid w:val="00BB6A5C"/>
    <w:rsid w:val="00BD0E9B"/>
    <w:rsid w:val="00BD2B8B"/>
    <w:rsid w:val="00BD636F"/>
    <w:rsid w:val="00BE2DE6"/>
    <w:rsid w:val="00BE40E8"/>
    <w:rsid w:val="00BE564A"/>
    <w:rsid w:val="00BF3F8C"/>
    <w:rsid w:val="00BF7765"/>
    <w:rsid w:val="00C01A71"/>
    <w:rsid w:val="00C03276"/>
    <w:rsid w:val="00C10373"/>
    <w:rsid w:val="00C10B01"/>
    <w:rsid w:val="00C31C8B"/>
    <w:rsid w:val="00C353AF"/>
    <w:rsid w:val="00C40665"/>
    <w:rsid w:val="00C421C7"/>
    <w:rsid w:val="00C52A0E"/>
    <w:rsid w:val="00C574F5"/>
    <w:rsid w:val="00C62B72"/>
    <w:rsid w:val="00C6434D"/>
    <w:rsid w:val="00C655B4"/>
    <w:rsid w:val="00C75832"/>
    <w:rsid w:val="00C8044A"/>
    <w:rsid w:val="00C80F6B"/>
    <w:rsid w:val="00C8580C"/>
    <w:rsid w:val="00C8658D"/>
    <w:rsid w:val="00C937DD"/>
    <w:rsid w:val="00C948C0"/>
    <w:rsid w:val="00C961A9"/>
    <w:rsid w:val="00C96D5C"/>
    <w:rsid w:val="00C97CA8"/>
    <w:rsid w:val="00CA3347"/>
    <w:rsid w:val="00CA3CAA"/>
    <w:rsid w:val="00CA3E80"/>
    <w:rsid w:val="00CA6A1F"/>
    <w:rsid w:val="00CA6B1B"/>
    <w:rsid w:val="00CB0C43"/>
    <w:rsid w:val="00CB455B"/>
    <w:rsid w:val="00CB4B16"/>
    <w:rsid w:val="00CC0F28"/>
    <w:rsid w:val="00CC12C9"/>
    <w:rsid w:val="00CC1D7D"/>
    <w:rsid w:val="00CC3C21"/>
    <w:rsid w:val="00CD3D2A"/>
    <w:rsid w:val="00CD4103"/>
    <w:rsid w:val="00CD60FE"/>
    <w:rsid w:val="00CD6AF0"/>
    <w:rsid w:val="00CD76DE"/>
    <w:rsid w:val="00CE1FBC"/>
    <w:rsid w:val="00CE6048"/>
    <w:rsid w:val="00CE74D3"/>
    <w:rsid w:val="00D02078"/>
    <w:rsid w:val="00D02D02"/>
    <w:rsid w:val="00D0344F"/>
    <w:rsid w:val="00D0359C"/>
    <w:rsid w:val="00D06B9B"/>
    <w:rsid w:val="00D15FB4"/>
    <w:rsid w:val="00D16529"/>
    <w:rsid w:val="00D16F0F"/>
    <w:rsid w:val="00D221EC"/>
    <w:rsid w:val="00D3126E"/>
    <w:rsid w:val="00D32ED9"/>
    <w:rsid w:val="00D3646C"/>
    <w:rsid w:val="00D404EE"/>
    <w:rsid w:val="00D43DD2"/>
    <w:rsid w:val="00D4568A"/>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50B"/>
    <w:rsid w:val="00DA2C1D"/>
    <w:rsid w:val="00DA79ED"/>
    <w:rsid w:val="00DB1257"/>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2DC0"/>
    <w:rsid w:val="00E04549"/>
    <w:rsid w:val="00E049CA"/>
    <w:rsid w:val="00E07E0B"/>
    <w:rsid w:val="00E10A28"/>
    <w:rsid w:val="00E11770"/>
    <w:rsid w:val="00E1279B"/>
    <w:rsid w:val="00E12A1D"/>
    <w:rsid w:val="00E1487F"/>
    <w:rsid w:val="00E15F24"/>
    <w:rsid w:val="00E2157F"/>
    <w:rsid w:val="00E24345"/>
    <w:rsid w:val="00E25A39"/>
    <w:rsid w:val="00E316D7"/>
    <w:rsid w:val="00E41B09"/>
    <w:rsid w:val="00E5148E"/>
    <w:rsid w:val="00E527B3"/>
    <w:rsid w:val="00E56AB7"/>
    <w:rsid w:val="00E57139"/>
    <w:rsid w:val="00E63508"/>
    <w:rsid w:val="00E6520E"/>
    <w:rsid w:val="00E655D2"/>
    <w:rsid w:val="00E7379E"/>
    <w:rsid w:val="00E74AF7"/>
    <w:rsid w:val="00E777D7"/>
    <w:rsid w:val="00E8528C"/>
    <w:rsid w:val="00E90F03"/>
    <w:rsid w:val="00E918DD"/>
    <w:rsid w:val="00E92A6A"/>
    <w:rsid w:val="00E93DD8"/>
    <w:rsid w:val="00E95740"/>
    <w:rsid w:val="00E95A54"/>
    <w:rsid w:val="00EA061D"/>
    <w:rsid w:val="00EA0995"/>
    <w:rsid w:val="00EA3422"/>
    <w:rsid w:val="00EA3A09"/>
    <w:rsid w:val="00EA5B36"/>
    <w:rsid w:val="00EB06EB"/>
    <w:rsid w:val="00EB43DE"/>
    <w:rsid w:val="00EB4722"/>
    <w:rsid w:val="00EB775A"/>
    <w:rsid w:val="00EB7DDD"/>
    <w:rsid w:val="00EC7C55"/>
    <w:rsid w:val="00ED1B68"/>
    <w:rsid w:val="00ED52DE"/>
    <w:rsid w:val="00ED532A"/>
    <w:rsid w:val="00ED6BDA"/>
    <w:rsid w:val="00EE0552"/>
    <w:rsid w:val="00EE08DE"/>
    <w:rsid w:val="00EE1343"/>
    <w:rsid w:val="00EE267A"/>
    <w:rsid w:val="00EE43CE"/>
    <w:rsid w:val="00EE4B67"/>
    <w:rsid w:val="00EE68E1"/>
    <w:rsid w:val="00EE68F4"/>
    <w:rsid w:val="00EF6907"/>
    <w:rsid w:val="00EF6D8A"/>
    <w:rsid w:val="00EF6EA8"/>
    <w:rsid w:val="00EF74CD"/>
    <w:rsid w:val="00F00A6C"/>
    <w:rsid w:val="00F0115C"/>
    <w:rsid w:val="00F01187"/>
    <w:rsid w:val="00F04BA8"/>
    <w:rsid w:val="00F05621"/>
    <w:rsid w:val="00F11326"/>
    <w:rsid w:val="00F144B6"/>
    <w:rsid w:val="00F14D6C"/>
    <w:rsid w:val="00F1668D"/>
    <w:rsid w:val="00F17290"/>
    <w:rsid w:val="00F20273"/>
    <w:rsid w:val="00F209FD"/>
    <w:rsid w:val="00F20E42"/>
    <w:rsid w:val="00F22213"/>
    <w:rsid w:val="00F26FE4"/>
    <w:rsid w:val="00F2707D"/>
    <w:rsid w:val="00F27B45"/>
    <w:rsid w:val="00F3255E"/>
    <w:rsid w:val="00F34B86"/>
    <w:rsid w:val="00F35FDF"/>
    <w:rsid w:val="00F377E5"/>
    <w:rsid w:val="00F37CE0"/>
    <w:rsid w:val="00F37EAA"/>
    <w:rsid w:val="00F42E8F"/>
    <w:rsid w:val="00F45B8C"/>
    <w:rsid w:val="00F46785"/>
    <w:rsid w:val="00F50F10"/>
    <w:rsid w:val="00F51BBB"/>
    <w:rsid w:val="00F5397B"/>
    <w:rsid w:val="00F60251"/>
    <w:rsid w:val="00F61137"/>
    <w:rsid w:val="00F61AEB"/>
    <w:rsid w:val="00F63FD8"/>
    <w:rsid w:val="00F655D8"/>
    <w:rsid w:val="00F6593D"/>
    <w:rsid w:val="00F675E5"/>
    <w:rsid w:val="00F72FC6"/>
    <w:rsid w:val="00F7604C"/>
    <w:rsid w:val="00F760A1"/>
    <w:rsid w:val="00F814D6"/>
    <w:rsid w:val="00F830E7"/>
    <w:rsid w:val="00F833F8"/>
    <w:rsid w:val="00F83559"/>
    <w:rsid w:val="00F84ADD"/>
    <w:rsid w:val="00F87364"/>
    <w:rsid w:val="00F874F6"/>
    <w:rsid w:val="00F93C21"/>
    <w:rsid w:val="00F95E2E"/>
    <w:rsid w:val="00FA49BA"/>
    <w:rsid w:val="00FA6D4E"/>
    <w:rsid w:val="00FA6F01"/>
    <w:rsid w:val="00FA70A4"/>
    <w:rsid w:val="00FA7E71"/>
    <w:rsid w:val="00FC0220"/>
    <w:rsid w:val="00FC03F7"/>
    <w:rsid w:val="00FC2516"/>
    <w:rsid w:val="00FD0F57"/>
    <w:rsid w:val="00FD13A1"/>
    <w:rsid w:val="00FD295B"/>
    <w:rsid w:val="00FD777A"/>
    <w:rsid w:val="00FE244C"/>
    <w:rsid w:val="00FE4562"/>
    <w:rsid w:val="00FE789B"/>
    <w:rsid w:val="00FF43E4"/>
    <w:rsid w:val="00FF516C"/>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29AE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17C22E1-3A2A-4334-AE0F-33323875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15</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Manager/>
  <Company/>
  <LinksUpToDate>false</LinksUpToDate>
  <CharactersWithSpaces>20530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BRICKLE, Christina</cp:lastModifiedBy>
  <cp:revision>19</cp:revision>
  <dcterms:created xsi:type="dcterms:W3CDTF">2021-04-08T07:14:00Z</dcterms:created>
  <dcterms:modified xsi:type="dcterms:W3CDTF">2021-04-09T04:59:00Z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