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charts/chart11.xml" ContentType="application/vnd.openxmlformats-officedocument.drawingml.chart+xml"/>
  <Override PartName="/word/charts/chart12.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color w:val="000080"/>
          <w:lang w:val="en-US"/>
        </w:rPr>
        <w:id w:val="-1169015991"/>
        <w:docPartObj>
          <w:docPartGallery w:val="Cover Pages"/>
          <w:docPartUnique/>
        </w:docPartObj>
      </w:sdtPr>
      <w:sdtEndPr>
        <w:rPr>
          <w:b/>
          <w:noProof/>
          <w:color w:val="EEECE1" w:themeColor="background2"/>
          <w:szCs w:val="32"/>
          <w:lang w:val="en-AU" w:eastAsia="en-AU"/>
        </w:rPr>
      </w:sdtEndPr>
      <w:sdtContent>
        <w:p w:rsidR="00482364" w:rsidRDefault="00482364" w:rsidP="00482364">
          <w:pPr>
            <w:pStyle w:val="NoSpacing"/>
            <w:rPr>
              <w:rFonts w:eastAsiaTheme="majorEastAsia"/>
              <w:sz w:val="28"/>
              <w:szCs w:val="28"/>
            </w:rPr>
          </w:pPr>
        </w:p>
        <w:p w:rsidR="00482364" w:rsidRDefault="00482364" w:rsidP="0079780A">
          <w:pPr>
            <w:pStyle w:val="NoSpacing"/>
            <w:spacing w:before="2400"/>
            <w:ind w:left="993"/>
            <w:rPr>
              <w:rFonts w:eastAsiaTheme="majorEastAsia"/>
              <w:color w:val="000080"/>
              <w:sz w:val="72"/>
              <w:szCs w:val="72"/>
            </w:rPr>
          </w:pPr>
          <w:r w:rsidRPr="00EF0087">
            <w:rPr>
              <w:rFonts w:eastAsiaTheme="majorEastAsia"/>
              <w:sz w:val="28"/>
              <w:szCs w:val="28"/>
            </w:rPr>
            <w:t>Department of Health</w:t>
          </w:r>
          <w:r>
            <w:rPr>
              <w:rFonts w:eastAsiaTheme="majorEastAsia"/>
              <w:color w:val="000080"/>
              <w:sz w:val="72"/>
              <w:szCs w:val="72"/>
            </w:rPr>
            <w:t xml:space="preserve"> </w:t>
          </w:r>
        </w:p>
        <w:p w:rsidR="00482364" w:rsidRDefault="00482364" w:rsidP="002211D5">
          <w:pPr>
            <w:pStyle w:val="NoSpacing"/>
            <w:ind w:left="993"/>
            <w:rPr>
              <w:rFonts w:eastAsiaTheme="majorEastAsia"/>
              <w:color w:val="000080"/>
              <w:sz w:val="72"/>
              <w:szCs w:val="72"/>
            </w:rPr>
          </w:pPr>
        </w:p>
        <w:bookmarkStart w:id="0" w:name="_Toc445982996"/>
        <w:bookmarkStart w:id="1" w:name="_Toc445983095"/>
        <w:bookmarkStart w:id="2" w:name="_Toc445983826"/>
        <w:bookmarkStart w:id="3" w:name="_Toc445986933"/>
        <w:p w:rsidR="00AF1C1A" w:rsidRPr="00DC0BBE" w:rsidRDefault="008549B6" w:rsidP="0079780A">
          <w:pPr>
            <w:pStyle w:val="Heading1"/>
            <w:rPr>
              <w:rFonts w:ascii="Arial" w:hAnsi="Arial" w:cs="Arial"/>
              <w:lang w:val="en-US"/>
            </w:rPr>
          </w:pPr>
          <w:sdt>
            <w:sdtPr>
              <w:rPr>
                <w:sz w:val="36"/>
                <w:szCs w:val="36"/>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r w:rsidR="006F4189" w:rsidRPr="00985EBD">
                <w:rPr>
                  <w:sz w:val="36"/>
                  <w:szCs w:val="36"/>
                </w:rPr>
                <w:t>Australia’s Future Health Workforce – Psychiatry</w:t>
              </w:r>
            </w:sdtContent>
          </w:sdt>
          <w:bookmarkEnd w:id="0"/>
          <w:bookmarkEnd w:id="1"/>
          <w:bookmarkEnd w:id="2"/>
          <w:bookmarkEnd w:id="3"/>
        </w:p>
        <w:p w:rsidR="00E7034B" w:rsidRDefault="00E7034B" w:rsidP="0079780A">
          <w:pPr>
            <w:pStyle w:val="NoSpacing"/>
            <w:spacing w:before="6480"/>
            <w:ind w:left="993"/>
            <w:rPr>
              <w:lang w:val="en-US"/>
            </w:rPr>
          </w:pPr>
          <w:r>
            <w:rPr>
              <w:lang w:val="en-US"/>
            </w:rPr>
            <w:t xml:space="preserve">March </w:t>
          </w:r>
          <w:r w:rsidR="00B90A5D" w:rsidRPr="00362C0F">
            <w:rPr>
              <w:lang w:val="en-US"/>
            </w:rPr>
            <w:t>2016</w:t>
          </w:r>
        </w:p>
        <w:p w:rsidR="00E7034B" w:rsidRDefault="00E7034B">
          <w:pPr>
            <w:jc w:val="left"/>
            <w:rPr>
              <w:lang w:val="en-US"/>
            </w:rPr>
          </w:pPr>
          <w:r>
            <w:rPr>
              <w:lang w:val="en-US"/>
            </w:rPr>
            <w:br w:type="page"/>
          </w:r>
        </w:p>
        <w:p w:rsidR="00E7034B" w:rsidRDefault="00E7034B" w:rsidP="00E7034B">
          <w:pPr>
            <w:rPr>
              <w:b/>
              <w:lang w:val="en-US"/>
            </w:rPr>
          </w:pPr>
          <w:r>
            <w:rPr>
              <w:b/>
              <w:lang w:val="en-US"/>
            </w:rPr>
            <w:lastRenderedPageBreak/>
            <w:t>Commonwealth of Australia 2016</w:t>
          </w:r>
        </w:p>
        <w:p w:rsidR="00E7034B" w:rsidRPr="005923E2" w:rsidRDefault="00E7034B" w:rsidP="00E7034B">
          <w:pPr>
            <w:rPr>
              <w:b/>
              <w:lang w:val="en-US"/>
            </w:rPr>
          </w:pPr>
        </w:p>
        <w:p w:rsidR="00E7034B" w:rsidRPr="00247792" w:rsidRDefault="00E7034B" w:rsidP="00E7034B">
          <w:pPr>
            <w:rPr>
              <w:lang w:val="en-US"/>
            </w:rPr>
          </w:pPr>
          <w:r w:rsidRPr="00247792">
            <w:rPr>
              <w:lang w:val="en-US"/>
            </w:rPr>
            <w:t xml:space="preserve">This work is copyright. You may download, display, print and reproduce the whole or part of this work in unaltered form for your own personal use or, if you are part of an </w:t>
          </w:r>
          <w:proofErr w:type="spellStart"/>
          <w:r w:rsidRPr="00247792">
            <w:rPr>
              <w:lang w:val="en-US"/>
            </w:rPr>
            <w:t>organisation</w:t>
          </w:r>
          <w:proofErr w:type="spellEnd"/>
          <w:r w:rsidRPr="00247792">
            <w:rPr>
              <w:lang w:val="en-US"/>
            </w:rPr>
            <w:t xml:space="preserve">, for internal use within your </w:t>
          </w:r>
          <w:proofErr w:type="spellStart"/>
          <w:r w:rsidRPr="00247792">
            <w:rPr>
              <w:lang w:val="en-US"/>
            </w:rPr>
            <w:t>organisation</w:t>
          </w:r>
          <w:proofErr w:type="spellEnd"/>
          <w:r w:rsidRPr="00247792">
            <w:rPr>
              <w:lang w:val="en-US"/>
            </w:rPr>
            <w:t xml:space="preserve">, but only if you or your </w:t>
          </w:r>
          <w:proofErr w:type="spellStart"/>
          <w:r w:rsidRPr="00247792">
            <w:rPr>
              <w:lang w:val="en-US"/>
            </w:rPr>
            <w:t>organisation</w:t>
          </w:r>
          <w:proofErr w:type="spellEnd"/>
          <w:r w:rsidRPr="00247792">
            <w:rPr>
              <w:lang w:val="en-US"/>
            </w:rPr>
            <w:t xml:space="preserve">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w:t>
          </w:r>
          <w:hyperlink r:id="rId10" w:history="1">
            <w:r w:rsidRPr="00247792">
              <w:rPr>
                <w:color w:val="0000FF"/>
                <w:u w:val="single"/>
                <w:lang w:val="en-US"/>
              </w:rPr>
              <w:t>copyright@health.gov.au</w:t>
            </w:r>
          </w:hyperlink>
          <w:r w:rsidRPr="00247792">
            <w:rPr>
              <w:lang w:val="en-US"/>
            </w:rPr>
            <w:t>.</w:t>
          </w:r>
        </w:p>
        <w:p w:rsidR="00E7034B" w:rsidRDefault="00E7034B" w:rsidP="00E7034B">
          <w:pPr>
            <w:rPr>
              <w:lang w:eastAsia="en-AU"/>
            </w:rPr>
          </w:pPr>
        </w:p>
        <w:p w:rsidR="00E7034B" w:rsidRDefault="00E7034B" w:rsidP="00E7034B">
          <w:pPr>
            <w:rPr>
              <w:lang w:eastAsia="en-AU"/>
            </w:rPr>
          </w:pPr>
          <w:r w:rsidRPr="00247792">
            <w:rPr>
              <w:lang w:eastAsia="en-AU"/>
            </w:rPr>
            <w:t xml:space="preserve">The Australia’s Future Health Workforce – </w:t>
          </w:r>
          <w:r>
            <w:rPr>
              <w:lang w:eastAsia="en-AU"/>
            </w:rPr>
            <w:t>Psychiatry R</w:t>
          </w:r>
          <w:r w:rsidRPr="00247792">
            <w:rPr>
              <w:lang w:eastAsia="en-AU"/>
            </w:rPr>
            <w:t xml:space="preserve">eport was developed by </w:t>
          </w:r>
          <w:r>
            <w:rPr>
              <w:lang w:eastAsia="en-AU"/>
            </w:rPr>
            <w:t>the Commonwealth Department Health under the guidance of the National Medical Training Advisory Network.</w:t>
          </w:r>
          <w:r w:rsidRPr="00247792">
            <w:rPr>
              <w:lang w:eastAsia="en-AU"/>
            </w:rPr>
            <w:t xml:space="preserve"> </w:t>
          </w:r>
        </w:p>
        <w:p w:rsidR="00E7034B" w:rsidRDefault="00E7034B" w:rsidP="00E7034B">
          <w:pPr>
            <w:rPr>
              <w:lang w:val="en-US"/>
            </w:rPr>
          </w:pPr>
        </w:p>
        <w:p w:rsidR="00E7034B" w:rsidRDefault="00E7034B" w:rsidP="00442EFC">
          <w:pPr>
            <w:rPr>
              <w:lang w:val="en-US"/>
            </w:rPr>
          </w:pPr>
          <w:r w:rsidRPr="00247792">
            <w:rPr>
              <w:lang w:val="en-US"/>
            </w:rPr>
            <w:t xml:space="preserve">The Australia’s Future Health Workforce – </w:t>
          </w:r>
          <w:r>
            <w:rPr>
              <w:lang w:val="en-US"/>
            </w:rPr>
            <w:t>Psychiatry R</w:t>
          </w:r>
          <w:r w:rsidRPr="00247792">
            <w:rPr>
              <w:lang w:val="en-US"/>
            </w:rPr>
            <w:t>eport was approved for publication by the Commonwealth and all State and Territory Hea</w:t>
          </w:r>
          <w:r>
            <w:rPr>
              <w:lang w:val="en-US"/>
            </w:rPr>
            <w:t>lth Ministers on 9 March 2016</w:t>
          </w:r>
          <w:r w:rsidRPr="00247792">
            <w:rPr>
              <w:lang w:val="en-US"/>
            </w:rPr>
            <w:t>.</w:t>
          </w:r>
        </w:p>
        <w:p w:rsidR="00442EFC" w:rsidRDefault="00442EFC" w:rsidP="00442EFC">
          <w:pPr>
            <w:rPr>
              <w:lang w:val="en-US"/>
            </w:rPr>
          </w:pPr>
        </w:p>
        <w:p w:rsidR="00E7034B" w:rsidRPr="00247792" w:rsidRDefault="00E7034B" w:rsidP="00E7034B">
          <w:pPr>
            <w:rPr>
              <w:lang w:val="en-US"/>
            </w:rPr>
          </w:pPr>
          <w:r w:rsidRPr="00247792">
            <w:rPr>
              <w:lang w:val="en-US"/>
            </w:rPr>
            <w:t xml:space="preserve">The recommendations contained in the Australia’s Future Health Workforce – </w:t>
          </w:r>
          <w:r>
            <w:rPr>
              <w:lang w:val="en-US"/>
            </w:rPr>
            <w:t>Psychiatry</w:t>
          </w:r>
          <w:r w:rsidRPr="00247792">
            <w:rPr>
              <w:lang w:val="en-US"/>
            </w:rPr>
            <w:t xml:space="preserve"> Report will be the subject of further consideration. </w:t>
          </w:r>
        </w:p>
        <w:p w:rsidR="00E7034B" w:rsidRDefault="00E7034B" w:rsidP="00E7034B">
          <w:pPr>
            <w:rPr>
              <w:lang w:val="en-US"/>
            </w:rPr>
          </w:pPr>
        </w:p>
        <w:p w:rsidR="00E7034B" w:rsidRPr="00247792" w:rsidRDefault="00E7034B" w:rsidP="00E7034B">
          <w:pPr>
            <w:rPr>
              <w:lang w:val="en-US"/>
            </w:rPr>
          </w:pPr>
          <w:r w:rsidRPr="00247792">
            <w:rPr>
              <w:lang w:val="en-US"/>
            </w:rPr>
            <w:t xml:space="preserve">Enquiries concerning this report and its reproduction should be directed to: </w:t>
          </w:r>
        </w:p>
        <w:p w:rsidR="00E7034B" w:rsidRDefault="00E7034B" w:rsidP="00E7034B">
          <w:pPr>
            <w:pStyle w:val="NoSpacing"/>
            <w:rPr>
              <w:lang w:val="en-US"/>
            </w:rPr>
          </w:pPr>
        </w:p>
        <w:p w:rsidR="00E7034B" w:rsidRPr="0046442B" w:rsidRDefault="00E7034B" w:rsidP="00E7034B">
          <w:pPr>
            <w:pStyle w:val="NoSpacing"/>
            <w:rPr>
              <w:lang w:val="en-US"/>
            </w:rPr>
          </w:pPr>
          <w:r>
            <w:rPr>
              <w:lang w:val="en-US"/>
            </w:rPr>
            <w:t xml:space="preserve">Department </w:t>
          </w:r>
          <w:r w:rsidRPr="00247792">
            <w:rPr>
              <w:lang w:val="en-US"/>
            </w:rPr>
            <w:t>of Health</w:t>
          </w:r>
          <w:r>
            <w:rPr>
              <w:lang w:val="en-US"/>
            </w:rPr>
            <w:br/>
          </w:r>
          <w:r w:rsidRPr="00247792">
            <w:rPr>
              <w:lang w:val="en-US"/>
            </w:rPr>
            <w:t>GPO Box 9848</w:t>
          </w:r>
          <w:r>
            <w:rPr>
              <w:lang w:val="en-US"/>
            </w:rPr>
            <w:br/>
          </w:r>
          <w:r w:rsidRPr="00247792">
            <w:rPr>
              <w:lang w:val="en-US"/>
            </w:rPr>
            <w:t xml:space="preserve">Canberra ACT 2601 </w:t>
          </w:r>
          <w:r>
            <w:rPr>
              <w:lang w:val="en-US"/>
            </w:rPr>
            <w:br/>
          </w:r>
          <w:hyperlink r:id="rId11" w:history="1">
            <w:r w:rsidRPr="0046442B">
              <w:rPr>
                <w:rStyle w:val="Hyperlink"/>
                <w:lang w:val="en-US"/>
              </w:rPr>
              <w:t>healthworkforcedata@health.gov.au</w:t>
            </w:r>
          </w:hyperlink>
        </w:p>
        <w:p w:rsidR="00E7034B" w:rsidRDefault="00E7034B" w:rsidP="00E7034B"/>
        <w:p w:rsidR="00E7034B" w:rsidRPr="00247792" w:rsidRDefault="00E7034B" w:rsidP="00E7034B">
          <w:r w:rsidRPr="00247792">
            <w:t>Suggested citation:</w:t>
          </w:r>
          <w:r w:rsidRPr="00247792">
            <w:rPr>
              <w:lang w:val="en-US"/>
            </w:rPr>
            <w:t xml:space="preserve"> </w:t>
          </w:r>
          <w:r>
            <w:t>Department of Health 2016</w:t>
          </w:r>
          <w:r w:rsidRPr="00247792">
            <w:t xml:space="preserve">: Australia’s Future Health Workforce – </w:t>
          </w:r>
          <w:r>
            <w:t>Psychiatry</w:t>
          </w:r>
        </w:p>
        <w:p w:rsidR="00E7034B" w:rsidRDefault="00E7034B" w:rsidP="00E7034B">
          <w:pPr>
            <w:pStyle w:val="NoSpacing"/>
            <w:tabs>
              <w:tab w:val="left" w:pos="1427"/>
            </w:tabs>
            <w:ind w:left="993"/>
            <w:rPr>
              <w:color w:val="000080"/>
              <w:lang w:val="en-US"/>
            </w:rPr>
          </w:pPr>
        </w:p>
        <w:p w:rsidR="00AF1C1A" w:rsidRPr="00362C0F" w:rsidRDefault="00AF1C1A" w:rsidP="00AF1C1A">
          <w:pPr>
            <w:pStyle w:val="NoSpacing"/>
            <w:ind w:left="993"/>
            <w:rPr>
              <w:lang w:val="en-US"/>
            </w:rPr>
          </w:pPr>
        </w:p>
        <w:p w:rsidR="00D54429" w:rsidRPr="001C730C" w:rsidRDefault="00D54429" w:rsidP="00CB4512">
          <w:pPr>
            <w:pStyle w:val="NoSpacing"/>
            <w:rPr>
              <w:color w:val="000080"/>
              <w:sz w:val="20"/>
              <w:lang w:val="en-US"/>
            </w:rPr>
            <w:sectPr w:rsidR="00D54429" w:rsidRPr="001C730C" w:rsidSect="00223849">
              <w:headerReference w:type="even" r:id="rId12"/>
              <w:headerReference w:type="default" r:id="rId13"/>
              <w:footerReference w:type="default" r:id="rId14"/>
              <w:pgSz w:w="11906" w:h="16838"/>
              <w:pgMar w:top="1247" w:right="1080" w:bottom="1247" w:left="1080" w:header="708" w:footer="708" w:gutter="0"/>
              <w:pgNumType w:start="0"/>
              <w:cols w:space="708"/>
              <w:titlePg/>
              <w:docGrid w:linePitch="360"/>
            </w:sectPr>
          </w:pPr>
        </w:p>
        <w:p w:rsidR="007162A5" w:rsidRPr="00DC0BBE" w:rsidRDefault="008549B6">
          <w:pPr>
            <w:rPr>
              <w:rFonts w:ascii="Arial" w:hAnsi="Arial" w:cs="Arial"/>
              <w:noProof/>
              <w:color w:val="EEECE1" w:themeColor="background2"/>
              <w:sz w:val="32"/>
              <w:szCs w:val="32"/>
              <w:lang w:eastAsia="en-AU"/>
            </w:rPr>
          </w:pPr>
        </w:p>
      </w:sdtContent>
    </w:sdt>
    <w:bookmarkStart w:id="4" w:name="_Toc445982997" w:displacedByCustomXml="next"/>
    <w:bookmarkStart w:id="5" w:name="_Toc445983096" w:displacedByCustomXml="next"/>
    <w:bookmarkStart w:id="6" w:name="_Toc445983827" w:displacedByCustomXml="next"/>
    <w:bookmarkStart w:id="7" w:name="_Toc445986934" w:displacedByCustomXml="next"/>
    <w:sdt>
      <w:sdtPr>
        <w:rPr>
          <w:rFonts w:eastAsia="Times New Roman" w:cs="Times New Roman"/>
          <w:b w:val="0"/>
          <w:bCs w:val="0"/>
          <w:iCs w:val="0"/>
          <w:color w:val="auto"/>
          <w:sz w:val="24"/>
          <w:szCs w:val="24"/>
        </w:rPr>
        <w:id w:val="1254317093"/>
        <w:docPartObj>
          <w:docPartGallery w:val="Table of Contents"/>
          <w:docPartUnique/>
        </w:docPartObj>
      </w:sdtPr>
      <w:sdtEndPr>
        <w:rPr>
          <w:noProof/>
        </w:rPr>
      </w:sdtEndPr>
      <w:sdtContent>
        <w:p w:rsidR="00A2091F" w:rsidRPr="00AA78A4" w:rsidRDefault="00A2091F" w:rsidP="00024EE6">
          <w:pPr>
            <w:pStyle w:val="Heading2"/>
          </w:pPr>
          <w:r w:rsidRPr="00AA78A4">
            <w:t>Contents</w:t>
          </w:r>
          <w:bookmarkEnd w:id="7"/>
          <w:bookmarkEnd w:id="6"/>
          <w:bookmarkEnd w:id="5"/>
          <w:bookmarkEnd w:id="4"/>
        </w:p>
        <w:p w:rsidR="00BE48CA" w:rsidRDefault="00A2091F" w:rsidP="00BE48CA">
          <w:pPr>
            <w:pStyle w:val="TOC1"/>
            <w:tabs>
              <w:tab w:val="right" w:leader="dot" w:pos="9016"/>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45986935" w:history="1">
            <w:r w:rsidR="00BE48CA" w:rsidRPr="00D07E54">
              <w:rPr>
                <w:rStyle w:val="Hyperlink"/>
                <w:noProof/>
              </w:rPr>
              <w:t>Executive Summary</w:t>
            </w:r>
            <w:r w:rsidR="00BE48CA">
              <w:rPr>
                <w:noProof/>
                <w:webHidden/>
              </w:rPr>
              <w:tab/>
            </w:r>
            <w:r w:rsidR="00BE48CA">
              <w:rPr>
                <w:noProof/>
                <w:webHidden/>
              </w:rPr>
              <w:fldChar w:fldCharType="begin"/>
            </w:r>
            <w:r w:rsidR="00BE48CA">
              <w:rPr>
                <w:noProof/>
                <w:webHidden/>
              </w:rPr>
              <w:instrText xml:space="preserve"> PAGEREF _Toc445986935 \h </w:instrText>
            </w:r>
            <w:r w:rsidR="00BE48CA">
              <w:rPr>
                <w:noProof/>
                <w:webHidden/>
              </w:rPr>
            </w:r>
            <w:r w:rsidR="00BE48CA">
              <w:rPr>
                <w:noProof/>
                <w:webHidden/>
              </w:rPr>
              <w:fldChar w:fldCharType="separate"/>
            </w:r>
            <w:r w:rsidR="00BE48CA">
              <w:rPr>
                <w:noProof/>
                <w:webHidden/>
              </w:rPr>
              <w:t>2</w:t>
            </w:r>
            <w:r w:rsidR="00BE48CA">
              <w:rPr>
                <w:noProof/>
                <w:webHidden/>
              </w:rPr>
              <w:fldChar w:fldCharType="end"/>
            </w:r>
          </w:hyperlink>
        </w:p>
        <w:p w:rsidR="00BE48CA" w:rsidRDefault="008549B6" w:rsidP="00BE48CA">
          <w:pPr>
            <w:pStyle w:val="TOC2"/>
            <w:rPr>
              <w:rFonts w:asciiTheme="minorHAnsi" w:eastAsiaTheme="minorEastAsia" w:hAnsiTheme="minorHAnsi" w:cstheme="minorBidi"/>
              <w:noProof/>
              <w:sz w:val="22"/>
              <w:szCs w:val="22"/>
              <w:lang w:eastAsia="en-AU"/>
            </w:rPr>
          </w:pPr>
          <w:hyperlink w:anchor="_Toc445986936" w:history="1">
            <w:r w:rsidR="00BE48CA" w:rsidRPr="00D07E54">
              <w:rPr>
                <w:rStyle w:val="Hyperlink"/>
                <w:noProof/>
              </w:rPr>
              <w:t>Key findings</w:t>
            </w:r>
            <w:r w:rsidR="00BE48CA">
              <w:rPr>
                <w:noProof/>
                <w:webHidden/>
              </w:rPr>
              <w:tab/>
            </w:r>
            <w:r w:rsidR="00BE48CA">
              <w:rPr>
                <w:noProof/>
                <w:webHidden/>
              </w:rPr>
              <w:fldChar w:fldCharType="begin"/>
            </w:r>
            <w:r w:rsidR="00BE48CA">
              <w:rPr>
                <w:noProof/>
                <w:webHidden/>
              </w:rPr>
              <w:instrText xml:space="preserve"> PAGEREF _Toc445986936 \h </w:instrText>
            </w:r>
            <w:r w:rsidR="00BE48CA">
              <w:rPr>
                <w:noProof/>
                <w:webHidden/>
              </w:rPr>
            </w:r>
            <w:r w:rsidR="00BE48CA">
              <w:rPr>
                <w:noProof/>
                <w:webHidden/>
              </w:rPr>
              <w:fldChar w:fldCharType="separate"/>
            </w:r>
            <w:r w:rsidR="00BE48CA">
              <w:rPr>
                <w:noProof/>
                <w:webHidden/>
              </w:rPr>
              <w:t>3</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37" w:history="1">
            <w:r w:rsidR="00BE48CA" w:rsidRPr="00D07E54">
              <w:rPr>
                <w:rStyle w:val="Hyperlink"/>
                <w:noProof/>
              </w:rPr>
              <w:t>Supply and demand projections</w:t>
            </w:r>
            <w:r w:rsidR="001010AE">
              <w:rPr>
                <w:noProof/>
                <w:webHidden/>
              </w:rPr>
              <w:tab/>
            </w:r>
            <w:r w:rsidR="00BE48CA">
              <w:rPr>
                <w:noProof/>
                <w:webHidden/>
              </w:rPr>
              <w:fldChar w:fldCharType="begin"/>
            </w:r>
            <w:r w:rsidR="00BE48CA">
              <w:rPr>
                <w:noProof/>
                <w:webHidden/>
              </w:rPr>
              <w:instrText xml:space="preserve"> PAGEREF _Toc445986937 \h </w:instrText>
            </w:r>
            <w:r w:rsidR="00BE48CA">
              <w:rPr>
                <w:noProof/>
                <w:webHidden/>
              </w:rPr>
            </w:r>
            <w:r w:rsidR="00BE48CA">
              <w:rPr>
                <w:noProof/>
                <w:webHidden/>
              </w:rPr>
              <w:fldChar w:fldCharType="separate"/>
            </w:r>
            <w:r w:rsidR="00BE48CA">
              <w:rPr>
                <w:noProof/>
                <w:webHidden/>
              </w:rPr>
              <w:t>3</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38" w:history="1">
            <w:r w:rsidR="00BE48CA" w:rsidRPr="00D07E54">
              <w:rPr>
                <w:rStyle w:val="Hyperlink"/>
                <w:noProof/>
              </w:rPr>
              <w:t>Training program</w:t>
            </w:r>
            <w:r w:rsidR="00BE48CA">
              <w:rPr>
                <w:noProof/>
                <w:webHidden/>
              </w:rPr>
              <w:tab/>
            </w:r>
            <w:r w:rsidR="00BE48CA">
              <w:rPr>
                <w:noProof/>
                <w:webHidden/>
              </w:rPr>
              <w:fldChar w:fldCharType="begin"/>
            </w:r>
            <w:r w:rsidR="00BE48CA">
              <w:rPr>
                <w:noProof/>
                <w:webHidden/>
              </w:rPr>
              <w:instrText xml:space="preserve"> PAGEREF _Toc445986938 \h </w:instrText>
            </w:r>
            <w:r w:rsidR="00BE48CA">
              <w:rPr>
                <w:noProof/>
                <w:webHidden/>
              </w:rPr>
            </w:r>
            <w:r w:rsidR="00BE48CA">
              <w:rPr>
                <w:noProof/>
                <w:webHidden/>
              </w:rPr>
              <w:fldChar w:fldCharType="separate"/>
            </w:r>
            <w:r w:rsidR="00BE48CA">
              <w:rPr>
                <w:noProof/>
                <w:webHidden/>
              </w:rPr>
              <w:t>3</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39" w:history="1">
            <w:r w:rsidR="00BE48CA" w:rsidRPr="00D07E54">
              <w:rPr>
                <w:rStyle w:val="Hyperlink"/>
                <w:noProof/>
              </w:rPr>
              <w:t>Capacity and distribution for vocational training</w:t>
            </w:r>
            <w:r w:rsidR="00BE48CA">
              <w:rPr>
                <w:noProof/>
                <w:webHidden/>
              </w:rPr>
              <w:tab/>
            </w:r>
            <w:r w:rsidR="00BE48CA">
              <w:rPr>
                <w:noProof/>
                <w:webHidden/>
              </w:rPr>
              <w:fldChar w:fldCharType="begin"/>
            </w:r>
            <w:r w:rsidR="00BE48CA">
              <w:rPr>
                <w:noProof/>
                <w:webHidden/>
              </w:rPr>
              <w:instrText xml:space="preserve"> PAGEREF _Toc445986939 \h </w:instrText>
            </w:r>
            <w:r w:rsidR="00BE48CA">
              <w:rPr>
                <w:noProof/>
                <w:webHidden/>
              </w:rPr>
            </w:r>
            <w:r w:rsidR="00BE48CA">
              <w:rPr>
                <w:noProof/>
                <w:webHidden/>
              </w:rPr>
              <w:fldChar w:fldCharType="separate"/>
            </w:r>
            <w:r w:rsidR="00BE48CA">
              <w:rPr>
                <w:noProof/>
                <w:webHidden/>
              </w:rPr>
              <w:t>4</w:t>
            </w:r>
            <w:r w:rsidR="00BE48CA">
              <w:rPr>
                <w:noProof/>
                <w:webHidden/>
              </w:rPr>
              <w:fldChar w:fldCharType="end"/>
            </w:r>
          </w:hyperlink>
        </w:p>
        <w:p w:rsidR="00BE48CA" w:rsidRDefault="008549B6" w:rsidP="00BE48CA">
          <w:pPr>
            <w:pStyle w:val="TOC2"/>
            <w:rPr>
              <w:rFonts w:asciiTheme="minorHAnsi" w:eastAsiaTheme="minorEastAsia" w:hAnsiTheme="minorHAnsi" w:cstheme="minorBidi"/>
              <w:noProof/>
              <w:sz w:val="22"/>
              <w:szCs w:val="22"/>
              <w:lang w:eastAsia="en-AU"/>
            </w:rPr>
          </w:pPr>
          <w:hyperlink w:anchor="_Toc445986940" w:history="1">
            <w:r w:rsidR="00BE48CA" w:rsidRPr="00D07E54">
              <w:rPr>
                <w:rStyle w:val="Hyperlink"/>
                <w:noProof/>
              </w:rPr>
              <w:t>Overview</w:t>
            </w:r>
            <w:r w:rsidR="00BE48CA">
              <w:rPr>
                <w:noProof/>
                <w:webHidden/>
              </w:rPr>
              <w:tab/>
            </w:r>
            <w:r w:rsidR="00BE48CA">
              <w:rPr>
                <w:noProof/>
                <w:webHidden/>
              </w:rPr>
              <w:fldChar w:fldCharType="begin"/>
            </w:r>
            <w:r w:rsidR="00BE48CA">
              <w:rPr>
                <w:noProof/>
                <w:webHidden/>
              </w:rPr>
              <w:instrText xml:space="preserve"> PAGEREF _Toc445986940 \h </w:instrText>
            </w:r>
            <w:r w:rsidR="00BE48CA">
              <w:rPr>
                <w:noProof/>
                <w:webHidden/>
              </w:rPr>
            </w:r>
            <w:r w:rsidR="00BE48CA">
              <w:rPr>
                <w:noProof/>
                <w:webHidden/>
              </w:rPr>
              <w:fldChar w:fldCharType="separate"/>
            </w:r>
            <w:r w:rsidR="00BE48CA">
              <w:rPr>
                <w:noProof/>
                <w:webHidden/>
              </w:rPr>
              <w:t>6</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41" w:history="1">
            <w:r w:rsidR="00BE48CA" w:rsidRPr="00D07E54">
              <w:rPr>
                <w:rStyle w:val="Hyperlink"/>
                <w:noProof/>
              </w:rPr>
              <w:t>Background</w:t>
            </w:r>
            <w:r w:rsidR="00BE48CA">
              <w:rPr>
                <w:noProof/>
                <w:webHidden/>
              </w:rPr>
              <w:tab/>
            </w:r>
            <w:r w:rsidR="00BE48CA">
              <w:rPr>
                <w:noProof/>
                <w:webHidden/>
              </w:rPr>
              <w:fldChar w:fldCharType="begin"/>
            </w:r>
            <w:r w:rsidR="00BE48CA">
              <w:rPr>
                <w:noProof/>
                <w:webHidden/>
              </w:rPr>
              <w:instrText xml:space="preserve"> PAGEREF _Toc445986941 \h </w:instrText>
            </w:r>
            <w:r w:rsidR="00BE48CA">
              <w:rPr>
                <w:noProof/>
                <w:webHidden/>
              </w:rPr>
            </w:r>
            <w:r w:rsidR="00BE48CA">
              <w:rPr>
                <w:noProof/>
                <w:webHidden/>
              </w:rPr>
              <w:fldChar w:fldCharType="separate"/>
            </w:r>
            <w:r w:rsidR="00BE48CA">
              <w:rPr>
                <w:noProof/>
                <w:webHidden/>
              </w:rPr>
              <w:t>6</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42" w:history="1">
            <w:r w:rsidR="00BE48CA" w:rsidRPr="00D07E54">
              <w:rPr>
                <w:rStyle w:val="Hyperlink"/>
                <w:noProof/>
              </w:rPr>
              <w:t>Determining the Future Capacity for Training Needs</w:t>
            </w:r>
            <w:r w:rsidR="00BE48CA">
              <w:rPr>
                <w:noProof/>
                <w:webHidden/>
              </w:rPr>
              <w:tab/>
            </w:r>
            <w:r w:rsidR="00BE48CA">
              <w:rPr>
                <w:noProof/>
                <w:webHidden/>
              </w:rPr>
              <w:fldChar w:fldCharType="begin"/>
            </w:r>
            <w:r w:rsidR="00BE48CA">
              <w:rPr>
                <w:noProof/>
                <w:webHidden/>
              </w:rPr>
              <w:instrText xml:space="preserve"> PAGEREF _Toc445986942 \h </w:instrText>
            </w:r>
            <w:r w:rsidR="00BE48CA">
              <w:rPr>
                <w:noProof/>
                <w:webHidden/>
              </w:rPr>
            </w:r>
            <w:r w:rsidR="00BE48CA">
              <w:rPr>
                <w:noProof/>
                <w:webHidden/>
              </w:rPr>
              <w:fldChar w:fldCharType="separate"/>
            </w:r>
            <w:r w:rsidR="00BE48CA">
              <w:rPr>
                <w:noProof/>
                <w:webHidden/>
              </w:rPr>
              <w:t>7</w:t>
            </w:r>
            <w:r w:rsidR="00BE48CA">
              <w:rPr>
                <w:noProof/>
                <w:webHidden/>
              </w:rPr>
              <w:fldChar w:fldCharType="end"/>
            </w:r>
          </w:hyperlink>
        </w:p>
        <w:p w:rsidR="00BE48CA" w:rsidRDefault="008549B6" w:rsidP="00BE48CA">
          <w:pPr>
            <w:pStyle w:val="TOC2"/>
            <w:rPr>
              <w:rFonts w:asciiTheme="minorHAnsi" w:eastAsiaTheme="minorEastAsia" w:hAnsiTheme="minorHAnsi" w:cstheme="minorBidi"/>
              <w:noProof/>
              <w:sz w:val="22"/>
              <w:szCs w:val="22"/>
              <w:lang w:eastAsia="en-AU"/>
            </w:rPr>
          </w:pPr>
          <w:hyperlink w:anchor="_Toc445986943" w:history="1">
            <w:r w:rsidR="00BE48CA" w:rsidRPr="00D07E54">
              <w:rPr>
                <w:rStyle w:val="Hyperlink"/>
                <w:noProof/>
              </w:rPr>
              <w:t>Introduction</w:t>
            </w:r>
            <w:r w:rsidR="00BE48CA">
              <w:rPr>
                <w:noProof/>
                <w:webHidden/>
              </w:rPr>
              <w:tab/>
            </w:r>
            <w:r w:rsidR="00BE48CA">
              <w:rPr>
                <w:noProof/>
                <w:webHidden/>
              </w:rPr>
              <w:fldChar w:fldCharType="begin"/>
            </w:r>
            <w:r w:rsidR="00BE48CA">
              <w:rPr>
                <w:noProof/>
                <w:webHidden/>
              </w:rPr>
              <w:instrText xml:space="preserve"> PAGEREF _Toc445986943 \h </w:instrText>
            </w:r>
            <w:r w:rsidR="00BE48CA">
              <w:rPr>
                <w:noProof/>
                <w:webHidden/>
              </w:rPr>
            </w:r>
            <w:r w:rsidR="00BE48CA">
              <w:rPr>
                <w:noProof/>
                <w:webHidden/>
              </w:rPr>
              <w:fldChar w:fldCharType="separate"/>
            </w:r>
            <w:r w:rsidR="00BE48CA">
              <w:rPr>
                <w:noProof/>
                <w:webHidden/>
              </w:rPr>
              <w:t>9</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44" w:history="1">
            <w:r w:rsidR="00BE48CA" w:rsidRPr="00D07E54">
              <w:rPr>
                <w:rStyle w:val="Hyperlink"/>
                <w:noProof/>
              </w:rPr>
              <w:t>Current workforce status</w:t>
            </w:r>
            <w:r w:rsidR="00BE48CA">
              <w:rPr>
                <w:noProof/>
                <w:webHidden/>
              </w:rPr>
              <w:tab/>
            </w:r>
            <w:r w:rsidR="00BE48CA">
              <w:rPr>
                <w:noProof/>
                <w:webHidden/>
              </w:rPr>
              <w:fldChar w:fldCharType="begin"/>
            </w:r>
            <w:r w:rsidR="00BE48CA">
              <w:rPr>
                <w:noProof/>
                <w:webHidden/>
              </w:rPr>
              <w:instrText xml:space="preserve"> PAGEREF _Toc445986944 \h </w:instrText>
            </w:r>
            <w:r w:rsidR="00BE48CA">
              <w:rPr>
                <w:noProof/>
                <w:webHidden/>
              </w:rPr>
            </w:r>
            <w:r w:rsidR="00BE48CA">
              <w:rPr>
                <w:noProof/>
                <w:webHidden/>
              </w:rPr>
              <w:fldChar w:fldCharType="separate"/>
            </w:r>
            <w:r w:rsidR="00BE48CA">
              <w:rPr>
                <w:noProof/>
                <w:webHidden/>
              </w:rPr>
              <w:t>9</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45" w:history="1">
            <w:r w:rsidR="00BE48CA" w:rsidRPr="00D07E54">
              <w:rPr>
                <w:rStyle w:val="Hyperlink"/>
                <w:noProof/>
              </w:rPr>
              <w:t>Current trainee status</w:t>
            </w:r>
            <w:r w:rsidR="00BE48CA">
              <w:rPr>
                <w:noProof/>
                <w:webHidden/>
              </w:rPr>
              <w:tab/>
            </w:r>
            <w:r w:rsidR="00BE48CA">
              <w:rPr>
                <w:noProof/>
                <w:webHidden/>
              </w:rPr>
              <w:fldChar w:fldCharType="begin"/>
            </w:r>
            <w:r w:rsidR="00BE48CA">
              <w:rPr>
                <w:noProof/>
                <w:webHidden/>
              </w:rPr>
              <w:instrText xml:space="preserve"> PAGEREF _Toc445986945 \h </w:instrText>
            </w:r>
            <w:r w:rsidR="00BE48CA">
              <w:rPr>
                <w:noProof/>
                <w:webHidden/>
              </w:rPr>
            </w:r>
            <w:r w:rsidR="00BE48CA">
              <w:rPr>
                <w:noProof/>
                <w:webHidden/>
              </w:rPr>
              <w:fldChar w:fldCharType="separate"/>
            </w:r>
            <w:r w:rsidR="00BE48CA">
              <w:rPr>
                <w:noProof/>
                <w:webHidden/>
              </w:rPr>
              <w:t>15</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46" w:history="1">
            <w:r w:rsidR="00BE48CA" w:rsidRPr="00D07E54">
              <w:rPr>
                <w:rStyle w:val="Hyperlink"/>
                <w:noProof/>
              </w:rPr>
              <w:t>Advanced Training Certificate</w:t>
            </w:r>
            <w:r w:rsidR="00BE48CA">
              <w:rPr>
                <w:noProof/>
                <w:webHidden/>
              </w:rPr>
              <w:tab/>
            </w:r>
            <w:r w:rsidR="00BE48CA">
              <w:rPr>
                <w:noProof/>
                <w:webHidden/>
              </w:rPr>
              <w:fldChar w:fldCharType="begin"/>
            </w:r>
            <w:r w:rsidR="00BE48CA">
              <w:rPr>
                <w:noProof/>
                <w:webHidden/>
              </w:rPr>
              <w:instrText xml:space="preserve"> PAGEREF _Toc445986946 \h </w:instrText>
            </w:r>
            <w:r w:rsidR="00BE48CA">
              <w:rPr>
                <w:noProof/>
                <w:webHidden/>
              </w:rPr>
            </w:r>
            <w:r w:rsidR="00BE48CA">
              <w:rPr>
                <w:noProof/>
                <w:webHidden/>
              </w:rPr>
              <w:fldChar w:fldCharType="separate"/>
            </w:r>
            <w:r w:rsidR="00BE48CA">
              <w:rPr>
                <w:noProof/>
                <w:webHidden/>
              </w:rPr>
              <w:t>16</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47" w:history="1">
            <w:r w:rsidR="00BE48CA" w:rsidRPr="00D07E54">
              <w:rPr>
                <w:rStyle w:val="Hyperlink"/>
                <w:noProof/>
              </w:rPr>
              <w:t>Trainee demographics</w:t>
            </w:r>
            <w:r w:rsidR="00BE48CA">
              <w:rPr>
                <w:noProof/>
                <w:webHidden/>
              </w:rPr>
              <w:tab/>
            </w:r>
            <w:r w:rsidR="00BE48CA">
              <w:rPr>
                <w:noProof/>
                <w:webHidden/>
              </w:rPr>
              <w:fldChar w:fldCharType="begin"/>
            </w:r>
            <w:r w:rsidR="00BE48CA">
              <w:rPr>
                <w:noProof/>
                <w:webHidden/>
              </w:rPr>
              <w:instrText xml:space="preserve"> PAGEREF _Toc445986947 \h </w:instrText>
            </w:r>
            <w:r w:rsidR="00BE48CA">
              <w:rPr>
                <w:noProof/>
                <w:webHidden/>
              </w:rPr>
            </w:r>
            <w:r w:rsidR="00BE48CA">
              <w:rPr>
                <w:noProof/>
                <w:webHidden/>
              </w:rPr>
              <w:fldChar w:fldCharType="separate"/>
            </w:r>
            <w:r w:rsidR="00BE48CA">
              <w:rPr>
                <w:noProof/>
                <w:webHidden/>
              </w:rPr>
              <w:t>17</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48" w:history="1">
            <w:r w:rsidR="00BE48CA" w:rsidRPr="00D07E54">
              <w:rPr>
                <w:rStyle w:val="Hyperlink"/>
                <w:noProof/>
              </w:rPr>
              <w:t>Pre-vocational intentions</w:t>
            </w:r>
            <w:r w:rsidR="00BE48CA">
              <w:rPr>
                <w:noProof/>
                <w:webHidden/>
              </w:rPr>
              <w:tab/>
            </w:r>
            <w:r w:rsidR="00BE48CA">
              <w:rPr>
                <w:noProof/>
                <w:webHidden/>
              </w:rPr>
              <w:fldChar w:fldCharType="begin"/>
            </w:r>
            <w:r w:rsidR="00BE48CA">
              <w:rPr>
                <w:noProof/>
                <w:webHidden/>
              </w:rPr>
              <w:instrText xml:space="preserve"> PAGEREF _Toc445986948 \h </w:instrText>
            </w:r>
            <w:r w:rsidR="00BE48CA">
              <w:rPr>
                <w:noProof/>
                <w:webHidden/>
              </w:rPr>
            </w:r>
            <w:r w:rsidR="00BE48CA">
              <w:rPr>
                <w:noProof/>
                <w:webHidden/>
              </w:rPr>
              <w:fldChar w:fldCharType="separate"/>
            </w:r>
            <w:r w:rsidR="00BE48CA">
              <w:rPr>
                <w:noProof/>
                <w:webHidden/>
              </w:rPr>
              <w:t>22</w:t>
            </w:r>
            <w:r w:rsidR="00BE48CA">
              <w:rPr>
                <w:noProof/>
                <w:webHidden/>
              </w:rPr>
              <w:fldChar w:fldCharType="end"/>
            </w:r>
          </w:hyperlink>
        </w:p>
        <w:p w:rsidR="00BE48CA" w:rsidRDefault="008549B6" w:rsidP="00BE48CA">
          <w:pPr>
            <w:pStyle w:val="TOC2"/>
            <w:rPr>
              <w:rFonts w:asciiTheme="minorHAnsi" w:eastAsiaTheme="minorEastAsia" w:hAnsiTheme="minorHAnsi" w:cstheme="minorBidi"/>
              <w:noProof/>
              <w:sz w:val="22"/>
              <w:szCs w:val="22"/>
              <w:lang w:eastAsia="en-AU"/>
            </w:rPr>
          </w:pPr>
          <w:hyperlink w:anchor="_Toc445986949" w:history="1">
            <w:r w:rsidR="00BE48CA" w:rsidRPr="00D07E54">
              <w:rPr>
                <w:rStyle w:val="Hyperlink"/>
                <w:noProof/>
              </w:rPr>
              <w:t>Current workforce projections</w:t>
            </w:r>
            <w:r w:rsidR="00BE48CA">
              <w:rPr>
                <w:noProof/>
                <w:webHidden/>
              </w:rPr>
              <w:tab/>
            </w:r>
            <w:r w:rsidR="00BE48CA">
              <w:rPr>
                <w:noProof/>
                <w:webHidden/>
              </w:rPr>
              <w:fldChar w:fldCharType="begin"/>
            </w:r>
            <w:r w:rsidR="00BE48CA">
              <w:rPr>
                <w:noProof/>
                <w:webHidden/>
              </w:rPr>
              <w:instrText xml:space="preserve"> PAGEREF _Toc445986949 \h </w:instrText>
            </w:r>
            <w:r w:rsidR="00BE48CA">
              <w:rPr>
                <w:noProof/>
                <w:webHidden/>
              </w:rPr>
            </w:r>
            <w:r w:rsidR="00BE48CA">
              <w:rPr>
                <w:noProof/>
                <w:webHidden/>
              </w:rPr>
              <w:fldChar w:fldCharType="separate"/>
            </w:r>
            <w:r w:rsidR="00BE48CA">
              <w:rPr>
                <w:noProof/>
                <w:webHidden/>
              </w:rPr>
              <w:t>25</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50" w:history="1">
            <w:r w:rsidR="00BE48CA" w:rsidRPr="00D07E54">
              <w:rPr>
                <w:rStyle w:val="Hyperlink"/>
                <w:noProof/>
              </w:rPr>
              <w:t>Supply</w:t>
            </w:r>
            <w:r w:rsidR="00BE48CA">
              <w:rPr>
                <w:noProof/>
                <w:webHidden/>
              </w:rPr>
              <w:tab/>
            </w:r>
            <w:r w:rsidR="00BE48CA">
              <w:rPr>
                <w:noProof/>
                <w:webHidden/>
              </w:rPr>
              <w:fldChar w:fldCharType="begin"/>
            </w:r>
            <w:r w:rsidR="00BE48CA">
              <w:rPr>
                <w:noProof/>
                <w:webHidden/>
              </w:rPr>
              <w:instrText xml:space="preserve"> PAGEREF _Toc445986950 \h </w:instrText>
            </w:r>
            <w:r w:rsidR="00BE48CA">
              <w:rPr>
                <w:noProof/>
                <w:webHidden/>
              </w:rPr>
            </w:r>
            <w:r w:rsidR="00BE48CA">
              <w:rPr>
                <w:noProof/>
                <w:webHidden/>
              </w:rPr>
              <w:fldChar w:fldCharType="separate"/>
            </w:r>
            <w:r w:rsidR="00BE48CA">
              <w:rPr>
                <w:noProof/>
                <w:webHidden/>
              </w:rPr>
              <w:t>25</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51" w:history="1">
            <w:r w:rsidR="00BE48CA" w:rsidRPr="00D07E54">
              <w:rPr>
                <w:rStyle w:val="Hyperlink"/>
                <w:noProof/>
              </w:rPr>
              <w:t>Demand</w:t>
            </w:r>
            <w:r w:rsidR="00BE48CA">
              <w:rPr>
                <w:noProof/>
                <w:webHidden/>
              </w:rPr>
              <w:tab/>
            </w:r>
            <w:r w:rsidR="00BE48CA">
              <w:rPr>
                <w:noProof/>
                <w:webHidden/>
              </w:rPr>
              <w:fldChar w:fldCharType="begin"/>
            </w:r>
            <w:r w:rsidR="00BE48CA">
              <w:rPr>
                <w:noProof/>
                <w:webHidden/>
              </w:rPr>
              <w:instrText xml:space="preserve"> PAGEREF _Toc445986951 \h </w:instrText>
            </w:r>
            <w:r w:rsidR="00BE48CA">
              <w:rPr>
                <w:noProof/>
                <w:webHidden/>
              </w:rPr>
            </w:r>
            <w:r w:rsidR="00BE48CA">
              <w:rPr>
                <w:noProof/>
                <w:webHidden/>
              </w:rPr>
              <w:fldChar w:fldCharType="separate"/>
            </w:r>
            <w:r w:rsidR="00BE48CA">
              <w:rPr>
                <w:noProof/>
                <w:webHidden/>
              </w:rPr>
              <w:t>25</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52" w:history="1">
            <w:r w:rsidR="00BE48CA" w:rsidRPr="00D07E54">
              <w:rPr>
                <w:rStyle w:val="Hyperlink"/>
                <w:noProof/>
              </w:rPr>
              <w:t>Projections</w:t>
            </w:r>
            <w:r w:rsidR="00BE48CA">
              <w:rPr>
                <w:noProof/>
                <w:webHidden/>
              </w:rPr>
              <w:tab/>
            </w:r>
            <w:r w:rsidR="00BE48CA">
              <w:rPr>
                <w:noProof/>
                <w:webHidden/>
              </w:rPr>
              <w:fldChar w:fldCharType="begin"/>
            </w:r>
            <w:r w:rsidR="00BE48CA">
              <w:rPr>
                <w:noProof/>
                <w:webHidden/>
              </w:rPr>
              <w:instrText xml:space="preserve"> PAGEREF _Toc445986952 \h </w:instrText>
            </w:r>
            <w:r w:rsidR="00BE48CA">
              <w:rPr>
                <w:noProof/>
                <w:webHidden/>
              </w:rPr>
            </w:r>
            <w:r w:rsidR="00BE48CA">
              <w:rPr>
                <w:noProof/>
                <w:webHidden/>
              </w:rPr>
              <w:fldChar w:fldCharType="separate"/>
            </w:r>
            <w:r w:rsidR="00BE48CA">
              <w:rPr>
                <w:noProof/>
                <w:webHidden/>
              </w:rPr>
              <w:t>25</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53" w:history="1">
            <w:r w:rsidR="00BE48CA" w:rsidRPr="00D07E54">
              <w:rPr>
                <w:rStyle w:val="Hyperlink"/>
                <w:noProof/>
              </w:rPr>
              <w:t>Changed assumptions</w:t>
            </w:r>
            <w:r w:rsidR="00BE48CA">
              <w:rPr>
                <w:noProof/>
                <w:webHidden/>
              </w:rPr>
              <w:tab/>
            </w:r>
            <w:r w:rsidR="00BE48CA">
              <w:rPr>
                <w:noProof/>
                <w:webHidden/>
              </w:rPr>
              <w:fldChar w:fldCharType="begin"/>
            </w:r>
            <w:r w:rsidR="00BE48CA">
              <w:rPr>
                <w:noProof/>
                <w:webHidden/>
              </w:rPr>
              <w:instrText xml:space="preserve"> PAGEREF _Toc445986953 \h </w:instrText>
            </w:r>
            <w:r w:rsidR="00BE48CA">
              <w:rPr>
                <w:noProof/>
                <w:webHidden/>
              </w:rPr>
            </w:r>
            <w:r w:rsidR="00BE48CA">
              <w:rPr>
                <w:noProof/>
                <w:webHidden/>
              </w:rPr>
              <w:fldChar w:fldCharType="separate"/>
            </w:r>
            <w:r w:rsidR="00BE48CA">
              <w:rPr>
                <w:noProof/>
                <w:webHidden/>
              </w:rPr>
              <w:t>26</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54" w:history="1">
            <w:r w:rsidR="00BE48CA" w:rsidRPr="00D07E54">
              <w:rPr>
                <w:rStyle w:val="Hyperlink"/>
                <w:noProof/>
              </w:rPr>
              <w:t>Key findings</w:t>
            </w:r>
            <w:r w:rsidR="00BE48CA">
              <w:rPr>
                <w:noProof/>
                <w:webHidden/>
              </w:rPr>
              <w:tab/>
            </w:r>
            <w:r w:rsidR="00BE48CA">
              <w:rPr>
                <w:noProof/>
                <w:webHidden/>
              </w:rPr>
              <w:fldChar w:fldCharType="begin"/>
            </w:r>
            <w:r w:rsidR="00BE48CA">
              <w:rPr>
                <w:noProof/>
                <w:webHidden/>
              </w:rPr>
              <w:instrText xml:space="preserve"> PAGEREF _Toc445986954 \h </w:instrText>
            </w:r>
            <w:r w:rsidR="00BE48CA">
              <w:rPr>
                <w:noProof/>
                <w:webHidden/>
              </w:rPr>
            </w:r>
            <w:r w:rsidR="00BE48CA">
              <w:rPr>
                <w:noProof/>
                <w:webHidden/>
              </w:rPr>
              <w:fldChar w:fldCharType="separate"/>
            </w:r>
            <w:r w:rsidR="00BE48CA">
              <w:rPr>
                <w:noProof/>
                <w:webHidden/>
              </w:rPr>
              <w:t>31</w:t>
            </w:r>
            <w:r w:rsidR="00BE48CA">
              <w:rPr>
                <w:noProof/>
                <w:webHidden/>
              </w:rPr>
              <w:fldChar w:fldCharType="end"/>
            </w:r>
          </w:hyperlink>
        </w:p>
        <w:p w:rsidR="00BE48CA" w:rsidRDefault="008549B6" w:rsidP="00BE48CA">
          <w:pPr>
            <w:pStyle w:val="TOC2"/>
            <w:rPr>
              <w:rFonts w:asciiTheme="minorHAnsi" w:eastAsiaTheme="minorEastAsia" w:hAnsiTheme="minorHAnsi" w:cstheme="minorBidi"/>
              <w:noProof/>
              <w:sz w:val="22"/>
              <w:szCs w:val="22"/>
              <w:lang w:eastAsia="en-AU"/>
            </w:rPr>
          </w:pPr>
          <w:hyperlink w:anchor="_Toc445986955" w:history="1">
            <w:r w:rsidR="00BE48CA" w:rsidRPr="00D07E54">
              <w:rPr>
                <w:rStyle w:val="Hyperlink"/>
                <w:noProof/>
              </w:rPr>
              <w:t>Capacity and distribution for vocational training</w:t>
            </w:r>
            <w:r w:rsidR="00BE48CA">
              <w:rPr>
                <w:noProof/>
                <w:webHidden/>
              </w:rPr>
              <w:tab/>
            </w:r>
            <w:r w:rsidR="00BE48CA">
              <w:rPr>
                <w:noProof/>
                <w:webHidden/>
              </w:rPr>
              <w:fldChar w:fldCharType="begin"/>
            </w:r>
            <w:r w:rsidR="00BE48CA">
              <w:rPr>
                <w:noProof/>
                <w:webHidden/>
              </w:rPr>
              <w:instrText xml:space="preserve"> PAGEREF _Toc445986955 \h </w:instrText>
            </w:r>
            <w:r w:rsidR="00BE48CA">
              <w:rPr>
                <w:noProof/>
                <w:webHidden/>
              </w:rPr>
            </w:r>
            <w:r w:rsidR="00BE48CA">
              <w:rPr>
                <w:noProof/>
                <w:webHidden/>
              </w:rPr>
              <w:fldChar w:fldCharType="separate"/>
            </w:r>
            <w:r w:rsidR="00BE48CA">
              <w:rPr>
                <w:noProof/>
                <w:webHidden/>
              </w:rPr>
              <w:t>32</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56" w:history="1">
            <w:r w:rsidR="00BE48CA" w:rsidRPr="00D07E54">
              <w:rPr>
                <w:rStyle w:val="Hyperlink"/>
                <w:noProof/>
              </w:rPr>
              <w:t>Capacity Analysis</w:t>
            </w:r>
            <w:r w:rsidR="00BE48CA">
              <w:rPr>
                <w:noProof/>
                <w:webHidden/>
              </w:rPr>
              <w:tab/>
            </w:r>
            <w:r w:rsidR="00BE48CA">
              <w:rPr>
                <w:noProof/>
                <w:webHidden/>
              </w:rPr>
              <w:fldChar w:fldCharType="begin"/>
            </w:r>
            <w:r w:rsidR="00BE48CA">
              <w:rPr>
                <w:noProof/>
                <w:webHidden/>
              </w:rPr>
              <w:instrText xml:space="preserve"> PAGEREF _Toc445986956 \h </w:instrText>
            </w:r>
            <w:r w:rsidR="00BE48CA">
              <w:rPr>
                <w:noProof/>
                <w:webHidden/>
              </w:rPr>
            </w:r>
            <w:r w:rsidR="00BE48CA">
              <w:rPr>
                <w:noProof/>
                <w:webHidden/>
              </w:rPr>
              <w:fldChar w:fldCharType="separate"/>
            </w:r>
            <w:r w:rsidR="00BE48CA">
              <w:rPr>
                <w:noProof/>
                <w:webHidden/>
              </w:rPr>
              <w:t>32</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57" w:history="1">
            <w:r w:rsidR="00BE48CA" w:rsidRPr="00D07E54">
              <w:rPr>
                <w:rStyle w:val="Hyperlink"/>
                <w:noProof/>
              </w:rPr>
              <w:t>Results of the analysis</w:t>
            </w:r>
            <w:r w:rsidR="00BE48CA">
              <w:rPr>
                <w:noProof/>
                <w:webHidden/>
              </w:rPr>
              <w:tab/>
            </w:r>
            <w:r w:rsidR="00BE48CA">
              <w:rPr>
                <w:noProof/>
                <w:webHidden/>
              </w:rPr>
              <w:fldChar w:fldCharType="begin"/>
            </w:r>
            <w:r w:rsidR="00BE48CA">
              <w:rPr>
                <w:noProof/>
                <w:webHidden/>
              </w:rPr>
              <w:instrText xml:space="preserve"> PAGEREF _Toc445986957 \h </w:instrText>
            </w:r>
            <w:r w:rsidR="00BE48CA">
              <w:rPr>
                <w:noProof/>
                <w:webHidden/>
              </w:rPr>
            </w:r>
            <w:r w:rsidR="00BE48CA">
              <w:rPr>
                <w:noProof/>
                <w:webHidden/>
              </w:rPr>
              <w:fldChar w:fldCharType="separate"/>
            </w:r>
            <w:r w:rsidR="00BE48CA">
              <w:rPr>
                <w:noProof/>
                <w:webHidden/>
              </w:rPr>
              <w:t>33</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58" w:history="1">
            <w:r w:rsidR="00BE48CA" w:rsidRPr="00D07E54">
              <w:rPr>
                <w:rStyle w:val="Hyperlink"/>
                <w:noProof/>
              </w:rPr>
              <w:t>Supervisory capacity requirements</w:t>
            </w:r>
            <w:r w:rsidR="00BE48CA">
              <w:rPr>
                <w:noProof/>
                <w:webHidden/>
              </w:rPr>
              <w:tab/>
            </w:r>
            <w:r w:rsidR="00BE48CA">
              <w:rPr>
                <w:noProof/>
                <w:webHidden/>
              </w:rPr>
              <w:fldChar w:fldCharType="begin"/>
            </w:r>
            <w:r w:rsidR="00BE48CA">
              <w:rPr>
                <w:noProof/>
                <w:webHidden/>
              </w:rPr>
              <w:instrText xml:space="preserve"> PAGEREF _Toc445986958 \h </w:instrText>
            </w:r>
            <w:r w:rsidR="00BE48CA">
              <w:rPr>
                <w:noProof/>
                <w:webHidden/>
              </w:rPr>
            </w:r>
            <w:r w:rsidR="00BE48CA">
              <w:rPr>
                <w:noProof/>
                <w:webHidden/>
              </w:rPr>
              <w:fldChar w:fldCharType="separate"/>
            </w:r>
            <w:r w:rsidR="00BE48CA">
              <w:rPr>
                <w:noProof/>
                <w:webHidden/>
              </w:rPr>
              <w:t>33</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59" w:history="1">
            <w:r w:rsidR="00BE48CA" w:rsidRPr="00D07E54">
              <w:rPr>
                <w:rStyle w:val="Hyperlink"/>
                <w:noProof/>
              </w:rPr>
              <w:t>Mapping of training capacity</w:t>
            </w:r>
            <w:r w:rsidR="00BE48CA">
              <w:rPr>
                <w:noProof/>
                <w:webHidden/>
              </w:rPr>
              <w:tab/>
            </w:r>
            <w:r w:rsidR="00BE48CA">
              <w:rPr>
                <w:noProof/>
                <w:webHidden/>
              </w:rPr>
              <w:fldChar w:fldCharType="begin"/>
            </w:r>
            <w:r w:rsidR="00BE48CA">
              <w:rPr>
                <w:noProof/>
                <w:webHidden/>
              </w:rPr>
              <w:instrText xml:space="preserve"> PAGEREF _Toc445986959 \h </w:instrText>
            </w:r>
            <w:r w:rsidR="00BE48CA">
              <w:rPr>
                <w:noProof/>
                <w:webHidden/>
              </w:rPr>
            </w:r>
            <w:r w:rsidR="00BE48CA">
              <w:rPr>
                <w:noProof/>
                <w:webHidden/>
              </w:rPr>
              <w:fldChar w:fldCharType="separate"/>
            </w:r>
            <w:r w:rsidR="00BE48CA">
              <w:rPr>
                <w:noProof/>
                <w:webHidden/>
              </w:rPr>
              <w:t>34</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60" w:history="1">
            <w:r w:rsidR="00BE48CA" w:rsidRPr="00D07E54">
              <w:rPr>
                <w:rStyle w:val="Hyperlink"/>
                <w:noProof/>
              </w:rPr>
              <w:t>Infrastructure</w:t>
            </w:r>
            <w:r w:rsidR="00BE48CA">
              <w:rPr>
                <w:noProof/>
                <w:webHidden/>
              </w:rPr>
              <w:tab/>
            </w:r>
            <w:r w:rsidR="00BE48CA">
              <w:rPr>
                <w:noProof/>
                <w:webHidden/>
              </w:rPr>
              <w:fldChar w:fldCharType="begin"/>
            </w:r>
            <w:r w:rsidR="00BE48CA">
              <w:rPr>
                <w:noProof/>
                <w:webHidden/>
              </w:rPr>
              <w:instrText xml:space="preserve"> PAGEREF _Toc445986960 \h </w:instrText>
            </w:r>
            <w:r w:rsidR="00BE48CA">
              <w:rPr>
                <w:noProof/>
                <w:webHidden/>
              </w:rPr>
            </w:r>
            <w:r w:rsidR="00BE48CA">
              <w:rPr>
                <w:noProof/>
                <w:webHidden/>
              </w:rPr>
              <w:fldChar w:fldCharType="separate"/>
            </w:r>
            <w:r w:rsidR="00BE48CA">
              <w:rPr>
                <w:noProof/>
                <w:webHidden/>
              </w:rPr>
              <w:t>34</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61" w:history="1">
            <w:r w:rsidR="00BE48CA" w:rsidRPr="00D07E54">
              <w:rPr>
                <w:rStyle w:val="Hyperlink"/>
                <w:noProof/>
              </w:rPr>
              <w:t>Capacity for rotations</w:t>
            </w:r>
            <w:r w:rsidR="00BE48CA">
              <w:rPr>
                <w:noProof/>
                <w:webHidden/>
              </w:rPr>
              <w:tab/>
            </w:r>
            <w:r w:rsidR="00BE48CA">
              <w:rPr>
                <w:noProof/>
                <w:webHidden/>
              </w:rPr>
              <w:fldChar w:fldCharType="begin"/>
            </w:r>
            <w:r w:rsidR="00BE48CA">
              <w:rPr>
                <w:noProof/>
                <w:webHidden/>
              </w:rPr>
              <w:instrText xml:space="preserve"> PAGEREF _Toc445986961 \h </w:instrText>
            </w:r>
            <w:r w:rsidR="00BE48CA">
              <w:rPr>
                <w:noProof/>
                <w:webHidden/>
              </w:rPr>
            </w:r>
            <w:r w:rsidR="00BE48CA">
              <w:rPr>
                <w:noProof/>
                <w:webHidden/>
              </w:rPr>
              <w:fldChar w:fldCharType="separate"/>
            </w:r>
            <w:r w:rsidR="00BE48CA">
              <w:rPr>
                <w:noProof/>
                <w:webHidden/>
              </w:rPr>
              <w:t>34</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62" w:history="1">
            <w:r w:rsidR="00BE48CA" w:rsidRPr="00D07E54">
              <w:rPr>
                <w:rStyle w:val="Hyperlink"/>
                <w:noProof/>
              </w:rPr>
              <w:t>Exams</w:t>
            </w:r>
            <w:r w:rsidR="00BE48CA">
              <w:rPr>
                <w:noProof/>
                <w:webHidden/>
              </w:rPr>
              <w:tab/>
            </w:r>
            <w:r w:rsidR="00BE48CA">
              <w:rPr>
                <w:noProof/>
                <w:webHidden/>
              </w:rPr>
              <w:fldChar w:fldCharType="begin"/>
            </w:r>
            <w:r w:rsidR="00BE48CA">
              <w:rPr>
                <w:noProof/>
                <w:webHidden/>
              </w:rPr>
              <w:instrText xml:space="preserve"> PAGEREF _Toc445986962 \h </w:instrText>
            </w:r>
            <w:r w:rsidR="00BE48CA">
              <w:rPr>
                <w:noProof/>
                <w:webHidden/>
              </w:rPr>
            </w:r>
            <w:r w:rsidR="00BE48CA">
              <w:rPr>
                <w:noProof/>
                <w:webHidden/>
              </w:rPr>
              <w:fldChar w:fldCharType="separate"/>
            </w:r>
            <w:r w:rsidR="00BE48CA">
              <w:rPr>
                <w:noProof/>
                <w:webHidden/>
              </w:rPr>
              <w:t>35</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63" w:history="1">
            <w:r w:rsidR="00BE48CA" w:rsidRPr="00D07E54">
              <w:rPr>
                <w:rStyle w:val="Hyperlink"/>
                <w:noProof/>
              </w:rPr>
              <w:t>Specialist Training Programme</w:t>
            </w:r>
            <w:r w:rsidR="00BE48CA">
              <w:rPr>
                <w:noProof/>
                <w:webHidden/>
              </w:rPr>
              <w:tab/>
            </w:r>
            <w:r w:rsidR="00BE48CA">
              <w:rPr>
                <w:noProof/>
                <w:webHidden/>
              </w:rPr>
              <w:fldChar w:fldCharType="begin"/>
            </w:r>
            <w:r w:rsidR="00BE48CA">
              <w:rPr>
                <w:noProof/>
                <w:webHidden/>
              </w:rPr>
              <w:instrText xml:space="preserve"> PAGEREF _Toc445986963 \h </w:instrText>
            </w:r>
            <w:r w:rsidR="00BE48CA">
              <w:rPr>
                <w:noProof/>
                <w:webHidden/>
              </w:rPr>
            </w:r>
            <w:r w:rsidR="00BE48CA">
              <w:rPr>
                <w:noProof/>
                <w:webHidden/>
              </w:rPr>
              <w:fldChar w:fldCharType="separate"/>
            </w:r>
            <w:r w:rsidR="00BE48CA">
              <w:rPr>
                <w:noProof/>
                <w:webHidden/>
              </w:rPr>
              <w:t>35</w:t>
            </w:r>
            <w:r w:rsidR="00BE48CA">
              <w:rPr>
                <w:noProof/>
                <w:webHidden/>
              </w:rPr>
              <w:fldChar w:fldCharType="end"/>
            </w:r>
          </w:hyperlink>
        </w:p>
        <w:p w:rsidR="00BE48CA" w:rsidRDefault="008549B6" w:rsidP="00BE48CA">
          <w:pPr>
            <w:pStyle w:val="TOC2"/>
            <w:rPr>
              <w:rFonts w:asciiTheme="minorHAnsi" w:eastAsiaTheme="minorEastAsia" w:hAnsiTheme="minorHAnsi" w:cstheme="minorBidi"/>
              <w:noProof/>
              <w:sz w:val="22"/>
              <w:szCs w:val="22"/>
              <w:lang w:eastAsia="en-AU"/>
            </w:rPr>
          </w:pPr>
          <w:hyperlink w:anchor="_Toc445986964" w:history="1">
            <w:r w:rsidR="00BE48CA" w:rsidRPr="00D07E54">
              <w:rPr>
                <w:rStyle w:val="Hyperlink"/>
                <w:noProof/>
              </w:rPr>
              <w:t>Appendices</w:t>
            </w:r>
            <w:r w:rsidR="00BE48CA">
              <w:rPr>
                <w:noProof/>
                <w:webHidden/>
              </w:rPr>
              <w:tab/>
            </w:r>
            <w:r w:rsidR="00BE48CA">
              <w:rPr>
                <w:noProof/>
                <w:webHidden/>
              </w:rPr>
              <w:fldChar w:fldCharType="begin"/>
            </w:r>
            <w:r w:rsidR="00BE48CA">
              <w:rPr>
                <w:noProof/>
                <w:webHidden/>
              </w:rPr>
              <w:instrText xml:space="preserve"> PAGEREF _Toc445986964 \h </w:instrText>
            </w:r>
            <w:r w:rsidR="00BE48CA">
              <w:rPr>
                <w:noProof/>
                <w:webHidden/>
              </w:rPr>
            </w:r>
            <w:r w:rsidR="00BE48CA">
              <w:rPr>
                <w:noProof/>
                <w:webHidden/>
              </w:rPr>
              <w:fldChar w:fldCharType="separate"/>
            </w:r>
            <w:r w:rsidR="00BE48CA">
              <w:rPr>
                <w:noProof/>
                <w:webHidden/>
              </w:rPr>
              <w:t>38</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65" w:history="1">
            <w:r w:rsidR="00BE48CA" w:rsidRPr="00D07E54">
              <w:rPr>
                <w:rStyle w:val="Hyperlink"/>
                <w:noProof/>
              </w:rPr>
              <w:t>Appendix 1: Updating supply and demand</w:t>
            </w:r>
            <w:r w:rsidR="00BE48CA">
              <w:rPr>
                <w:noProof/>
                <w:webHidden/>
              </w:rPr>
              <w:tab/>
            </w:r>
            <w:r w:rsidR="00BE48CA">
              <w:rPr>
                <w:noProof/>
                <w:webHidden/>
              </w:rPr>
              <w:fldChar w:fldCharType="begin"/>
            </w:r>
            <w:r w:rsidR="00BE48CA">
              <w:rPr>
                <w:noProof/>
                <w:webHidden/>
              </w:rPr>
              <w:instrText xml:space="preserve"> PAGEREF _Toc445986965 \h </w:instrText>
            </w:r>
            <w:r w:rsidR="00BE48CA">
              <w:rPr>
                <w:noProof/>
                <w:webHidden/>
              </w:rPr>
            </w:r>
            <w:r w:rsidR="00BE48CA">
              <w:rPr>
                <w:noProof/>
                <w:webHidden/>
              </w:rPr>
              <w:fldChar w:fldCharType="separate"/>
            </w:r>
            <w:r w:rsidR="00BE48CA">
              <w:rPr>
                <w:noProof/>
                <w:webHidden/>
              </w:rPr>
              <w:t>38</w:t>
            </w:r>
            <w:r w:rsidR="00BE48CA">
              <w:rPr>
                <w:noProof/>
                <w:webHidden/>
              </w:rPr>
              <w:fldChar w:fldCharType="end"/>
            </w:r>
          </w:hyperlink>
        </w:p>
        <w:p w:rsidR="00BE48CA" w:rsidRDefault="008549B6" w:rsidP="00BE48CA">
          <w:pPr>
            <w:pStyle w:val="TOC3"/>
            <w:rPr>
              <w:rFonts w:asciiTheme="minorHAnsi" w:eastAsiaTheme="minorEastAsia" w:hAnsiTheme="minorHAnsi" w:cstheme="minorBidi"/>
              <w:noProof/>
              <w:sz w:val="22"/>
              <w:szCs w:val="22"/>
              <w:lang w:eastAsia="en-AU"/>
            </w:rPr>
          </w:pPr>
          <w:hyperlink w:anchor="_Toc445986966" w:history="1">
            <w:r w:rsidR="00BE48CA" w:rsidRPr="00D07E54">
              <w:rPr>
                <w:rStyle w:val="Hyperlink"/>
                <w:noProof/>
              </w:rPr>
              <w:t xml:space="preserve">Appendix 2: </w:t>
            </w:r>
            <w:r w:rsidR="00BE48CA" w:rsidRPr="00D07E54">
              <w:rPr>
                <w:rStyle w:val="Hyperlink"/>
                <w:noProof/>
                <w:shd w:val="clear" w:color="auto" w:fill="FFFFFF"/>
              </w:rPr>
              <w:t>Capacity Analysis Tool (CATool)</w:t>
            </w:r>
            <w:r w:rsidR="00BE48CA">
              <w:rPr>
                <w:noProof/>
                <w:webHidden/>
              </w:rPr>
              <w:tab/>
            </w:r>
            <w:r w:rsidR="00BE48CA">
              <w:rPr>
                <w:noProof/>
                <w:webHidden/>
              </w:rPr>
              <w:fldChar w:fldCharType="begin"/>
            </w:r>
            <w:r w:rsidR="00BE48CA">
              <w:rPr>
                <w:noProof/>
                <w:webHidden/>
              </w:rPr>
              <w:instrText xml:space="preserve"> PAGEREF _Toc445986966 \h </w:instrText>
            </w:r>
            <w:r w:rsidR="00BE48CA">
              <w:rPr>
                <w:noProof/>
                <w:webHidden/>
              </w:rPr>
            </w:r>
            <w:r w:rsidR="00BE48CA">
              <w:rPr>
                <w:noProof/>
                <w:webHidden/>
              </w:rPr>
              <w:fldChar w:fldCharType="separate"/>
            </w:r>
            <w:r w:rsidR="00BE48CA">
              <w:rPr>
                <w:noProof/>
                <w:webHidden/>
              </w:rPr>
              <w:t>41</w:t>
            </w:r>
            <w:r w:rsidR="00BE48CA">
              <w:rPr>
                <w:noProof/>
                <w:webHidden/>
              </w:rPr>
              <w:fldChar w:fldCharType="end"/>
            </w:r>
          </w:hyperlink>
        </w:p>
        <w:p w:rsidR="00A2091F" w:rsidRDefault="00A2091F">
          <w:r>
            <w:rPr>
              <w:b/>
              <w:bCs/>
              <w:noProof/>
            </w:rPr>
            <w:fldChar w:fldCharType="end"/>
          </w:r>
        </w:p>
      </w:sdtContent>
    </w:sdt>
    <w:p w:rsidR="00B939E2" w:rsidRDefault="00B939E2">
      <w:pPr>
        <w:jc w:val="left"/>
        <w:rPr>
          <w:rFonts w:eastAsia="Calibri" w:cs="Arial"/>
          <w:b/>
          <w:bCs/>
          <w:iCs/>
          <w:color w:val="000080"/>
          <w:sz w:val="26"/>
          <w:szCs w:val="28"/>
        </w:rPr>
      </w:pPr>
      <w:r>
        <w:br w:type="page"/>
      </w:r>
    </w:p>
    <w:p w:rsidR="00807ADA" w:rsidRDefault="00807ADA" w:rsidP="00442EFC">
      <w:pPr>
        <w:pStyle w:val="Heading2"/>
      </w:pPr>
      <w:bookmarkStart w:id="8" w:name="_Toc445986935"/>
      <w:r>
        <w:lastRenderedPageBreak/>
        <w:t>Executive Summary</w:t>
      </w:r>
      <w:bookmarkEnd w:id="8"/>
    </w:p>
    <w:p w:rsidR="00735392" w:rsidRPr="00A60312" w:rsidRDefault="00735392" w:rsidP="00442EFC">
      <w:pPr>
        <w:widowControl w:val="0"/>
        <w:spacing w:before="120" w:after="120"/>
      </w:pPr>
      <w:r w:rsidRPr="00EF0087">
        <w:rPr>
          <w:szCs w:val="20"/>
        </w:rPr>
        <w:t xml:space="preserve">The </w:t>
      </w:r>
      <w:r w:rsidRPr="00EF0087">
        <w:rPr>
          <w:rFonts w:eastAsia="Calibri"/>
          <w:szCs w:val="20"/>
        </w:rPr>
        <w:t>Australia’s Future Health Workforce – Doctors (</w:t>
      </w:r>
      <w:proofErr w:type="spellStart"/>
      <w:r w:rsidRPr="00EF0087">
        <w:rPr>
          <w:rFonts w:eastAsia="Calibri"/>
          <w:szCs w:val="20"/>
        </w:rPr>
        <w:t>AFHW</w:t>
      </w:r>
      <w:proofErr w:type="spellEnd"/>
      <w:r w:rsidRPr="00EF0087">
        <w:rPr>
          <w:rFonts w:eastAsia="Calibri"/>
          <w:szCs w:val="20"/>
        </w:rPr>
        <w:t xml:space="preserve"> - Doctors)</w:t>
      </w:r>
      <w:r w:rsidR="00862AB4">
        <w:rPr>
          <w:rFonts w:eastAsia="Calibri"/>
          <w:szCs w:val="20"/>
        </w:rPr>
        <w:t xml:space="preserve"> report</w:t>
      </w:r>
      <w:r w:rsidRPr="00EF0087">
        <w:rPr>
          <w:rFonts w:eastAsia="Calibri"/>
          <w:szCs w:val="20"/>
        </w:rPr>
        <w:t xml:space="preserve"> published in December 2014 </w:t>
      </w:r>
      <w:r w:rsidRPr="00EF0087">
        <w:rPr>
          <w:szCs w:val="20"/>
        </w:rPr>
        <w:t>indicated that</w:t>
      </w:r>
      <w:r w:rsidRPr="00EF0087">
        <w:rPr>
          <w:szCs w:val="20"/>
          <w:lang w:val="en-US"/>
        </w:rPr>
        <w:t xml:space="preserve"> Australia’s health workforce is under pressure and must undergo significant transformation to meet </w:t>
      </w:r>
      <w:r w:rsidR="000A3BED">
        <w:rPr>
          <w:szCs w:val="20"/>
          <w:lang w:val="en-US"/>
        </w:rPr>
        <w:t xml:space="preserve">future </w:t>
      </w:r>
      <w:r w:rsidRPr="00EF0087">
        <w:rPr>
          <w:szCs w:val="20"/>
          <w:lang w:val="en-US"/>
        </w:rPr>
        <w:t>demands for healthcare</w:t>
      </w:r>
      <w:r w:rsidRPr="00EF0087">
        <w:rPr>
          <w:lang w:val="en-US"/>
        </w:rPr>
        <w:t>.</w:t>
      </w:r>
    </w:p>
    <w:p w:rsidR="00735392" w:rsidRDefault="00735392" w:rsidP="00735392">
      <w:pPr>
        <w:spacing w:before="120" w:after="120"/>
        <w:rPr>
          <w:lang w:val="en-US"/>
        </w:rPr>
      </w:pPr>
      <w:r w:rsidRPr="00A60312">
        <w:t>Despite the projected overall position of oversupply, imbalances within the medical specialty workforces currently exist and are projected to continue</w:t>
      </w:r>
      <w:r>
        <w:rPr>
          <w:lang w:val="en-US"/>
        </w:rPr>
        <w:t>.</w:t>
      </w:r>
    </w:p>
    <w:p w:rsidR="00735392" w:rsidRPr="00247A87" w:rsidRDefault="00735392" w:rsidP="00735392">
      <w:pPr>
        <w:spacing w:before="120" w:after="120"/>
        <w:rPr>
          <w:szCs w:val="22"/>
        </w:rPr>
      </w:pPr>
      <w:r w:rsidRPr="00247A87">
        <w:rPr>
          <w:szCs w:val="22"/>
        </w:rPr>
        <w:t xml:space="preserve">The development of the </w:t>
      </w:r>
      <w:proofErr w:type="spellStart"/>
      <w:r w:rsidR="000A3BED">
        <w:rPr>
          <w:szCs w:val="22"/>
        </w:rPr>
        <w:t>AFHW</w:t>
      </w:r>
      <w:proofErr w:type="spellEnd"/>
      <w:r w:rsidR="000A3BED">
        <w:rPr>
          <w:szCs w:val="22"/>
        </w:rPr>
        <w:t xml:space="preserve"> – Doctors </w:t>
      </w:r>
      <w:r w:rsidRPr="00247A87">
        <w:rPr>
          <w:szCs w:val="22"/>
        </w:rPr>
        <w:t>report was guided by the expert input of the National Medical Training Advisory Network (</w:t>
      </w:r>
      <w:proofErr w:type="spellStart"/>
      <w:r w:rsidRPr="00247A87">
        <w:rPr>
          <w:szCs w:val="22"/>
        </w:rPr>
        <w:t>NMTAN</w:t>
      </w:r>
      <w:proofErr w:type="spellEnd"/>
      <w:r w:rsidRPr="00247A87">
        <w:rPr>
          <w:szCs w:val="22"/>
        </w:rPr>
        <w:t>) that has representation from all the key stakeholder groups in medical education, training and employment.</w:t>
      </w:r>
    </w:p>
    <w:p w:rsidR="00735392" w:rsidRPr="00247A87" w:rsidRDefault="00735392" w:rsidP="00735392">
      <w:pPr>
        <w:spacing w:before="120" w:after="120"/>
        <w:rPr>
          <w:szCs w:val="22"/>
        </w:rPr>
      </w:pPr>
      <w:r w:rsidRPr="00247A87">
        <w:rPr>
          <w:szCs w:val="22"/>
        </w:rPr>
        <w:t>The report makes recommendations for future work including</w:t>
      </w:r>
      <w:r w:rsidR="00862AB4">
        <w:rPr>
          <w:szCs w:val="22"/>
        </w:rPr>
        <w:t>:</w:t>
      </w:r>
    </w:p>
    <w:p w:rsidR="00735392" w:rsidRPr="00247A87" w:rsidRDefault="00735392" w:rsidP="00D510F1">
      <w:pPr>
        <w:numPr>
          <w:ilvl w:val="0"/>
          <w:numId w:val="3"/>
        </w:numPr>
        <w:spacing w:before="120" w:after="120"/>
        <w:ind w:left="426" w:hanging="426"/>
        <w:rPr>
          <w:szCs w:val="22"/>
        </w:rPr>
      </w:pPr>
      <w:r w:rsidRPr="00247A87">
        <w:rPr>
          <w:szCs w:val="22"/>
        </w:rPr>
        <w:t>updates to the workforce modelling results to determine requirements for future adjustments</w:t>
      </w:r>
      <w:r w:rsidR="00862AB4">
        <w:rPr>
          <w:szCs w:val="22"/>
        </w:rPr>
        <w:t xml:space="preserve"> every two years; and</w:t>
      </w:r>
    </w:p>
    <w:p w:rsidR="00735392" w:rsidRPr="00735392" w:rsidRDefault="00862AB4" w:rsidP="00D510F1">
      <w:pPr>
        <w:numPr>
          <w:ilvl w:val="0"/>
          <w:numId w:val="3"/>
        </w:numPr>
        <w:spacing w:before="120" w:after="120"/>
        <w:ind w:left="426" w:hanging="426"/>
        <w:rPr>
          <w:szCs w:val="22"/>
        </w:rPr>
      </w:pPr>
      <w:proofErr w:type="gramStart"/>
      <w:r>
        <w:rPr>
          <w:szCs w:val="22"/>
        </w:rPr>
        <w:t>p</w:t>
      </w:r>
      <w:r w:rsidRPr="00247A87">
        <w:rPr>
          <w:szCs w:val="22"/>
        </w:rPr>
        <w:t>rioritisation</w:t>
      </w:r>
      <w:proofErr w:type="gramEnd"/>
      <w:r w:rsidRPr="00247A87">
        <w:rPr>
          <w:szCs w:val="22"/>
        </w:rPr>
        <w:t xml:space="preserve"> </w:t>
      </w:r>
      <w:r w:rsidR="00735392" w:rsidRPr="00247A87">
        <w:rPr>
          <w:szCs w:val="22"/>
        </w:rPr>
        <w:t>of future policy work to gain a better understanding of the prevocational years and overall capacity for and distribution of vocational medical training</w:t>
      </w:r>
      <w:r w:rsidR="00917B1A">
        <w:rPr>
          <w:szCs w:val="22"/>
        </w:rPr>
        <w:t>.</w:t>
      </w:r>
    </w:p>
    <w:p w:rsidR="00542606" w:rsidRPr="002E6CA0" w:rsidRDefault="00542606" w:rsidP="00542606">
      <w:pPr>
        <w:spacing w:before="120" w:after="120"/>
        <w:rPr>
          <w:szCs w:val="22"/>
        </w:rPr>
      </w:pPr>
      <w:r w:rsidRPr="002E6CA0">
        <w:rPr>
          <w:szCs w:val="22"/>
        </w:rPr>
        <w:t xml:space="preserve">The </w:t>
      </w:r>
      <w:proofErr w:type="spellStart"/>
      <w:r w:rsidRPr="002E6CA0">
        <w:rPr>
          <w:szCs w:val="22"/>
        </w:rPr>
        <w:t>NMTAN</w:t>
      </w:r>
      <w:proofErr w:type="spellEnd"/>
      <w:r w:rsidRPr="002E6CA0">
        <w:rPr>
          <w:szCs w:val="22"/>
        </w:rPr>
        <w:t xml:space="preserve"> currently has three subcommittees that explore different aspects of medical training to i</w:t>
      </w:r>
      <w:r w:rsidR="00077710">
        <w:rPr>
          <w:szCs w:val="22"/>
        </w:rPr>
        <w:t>nform workforce planning:</w:t>
      </w:r>
    </w:p>
    <w:p w:rsidR="00542606" w:rsidRPr="0090788F" w:rsidRDefault="00542606" w:rsidP="00D510F1">
      <w:pPr>
        <w:numPr>
          <w:ilvl w:val="0"/>
          <w:numId w:val="3"/>
        </w:numPr>
        <w:spacing w:before="120" w:after="120"/>
        <w:ind w:left="426" w:hanging="426"/>
        <w:rPr>
          <w:szCs w:val="22"/>
        </w:rPr>
      </w:pPr>
      <w:r w:rsidRPr="0090788F">
        <w:rPr>
          <w:szCs w:val="22"/>
        </w:rPr>
        <w:t>changing work with the increa</w:t>
      </w:r>
      <w:r>
        <w:rPr>
          <w:szCs w:val="22"/>
        </w:rPr>
        <w:t>se in burden of chronic disease</w:t>
      </w:r>
      <w:r w:rsidR="00862AB4">
        <w:rPr>
          <w:szCs w:val="22"/>
        </w:rPr>
        <w:t>;</w:t>
      </w:r>
      <w:r w:rsidRPr="0090788F">
        <w:rPr>
          <w:szCs w:val="22"/>
        </w:rPr>
        <w:t xml:space="preserve"> </w:t>
      </w:r>
    </w:p>
    <w:p w:rsidR="00542606" w:rsidRPr="0090788F" w:rsidRDefault="00542606" w:rsidP="00D510F1">
      <w:pPr>
        <w:numPr>
          <w:ilvl w:val="0"/>
          <w:numId w:val="3"/>
        </w:numPr>
        <w:spacing w:before="120" w:after="120"/>
        <w:ind w:left="426" w:hanging="426"/>
        <w:rPr>
          <w:szCs w:val="22"/>
        </w:rPr>
      </w:pPr>
      <w:r w:rsidRPr="0090788F">
        <w:rPr>
          <w:szCs w:val="22"/>
        </w:rPr>
        <w:t>employment patterns and inte</w:t>
      </w:r>
      <w:r>
        <w:rPr>
          <w:szCs w:val="22"/>
        </w:rPr>
        <w:t>ntions of prevocational doctors</w:t>
      </w:r>
      <w:r w:rsidR="00862AB4">
        <w:rPr>
          <w:szCs w:val="22"/>
        </w:rPr>
        <w:t xml:space="preserve"> and development of fact</w:t>
      </w:r>
      <w:r w:rsidRPr="0090788F">
        <w:rPr>
          <w:szCs w:val="22"/>
        </w:rPr>
        <w:t xml:space="preserve"> sheets on </w:t>
      </w:r>
      <w:r w:rsidR="00862AB4">
        <w:rPr>
          <w:szCs w:val="22"/>
        </w:rPr>
        <w:t xml:space="preserve">supply and demand in </w:t>
      </w:r>
      <w:r w:rsidRPr="0090788F">
        <w:rPr>
          <w:szCs w:val="22"/>
        </w:rPr>
        <w:t>each of the medical specialties</w:t>
      </w:r>
      <w:r w:rsidR="00862AB4">
        <w:rPr>
          <w:szCs w:val="22"/>
        </w:rPr>
        <w:t>; and</w:t>
      </w:r>
    </w:p>
    <w:p w:rsidR="00542606" w:rsidRPr="0090788F" w:rsidRDefault="00862AB4" w:rsidP="00D510F1">
      <w:pPr>
        <w:numPr>
          <w:ilvl w:val="0"/>
          <w:numId w:val="3"/>
        </w:numPr>
        <w:spacing w:before="120" w:after="120"/>
        <w:ind w:left="426" w:hanging="426"/>
        <w:rPr>
          <w:szCs w:val="22"/>
        </w:rPr>
      </w:pPr>
      <w:proofErr w:type="gramStart"/>
      <w:r>
        <w:rPr>
          <w:szCs w:val="22"/>
        </w:rPr>
        <w:t>the</w:t>
      </w:r>
      <w:proofErr w:type="gramEnd"/>
      <w:r>
        <w:rPr>
          <w:szCs w:val="22"/>
        </w:rPr>
        <w:t xml:space="preserve"> </w:t>
      </w:r>
      <w:r w:rsidR="00542606" w:rsidRPr="0090788F">
        <w:rPr>
          <w:szCs w:val="22"/>
        </w:rPr>
        <w:t>capacity for and distri</w:t>
      </w:r>
      <w:r w:rsidR="00542606">
        <w:rPr>
          <w:szCs w:val="22"/>
        </w:rPr>
        <w:t>bution of the medical training</w:t>
      </w:r>
      <w:r>
        <w:rPr>
          <w:szCs w:val="22"/>
        </w:rPr>
        <w:t xml:space="preserve">, </w:t>
      </w:r>
      <w:r w:rsidR="00542606">
        <w:rPr>
          <w:szCs w:val="22"/>
        </w:rPr>
        <w:t xml:space="preserve">including the </w:t>
      </w:r>
      <w:r w:rsidR="00542606" w:rsidRPr="0090788F">
        <w:rPr>
          <w:szCs w:val="22"/>
        </w:rPr>
        <w:t xml:space="preserve">geographic distribution of medical training </w:t>
      </w:r>
      <w:r>
        <w:rPr>
          <w:szCs w:val="22"/>
        </w:rPr>
        <w:t>and</w:t>
      </w:r>
      <w:r w:rsidR="00542606">
        <w:rPr>
          <w:szCs w:val="22"/>
        </w:rPr>
        <w:t xml:space="preserve"> community needs</w:t>
      </w:r>
      <w:r w:rsidR="00542606" w:rsidRPr="0090788F">
        <w:rPr>
          <w:szCs w:val="22"/>
        </w:rPr>
        <w:t xml:space="preserve">. </w:t>
      </w:r>
    </w:p>
    <w:p w:rsidR="00542606" w:rsidRDefault="00862AB4" w:rsidP="00542606">
      <w:pPr>
        <w:spacing w:before="120" w:after="120"/>
        <w:rPr>
          <w:szCs w:val="22"/>
        </w:rPr>
      </w:pPr>
      <w:r>
        <w:rPr>
          <w:szCs w:val="22"/>
        </w:rPr>
        <w:t>This</w:t>
      </w:r>
      <w:r w:rsidR="00542606" w:rsidRPr="002E6CA0">
        <w:rPr>
          <w:szCs w:val="22"/>
        </w:rPr>
        <w:t xml:space="preserve"> </w:t>
      </w:r>
      <w:r w:rsidR="000A3BED">
        <w:rPr>
          <w:szCs w:val="22"/>
        </w:rPr>
        <w:t xml:space="preserve">psychiatry </w:t>
      </w:r>
      <w:r w:rsidR="002779EE">
        <w:rPr>
          <w:szCs w:val="22"/>
        </w:rPr>
        <w:t>report is</w:t>
      </w:r>
      <w:r w:rsidR="00542606" w:rsidRPr="002E6CA0">
        <w:rPr>
          <w:szCs w:val="22"/>
        </w:rPr>
        <w:t xml:space="preserve"> the first </w:t>
      </w:r>
      <w:r w:rsidR="002779EE">
        <w:rPr>
          <w:szCs w:val="22"/>
        </w:rPr>
        <w:t>to be produced</w:t>
      </w:r>
      <w:r w:rsidR="00542606" w:rsidRPr="002E6CA0">
        <w:rPr>
          <w:szCs w:val="22"/>
        </w:rPr>
        <w:t xml:space="preserve"> under the capacity and distribution work</w:t>
      </w:r>
      <w:r w:rsidR="000A3BED">
        <w:rPr>
          <w:szCs w:val="22"/>
        </w:rPr>
        <w:t>. I</w:t>
      </w:r>
      <w:r w:rsidR="00542606" w:rsidRPr="002E6CA0">
        <w:rPr>
          <w:szCs w:val="22"/>
        </w:rPr>
        <w:t xml:space="preserve">t involves updating the supply and demand projections previously </w:t>
      </w:r>
      <w:r>
        <w:rPr>
          <w:szCs w:val="22"/>
        </w:rPr>
        <w:t>completed</w:t>
      </w:r>
      <w:r w:rsidRPr="002E6CA0">
        <w:rPr>
          <w:szCs w:val="22"/>
        </w:rPr>
        <w:t xml:space="preserve"> </w:t>
      </w:r>
      <w:r w:rsidR="00542606" w:rsidRPr="002E6CA0">
        <w:rPr>
          <w:szCs w:val="22"/>
        </w:rPr>
        <w:t xml:space="preserve">by the former </w:t>
      </w:r>
      <w:r w:rsidR="000A3BED">
        <w:rPr>
          <w:szCs w:val="22"/>
        </w:rPr>
        <w:t>Health Workforce Australia (</w:t>
      </w:r>
      <w:proofErr w:type="spellStart"/>
      <w:r w:rsidR="00542606" w:rsidRPr="002E6CA0">
        <w:rPr>
          <w:szCs w:val="22"/>
        </w:rPr>
        <w:t>HWA</w:t>
      </w:r>
      <w:proofErr w:type="spellEnd"/>
      <w:r w:rsidR="000A3BED">
        <w:rPr>
          <w:szCs w:val="22"/>
        </w:rPr>
        <w:t>)</w:t>
      </w:r>
      <w:r w:rsidR="00542606" w:rsidRPr="002E6CA0">
        <w:rPr>
          <w:szCs w:val="22"/>
        </w:rPr>
        <w:t xml:space="preserve"> </w:t>
      </w:r>
      <w:r>
        <w:rPr>
          <w:szCs w:val="22"/>
        </w:rPr>
        <w:t>and published in</w:t>
      </w:r>
      <w:r w:rsidRPr="002E6CA0">
        <w:rPr>
          <w:szCs w:val="22"/>
        </w:rPr>
        <w:t xml:space="preserve"> </w:t>
      </w:r>
      <w:r w:rsidR="00542606" w:rsidRPr="002E6CA0">
        <w:rPr>
          <w:szCs w:val="22"/>
        </w:rPr>
        <w:t>H</w:t>
      </w:r>
      <w:r w:rsidR="00E96D2B">
        <w:rPr>
          <w:szCs w:val="22"/>
        </w:rPr>
        <w:t>ealth Workforce</w:t>
      </w:r>
      <w:r w:rsidR="00542606" w:rsidRPr="002E6CA0">
        <w:rPr>
          <w:szCs w:val="22"/>
        </w:rPr>
        <w:t xml:space="preserve"> 2025</w:t>
      </w:r>
      <w:r w:rsidR="002779EE">
        <w:rPr>
          <w:szCs w:val="22"/>
        </w:rPr>
        <w:t xml:space="preserve"> </w:t>
      </w:r>
      <w:r w:rsidR="00542606" w:rsidRPr="002E6CA0">
        <w:rPr>
          <w:szCs w:val="22"/>
        </w:rPr>
        <w:t>- Medical Specialists Volume 3</w:t>
      </w:r>
      <w:r w:rsidR="000A3BED">
        <w:rPr>
          <w:szCs w:val="22"/>
        </w:rPr>
        <w:t xml:space="preserve"> (</w:t>
      </w:r>
      <w:proofErr w:type="spellStart"/>
      <w:r w:rsidR="000A3BED">
        <w:rPr>
          <w:szCs w:val="22"/>
        </w:rPr>
        <w:t>HW</w:t>
      </w:r>
      <w:proofErr w:type="spellEnd"/>
      <w:r w:rsidR="000A3BED">
        <w:rPr>
          <w:szCs w:val="22"/>
        </w:rPr>
        <w:t xml:space="preserve"> 2025 </w:t>
      </w:r>
      <w:proofErr w:type="spellStart"/>
      <w:r w:rsidR="000A3BED">
        <w:rPr>
          <w:szCs w:val="22"/>
        </w:rPr>
        <w:t>Vol</w:t>
      </w:r>
      <w:proofErr w:type="spellEnd"/>
      <w:r w:rsidR="000A3BED">
        <w:rPr>
          <w:szCs w:val="22"/>
        </w:rPr>
        <w:t xml:space="preserve"> 3)</w:t>
      </w:r>
      <w:r w:rsidR="00542606" w:rsidRPr="002E6CA0">
        <w:rPr>
          <w:szCs w:val="22"/>
        </w:rPr>
        <w:t xml:space="preserve">. </w:t>
      </w:r>
    </w:p>
    <w:p w:rsidR="00542606" w:rsidRDefault="00862AB4" w:rsidP="00962658">
      <w:pPr>
        <w:spacing w:before="120" w:after="120"/>
        <w:rPr>
          <w:szCs w:val="22"/>
        </w:rPr>
      </w:pPr>
      <w:r>
        <w:rPr>
          <w:szCs w:val="22"/>
        </w:rPr>
        <w:t xml:space="preserve">The </w:t>
      </w:r>
      <w:proofErr w:type="spellStart"/>
      <w:r w:rsidR="00542606">
        <w:rPr>
          <w:szCs w:val="22"/>
        </w:rPr>
        <w:t>HW</w:t>
      </w:r>
      <w:proofErr w:type="spellEnd"/>
      <w:r w:rsidR="00542606">
        <w:rPr>
          <w:szCs w:val="22"/>
        </w:rPr>
        <w:t xml:space="preserve"> 2025</w:t>
      </w:r>
      <w:r w:rsidR="00962658">
        <w:rPr>
          <w:szCs w:val="22"/>
        </w:rPr>
        <w:t xml:space="preserve"> </w:t>
      </w:r>
      <w:proofErr w:type="spellStart"/>
      <w:r>
        <w:rPr>
          <w:szCs w:val="22"/>
        </w:rPr>
        <w:t>Vol</w:t>
      </w:r>
      <w:proofErr w:type="spellEnd"/>
      <w:r>
        <w:rPr>
          <w:szCs w:val="22"/>
        </w:rPr>
        <w:t xml:space="preserve"> </w:t>
      </w:r>
      <w:r w:rsidR="00962658">
        <w:rPr>
          <w:szCs w:val="22"/>
        </w:rPr>
        <w:t>3 - Psychiatry</w:t>
      </w:r>
      <w:r w:rsidR="00542606">
        <w:rPr>
          <w:szCs w:val="22"/>
        </w:rPr>
        <w:t xml:space="preserve"> chapter indicated that </w:t>
      </w:r>
      <w:r w:rsidR="00962658">
        <w:rPr>
          <w:szCs w:val="22"/>
        </w:rPr>
        <w:t xml:space="preserve">the </w:t>
      </w:r>
      <w:r w:rsidR="00962658" w:rsidRPr="00962658">
        <w:rPr>
          <w:szCs w:val="22"/>
        </w:rPr>
        <w:t xml:space="preserve">workforce </w:t>
      </w:r>
      <w:r w:rsidR="00962658">
        <w:rPr>
          <w:szCs w:val="22"/>
        </w:rPr>
        <w:t>was</w:t>
      </w:r>
      <w:r w:rsidR="00962658" w:rsidRPr="00962658">
        <w:rPr>
          <w:szCs w:val="22"/>
        </w:rPr>
        <w:t xml:space="preserve"> perceived to be in shortage. T</w:t>
      </w:r>
      <w:r w:rsidR="002779EE">
        <w:rPr>
          <w:szCs w:val="22"/>
        </w:rPr>
        <w:t>he comparison scenario indicated</w:t>
      </w:r>
      <w:r w:rsidR="00962658" w:rsidRPr="00962658">
        <w:rPr>
          <w:szCs w:val="22"/>
        </w:rPr>
        <w:t xml:space="preserve"> </w:t>
      </w:r>
      <w:r w:rsidR="00962658">
        <w:rPr>
          <w:szCs w:val="22"/>
        </w:rPr>
        <w:t>that the workforce would be in undersupply by 45</w:t>
      </w:r>
      <w:r w:rsidR="00E63CF5">
        <w:rPr>
          <w:szCs w:val="22"/>
        </w:rPr>
        <w:t>2</w:t>
      </w:r>
      <w:r w:rsidR="00962658">
        <w:rPr>
          <w:szCs w:val="22"/>
        </w:rPr>
        <w:t xml:space="preserve"> fellows by 2025. </w:t>
      </w:r>
    </w:p>
    <w:p w:rsidR="00962658" w:rsidRDefault="00962658" w:rsidP="00542606">
      <w:pPr>
        <w:spacing w:before="120" w:after="120"/>
        <w:rPr>
          <w:szCs w:val="22"/>
        </w:rPr>
      </w:pPr>
      <w:r>
        <w:rPr>
          <w:szCs w:val="22"/>
        </w:rPr>
        <w:t xml:space="preserve">Stakeholder views were that </w:t>
      </w:r>
      <w:r w:rsidRPr="00962658">
        <w:rPr>
          <w:szCs w:val="22"/>
        </w:rPr>
        <w:t xml:space="preserve">workforce shortages for psychiatry are focused in the public sector, with acute psychiatry and adolescent psychiatry particular areas of concern. There are also issues with the distribution of the psychiatry workforce, evidenced by a high reliance on </w:t>
      </w:r>
      <w:r w:rsidR="00862AB4">
        <w:rPr>
          <w:szCs w:val="22"/>
        </w:rPr>
        <w:t>International Medical Graduates (</w:t>
      </w:r>
      <w:proofErr w:type="spellStart"/>
      <w:r w:rsidRPr="00962658">
        <w:rPr>
          <w:szCs w:val="22"/>
        </w:rPr>
        <w:t>IMGs</w:t>
      </w:r>
      <w:proofErr w:type="spellEnd"/>
      <w:r w:rsidR="00862AB4">
        <w:rPr>
          <w:szCs w:val="22"/>
        </w:rPr>
        <w:t>)</w:t>
      </w:r>
      <w:r w:rsidRPr="00962658">
        <w:rPr>
          <w:szCs w:val="22"/>
        </w:rPr>
        <w:t xml:space="preserve"> in regional areas.</w:t>
      </w:r>
    </w:p>
    <w:p w:rsidR="00962658" w:rsidRDefault="00862AB4" w:rsidP="00962658">
      <w:pPr>
        <w:spacing w:before="120" w:after="120"/>
        <w:rPr>
          <w:szCs w:val="22"/>
        </w:rPr>
      </w:pPr>
      <w:r>
        <w:rPr>
          <w:szCs w:val="22"/>
        </w:rPr>
        <w:t>T</w:t>
      </w:r>
      <w:r w:rsidR="00962658">
        <w:rPr>
          <w:szCs w:val="22"/>
        </w:rPr>
        <w:t>he college indicated that there were</w:t>
      </w:r>
      <w:r w:rsidR="000A3BED">
        <w:rPr>
          <w:szCs w:val="22"/>
        </w:rPr>
        <w:t>:</w:t>
      </w:r>
      <w:r w:rsidR="00962658">
        <w:rPr>
          <w:szCs w:val="22"/>
        </w:rPr>
        <w:t xml:space="preserve"> </w:t>
      </w:r>
      <w:r w:rsidR="00962658" w:rsidRPr="00962658">
        <w:rPr>
          <w:szCs w:val="22"/>
        </w:rPr>
        <w:t>challenges in attracting Australian-train</w:t>
      </w:r>
      <w:r w:rsidR="00962658">
        <w:rPr>
          <w:szCs w:val="22"/>
        </w:rPr>
        <w:t>ed graduates to the profession</w:t>
      </w:r>
      <w:r w:rsidR="000A3BED">
        <w:rPr>
          <w:szCs w:val="22"/>
        </w:rPr>
        <w:t>;</w:t>
      </w:r>
      <w:r w:rsidR="00962658">
        <w:rPr>
          <w:szCs w:val="22"/>
        </w:rPr>
        <w:t xml:space="preserve"> </w:t>
      </w:r>
      <w:r w:rsidR="00962658" w:rsidRPr="00962658">
        <w:rPr>
          <w:szCs w:val="22"/>
        </w:rPr>
        <w:t xml:space="preserve">under-utilisation of the private sector for training purposes (although the </w:t>
      </w:r>
      <w:r>
        <w:rPr>
          <w:szCs w:val="22"/>
        </w:rPr>
        <w:t>Specialist Training Program</w:t>
      </w:r>
      <w:r w:rsidR="000A3BED">
        <w:rPr>
          <w:szCs w:val="22"/>
        </w:rPr>
        <w:t>me</w:t>
      </w:r>
      <w:r>
        <w:rPr>
          <w:szCs w:val="22"/>
        </w:rPr>
        <w:t xml:space="preserve"> (</w:t>
      </w:r>
      <w:proofErr w:type="spellStart"/>
      <w:r>
        <w:rPr>
          <w:szCs w:val="22"/>
        </w:rPr>
        <w:t>STP</w:t>
      </w:r>
      <w:proofErr w:type="spellEnd"/>
      <w:r>
        <w:rPr>
          <w:szCs w:val="22"/>
        </w:rPr>
        <w:t>)</w:t>
      </w:r>
      <w:r w:rsidR="00962658" w:rsidRPr="00962658">
        <w:rPr>
          <w:szCs w:val="22"/>
        </w:rPr>
        <w:t xml:space="preserve"> has recently positively affected this); and</w:t>
      </w:r>
      <w:r w:rsidR="00962658">
        <w:rPr>
          <w:szCs w:val="22"/>
        </w:rPr>
        <w:t xml:space="preserve"> </w:t>
      </w:r>
      <w:r w:rsidR="00962658" w:rsidRPr="00962658">
        <w:rPr>
          <w:szCs w:val="22"/>
        </w:rPr>
        <w:t>strains on supervisory capacity</w:t>
      </w:r>
      <w:r w:rsidR="00962658">
        <w:rPr>
          <w:szCs w:val="22"/>
        </w:rPr>
        <w:t>.</w:t>
      </w:r>
    </w:p>
    <w:p w:rsidR="002779EE" w:rsidRDefault="00962658" w:rsidP="00962658">
      <w:pPr>
        <w:spacing w:before="120" w:after="120"/>
        <w:rPr>
          <w:szCs w:val="22"/>
        </w:rPr>
      </w:pPr>
      <w:r>
        <w:rPr>
          <w:szCs w:val="22"/>
        </w:rPr>
        <w:t>The updated projections in this report indicate that the</w:t>
      </w:r>
      <w:r w:rsidR="00862AB4">
        <w:rPr>
          <w:szCs w:val="22"/>
        </w:rPr>
        <w:t>se</w:t>
      </w:r>
      <w:r>
        <w:rPr>
          <w:szCs w:val="22"/>
        </w:rPr>
        <w:t xml:space="preserve"> issues </w:t>
      </w:r>
      <w:r w:rsidR="000B6DD4">
        <w:rPr>
          <w:szCs w:val="22"/>
        </w:rPr>
        <w:t xml:space="preserve">have </w:t>
      </w:r>
      <w:r w:rsidR="00483528">
        <w:rPr>
          <w:szCs w:val="22"/>
        </w:rPr>
        <w:t>changed</w:t>
      </w:r>
      <w:r w:rsidR="00862AB4">
        <w:rPr>
          <w:szCs w:val="22"/>
        </w:rPr>
        <w:t>,</w:t>
      </w:r>
      <w:r w:rsidR="000B6DD4">
        <w:rPr>
          <w:szCs w:val="22"/>
        </w:rPr>
        <w:t xml:space="preserve"> with the numbers of Australian trained</w:t>
      </w:r>
      <w:r w:rsidR="00862AB4">
        <w:rPr>
          <w:szCs w:val="22"/>
        </w:rPr>
        <w:t xml:space="preserve"> psychiatrists</w:t>
      </w:r>
      <w:r w:rsidR="000B6DD4">
        <w:rPr>
          <w:szCs w:val="22"/>
        </w:rPr>
        <w:t xml:space="preserve"> increasing</w:t>
      </w:r>
      <w:r w:rsidR="00862AB4">
        <w:rPr>
          <w:szCs w:val="22"/>
        </w:rPr>
        <w:t>,</w:t>
      </w:r>
      <w:r w:rsidR="000B6DD4">
        <w:rPr>
          <w:szCs w:val="22"/>
        </w:rPr>
        <w:t xml:space="preserve"> but the problems highlighted </w:t>
      </w:r>
      <w:r w:rsidR="00862AB4">
        <w:rPr>
          <w:szCs w:val="22"/>
        </w:rPr>
        <w:t xml:space="preserve">with </w:t>
      </w:r>
      <w:r w:rsidR="000B6DD4">
        <w:rPr>
          <w:szCs w:val="22"/>
        </w:rPr>
        <w:t xml:space="preserve">supervision </w:t>
      </w:r>
      <w:r w:rsidR="00862AB4">
        <w:rPr>
          <w:szCs w:val="22"/>
        </w:rPr>
        <w:t>still remain. T</w:t>
      </w:r>
      <w:r w:rsidR="002779EE">
        <w:rPr>
          <w:szCs w:val="22"/>
        </w:rPr>
        <w:t xml:space="preserve">he </w:t>
      </w:r>
      <w:r w:rsidR="002779EE" w:rsidRPr="00962658">
        <w:rPr>
          <w:szCs w:val="22"/>
        </w:rPr>
        <w:t xml:space="preserve">under-utilisation </w:t>
      </w:r>
      <w:r w:rsidR="002779EE">
        <w:rPr>
          <w:szCs w:val="22"/>
        </w:rPr>
        <w:t xml:space="preserve">of private sector training has decreased significantly with the investment by the Commonwealth through the </w:t>
      </w:r>
      <w:proofErr w:type="spellStart"/>
      <w:r w:rsidR="00E63CF5">
        <w:rPr>
          <w:szCs w:val="22"/>
        </w:rPr>
        <w:t>STP</w:t>
      </w:r>
      <w:proofErr w:type="spellEnd"/>
      <w:r w:rsidR="002779EE">
        <w:rPr>
          <w:szCs w:val="22"/>
        </w:rPr>
        <w:t>.</w:t>
      </w:r>
    </w:p>
    <w:p w:rsidR="00F05F7D" w:rsidRDefault="00E63CF5" w:rsidP="00962658">
      <w:pPr>
        <w:spacing w:before="120" w:after="120"/>
        <w:rPr>
          <w:szCs w:val="22"/>
        </w:rPr>
      </w:pPr>
      <w:r>
        <w:rPr>
          <w:szCs w:val="22"/>
        </w:rPr>
        <w:t xml:space="preserve">The largest </w:t>
      </w:r>
      <w:r w:rsidR="00862AB4">
        <w:rPr>
          <w:szCs w:val="22"/>
        </w:rPr>
        <w:t>change affecting</w:t>
      </w:r>
      <w:r>
        <w:rPr>
          <w:szCs w:val="22"/>
        </w:rPr>
        <w:t xml:space="preserve"> the up</w:t>
      </w:r>
      <w:r w:rsidR="002779EE">
        <w:rPr>
          <w:szCs w:val="22"/>
        </w:rPr>
        <w:t>dated projection</w:t>
      </w:r>
      <w:r w:rsidR="000A3BED">
        <w:rPr>
          <w:szCs w:val="22"/>
        </w:rPr>
        <w:t>s</w:t>
      </w:r>
      <w:r w:rsidR="002779EE">
        <w:rPr>
          <w:szCs w:val="22"/>
        </w:rPr>
        <w:t xml:space="preserve"> </w:t>
      </w:r>
      <w:r w:rsidR="00483528">
        <w:rPr>
          <w:szCs w:val="22"/>
        </w:rPr>
        <w:t xml:space="preserve">is the increase of the basic </w:t>
      </w:r>
      <w:r w:rsidR="003511EB">
        <w:rPr>
          <w:szCs w:val="22"/>
        </w:rPr>
        <w:t>trainee intake</w:t>
      </w:r>
      <w:r w:rsidR="00483528">
        <w:rPr>
          <w:szCs w:val="22"/>
        </w:rPr>
        <w:t xml:space="preserve"> into the </w:t>
      </w:r>
      <w:r w:rsidR="00862AB4">
        <w:rPr>
          <w:szCs w:val="22"/>
        </w:rPr>
        <w:t xml:space="preserve">psychiatry </w:t>
      </w:r>
      <w:r w:rsidR="00483528">
        <w:rPr>
          <w:szCs w:val="22"/>
        </w:rPr>
        <w:t>program</w:t>
      </w:r>
      <w:r w:rsidR="00862AB4">
        <w:rPr>
          <w:szCs w:val="22"/>
        </w:rPr>
        <w:t>. This</w:t>
      </w:r>
      <w:r w:rsidR="00483528">
        <w:rPr>
          <w:szCs w:val="22"/>
        </w:rPr>
        <w:t xml:space="preserve"> increased from just over 650 in 2011 to over 804 in 2012</w:t>
      </w:r>
      <w:r w:rsidR="008D17F8">
        <w:rPr>
          <w:szCs w:val="22"/>
        </w:rPr>
        <w:t xml:space="preserve">, the majority of this increase was </w:t>
      </w:r>
      <w:proofErr w:type="spellStart"/>
      <w:r w:rsidR="008D17F8">
        <w:rPr>
          <w:szCs w:val="22"/>
        </w:rPr>
        <w:t>RANZCP</w:t>
      </w:r>
      <w:proofErr w:type="spellEnd"/>
      <w:r w:rsidR="008D17F8">
        <w:rPr>
          <w:szCs w:val="22"/>
        </w:rPr>
        <w:t xml:space="preserve"> increasing first year intake by 75 in 2012</w:t>
      </w:r>
      <w:r w:rsidR="00862AB4">
        <w:rPr>
          <w:szCs w:val="22"/>
        </w:rPr>
        <w:t xml:space="preserve"> reflecting</w:t>
      </w:r>
      <w:r w:rsidR="00483528">
        <w:rPr>
          <w:szCs w:val="22"/>
        </w:rPr>
        <w:t xml:space="preserve"> the </w:t>
      </w:r>
      <w:r w:rsidR="003511EB">
        <w:rPr>
          <w:szCs w:val="22"/>
        </w:rPr>
        <w:t>college’s</w:t>
      </w:r>
      <w:r w:rsidR="00483528">
        <w:rPr>
          <w:szCs w:val="22"/>
        </w:rPr>
        <w:t xml:space="preserve"> new training program structure of stage 1, 2, and 3.  </w:t>
      </w:r>
    </w:p>
    <w:p w:rsidR="00F05F7D" w:rsidRPr="005E03CF" w:rsidRDefault="000A3BED" w:rsidP="00962658">
      <w:pPr>
        <w:spacing w:before="120" w:after="120"/>
        <w:rPr>
          <w:szCs w:val="22"/>
        </w:rPr>
      </w:pPr>
      <w:r>
        <w:rPr>
          <w:szCs w:val="20"/>
        </w:rPr>
        <w:lastRenderedPageBreak/>
        <w:t>Historically, t</w:t>
      </w:r>
      <w:r w:rsidR="00483528" w:rsidRPr="005E03CF">
        <w:rPr>
          <w:szCs w:val="20"/>
        </w:rPr>
        <w:t>here has been</w:t>
      </w:r>
      <w:r>
        <w:rPr>
          <w:szCs w:val="20"/>
        </w:rPr>
        <w:t xml:space="preserve"> a</w:t>
      </w:r>
      <w:r w:rsidR="00483528" w:rsidRPr="005E03CF">
        <w:rPr>
          <w:szCs w:val="20"/>
        </w:rPr>
        <w:t xml:space="preserve"> bottleneck </w:t>
      </w:r>
      <w:r w:rsidR="00862AB4">
        <w:rPr>
          <w:szCs w:val="20"/>
        </w:rPr>
        <w:t xml:space="preserve">in trainees moving </w:t>
      </w:r>
      <w:r w:rsidR="00483528" w:rsidRPr="005E03CF">
        <w:rPr>
          <w:szCs w:val="20"/>
        </w:rPr>
        <w:t>from basic to advanced training</w:t>
      </w:r>
      <w:r w:rsidR="00C32224">
        <w:rPr>
          <w:szCs w:val="20"/>
        </w:rPr>
        <w:t>. T</w:t>
      </w:r>
      <w:r w:rsidR="00483528" w:rsidRPr="005E03CF">
        <w:rPr>
          <w:szCs w:val="20"/>
        </w:rPr>
        <w:t xml:space="preserve">he clinical exam </w:t>
      </w:r>
      <w:r w:rsidR="00C32224">
        <w:rPr>
          <w:szCs w:val="20"/>
        </w:rPr>
        <w:t xml:space="preserve">appears to </w:t>
      </w:r>
      <w:r>
        <w:rPr>
          <w:szCs w:val="20"/>
        </w:rPr>
        <w:t>have been</w:t>
      </w:r>
      <w:r w:rsidR="00C32224">
        <w:rPr>
          <w:szCs w:val="20"/>
        </w:rPr>
        <w:t xml:space="preserve"> the barrier to </w:t>
      </w:r>
      <w:r w:rsidR="00483528" w:rsidRPr="005E03CF">
        <w:rPr>
          <w:szCs w:val="20"/>
        </w:rPr>
        <w:t>trainees moving from basic to advanced</w:t>
      </w:r>
      <w:r w:rsidR="00E63CF5" w:rsidRPr="005E03CF">
        <w:rPr>
          <w:szCs w:val="20"/>
        </w:rPr>
        <w:t xml:space="preserve"> training. W</w:t>
      </w:r>
      <w:r w:rsidR="00483528" w:rsidRPr="005E03CF">
        <w:rPr>
          <w:szCs w:val="20"/>
        </w:rPr>
        <w:t>ith the introduction of the 2012 Fellowship program</w:t>
      </w:r>
      <w:r w:rsidR="00E63CF5" w:rsidRPr="005E03CF">
        <w:rPr>
          <w:szCs w:val="20"/>
        </w:rPr>
        <w:t xml:space="preserve"> – which is competency based</w:t>
      </w:r>
      <w:r w:rsidR="00C32224">
        <w:rPr>
          <w:szCs w:val="20"/>
        </w:rPr>
        <w:t xml:space="preserve"> – </w:t>
      </w:r>
      <w:r w:rsidR="00483528" w:rsidRPr="005E03CF">
        <w:rPr>
          <w:szCs w:val="20"/>
        </w:rPr>
        <w:t xml:space="preserve">the clinical exam is no longer </w:t>
      </w:r>
      <w:r w:rsidR="00C32224">
        <w:rPr>
          <w:szCs w:val="20"/>
        </w:rPr>
        <w:t>a significant</w:t>
      </w:r>
      <w:r w:rsidR="00483528" w:rsidRPr="005E03CF">
        <w:rPr>
          <w:szCs w:val="20"/>
        </w:rPr>
        <w:t xml:space="preserve"> limiting factor for </w:t>
      </w:r>
      <w:r w:rsidR="00C32224" w:rsidRPr="005E03CF">
        <w:rPr>
          <w:szCs w:val="20"/>
        </w:rPr>
        <w:t>mov</w:t>
      </w:r>
      <w:r w:rsidR="00C32224">
        <w:rPr>
          <w:szCs w:val="20"/>
        </w:rPr>
        <w:t>ement</w:t>
      </w:r>
      <w:r w:rsidR="00C32224" w:rsidRPr="005E03CF">
        <w:rPr>
          <w:szCs w:val="20"/>
        </w:rPr>
        <w:t xml:space="preserve"> </w:t>
      </w:r>
      <w:r w:rsidR="00483528" w:rsidRPr="005E03CF">
        <w:rPr>
          <w:szCs w:val="20"/>
        </w:rPr>
        <w:t xml:space="preserve">through the </w:t>
      </w:r>
      <w:r w:rsidR="00E63CF5" w:rsidRPr="005E03CF">
        <w:rPr>
          <w:szCs w:val="20"/>
        </w:rPr>
        <w:t xml:space="preserve">training </w:t>
      </w:r>
      <w:r w:rsidR="00483528" w:rsidRPr="005E03CF">
        <w:rPr>
          <w:szCs w:val="20"/>
        </w:rPr>
        <w:t>program</w:t>
      </w:r>
      <w:r w:rsidR="003511EB" w:rsidRPr="005E03CF">
        <w:rPr>
          <w:szCs w:val="20"/>
        </w:rPr>
        <w:t xml:space="preserve">. </w:t>
      </w:r>
      <w:r w:rsidR="00C32224">
        <w:rPr>
          <w:szCs w:val="20"/>
        </w:rPr>
        <w:t>T</w:t>
      </w:r>
      <w:r w:rsidR="003511EB" w:rsidRPr="005E03CF">
        <w:rPr>
          <w:szCs w:val="20"/>
        </w:rPr>
        <w:t xml:space="preserve">he </w:t>
      </w:r>
      <w:r w:rsidR="00F05F7D" w:rsidRPr="005E03CF">
        <w:rPr>
          <w:szCs w:val="20"/>
        </w:rPr>
        <w:t xml:space="preserve">new program aims </w:t>
      </w:r>
      <w:r w:rsidR="00C32224">
        <w:rPr>
          <w:szCs w:val="20"/>
        </w:rPr>
        <w:t>to decrease</w:t>
      </w:r>
      <w:r w:rsidR="00F05F7D" w:rsidRPr="005E03CF">
        <w:rPr>
          <w:szCs w:val="20"/>
        </w:rPr>
        <w:t xml:space="preserve"> the transition time for trainees</w:t>
      </w:r>
      <w:r w:rsidR="00C32224">
        <w:rPr>
          <w:szCs w:val="20"/>
        </w:rPr>
        <w:t xml:space="preserve">. As a result, </w:t>
      </w:r>
      <w:r w:rsidR="00F05F7D" w:rsidRPr="005E03CF">
        <w:rPr>
          <w:szCs w:val="20"/>
        </w:rPr>
        <w:t xml:space="preserve">the </w:t>
      </w:r>
      <w:r w:rsidR="00E63CF5" w:rsidRPr="005E03CF">
        <w:rPr>
          <w:szCs w:val="22"/>
        </w:rPr>
        <w:t xml:space="preserve">predicted </w:t>
      </w:r>
      <w:r w:rsidR="00C32224">
        <w:rPr>
          <w:szCs w:val="22"/>
        </w:rPr>
        <w:t xml:space="preserve">shortfall of </w:t>
      </w:r>
      <w:r w:rsidR="005E03CF">
        <w:rPr>
          <w:szCs w:val="22"/>
        </w:rPr>
        <w:t xml:space="preserve">around </w:t>
      </w:r>
      <w:r w:rsidR="00E63CF5" w:rsidRPr="005E03CF">
        <w:rPr>
          <w:szCs w:val="22"/>
        </w:rPr>
        <w:t>4</w:t>
      </w:r>
      <w:r w:rsidR="005E03CF" w:rsidRPr="005E03CF">
        <w:rPr>
          <w:szCs w:val="22"/>
        </w:rPr>
        <w:t>5</w:t>
      </w:r>
      <w:r w:rsidR="005E03CF">
        <w:rPr>
          <w:szCs w:val="22"/>
        </w:rPr>
        <w:t>0</w:t>
      </w:r>
      <w:r w:rsidR="002779EE" w:rsidRPr="005E03CF">
        <w:rPr>
          <w:szCs w:val="22"/>
        </w:rPr>
        <w:t xml:space="preserve"> fellows by 2025 has </w:t>
      </w:r>
      <w:r w:rsidR="005E03CF" w:rsidRPr="005E03CF">
        <w:rPr>
          <w:szCs w:val="22"/>
        </w:rPr>
        <w:t xml:space="preserve">now </w:t>
      </w:r>
      <w:r w:rsidR="00483528" w:rsidRPr="005E03CF">
        <w:rPr>
          <w:szCs w:val="22"/>
        </w:rPr>
        <w:t>decrease</w:t>
      </w:r>
      <w:r w:rsidR="005E03CF" w:rsidRPr="005E03CF">
        <w:rPr>
          <w:szCs w:val="22"/>
        </w:rPr>
        <w:t>d</w:t>
      </w:r>
      <w:r w:rsidR="002779EE" w:rsidRPr="005E03CF">
        <w:rPr>
          <w:szCs w:val="22"/>
        </w:rPr>
        <w:t xml:space="preserve"> to </w:t>
      </w:r>
      <w:r w:rsidR="005E03CF">
        <w:rPr>
          <w:szCs w:val="22"/>
        </w:rPr>
        <w:t xml:space="preserve">approximately </w:t>
      </w:r>
      <w:r w:rsidR="005E03CF" w:rsidRPr="005E03CF">
        <w:rPr>
          <w:szCs w:val="22"/>
        </w:rPr>
        <w:t>75</w:t>
      </w:r>
      <w:r w:rsidR="00C32224">
        <w:rPr>
          <w:szCs w:val="22"/>
        </w:rPr>
        <w:t>,</w:t>
      </w:r>
      <w:r w:rsidR="00483528" w:rsidRPr="005E03CF">
        <w:rPr>
          <w:szCs w:val="22"/>
        </w:rPr>
        <w:t xml:space="preserve"> with the final projection </w:t>
      </w:r>
      <w:r w:rsidR="00C32224">
        <w:rPr>
          <w:szCs w:val="22"/>
        </w:rPr>
        <w:t>to</w:t>
      </w:r>
      <w:r w:rsidR="00C32224" w:rsidRPr="005E03CF">
        <w:rPr>
          <w:szCs w:val="22"/>
        </w:rPr>
        <w:t xml:space="preserve"> </w:t>
      </w:r>
      <w:r w:rsidR="00483528" w:rsidRPr="005E03CF">
        <w:rPr>
          <w:szCs w:val="22"/>
        </w:rPr>
        <w:t xml:space="preserve">2030 </w:t>
      </w:r>
      <w:r w:rsidR="005E03CF" w:rsidRPr="005E03CF">
        <w:rPr>
          <w:szCs w:val="22"/>
        </w:rPr>
        <w:t xml:space="preserve">estimated to </w:t>
      </w:r>
      <w:r>
        <w:rPr>
          <w:szCs w:val="22"/>
        </w:rPr>
        <w:t>be</w:t>
      </w:r>
      <w:r w:rsidRPr="005E03CF">
        <w:rPr>
          <w:szCs w:val="22"/>
        </w:rPr>
        <w:t xml:space="preserve"> </w:t>
      </w:r>
      <w:r w:rsidR="005E03CF" w:rsidRPr="005E03CF">
        <w:rPr>
          <w:szCs w:val="22"/>
        </w:rPr>
        <w:t xml:space="preserve">a shortfall of </w:t>
      </w:r>
      <w:r w:rsidR="00C32224">
        <w:rPr>
          <w:szCs w:val="22"/>
        </w:rPr>
        <w:t xml:space="preserve">around </w:t>
      </w:r>
      <w:r w:rsidR="005E03CF" w:rsidRPr="00C7490F">
        <w:rPr>
          <w:szCs w:val="22"/>
        </w:rPr>
        <w:t>12</w:t>
      </w:r>
      <w:r w:rsidR="00D55297" w:rsidRPr="00C7490F">
        <w:rPr>
          <w:szCs w:val="22"/>
        </w:rPr>
        <w:t>5</w:t>
      </w:r>
      <w:r w:rsidR="00EB5C0F">
        <w:rPr>
          <w:szCs w:val="22"/>
        </w:rPr>
        <w:t xml:space="preserve"> psychiatrists</w:t>
      </w:r>
      <w:r w:rsidR="00483528" w:rsidRPr="005E03CF">
        <w:rPr>
          <w:szCs w:val="22"/>
        </w:rPr>
        <w:t xml:space="preserve">. </w:t>
      </w:r>
    </w:p>
    <w:p w:rsidR="00483528" w:rsidRPr="00F05F7D" w:rsidRDefault="00F05F7D" w:rsidP="00962658">
      <w:pPr>
        <w:spacing w:before="120" w:after="120"/>
        <w:rPr>
          <w:szCs w:val="20"/>
        </w:rPr>
      </w:pPr>
      <w:r>
        <w:rPr>
          <w:szCs w:val="22"/>
        </w:rPr>
        <w:t xml:space="preserve">The </w:t>
      </w:r>
      <w:proofErr w:type="spellStart"/>
      <w:r>
        <w:rPr>
          <w:szCs w:val="22"/>
        </w:rPr>
        <w:t>NMTAN</w:t>
      </w:r>
      <w:proofErr w:type="spellEnd"/>
      <w:r>
        <w:rPr>
          <w:szCs w:val="22"/>
        </w:rPr>
        <w:t xml:space="preserve"> will need to monitor the transition rates over the next </w:t>
      </w:r>
      <w:r w:rsidR="00D55297">
        <w:rPr>
          <w:szCs w:val="22"/>
        </w:rPr>
        <w:t xml:space="preserve">three </w:t>
      </w:r>
      <w:r>
        <w:rPr>
          <w:szCs w:val="22"/>
        </w:rPr>
        <w:t>year</w:t>
      </w:r>
      <w:r w:rsidR="00D55297">
        <w:rPr>
          <w:szCs w:val="22"/>
        </w:rPr>
        <w:t>s</w:t>
      </w:r>
      <w:r>
        <w:rPr>
          <w:szCs w:val="22"/>
        </w:rPr>
        <w:t xml:space="preserve"> to </w:t>
      </w:r>
      <w:r w:rsidR="00D55297">
        <w:rPr>
          <w:szCs w:val="22"/>
        </w:rPr>
        <w:t>ensure</w:t>
      </w:r>
      <w:r>
        <w:rPr>
          <w:szCs w:val="22"/>
        </w:rPr>
        <w:t xml:space="preserve"> that the historical bottleneck of trainees passing the clinical exam </w:t>
      </w:r>
      <w:r w:rsidR="00EB5C0F">
        <w:rPr>
          <w:szCs w:val="22"/>
        </w:rPr>
        <w:t xml:space="preserve">to move </w:t>
      </w:r>
      <w:r>
        <w:rPr>
          <w:szCs w:val="22"/>
        </w:rPr>
        <w:t xml:space="preserve">from basic to advanced </w:t>
      </w:r>
      <w:r w:rsidR="00EB5C0F">
        <w:rPr>
          <w:szCs w:val="22"/>
        </w:rPr>
        <w:t xml:space="preserve">training </w:t>
      </w:r>
      <w:r>
        <w:rPr>
          <w:szCs w:val="22"/>
        </w:rPr>
        <w:t xml:space="preserve">has not </w:t>
      </w:r>
      <w:r w:rsidR="00EB5C0F">
        <w:rPr>
          <w:szCs w:val="22"/>
        </w:rPr>
        <w:t>simply</w:t>
      </w:r>
      <w:r>
        <w:rPr>
          <w:szCs w:val="22"/>
        </w:rPr>
        <w:t xml:space="preserve"> moved to </w:t>
      </w:r>
      <w:r w:rsidR="00E63CF5">
        <w:rPr>
          <w:szCs w:val="22"/>
        </w:rPr>
        <w:t xml:space="preserve">a </w:t>
      </w:r>
      <w:r>
        <w:rPr>
          <w:szCs w:val="22"/>
        </w:rPr>
        <w:t xml:space="preserve">later </w:t>
      </w:r>
      <w:r w:rsidR="00EB5C0F">
        <w:rPr>
          <w:szCs w:val="22"/>
        </w:rPr>
        <w:t xml:space="preserve">stage </w:t>
      </w:r>
      <w:r>
        <w:rPr>
          <w:szCs w:val="22"/>
        </w:rPr>
        <w:t xml:space="preserve">of the training </w:t>
      </w:r>
      <w:r w:rsidR="00E63CF5">
        <w:rPr>
          <w:szCs w:val="22"/>
        </w:rPr>
        <w:t>program</w:t>
      </w:r>
      <w:r>
        <w:rPr>
          <w:szCs w:val="22"/>
        </w:rPr>
        <w:t>.</w:t>
      </w:r>
    </w:p>
    <w:p w:rsidR="00345C0C" w:rsidRPr="009A0606" w:rsidRDefault="00610D14" w:rsidP="009A0606">
      <w:pPr>
        <w:spacing w:before="120" w:after="120"/>
        <w:rPr>
          <w:rFonts w:eastAsia="Calibri"/>
        </w:rPr>
      </w:pPr>
      <w:r>
        <w:rPr>
          <w:rFonts w:eastAsia="Calibri"/>
        </w:rPr>
        <w:t>An increase in the number of psychiatry trainees is only one aspect of addressing the psychiatry workforce shortage</w:t>
      </w:r>
      <w:r w:rsidR="007F3617">
        <w:rPr>
          <w:rFonts w:eastAsia="Calibri"/>
        </w:rPr>
        <w:t>, which will</w:t>
      </w:r>
      <w:r w:rsidR="007F3617" w:rsidRPr="007F3617">
        <w:rPr>
          <w:rFonts w:eastAsia="Calibri"/>
        </w:rPr>
        <w:t xml:space="preserve"> </w:t>
      </w:r>
      <w:r w:rsidR="007F3617">
        <w:rPr>
          <w:rFonts w:eastAsia="Calibri"/>
        </w:rPr>
        <w:t>require joint action from governments, employers, the college and trainees</w:t>
      </w:r>
      <w:r>
        <w:rPr>
          <w:rFonts w:eastAsia="Calibri"/>
        </w:rPr>
        <w:t xml:space="preserve">. </w:t>
      </w:r>
      <w:r w:rsidR="006840D3">
        <w:rPr>
          <w:rFonts w:eastAsia="Calibri"/>
        </w:rPr>
        <w:t>There is a need to raise</w:t>
      </w:r>
      <w:r>
        <w:rPr>
          <w:rFonts w:eastAsia="Calibri"/>
        </w:rPr>
        <w:t xml:space="preserve"> awareness of psychiatry as a career option </w:t>
      </w:r>
      <w:r w:rsidR="00E632CD">
        <w:rPr>
          <w:rFonts w:eastAsia="Calibri"/>
        </w:rPr>
        <w:t xml:space="preserve">from </w:t>
      </w:r>
      <w:r>
        <w:rPr>
          <w:rFonts w:eastAsia="Calibri"/>
        </w:rPr>
        <w:t>high school</w:t>
      </w:r>
      <w:r w:rsidR="006840D3">
        <w:rPr>
          <w:rFonts w:eastAsia="Calibri"/>
        </w:rPr>
        <w:t>, with</w:t>
      </w:r>
      <w:r>
        <w:rPr>
          <w:rFonts w:eastAsia="Calibri"/>
        </w:rPr>
        <w:t xml:space="preserve"> reinforcement during undergraduate and postgraduate medical training. Ongoing support and professional development opportunities for trainees, their supervisors and D</w:t>
      </w:r>
      <w:r w:rsidR="00E63CF5">
        <w:rPr>
          <w:rFonts w:eastAsia="Calibri"/>
        </w:rPr>
        <w:t xml:space="preserve">irectors of </w:t>
      </w:r>
      <w:r>
        <w:rPr>
          <w:rFonts w:eastAsia="Calibri"/>
        </w:rPr>
        <w:t>T</w:t>
      </w:r>
      <w:r w:rsidR="00E63CF5">
        <w:rPr>
          <w:rFonts w:eastAsia="Calibri"/>
        </w:rPr>
        <w:t>raining (</w:t>
      </w:r>
      <w:proofErr w:type="spellStart"/>
      <w:r w:rsidR="00E63CF5">
        <w:rPr>
          <w:rFonts w:eastAsia="Calibri"/>
        </w:rPr>
        <w:t>DOTs</w:t>
      </w:r>
      <w:proofErr w:type="spellEnd"/>
      <w:r w:rsidR="00E63CF5">
        <w:rPr>
          <w:rFonts w:eastAsia="Calibri"/>
        </w:rPr>
        <w:t>)</w:t>
      </w:r>
      <w:r>
        <w:rPr>
          <w:rFonts w:eastAsia="Calibri"/>
        </w:rPr>
        <w:t xml:space="preserve"> </w:t>
      </w:r>
      <w:r w:rsidR="006840D3">
        <w:rPr>
          <w:rFonts w:eastAsia="Calibri"/>
        </w:rPr>
        <w:t>may</w:t>
      </w:r>
      <w:r>
        <w:rPr>
          <w:rFonts w:eastAsia="Calibri"/>
        </w:rPr>
        <w:t xml:space="preserve"> address retention of trainees in the training program.</w:t>
      </w:r>
      <w:r w:rsidR="007F3617">
        <w:rPr>
          <w:rFonts w:eastAsia="Calibri"/>
        </w:rPr>
        <w:t xml:space="preserve">  </w:t>
      </w:r>
    </w:p>
    <w:p w:rsidR="004B1C25" w:rsidRPr="00AE12F9" w:rsidRDefault="004B1C25" w:rsidP="00024EE6">
      <w:pPr>
        <w:pStyle w:val="Heading2"/>
      </w:pPr>
      <w:bookmarkStart w:id="9" w:name="_Toc445986936"/>
      <w:r>
        <w:t>Key findings</w:t>
      </w:r>
      <w:bookmarkEnd w:id="9"/>
    </w:p>
    <w:p w:rsidR="00AC749E" w:rsidRPr="004E10A8" w:rsidRDefault="00AC749E" w:rsidP="00B831A8">
      <w:pPr>
        <w:pStyle w:val="Heading3"/>
      </w:pPr>
      <w:bookmarkStart w:id="10" w:name="_Toc445986937"/>
      <w:r w:rsidRPr="004E10A8">
        <w:t>Supply and demand projection</w:t>
      </w:r>
      <w:r w:rsidR="00765A1E" w:rsidRPr="004E10A8">
        <w:t>s</w:t>
      </w:r>
      <w:bookmarkEnd w:id="10"/>
      <w:r w:rsidRPr="004E10A8">
        <w:t xml:space="preserve"> </w:t>
      </w:r>
    </w:p>
    <w:p w:rsidR="006D34D2" w:rsidRPr="006840D3" w:rsidRDefault="00AE12F9" w:rsidP="00D510F1">
      <w:pPr>
        <w:numPr>
          <w:ilvl w:val="0"/>
          <w:numId w:val="3"/>
        </w:numPr>
        <w:ind w:left="426" w:hanging="426"/>
        <w:rPr>
          <w:szCs w:val="20"/>
        </w:rPr>
      </w:pPr>
      <w:r w:rsidRPr="00610D14">
        <w:rPr>
          <w:szCs w:val="20"/>
        </w:rPr>
        <w:t>P</w:t>
      </w:r>
      <w:r w:rsidR="00765A1E" w:rsidRPr="00610D14">
        <w:rPr>
          <w:szCs w:val="20"/>
        </w:rPr>
        <w:t>rojection</w:t>
      </w:r>
      <w:r w:rsidR="00AF7422" w:rsidRPr="00610D14">
        <w:rPr>
          <w:szCs w:val="20"/>
        </w:rPr>
        <w:t>s</w:t>
      </w:r>
      <w:r w:rsidR="00D16D2E" w:rsidRPr="00610D14">
        <w:rPr>
          <w:szCs w:val="20"/>
        </w:rPr>
        <w:t xml:space="preserve"> provided</w:t>
      </w:r>
      <w:r w:rsidR="004E26C6" w:rsidRPr="00610D14">
        <w:rPr>
          <w:szCs w:val="20"/>
        </w:rPr>
        <w:t xml:space="preserve"> in th</w:t>
      </w:r>
      <w:r w:rsidR="000A3BED">
        <w:rPr>
          <w:szCs w:val="20"/>
        </w:rPr>
        <w:t>is</w:t>
      </w:r>
      <w:r w:rsidR="004E26C6" w:rsidRPr="00610D14">
        <w:rPr>
          <w:szCs w:val="20"/>
        </w:rPr>
        <w:t xml:space="preserve"> report indicate</w:t>
      </w:r>
      <w:r w:rsidR="00765A1E" w:rsidRPr="00610D14">
        <w:rPr>
          <w:szCs w:val="20"/>
        </w:rPr>
        <w:t xml:space="preserve"> a fut</w:t>
      </w:r>
      <w:r w:rsidR="00D16D2E" w:rsidRPr="00610D14">
        <w:rPr>
          <w:szCs w:val="20"/>
        </w:rPr>
        <w:t xml:space="preserve">ure undersupply </w:t>
      </w:r>
      <w:r w:rsidR="004E26C6" w:rsidRPr="00610D14">
        <w:rPr>
          <w:szCs w:val="20"/>
        </w:rPr>
        <w:t xml:space="preserve">of </w:t>
      </w:r>
      <w:r w:rsidR="006840D3" w:rsidRPr="00CE65DE">
        <w:rPr>
          <w:szCs w:val="20"/>
        </w:rPr>
        <w:t>125</w:t>
      </w:r>
      <w:r w:rsidR="006840D3" w:rsidRPr="00610D14">
        <w:rPr>
          <w:szCs w:val="20"/>
        </w:rPr>
        <w:t xml:space="preserve"> </w:t>
      </w:r>
      <w:r w:rsidR="004E26C6" w:rsidRPr="00610D14">
        <w:rPr>
          <w:szCs w:val="20"/>
        </w:rPr>
        <w:t>by 2030</w:t>
      </w:r>
      <w:r w:rsidR="00D16D2E" w:rsidRPr="00610D14">
        <w:rPr>
          <w:szCs w:val="20"/>
        </w:rPr>
        <w:t xml:space="preserve"> for the psychiatry workforce. The modelling is based on an anticipated</w:t>
      </w:r>
      <w:r w:rsidR="00726570" w:rsidRPr="00610D14">
        <w:rPr>
          <w:szCs w:val="20"/>
        </w:rPr>
        <w:t xml:space="preserve"> 2 per cent</w:t>
      </w:r>
      <w:r w:rsidR="00D16D2E" w:rsidRPr="00610D14">
        <w:rPr>
          <w:szCs w:val="20"/>
        </w:rPr>
        <w:t xml:space="preserve"> increase per year (from 194 in 2015 to 234 by 2030) on the first year intake to the program. </w:t>
      </w:r>
      <w:r w:rsidR="004E26C6" w:rsidRPr="006840D3">
        <w:rPr>
          <w:szCs w:val="20"/>
        </w:rPr>
        <w:t xml:space="preserve">The projections also included </w:t>
      </w:r>
      <w:r w:rsidR="004B1C25" w:rsidRPr="006840D3">
        <w:rPr>
          <w:szCs w:val="20"/>
        </w:rPr>
        <w:t xml:space="preserve">the high reliance on overseas trained doctors </w:t>
      </w:r>
      <w:r w:rsidR="006840D3" w:rsidRPr="006840D3">
        <w:rPr>
          <w:szCs w:val="20"/>
        </w:rPr>
        <w:t>(</w:t>
      </w:r>
      <w:proofErr w:type="spellStart"/>
      <w:r w:rsidR="006840D3" w:rsidRPr="006840D3">
        <w:rPr>
          <w:szCs w:val="20"/>
        </w:rPr>
        <w:t>OTDs</w:t>
      </w:r>
      <w:proofErr w:type="spellEnd"/>
      <w:r w:rsidR="006840D3" w:rsidRPr="006840D3">
        <w:rPr>
          <w:szCs w:val="20"/>
        </w:rPr>
        <w:t xml:space="preserve">) continuing, with </w:t>
      </w:r>
      <w:proofErr w:type="spellStart"/>
      <w:r w:rsidR="006840D3" w:rsidRPr="006840D3">
        <w:rPr>
          <w:szCs w:val="20"/>
        </w:rPr>
        <w:t>OTDs</w:t>
      </w:r>
      <w:proofErr w:type="spellEnd"/>
      <w:r w:rsidR="006840D3" w:rsidRPr="006840D3">
        <w:rPr>
          <w:szCs w:val="20"/>
        </w:rPr>
        <w:t xml:space="preserve"> </w:t>
      </w:r>
      <w:r w:rsidR="004B1C25" w:rsidRPr="006840D3">
        <w:rPr>
          <w:szCs w:val="20"/>
        </w:rPr>
        <w:t xml:space="preserve">being projected at </w:t>
      </w:r>
      <w:r w:rsidR="0064748D" w:rsidRPr="006840D3">
        <w:rPr>
          <w:szCs w:val="20"/>
        </w:rPr>
        <w:t>55 new fellows</w:t>
      </w:r>
      <w:r w:rsidR="004B1C25" w:rsidRPr="006840D3">
        <w:rPr>
          <w:szCs w:val="20"/>
        </w:rPr>
        <w:t xml:space="preserve"> per year.</w:t>
      </w:r>
      <w:r w:rsidR="0064748D" w:rsidRPr="006840D3">
        <w:rPr>
          <w:szCs w:val="20"/>
        </w:rPr>
        <w:t xml:space="preserve"> </w:t>
      </w:r>
      <w:r w:rsidR="00D16D2E" w:rsidRPr="006840D3">
        <w:rPr>
          <w:szCs w:val="20"/>
        </w:rPr>
        <w:t>To meet the expected undersupply projected by 2030</w:t>
      </w:r>
      <w:r w:rsidR="006840D3">
        <w:rPr>
          <w:szCs w:val="20"/>
        </w:rPr>
        <w:t>,</w:t>
      </w:r>
      <w:r w:rsidR="00D16D2E" w:rsidRPr="006840D3">
        <w:rPr>
          <w:szCs w:val="20"/>
        </w:rPr>
        <w:t xml:space="preserve"> the </w:t>
      </w:r>
      <w:r w:rsidR="004B1C25" w:rsidRPr="006840D3">
        <w:rPr>
          <w:szCs w:val="20"/>
        </w:rPr>
        <w:t xml:space="preserve">new </w:t>
      </w:r>
      <w:r w:rsidR="00D16D2E" w:rsidRPr="006840D3">
        <w:rPr>
          <w:szCs w:val="20"/>
        </w:rPr>
        <w:t xml:space="preserve">intake </w:t>
      </w:r>
      <w:r w:rsidR="004B1C25" w:rsidRPr="006840D3">
        <w:rPr>
          <w:szCs w:val="20"/>
        </w:rPr>
        <w:t xml:space="preserve">would need to increase from the projected 197 to </w:t>
      </w:r>
      <w:r w:rsidR="009D2874" w:rsidRPr="006840D3">
        <w:rPr>
          <w:szCs w:val="20"/>
        </w:rPr>
        <w:t>200 in 2016 up to 269 in 2025</w:t>
      </w:r>
      <w:r w:rsidR="006840D3">
        <w:rPr>
          <w:szCs w:val="20"/>
        </w:rPr>
        <w:t>,</w:t>
      </w:r>
      <w:r w:rsidR="009D2874" w:rsidRPr="006840D3">
        <w:rPr>
          <w:szCs w:val="20"/>
        </w:rPr>
        <w:t xml:space="preserve"> </w:t>
      </w:r>
      <w:r w:rsidR="004B1C25" w:rsidRPr="006840D3">
        <w:rPr>
          <w:szCs w:val="20"/>
        </w:rPr>
        <w:t>which equates to a</w:t>
      </w:r>
      <w:r w:rsidR="009D2874" w:rsidRPr="006840D3">
        <w:rPr>
          <w:szCs w:val="20"/>
        </w:rPr>
        <w:t>n average annual increase of 3.3%.</w:t>
      </w:r>
      <w:r w:rsidR="004B1C25" w:rsidRPr="006840D3">
        <w:rPr>
          <w:szCs w:val="20"/>
        </w:rPr>
        <w:t xml:space="preserve"> </w:t>
      </w:r>
    </w:p>
    <w:p w:rsidR="00F05F7D" w:rsidRPr="006840D3" w:rsidRDefault="00F05F7D" w:rsidP="00D510F1">
      <w:pPr>
        <w:numPr>
          <w:ilvl w:val="0"/>
          <w:numId w:val="3"/>
        </w:numPr>
        <w:ind w:left="426" w:hanging="426"/>
        <w:rPr>
          <w:szCs w:val="20"/>
        </w:rPr>
      </w:pPr>
      <w:r w:rsidRPr="006840D3">
        <w:rPr>
          <w:szCs w:val="20"/>
        </w:rPr>
        <w:t>Local workforce and training needs must be taken into consideration for any strategy to be effective</w:t>
      </w:r>
      <w:r w:rsidR="006840D3">
        <w:rPr>
          <w:szCs w:val="20"/>
        </w:rPr>
        <w:t>, which requires partnership between governments, employers</w:t>
      </w:r>
      <w:r w:rsidR="007F3617">
        <w:rPr>
          <w:szCs w:val="20"/>
        </w:rPr>
        <w:t>, the college</w:t>
      </w:r>
      <w:r w:rsidR="006840D3">
        <w:rPr>
          <w:szCs w:val="20"/>
        </w:rPr>
        <w:t xml:space="preserve"> and trainees</w:t>
      </w:r>
      <w:r w:rsidRPr="006840D3">
        <w:rPr>
          <w:szCs w:val="20"/>
        </w:rPr>
        <w:t>.</w:t>
      </w:r>
      <w:r w:rsidR="006840D3" w:rsidRPr="006840D3" w:rsidDel="006840D3">
        <w:rPr>
          <w:szCs w:val="20"/>
        </w:rPr>
        <w:t xml:space="preserve"> </w:t>
      </w:r>
    </w:p>
    <w:p w:rsidR="004B1C25" w:rsidRPr="000F6053" w:rsidRDefault="004B1C25" w:rsidP="005C57F8">
      <w:pPr>
        <w:rPr>
          <w:szCs w:val="20"/>
        </w:rPr>
      </w:pPr>
      <w:r w:rsidRPr="000F6053">
        <w:rPr>
          <w:b/>
          <w:szCs w:val="20"/>
        </w:rPr>
        <w:t>Recommendation:</w:t>
      </w:r>
      <w:r w:rsidRPr="000F6053">
        <w:rPr>
          <w:szCs w:val="20"/>
        </w:rPr>
        <w:t xml:space="preserve"> </w:t>
      </w:r>
      <w:r w:rsidR="00235637" w:rsidRPr="000F6053">
        <w:rPr>
          <w:szCs w:val="20"/>
        </w:rPr>
        <w:t>An extra at minimum 6</w:t>
      </w:r>
      <w:r w:rsidR="00726570" w:rsidRPr="000F6053">
        <w:rPr>
          <w:szCs w:val="20"/>
        </w:rPr>
        <w:t xml:space="preserve"> per cent</w:t>
      </w:r>
      <w:r w:rsidR="00235637" w:rsidRPr="000F6053">
        <w:rPr>
          <w:szCs w:val="20"/>
        </w:rPr>
        <w:t xml:space="preserve"> increase in the first year intake be investigated and continue t</w:t>
      </w:r>
      <w:r w:rsidR="00CF39A0" w:rsidRPr="000F6053">
        <w:rPr>
          <w:szCs w:val="20"/>
        </w:rPr>
        <w:t>hrough</w:t>
      </w:r>
      <w:r w:rsidR="00FC7EA3" w:rsidRPr="000F6053">
        <w:rPr>
          <w:szCs w:val="20"/>
        </w:rPr>
        <w:t xml:space="preserve"> </w:t>
      </w:r>
      <w:r w:rsidR="00CF39A0" w:rsidRPr="000F6053">
        <w:rPr>
          <w:szCs w:val="20"/>
        </w:rPr>
        <w:t>Stage</w:t>
      </w:r>
      <w:r w:rsidR="000A3BED">
        <w:rPr>
          <w:szCs w:val="20"/>
        </w:rPr>
        <w:t xml:space="preserve"> </w:t>
      </w:r>
      <w:r w:rsidR="00CF39A0" w:rsidRPr="000F6053">
        <w:rPr>
          <w:szCs w:val="20"/>
        </w:rPr>
        <w:t xml:space="preserve">1, Stage 2, and Stage 3, taking into account the impact on supervision and </w:t>
      </w:r>
      <w:proofErr w:type="spellStart"/>
      <w:r w:rsidR="004B1411" w:rsidRPr="000F6053">
        <w:rPr>
          <w:szCs w:val="20"/>
        </w:rPr>
        <w:t>DOTs</w:t>
      </w:r>
      <w:proofErr w:type="spellEnd"/>
      <w:r w:rsidR="00FC7EA3" w:rsidRPr="000F6053">
        <w:rPr>
          <w:szCs w:val="20"/>
        </w:rPr>
        <w:t xml:space="preserve"> and the additional administrative support required </w:t>
      </w:r>
      <w:r w:rsidR="006840D3">
        <w:rPr>
          <w:szCs w:val="20"/>
        </w:rPr>
        <w:t>for</w:t>
      </w:r>
      <w:r w:rsidR="00FC7EA3" w:rsidRPr="000F6053">
        <w:rPr>
          <w:szCs w:val="20"/>
        </w:rPr>
        <w:t xml:space="preserve"> this increase</w:t>
      </w:r>
      <w:r w:rsidR="00CF39A0" w:rsidRPr="000F6053">
        <w:rPr>
          <w:szCs w:val="20"/>
        </w:rPr>
        <w:t xml:space="preserve">. </w:t>
      </w:r>
    </w:p>
    <w:p w:rsidR="00B42DC2" w:rsidRDefault="00B42DC2" w:rsidP="00B831A8">
      <w:pPr>
        <w:pStyle w:val="Heading3"/>
      </w:pPr>
      <w:bookmarkStart w:id="11" w:name="_Toc445986938"/>
      <w:r>
        <w:t>Training program</w:t>
      </w:r>
      <w:bookmarkEnd w:id="11"/>
    </w:p>
    <w:p w:rsidR="00B42DC2" w:rsidRPr="00282A93" w:rsidRDefault="00B42DC2" w:rsidP="00D510F1">
      <w:pPr>
        <w:numPr>
          <w:ilvl w:val="0"/>
          <w:numId w:val="3"/>
        </w:numPr>
        <w:ind w:left="426" w:hanging="426"/>
        <w:rPr>
          <w:szCs w:val="20"/>
        </w:rPr>
      </w:pPr>
      <w:r w:rsidRPr="00610D14">
        <w:rPr>
          <w:szCs w:val="20"/>
        </w:rPr>
        <w:t xml:space="preserve">Given that a new training program has been introduced (2012 </w:t>
      </w:r>
      <w:r w:rsidR="000E6391" w:rsidRPr="00610D14">
        <w:rPr>
          <w:szCs w:val="20"/>
        </w:rPr>
        <w:t>F</w:t>
      </w:r>
      <w:r w:rsidRPr="00610D14">
        <w:rPr>
          <w:szCs w:val="20"/>
        </w:rPr>
        <w:t>ellowship program)</w:t>
      </w:r>
      <w:r w:rsidR="000A3BED">
        <w:rPr>
          <w:szCs w:val="20"/>
        </w:rPr>
        <w:t>,</w:t>
      </w:r>
      <w:r w:rsidRPr="00610D14">
        <w:rPr>
          <w:szCs w:val="20"/>
        </w:rPr>
        <w:t xml:space="preserve"> the future pipelin</w:t>
      </w:r>
      <w:r w:rsidR="00954E28">
        <w:rPr>
          <w:szCs w:val="20"/>
        </w:rPr>
        <w:t>e</w:t>
      </w:r>
      <w:r w:rsidRPr="00610D14">
        <w:rPr>
          <w:szCs w:val="20"/>
        </w:rPr>
        <w:t xml:space="preserve"> will need to be reviewed once all the trainees have been migrated onto the new training program in 2016 and data becomes available in 2017. This will allow the 2012 </w:t>
      </w:r>
      <w:r w:rsidR="00CF39A0" w:rsidRPr="00610D14">
        <w:rPr>
          <w:szCs w:val="20"/>
        </w:rPr>
        <w:t>F</w:t>
      </w:r>
      <w:r w:rsidRPr="00610D14">
        <w:rPr>
          <w:szCs w:val="20"/>
        </w:rPr>
        <w:t>ellowship program to stabilise</w:t>
      </w:r>
      <w:r w:rsidR="000A3BED">
        <w:rPr>
          <w:szCs w:val="20"/>
        </w:rPr>
        <w:t>,</w:t>
      </w:r>
      <w:r w:rsidRPr="00610D14">
        <w:rPr>
          <w:szCs w:val="20"/>
        </w:rPr>
        <w:t xml:space="preserve"> and </w:t>
      </w:r>
      <w:r w:rsidR="00954E28">
        <w:rPr>
          <w:szCs w:val="20"/>
        </w:rPr>
        <w:t xml:space="preserve">provide </w:t>
      </w:r>
      <w:r w:rsidR="007F3617">
        <w:rPr>
          <w:szCs w:val="20"/>
        </w:rPr>
        <w:t>more accurate</w:t>
      </w:r>
      <w:r w:rsidR="00954E28">
        <w:rPr>
          <w:szCs w:val="20"/>
        </w:rPr>
        <w:t xml:space="preserve"> information about</w:t>
      </w:r>
      <w:r w:rsidR="00954E28" w:rsidRPr="00610D14">
        <w:rPr>
          <w:szCs w:val="20"/>
        </w:rPr>
        <w:t xml:space="preserve"> </w:t>
      </w:r>
      <w:r w:rsidRPr="00610D14">
        <w:rPr>
          <w:szCs w:val="20"/>
        </w:rPr>
        <w:t xml:space="preserve">how trainees are transitioning through the program. </w:t>
      </w:r>
    </w:p>
    <w:p w:rsidR="00345C0C" w:rsidRPr="0057150B" w:rsidRDefault="00345C0C" w:rsidP="005C57F8">
      <w:pPr>
        <w:pStyle w:val="ListParagraph"/>
        <w:spacing w:before="240" w:after="120"/>
        <w:ind w:left="0"/>
        <w:contextualSpacing w:val="0"/>
        <w:rPr>
          <w:b/>
          <w:szCs w:val="22"/>
        </w:rPr>
      </w:pPr>
      <w:r w:rsidRPr="004B1C25">
        <w:rPr>
          <w:b/>
          <w:szCs w:val="22"/>
        </w:rPr>
        <w:t>Recommendation:</w:t>
      </w:r>
      <w:r>
        <w:rPr>
          <w:b/>
          <w:szCs w:val="22"/>
        </w:rPr>
        <w:t xml:space="preserve"> </w:t>
      </w:r>
      <w:r w:rsidR="0057150B" w:rsidRPr="00610D14">
        <w:rPr>
          <w:szCs w:val="22"/>
        </w:rPr>
        <w:t xml:space="preserve">The College and the </w:t>
      </w:r>
      <w:proofErr w:type="spellStart"/>
      <w:r w:rsidR="0057150B" w:rsidRPr="00610D14">
        <w:rPr>
          <w:szCs w:val="22"/>
        </w:rPr>
        <w:t>NMTAN</w:t>
      </w:r>
      <w:proofErr w:type="spellEnd"/>
      <w:r w:rsidRPr="00610D14">
        <w:rPr>
          <w:szCs w:val="22"/>
        </w:rPr>
        <w:t xml:space="preserve"> continue to monitor the transition rate and clinical exam results.</w:t>
      </w:r>
      <w:r w:rsidRPr="0057150B">
        <w:rPr>
          <w:b/>
          <w:szCs w:val="22"/>
        </w:rPr>
        <w:t xml:space="preserve"> </w:t>
      </w:r>
    </w:p>
    <w:p w:rsidR="0070228C" w:rsidRDefault="0070228C">
      <w:pPr>
        <w:jc w:val="left"/>
        <w:rPr>
          <w:rFonts w:eastAsia="Calibri" w:cs="Arial"/>
          <w:b/>
          <w:bCs/>
          <w:iCs/>
          <w:color w:val="000080"/>
          <w:sz w:val="26"/>
          <w:szCs w:val="28"/>
        </w:rPr>
      </w:pPr>
      <w:r>
        <w:br w:type="page"/>
      </w:r>
    </w:p>
    <w:p w:rsidR="00AC749E" w:rsidRPr="00024EE6" w:rsidRDefault="00765A1E" w:rsidP="00B831A8">
      <w:pPr>
        <w:pStyle w:val="Heading3"/>
      </w:pPr>
      <w:bookmarkStart w:id="12" w:name="_Toc445986939"/>
      <w:r w:rsidRPr="00024EE6">
        <w:lastRenderedPageBreak/>
        <w:t>Capacity and distribution for vocational training</w:t>
      </w:r>
      <w:bookmarkEnd w:id="12"/>
    </w:p>
    <w:p w:rsidR="004422D7" w:rsidRPr="00024EE6" w:rsidRDefault="004422D7" w:rsidP="000421CE">
      <w:pPr>
        <w:pStyle w:val="Heading4"/>
      </w:pPr>
      <w:r w:rsidRPr="00024EE6">
        <w:t>Training capacity</w:t>
      </w:r>
    </w:p>
    <w:p w:rsidR="00501259" w:rsidRPr="00610D14" w:rsidRDefault="004422D7" w:rsidP="00D510F1">
      <w:pPr>
        <w:numPr>
          <w:ilvl w:val="0"/>
          <w:numId w:val="3"/>
        </w:numPr>
        <w:ind w:left="426" w:hanging="426"/>
        <w:rPr>
          <w:szCs w:val="20"/>
        </w:rPr>
      </w:pPr>
      <w:r w:rsidRPr="00610D14">
        <w:rPr>
          <w:szCs w:val="20"/>
        </w:rPr>
        <w:t xml:space="preserve">Currently, careful management of posts is required as there are </w:t>
      </w:r>
      <w:r w:rsidR="00843A13" w:rsidRPr="00610D14">
        <w:rPr>
          <w:szCs w:val="20"/>
        </w:rPr>
        <w:t>often limits to the number of training posts in particular areas of practice</w:t>
      </w:r>
      <w:r w:rsidRPr="00610D14">
        <w:rPr>
          <w:szCs w:val="20"/>
        </w:rPr>
        <w:t>. To guarantee access to posts</w:t>
      </w:r>
      <w:r w:rsidR="000E6391" w:rsidRPr="00610D14">
        <w:rPr>
          <w:szCs w:val="20"/>
        </w:rPr>
        <w:t>,</w:t>
      </w:r>
      <w:r w:rsidRPr="00610D14">
        <w:rPr>
          <w:szCs w:val="20"/>
        </w:rPr>
        <w:t xml:space="preserve"> trainees are </w:t>
      </w:r>
      <w:r w:rsidR="00CF39A0" w:rsidRPr="00610D14">
        <w:rPr>
          <w:szCs w:val="20"/>
        </w:rPr>
        <w:t xml:space="preserve">often </w:t>
      </w:r>
      <w:r w:rsidRPr="00610D14">
        <w:rPr>
          <w:szCs w:val="20"/>
        </w:rPr>
        <w:t xml:space="preserve">rotated to other specialties first and may </w:t>
      </w:r>
      <w:r w:rsidR="00CF39A0" w:rsidRPr="00610D14">
        <w:rPr>
          <w:szCs w:val="20"/>
        </w:rPr>
        <w:t xml:space="preserve">have to </w:t>
      </w:r>
      <w:r w:rsidRPr="00610D14">
        <w:rPr>
          <w:szCs w:val="20"/>
        </w:rPr>
        <w:t xml:space="preserve">complete the </w:t>
      </w:r>
      <w:r w:rsidR="004B1411" w:rsidRPr="00610D14">
        <w:rPr>
          <w:szCs w:val="20"/>
        </w:rPr>
        <w:t>Child and Adolescent Psychiatry (</w:t>
      </w:r>
      <w:r w:rsidRPr="00610D14">
        <w:rPr>
          <w:szCs w:val="20"/>
        </w:rPr>
        <w:t>CAP</w:t>
      </w:r>
      <w:r w:rsidR="004B1411" w:rsidRPr="00610D14">
        <w:rPr>
          <w:szCs w:val="20"/>
        </w:rPr>
        <w:t>)</w:t>
      </w:r>
      <w:r w:rsidRPr="00610D14">
        <w:rPr>
          <w:szCs w:val="20"/>
        </w:rPr>
        <w:t xml:space="preserve"> or </w:t>
      </w:r>
      <w:r w:rsidR="004B1411" w:rsidRPr="00610D14">
        <w:rPr>
          <w:szCs w:val="20"/>
        </w:rPr>
        <w:t>Consultation Liaison</w:t>
      </w:r>
      <w:r w:rsidR="00301C47" w:rsidRPr="00610D14">
        <w:rPr>
          <w:szCs w:val="20"/>
        </w:rPr>
        <w:t xml:space="preserve"> Psychiatry</w:t>
      </w:r>
      <w:r w:rsidR="004B1411" w:rsidRPr="00610D14">
        <w:rPr>
          <w:szCs w:val="20"/>
        </w:rPr>
        <w:t xml:space="preserve"> (</w:t>
      </w:r>
      <w:r w:rsidRPr="00610D14">
        <w:rPr>
          <w:szCs w:val="20"/>
        </w:rPr>
        <w:t>CL</w:t>
      </w:r>
      <w:r w:rsidR="004B1411" w:rsidRPr="00610D14">
        <w:rPr>
          <w:szCs w:val="20"/>
        </w:rPr>
        <w:t>)</w:t>
      </w:r>
      <w:r w:rsidRPr="00610D14">
        <w:rPr>
          <w:szCs w:val="20"/>
        </w:rPr>
        <w:t xml:space="preserve"> posts</w:t>
      </w:r>
      <w:r w:rsidR="00CF39A0" w:rsidRPr="00610D14">
        <w:rPr>
          <w:szCs w:val="20"/>
        </w:rPr>
        <w:t xml:space="preserve"> (which need to be completed b</w:t>
      </w:r>
      <w:r w:rsidR="00097DE1" w:rsidRPr="00610D14">
        <w:rPr>
          <w:szCs w:val="20"/>
        </w:rPr>
        <w:t>y</w:t>
      </w:r>
      <w:r w:rsidR="00CF39A0" w:rsidRPr="00610D14">
        <w:rPr>
          <w:szCs w:val="20"/>
        </w:rPr>
        <w:t xml:space="preserve"> the end of Stage 2)</w:t>
      </w:r>
      <w:r w:rsidRPr="00610D14">
        <w:rPr>
          <w:szCs w:val="20"/>
        </w:rPr>
        <w:t xml:space="preserve"> at a later date. It is important to have the ability to quantify and plan for the number of trainees that require CAP and CL rotations.</w:t>
      </w:r>
    </w:p>
    <w:p w:rsidR="004422D7" w:rsidRPr="00610D14" w:rsidRDefault="004422D7" w:rsidP="00D510F1">
      <w:pPr>
        <w:numPr>
          <w:ilvl w:val="0"/>
          <w:numId w:val="3"/>
        </w:numPr>
        <w:ind w:left="426" w:hanging="426"/>
        <w:rPr>
          <w:szCs w:val="20"/>
        </w:rPr>
      </w:pPr>
      <w:r w:rsidRPr="00610D14">
        <w:rPr>
          <w:szCs w:val="20"/>
        </w:rPr>
        <w:t xml:space="preserve">Given the new training program is a competency based training program, other ways of learning and </w:t>
      </w:r>
      <w:r w:rsidR="00954E28">
        <w:rPr>
          <w:szCs w:val="20"/>
        </w:rPr>
        <w:t xml:space="preserve">different </w:t>
      </w:r>
      <w:r w:rsidRPr="00610D14">
        <w:rPr>
          <w:szCs w:val="20"/>
        </w:rPr>
        <w:t xml:space="preserve">settings to fulfil the CAP </w:t>
      </w:r>
      <w:r w:rsidR="000E6391" w:rsidRPr="00610D14">
        <w:rPr>
          <w:szCs w:val="20"/>
        </w:rPr>
        <w:t xml:space="preserve">and </w:t>
      </w:r>
      <w:r w:rsidRPr="00610D14">
        <w:rPr>
          <w:szCs w:val="20"/>
        </w:rPr>
        <w:t xml:space="preserve">CL rotations could be considered to minimise the bottleneck of trainees waiting to move through. </w:t>
      </w:r>
    </w:p>
    <w:p w:rsidR="0057150B" w:rsidRPr="00610D14" w:rsidRDefault="009D64D3" w:rsidP="00D510F1">
      <w:pPr>
        <w:numPr>
          <w:ilvl w:val="0"/>
          <w:numId w:val="3"/>
        </w:numPr>
        <w:ind w:left="426" w:hanging="426"/>
        <w:rPr>
          <w:szCs w:val="20"/>
        </w:rPr>
      </w:pPr>
      <w:r w:rsidRPr="00610D14">
        <w:rPr>
          <w:szCs w:val="20"/>
        </w:rPr>
        <w:t xml:space="preserve">It is important to note that psychiatry workforce shortages will not be solved by simply creating more training posts in Stage 1. There must be an equivalent increase in Stage 2 and 3 posts and these should be established according to local needs </w:t>
      </w:r>
      <w:r w:rsidR="00D57CAC" w:rsidRPr="00610D14">
        <w:rPr>
          <w:szCs w:val="20"/>
        </w:rPr>
        <w:t>e.g.</w:t>
      </w:r>
      <w:r w:rsidRPr="00610D14">
        <w:rPr>
          <w:szCs w:val="20"/>
        </w:rPr>
        <w:t xml:space="preserve"> W</w:t>
      </w:r>
      <w:r w:rsidR="006E5064" w:rsidRPr="00610D14">
        <w:rPr>
          <w:szCs w:val="20"/>
        </w:rPr>
        <w:t xml:space="preserve">estern </w:t>
      </w:r>
      <w:r w:rsidRPr="00610D14">
        <w:rPr>
          <w:szCs w:val="20"/>
        </w:rPr>
        <w:t>A</w:t>
      </w:r>
      <w:r w:rsidR="006E5064" w:rsidRPr="00610D14">
        <w:rPr>
          <w:szCs w:val="20"/>
        </w:rPr>
        <w:t>ustralia</w:t>
      </w:r>
      <w:r w:rsidRPr="00610D14">
        <w:rPr>
          <w:szCs w:val="20"/>
        </w:rPr>
        <w:t xml:space="preserve"> may need more </w:t>
      </w:r>
      <w:r w:rsidR="004B1411" w:rsidRPr="00610D14">
        <w:rPr>
          <w:szCs w:val="20"/>
        </w:rPr>
        <w:t xml:space="preserve">Psychiatry in </w:t>
      </w:r>
      <w:r w:rsidRPr="00610D14">
        <w:rPr>
          <w:szCs w:val="20"/>
        </w:rPr>
        <w:t xml:space="preserve">Old Age posts while </w:t>
      </w:r>
      <w:r w:rsidR="0070228C">
        <w:rPr>
          <w:szCs w:val="20"/>
        </w:rPr>
        <w:t xml:space="preserve">the </w:t>
      </w:r>
      <w:r w:rsidRPr="00610D14">
        <w:rPr>
          <w:szCs w:val="20"/>
        </w:rPr>
        <w:t>A</w:t>
      </w:r>
      <w:r w:rsidR="006E5064" w:rsidRPr="00610D14">
        <w:rPr>
          <w:szCs w:val="20"/>
        </w:rPr>
        <w:t xml:space="preserve">ustralian </w:t>
      </w:r>
      <w:r w:rsidRPr="00610D14">
        <w:rPr>
          <w:szCs w:val="20"/>
        </w:rPr>
        <w:t>C</w:t>
      </w:r>
      <w:r w:rsidR="006E5064" w:rsidRPr="00610D14">
        <w:rPr>
          <w:szCs w:val="20"/>
        </w:rPr>
        <w:t xml:space="preserve">apital </w:t>
      </w:r>
      <w:r w:rsidRPr="00610D14">
        <w:rPr>
          <w:szCs w:val="20"/>
        </w:rPr>
        <w:t>T</w:t>
      </w:r>
      <w:r w:rsidR="006E5064" w:rsidRPr="00610D14">
        <w:rPr>
          <w:szCs w:val="20"/>
        </w:rPr>
        <w:t>erritory</w:t>
      </w:r>
      <w:r w:rsidRPr="00610D14">
        <w:rPr>
          <w:szCs w:val="20"/>
        </w:rPr>
        <w:t xml:space="preserve"> may need more CAP. </w:t>
      </w:r>
      <w:r w:rsidR="00E632CD">
        <w:rPr>
          <w:szCs w:val="20"/>
        </w:rPr>
        <w:t>S</w:t>
      </w:r>
      <w:r w:rsidRPr="00610D14">
        <w:rPr>
          <w:szCs w:val="20"/>
        </w:rPr>
        <w:t xml:space="preserve">upervisors, </w:t>
      </w:r>
      <w:proofErr w:type="spellStart"/>
      <w:r w:rsidRPr="00610D14">
        <w:rPr>
          <w:szCs w:val="20"/>
        </w:rPr>
        <w:t>DOTs</w:t>
      </w:r>
      <w:proofErr w:type="spellEnd"/>
      <w:r w:rsidRPr="00610D14">
        <w:rPr>
          <w:szCs w:val="20"/>
        </w:rPr>
        <w:t xml:space="preserve"> and B</w:t>
      </w:r>
      <w:r w:rsidR="00E522F1" w:rsidRPr="00610D14">
        <w:rPr>
          <w:szCs w:val="20"/>
        </w:rPr>
        <w:t xml:space="preserve">ranch </w:t>
      </w:r>
      <w:r w:rsidRPr="00610D14">
        <w:rPr>
          <w:szCs w:val="20"/>
        </w:rPr>
        <w:t>T</w:t>
      </w:r>
      <w:r w:rsidR="00E522F1" w:rsidRPr="00610D14">
        <w:rPr>
          <w:szCs w:val="20"/>
        </w:rPr>
        <w:t xml:space="preserve">raining </w:t>
      </w:r>
      <w:r w:rsidRPr="00610D14">
        <w:rPr>
          <w:szCs w:val="20"/>
        </w:rPr>
        <w:t>C</w:t>
      </w:r>
      <w:r w:rsidR="00E522F1" w:rsidRPr="00610D14">
        <w:rPr>
          <w:szCs w:val="20"/>
        </w:rPr>
        <w:t>ommittee</w:t>
      </w:r>
      <w:r w:rsidRPr="00610D14">
        <w:rPr>
          <w:szCs w:val="20"/>
        </w:rPr>
        <w:t>s</w:t>
      </w:r>
      <w:r w:rsidR="00E522F1" w:rsidRPr="00610D14">
        <w:rPr>
          <w:szCs w:val="20"/>
        </w:rPr>
        <w:t xml:space="preserve"> (</w:t>
      </w:r>
      <w:proofErr w:type="spellStart"/>
      <w:r w:rsidR="00E522F1" w:rsidRPr="00610D14">
        <w:rPr>
          <w:szCs w:val="20"/>
        </w:rPr>
        <w:t>BTCs</w:t>
      </w:r>
      <w:proofErr w:type="spellEnd"/>
      <w:r w:rsidR="00E522F1" w:rsidRPr="00610D14">
        <w:rPr>
          <w:szCs w:val="20"/>
        </w:rPr>
        <w:t>)</w:t>
      </w:r>
      <w:r w:rsidRPr="00610D14">
        <w:rPr>
          <w:szCs w:val="20"/>
        </w:rPr>
        <w:t xml:space="preserve">, both professional and administrative will </w:t>
      </w:r>
      <w:r w:rsidR="00E632CD">
        <w:rPr>
          <w:szCs w:val="20"/>
        </w:rPr>
        <w:t>need to be supported in this work</w:t>
      </w:r>
      <w:r w:rsidRPr="00610D14">
        <w:rPr>
          <w:szCs w:val="20"/>
        </w:rPr>
        <w:t>.</w:t>
      </w:r>
    </w:p>
    <w:p w:rsidR="0057150B" w:rsidRPr="0057150B" w:rsidRDefault="0057150B" w:rsidP="005C57F8">
      <w:pPr>
        <w:pStyle w:val="ListParagraph"/>
        <w:spacing w:before="240" w:after="120"/>
        <w:ind w:left="0"/>
        <w:contextualSpacing w:val="0"/>
        <w:rPr>
          <w:szCs w:val="22"/>
        </w:rPr>
      </w:pPr>
      <w:r w:rsidRPr="004B1C25">
        <w:rPr>
          <w:b/>
          <w:szCs w:val="22"/>
        </w:rPr>
        <w:t>Recommendation:</w:t>
      </w:r>
      <w:r>
        <w:rPr>
          <w:b/>
          <w:szCs w:val="22"/>
        </w:rPr>
        <w:t xml:space="preserve"> </w:t>
      </w:r>
      <w:r>
        <w:rPr>
          <w:szCs w:val="22"/>
        </w:rPr>
        <w:t xml:space="preserve">the </w:t>
      </w:r>
      <w:proofErr w:type="spellStart"/>
      <w:r>
        <w:rPr>
          <w:szCs w:val="22"/>
        </w:rPr>
        <w:t>NMTAN</w:t>
      </w:r>
      <w:proofErr w:type="spellEnd"/>
      <w:r>
        <w:rPr>
          <w:szCs w:val="22"/>
        </w:rPr>
        <w:t xml:space="preserve"> and the college need to monitor the impact of increasing the number of trainees entering the program and the flow on effects on training in all areas of practice</w:t>
      </w:r>
      <w:r w:rsidR="0070228C">
        <w:rPr>
          <w:szCs w:val="22"/>
        </w:rPr>
        <w:t xml:space="preserve">, and </w:t>
      </w:r>
      <w:r>
        <w:rPr>
          <w:szCs w:val="22"/>
        </w:rPr>
        <w:t xml:space="preserve">in particular the availability of </w:t>
      </w:r>
      <w:r w:rsidR="0070228C">
        <w:rPr>
          <w:szCs w:val="22"/>
        </w:rPr>
        <w:t>Advanced Training</w:t>
      </w:r>
      <w:r>
        <w:rPr>
          <w:szCs w:val="22"/>
        </w:rPr>
        <w:t xml:space="preserve">. This will require consideration of supervision </w:t>
      </w:r>
      <w:r w:rsidR="00E632CD">
        <w:rPr>
          <w:szCs w:val="22"/>
        </w:rPr>
        <w:t xml:space="preserve">capacity </w:t>
      </w:r>
      <w:r>
        <w:rPr>
          <w:szCs w:val="22"/>
        </w:rPr>
        <w:t xml:space="preserve">in Advanced Training and the impact on </w:t>
      </w:r>
      <w:proofErr w:type="spellStart"/>
      <w:r>
        <w:rPr>
          <w:szCs w:val="22"/>
        </w:rPr>
        <w:t>DOTs</w:t>
      </w:r>
      <w:proofErr w:type="spellEnd"/>
      <w:r>
        <w:rPr>
          <w:szCs w:val="22"/>
        </w:rPr>
        <w:t xml:space="preserve"> and local post administration</w:t>
      </w:r>
      <w:r w:rsidR="00954E28">
        <w:rPr>
          <w:szCs w:val="22"/>
        </w:rPr>
        <w:t>.</w:t>
      </w:r>
    </w:p>
    <w:p w:rsidR="0057150B" w:rsidRPr="00345C0C" w:rsidRDefault="0057150B" w:rsidP="000421CE">
      <w:pPr>
        <w:pStyle w:val="Heading4"/>
      </w:pPr>
      <w:r w:rsidRPr="00345C0C">
        <w:t>Supervisory capacity requirements</w:t>
      </w:r>
    </w:p>
    <w:p w:rsidR="00E632CD" w:rsidRDefault="00E632CD" w:rsidP="00D510F1">
      <w:pPr>
        <w:numPr>
          <w:ilvl w:val="0"/>
          <w:numId w:val="3"/>
        </w:numPr>
        <w:ind w:left="426" w:hanging="426"/>
        <w:rPr>
          <w:szCs w:val="20"/>
        </w:rPr>
      </w:pPr>
      <w:r w:rsidRPr="005B2693">
        <w:rPr>
          <w:szCs w:val="20"/>
        </w:rPr>
        <w:t xml:space="preserve">As </w:t>
      </w:r>
      <w:r w:rsidR="00887E92">
        <w:rPr>
          <w:szCs w:val="20"/>
        </w:rPr>
        <w:t>the number of trainees increase</w:t>
      </w:r>
      <w:r w:rsidRPr="005B2693">
        <w:rPr>
          <w:szCs w:val="20"/>
        </w:rPr>
        <w:t>, the number of supervisors required will increase.</w:t>
      </w:r>
      <w:r>
        <w:rPr>
          <w:szCs w:val="20"/>
        </w:rPr>
        <w:t xml:space="preserve"> The college and employers need to assist in the identification and training of new supervisors. Development of resources such as online modules and peer support activities would provide additional support for supervisors, including in rural and remote areas.</w:t>
      </w:r>
    </w:p>
    <w:p w:rsidR="0057150B" w:rsidRPr="001D6F53" w:rsidRDefault="0057150B" w:rsidP="00D510F1">
      <w:pPr>
        <w:numPr>
          <w:ilvl w:val="0"/>
          <w:numId w:val="3"/>
        </w:numPr>
        <w:ind w:left="426" w:hanging="426"/>
        <w:rPr>
          <w:szCs w:val="20"/>
        </w:rPr>
      </w:pPr>
      <w:r w:rsidRPr="001D6F53">
        <w:rPr>
          <w:szCs w:val="20"/>
        </w:rPr>
        <w:t>Consideration needs to be given to strategies to recruit and support supervisors in private practice and rural locations</w:t>
      </w:r>
      <w:r w:rsidR="00E632CD">
        <w:rPr>
          <w:szCs w:val="20"/>
        </w:rPr>
        <w:t>, but b</w:t>
      </w:r>
      <w:r w:rsidR="00E632CD" w:rsidRPr="00610D14">
        <w:rPr>
          <w:szCs w:val="20"/>
        </w:rPr>
        <w:t xml:space="preserve">lended </w:t>
      </w:r>
      <w:r w:rsidR="00E632CD">
        <w:rPr>
          <w:szCs w:val="20"/>
        </w:rPr>
        <w:t xml:space="preserve">and remote </w:t>
      </w:r>
      <w:r w:rsidR="00E632CD" w:rsidRPr="00610D14">
        <w:rPr>
          <w:szCs w:val="20"/>
        </w:rPr>
        <w:t xml:space="preserve">models of supervision </w:t>
      </w:r>
      <w:r w:rsidR="00E632CD">
        <w:rPr>
          <w:szCs w:val="20"/>
        </w:rPr>
        <w:t>should</w:t>
      </w:r>
      <w:r w:rsidR="00E632CD" w:rsidRPr="00610D14">
        <w:rPr>
          <w:szCs w:val="20"/>
        </w:rPr>
        <w:t xml:space="preserve"> be considered to ensure that trainees </w:t>
      </w:r>
      <w:r w:rsidR="00E632CD">
        <w:rPr>
          <w:szCs w:val="20"/>
        </w:rPr>
        <w:t>can receive</w:t>
      </w:r>
      <w:r w:rsidR="00E632CD" w:rsidRPr="00610D14">
        <w:rPr>
          <w:szCs w:val="20"/>
        </w:rPr>
        <w:t xml:space="preserve"> appropriate supervision available </w:t>
      </w:r>
      <w:r w:rsidR="00E632CD">
        <w:rPr>
          <w:szCs w:val="20"/>
        </w:rPr>
        <w:t xml:space="preserve">to train </w:t>
      </w:r>
      <w:r w:rsidR="00E632CD" w:rsidRPr="00610D14">
        <w:rPr>
          <w:szCs w:val="20"/>
        </w:rPr>
        <w:t>in rural/remote areas.</w:t>
      </w:r>
    </w:p>
    <w:p w:rsidR="0057150B" w:rsidRPr="001D6F53" w:rsidRDefault="0057150B" w:rsidP="00D510F1">
      <w:pPr>
        <w:numPr>
          <w:ilvl w:val="0"/>
          <w:numId w:val="3"/>
        </w:numPr>
        <w:ind w:left="426" w:hanging="426"/>
        <w:rPr>
          <w:szCs w:val="20"/>
        </w:rPr>
      </w:pPr>
      <w:r w:rsidRPr="001D6F53">
        <w:rPr>
          <w:szCs w:val="20"/>
        </w:rPr>
        <w:t>Administrative support for Branch Training Committees (</w:t>
      </w:r>
      <w:proofErr w:type="spellStart"/>
      <w:r w:rsidRPr="001D6F53">
        <w:rPr>
          <w:szCs w:val="20"/>
        </w:rPr>
        <w:t>BTCs</w:t>
      </w:r>
      <w:proofErr w:type="spellEnd"/>
      <w:r w:rsidRPr="001D6F53">
        <w:rPr>
          <w:szCs w:val="20"/>
        </w:rPr>
        <w:t xml:space="preserve">) who oversee the jurisdictional training program will also require review. </w:t>
      </w:r>
    </w:p>
    <w:p w:rsidR="0057150B" w:rsidRPr="00610D14" w:rsidRDefault="0057150B" w:rsidP="005C57F8">
      <w:pPr>
        <w:pStyle w:val="ListParagraph"/>
        <w:spacing w:before="240" w:after="120"/>
        <w:ind w:left="0"/>
        <w:contextualSpacing w:val="0"/>
        <w:rPr>
          <w:b/>
          <w:szCs w:val="22"/>
        </w:rPr>
      </w:pPr>
      <w:r w:rsidRPr="0057150B">
        <w:rPr>
          <w:b/>
          <w:szCs w:val="22"/>
        </w:rPr>
        <w:t xml:space="preserve">Recommendation: </w:t>
      </w:r>
      <w:r w:rsidR="00954E28">
        <w:rPr>
          <w:szCs w:val="22"/>
        </w:rPr>
        <w:t>There is a need to deliver more training in rural areas, which will require identifying and developing new supervisors, and developing new, innovative supervision models.</w:t>
      </w:r>
      <w:r w:rsidR="00825A45">
        <w:rPr>
          <w:szCs w:val="22"/>
        </w:rPr>
        <w:t xml:space="preserve"> All stakeholders need to collaborate to identify new supervisors and to ensure that they are adequately supported. Development of resources such as online modules and peer support activities would provide additional support to supervisors, including in rural and remote areas.</w:t>
      </w:r>
    </w:p>
    <w:p w:rsidR="004422D7" w:rsidRDefault="004422D7" w:rsidP="000421CE">
      <w:pPr>
        <w:pStyle w:val="Heading4"/>
      </w:pPr>
      <w:r>
        <w:t>Specialist Training Programme</w:t>
      </w:r>
    </w:p>
    <w:p w:rsidR="003113CD" w:rsidRPr="00610D14" w:rsidRDefault="005D20E0" w:rsidP="00D510F1">
      <w:pPr>
        <w:numPr>
          <w:ilvl w:val="0"/>
          <w:numId w:val="3"/>
        </w:numPr>
        <w:ind w:left="426" w:hanging="426"/>
        <w:rPr>
          <w:szCs w:val="20"/>
        </w:rPr>
      </w:pPr>
      <w:r>
        <w:rPr>
          <w:szCs w:val="20"/>
        </w:rPr>
        <w:t xml:space="preserve">Continue </w:t>
      </w:r>
      <w:r w:rsidR="004422D7" w:rsidRPr="00610D14">
        <w:rPr>
          <w:szCs w:val="20"/>
        </w:rPr>
        <w:t>increasing the amount of training undertaken in the pri</w:t>
      </w:r>
      <w:r w:rsidR="006E5064" w:rsidRPr="00610D14">
        <w:rPr>
          <w:szCs w:val="20"/>
        </w:rPr>
        <w:t>vate sector, in primary care,</w:t>
      </w:r>
      <w:r w:rsidR="004422D7" w:rsidRPr="00610D14">
        <w:rPr>
          <w:szCs w:val="20"/>
        </w:rPr>
        <w:t xml:space="preserve"> in rural and remote locations</w:t>
      </w:r>
      <w:r w:rsidR="006E5064" w:rsidRPr="00610D14">
        <w:rPr>
          <w:szCs w:val="20"/>
        </w:rPr>
        <w:t xml:space="preserve"> and assistance to </w:t>
      </w:r>
      <w:proofErr w:type="spellStart"/>
      <w:r w:rsidR="006E5064" w:rsidRPr="00610D14">
        <w:rPr>
          <w:szCs w:val="20"/>
        </w:rPr>
        <w:t>DOTs</w:t>
      </w:r>
      <w:proofErr w:type="spellEnd"/>
      <w:r w:rsidR="004422D7" w:rsidRPr="00610D14">
        <w:rPr>
          <w:szCs w:val="20"/>
        </w:rPr>
        <w:t>.</w:t>
      </w:r>
    </w:p>
    <w:p w:rsidR="00F72A1D" w:rsidRPr="005D20E0" w:rsidRDefault="0070228C" w:rsidP="00D510F1">
      <w:pPr>
        <w:numPr>
          <w:ilvl w:val="0"/>
          <w:numId w:val="3"/>
        </w:numPr>
        <w:ind w:left="426" w:hanging="426"/>
        <w:rPr>
          <w:szCs w:val="20"/>
        </w:rPr>
      </w:pPr>
      <w:r>
        <w:rPr>
          <w:szCs w:val="20"/>
        </w:rPr>
        <w:t xml:space="preserve">Noting the </w:t>
      </w:r>
      <w:proofErr w:type="spellStart"/>
      <w:r>
        <w:rPr>
          <w:szCs w:val="20"/>
        </w:rPr>
        <w:t>STP</w:t>
      </w:r>
      <w:proofErr w:type="spellEnd"/>
      <w:r>
        <w:rPr>
          <w:szCs w:val="20"/>
        </w:rPr>
        <w:t xml:space="preserve"> is currently being reviewed, c</w:t>
      </w:r>
      <w:r w:rsidR="00F05F7D" w:rsidRPr="005D20E0">
        <w:rPr>
          <w:szCs w:val="20"/>
        </w:rPr>
        <w:t>onsider</w:t>
      </w:r>
      <w:r w:rsidR="00480D07" w:rsidRPr="005D20E0">
        <w:rPr>
          <w:szCs w:val="20"/>
        </w:rPr>
        <w:t xml:space="preserve"> </w:t>
      </w:r>
      <w:r w:rsidR="005E1758">
        <w:rPr>
          <w:szCs w:val="20"/>
        </w:rPr>
        <w:t xml:space="preserve">support </w:t>
      </w:r>
      <w:r w:rsidR="00480D07" w:rsidRPr="005D20E0">
        <w:rPr>
          <w:szCs w:val="20"/>
        </w:rPr>
        <w:t>projects to e</w:t>
      </w:r>
      <w:r w:rsidR="00EC291F" w:rsidRPr="005D20E0">
        <w:rPr>
          <w:szCs w:val="20"/>
        </w:rPr>
        <w:t xml:space="preserve">nsure adequate </w:t>
      </w:r>
      <w:r w:rsidR="005E1758">
        <w:rPr>
          <w:szCs w:val="20"/>
        </w:rPr>
        <w:t xml:space="preserve">distribution, </w:t>
      </w:r>
      <w:r w:rsidR="00EC291F" w:rsidRPr="005D20E0">
        <w:rPr>
          <w:szCs w:val="20"/>
        </w:rPr>
        <w:t xml:space="preserve">recruitment, retention, professional development and job satisfaction </w:t>
      </w:r>
      <w:r w:rsidR="005D20E0">
        <w:rPr>
          <w:szCs w:val="20"/>
        </w:rPr>
        <w:t>that</w:t>
      </w:r>
      <w:r w:rsidR="005D20E0" w:rsidRPr="005D20E0">
        <w:rPr>
          <w:szCs w:val="20"/>
        </w:rPr>
        <w:t xml:space="preserve"> </w:t>
      </w:r>
      <w:r w:rsidR="00EC291F" w:rsidRPr="005D20E0">
        <w:rPr>
          <w:szCs w:val="20"/>
        </w:rPr>
        <w:t>build on the projects already under</w:t>
      </w:r>
      <w:r w:rsidR="00301C47" w:rsidRPr="005D20E0">
        <w:rPr>
          <w:szCs w:val="20"/>
        </w:rPr>
        <w:t xml:space="preserve"> </w:t>
      </w:r>
      <w:r w:rsidR="005D20E0">
        <w:rPr>
          <w:szCs w:val="20"/>
        </w:rPr>
        <w:t xml:space="preserve">the </w:t>
      </w:r>
      <w:proofErr w:type="spellStart"/>
      <w:r w:rsidR="00301C47" w:rsidRPr="005D20E0">
        <w:rPr>
          <w:szCs w:val="20"/>
        </w:rPr>
        <w:t>STP</w:t>
      </w:r>
      <w:proofErr w:type="spellEnd"/>
      <w:r w:rsidR="00EC291F" w:rsidRPr="005D20E0">
        <w:rPr>
          <w:szCs w:val="20"/>
        </w:rPr>
        <w:t xml:space="preserve">, </w:t>
      </w:r>
      <w:r>
        <w:rPr>
          <w:szCs w:val="20"/>
        </w:rPr>
        <w:t>including</w:t>
      </w:r>
      <w:r w:rsidR="00EC291F" w:rsidRPr="005D20E0">
        <w:rPr>
          <w:szCs w:val="20"/>
        </w:rPr>
        <w:t>:</w:t>
      </w:r>
    </w:p>
    <w:p w:rsidR="005E1758" w:rsidRDefault="005E1758" w:rsidP="00D510F1">
      <w:pPr>
        <w:pStyle w:val="ListParagraph"/>
        <w:numPr>
          <w:ilvl w:val="1"/>
          <w:numId w:val="27"/>
        </w:numPr>
        <w:spacing w:before="120" w:after="120"/>
        <w:ind w:left="851" w:hanging="425"/>
        <w:rPr>
          <w:szCs w:val="22"/>
        </w:rPr>
      </w:pPr>
      <w:r>
        <w:rPr>
          <w:szCs w:val="22"/>
        </w:rPr>
        <w:lastRenderedPageBreak/>
        <w:t>provide additional support for rural areas, for example piloting remote supervision models, the expansion of rural webinars, practice visits, networking, mentoring, peer support groups, supervisor access, and grants for educational support;</w:t>
      </w:r>
    </w:p>
    <w:p w:rsidR="00EB6FFE" w:rsidRDefault="005E1758" w:rsidP="00D510F1">
      <w:pPr>
        <w:pStyle w:val="ListParagraph"/>
        <w:numPr>
          <w:ilvl w:val="1"/>
          <w:numId w:val="27"/>
        </w:numPr>
        <w:spacing w:before="120" w:after="120"/>
        <w:ind w:left="851" w:hanging="425"/>
        <w:rPr>
          <w:szCs w:val="22"/>
        </w:rPr>
      </w:pPr>
      <w:r>
        <w:rPr>
          <w:szCs w:val="22"/>
        </w:rPr>
        <w:t>i</w:t>
      </w:r>
      <w:r w:rsidRPr="00F05F7D">
        <w:rPr>
          <w:szCs w:val="22"/>
        </w:rPr>
        <w:t>nvestigate the options for the expansion of further online learning material for training and professional development of psychiatrists</w:t>
      </w:r>
      <w:r>
        <w:rPr>
          <w:szCs w:val="22"/>
        </w:rPr>
        <w:t xml:space="preserve">; </w:t>
      </w:r>
      <w:r w:rsidR="0070228C">
        <w:rPr>
          <w:szCs w:val="22"/>
        </w:rPr>
        <w:t>improve recruitment into psychiatry projects;</w:t>
      </w:r>
      <w:r w:rsidR="00EB6FFE">
        <w:rPr>
          <w:szCs w:val="22"/>
        </w:rPr>
        <w:t xml:space="preserve"> </w:t>
      </w:r>
    </w:p>
    <w:p w:rsidR="005E1758" w:rsidRDefault="005E1758" w:rsidP="00D510F1">
      <w:pPr>
        <w:pStyle w:val="ListParagraph"/>
        <w:numPr>
          <w:ilvl w:val="1"/>
          <w:numId w:val="27"/>
        </w:numPr>
        <w:spacing w:before="120" w:after="120"/>
        <w:ind w:left="851" w:hanging="425"/>
        <w:rPr>
          <w:szCs w:val="22"/>
        </w:rPr>
      </w:pPr>
      <w:r>
        <w:rPr>
          <w:szCs w:val="22"/>
        </w:rPr>
        <w:t>o</w:t>
      </w:r>
      <w:r w:rsidRPr="00C7490F">
        <w:rPr>
          <w:szCs w:val="22"/>
        </w:rPr>
        <w:t>ptions for improving the quality and collection of data to assist with monitoring training demand and distribution of future training posts</w:t>
      </w:r>
      <w:r>
        <w:rPr>
          <w:szCs w:val="22"/>
        </w:rPr>
        <w:t xml:space="preserve">; </w:t>
      </w:r>
    </w:p>
    <w:p w:rsidR="005E1758" w:rsidRDefault="005E1758" w:rsidP="00D510F1">
      <w:pPr>
        <w:pStyle w:val="ListParagraph"/>
        <w:numPr>
          <w:ilvl w:val="1"/>
          <w:numId w:val="27"/>
        </w:numPr>
        <w:spacing w:before="120" w:after="120"/>
        <w:ind w:left="851" w:hanging="425"/>
        <w:rPr>
          <w:szCs w:val="22"/>
        </w:rPr>
      </w:pPr>
      <w:r>
        <w:rPr>
          <w:szCs w:val="22"/>
        </w:rPr>
        <w:t xml:space="preserve">improve recruitment into psychiatry projects; </w:t>
      </w:r>
    </w:p>
    <w:p w:rsidR="005E1758" w:rsidRDefault="005E1758" w:rsidP="00D510F1">
      <w:pPr>
        <w:pStyle w:val="ListParagraph"/>
        <w:numPr>
          <w:ilvl w:val="1"/>
          <w:numId w:val="27"/>
        </w:numPr>
        <w:spacing w:before="120" w:after="120"/>
        <w:ind w:left="851" w:hanging="425"/>
        <w:rPr>
          <w:szCs w:val="22"/>
        </w:rPr>
      </w:pPr>
      <w:r>
        <w:rPr>
          <w:szCs w:val="22"/>
        </w:rPr>
        <w:t>the college to i</w:t>
      </w:r>
      <w:r w:rsidRPr="00F05F7D">
        <w:rPr>
          <w:szCs w:val="22"/>
        </w:rPr>
        <w:t>nvestigate the expansion of mentoring and coaching to provide one-on-one support for trainees on the pathway to Fellowship</w:t>
      </w:r>
      <w:r>
        <w:rPr>
          <w:szCs w:val="22"/>
        </w:rPr>
        <w:t>; and</w:t>
      </w:r>
    </w:p>
    <w:p w:rsidR="00362AC0" w:rsidRDefault="00BC3482" w:rsidP="00D510F1">
      <w:pPr>
        <w:pStyle w:val="ListParagraph"/>
        <w:numPr>
          <w:ilvl w:val="1"/>
          <w:numId w:val="27"/>
        </w:numPr>
        <w:spacing w:before="120" w:after="120"/>
        <w:ind w:left="851" w:hanging="425"/>
        <w:rPr>
          <w:szCs w:val="22"/>
        </w:rPr>
      </w:pPr>
      <w:proofErr w:type="gramStart"/>
      <w:r>
        <w:rPr>
          <w:szCs w:val="22"/>
        </w:rPr>
        <w:t>t</w:t>
      </w:r>
      <w:r w:rsidR="0070228C">
        <w:rPr>
          <w:szCs w:val="22"/>
        </w:rPr>
        <w:t>he</w:t>
      </w:r>
      <w:proofErr w:type="gramEnd"/>
      <w:r w:rsidR="0070228C">
        <w:rPr>
          <w:szCs w:val="22"/>
        </w:rPr>
        <w:t xml:space="preserve"> college to continue to expand upon the current Psychiatry Interest Forum (</w:t>
      </w:r>
      <w:proofErr w:type="spellStart"/>
      <w:r w:rsidR="0070228C">
        <w:rPr>
          <w:szCs w:val="22"/>
        </w:rPr>
        <w:t>PIF</w:t>
      </w:r>
      <w:proofErr w:type="spellEnd"/>
      <w:r w:rsidR="0070228C">
        <w:rPr>
          <w:szCs w:val="22"/>
        </w:rPr>
        <w:t>) membership to include additional medical students and junior doctors</w:t>
      </w:r>
      <w:r w:rsidR="005E1758">
        <w:rPr>
          <w:szCs w:val="22"/>
        </w:rPr>
        <w:t>.</w:t>
      </w:r>
    </w:p>
    <w:p w:rsidR="0070228C" w:rsidRPr="00282A93" w:rsidRDefault="0070228C" w:rsidP="005C57F8"/>
    <w:p w:rsidR="00807ADA" w:rsidRPr="00282A93" w:rsidRDefault="00807ADA" w:rsidP="00D510F1">
      <w:pPr>
        <w:pStyle w:val="ListParagraph"/>
        <w:numPr>
          <w:ilvl w:val="0"/>
          <w:numId w:val="9"/>
        </w:numPr>
        <w:spacing w:before="120" w:after="120"/>
        <w:rPr>
          <w:szCs w:val="22"/>
        </w:rPr>
      </w:pPr>
      <w:r w:rsidRPr="00282A93">
        <w:rPr>
          <w:rFonts w:eastAsia="Calibri"/>
        </w:rPr>
        <w:br w:type="page"/>
      </w:r>
    </w:p>
    <w:p w:rsidR="003255E2" w:rsidRPr="00021E21" w:rsidRDefault="00CE1828" w:rsidP="00024EE6">
      <w:pPr>
        <w:pStyle w:val="Heading2"/>
      </w:pPr>
      <w:bookmarkStart w:id="13" w:name="_Toc445986940"/>
      <w:r w:rsidRPr="00021E21">
        <w:lastRenderedPageBreak/>
        <w:t>Overview</w:t>
      </w:r>
      <w:bookmarkEnd w:id="13"/>
    </w:p>
    <w:p w:rsidR="00EF0087" w:rsidRPr="00A60312" w:rsidRDefault="00BA5619" w:rsidP="00EF0087">
      <w:pPr>
        <w:widowControl w:val="0"/>
      </w:pPr>
      <w:r w:rsidRPr="00EF0087">
        <w:rPr>
          <w:szCs w:val="20"/>
        </w:rPr>
        <w:t xml:space="preserve">The </w:t>
      </w:r>
      <w:r w:rsidRPr="00EF0087">
        <w:rPr>
          <w:rFonts w:eastAsia="Calibri"/>
          <w:szCs w:val="20"/>
        </w:rPr>
        <w:t>Australia’s Future Health Workforce – Doctors (</w:t>
      </w:r>
      <w:proofErr w:type="spellStart"/>
      <w:r w:rsidRPr="00EF0087">
        <w:rPr>
          <w:rFonts w:eastAsia="Calibri"/>
          <w:szCs w:val="20"/>
        </w:rPr>
        <w:t>AFHW</w:t>
      </w:r>
      <w:proofErr w:type="spellEnd"/>
      <w:r w:rsidRPr="00EF0087">
        <w:rPr>
          <w:rFonts w:eastAsia="Calibri"/>
          <w:szCs w:val="20"/>
        </w:rPr>
        <w:t xml:space="preserve"> - Doctors)</w:t>
      </w:r>
      <w:r w:rsidR="00021347">
        <w:rPr>
          <w:rFonts w:eastAsia="Calibri"/>
          <w:szCs w:val="20"/>
        </w:rPr>
        <w:t xml:space="preserve"> report</w:t>
      </w:r>
      <w:r w:rsidRPr="00EF0087">
        <w:rPr>
          <w:rFonts w:eastAsia="Calibri"/>
          <w:szCs w:val="20"/>
        </w:rPr>
        <w:t xml:space="preserve"> </w:t>
      </w:r>
      <w:r w:rsidR="00D54429" w:rsidRPr="00EF0087">
        <w:rPr>
          <w:rFonts w:eastAsia="Calibri"/>
          <w:szCs w:val="20"/>
        </w:rPr>
        <w:t xml:space="preserve">published in December 2014 </w:t>
      </w:r>
      <w:r w:rsidR="00D54429" w:rsidRPr="00EF0087">
        <w:rPr>
          <w:szCs w:val="20"/>
        </w:rPr>
        <w:t>indicated that</w:t>
      </w:r>
      <w:r w:rsidRPr="00EF0087">
        <w:rPr>
          <w:szCs w:val="20"/>
          <w:lang w:val="en-US"/>
        </w:rPr>
        <w:t xml:space="preserve"> Australia’s health workforce is under pressure and must undergo significant transformation to meet </w:t>
      </w:r>
      <w:r w:rsidR="00E21102">
        <w:rPr>
          <w:szCs w:val="20"/>
          <w:lang w:val="en-US"/>
        </w:rPr>
        <w:t>future</w:t>
      </w:r>
      <w:r w:rsidR="00E21102" w:rsidRPr="00EF0087">
        <w:rPr>
          <w:szCs w:val="20"/>
          <w:lang w:val="en-US"/>
        </w:rPr>
        <w:t xml:space="preserve"> </w:t>
      </w:r>
      <w:r w:rsidRPr="00EF0087">
        <w:rPr>
          <w:szCs w:val="20"/>
          <w:lang w:val="en-US"/>
        </w:rPr>
        <w:t>demands for healthcare</w:t>
      </w:r>
      <w:r w:rsidRPr="00EF0087">
        <w:rPr>
          <w:lang w:val="en-US"/>
        </w:rPr>
        <w:t>.</w:t>
      </w:r>
    </w:p>
    <w:p w:rsidR="00BA5619" w:rsidRPr="0090788F" w:rsidRDefault="00EF0087" w:rsidP="00EF0087">
      <w:pPr>
        <w:spacing w:before="120" w:after="120"/>
        <w:rPr>
          <w:lang w:val="en-US"/>
        </w:rPr>
      </w:pPr>
      <w:r w:rsidRPr="00A60312">
        <w:t>Despite the projected overall position of oversupply, imbalances within the medical specialty workforces currently exist and are projected to continue</w:t>
      </w:r>
      <w:r w:rsidR="00021347">
        <w:t>.</w:t>
      </w:r>
      <w:r w:rsidR="00BA5619" w:rsidRPr="0090788F">
        <w:rPr>
          <w:lang w:val="en-US"/>
        </w:rPr>
        <w:t xml:space="preserve"> </w:t>
      </w:r>
    </w:p>
    <w:p w:rsidR="00BA5619" w:rsidRPr="00247A87" w:rsidRDefault="00BA5619" w:rsidP="00EF0087">
      <w:pPr>
        <w:spacing w:before="120" w:after="120"/>
        <w:rPr>
          <w:szCs w:val="22"/>
        </w:rPr>
      </w:pPr>
      <w:r w:rsidRPr="00247A87">
        <w:rPr>
          <w:szCs w:val="22"/>
          <w:lang w:val="en-US"/>
        </w:rPr>
        <w:t xml:space="preserve">The medical workforce </w:t>
      </w:r>
      <w:r w:rsidRPr="00247A87">
        <w:rPr>
          <w:szCs w:val="22"/>
        </w:rPr>
        <w:t>is a national resource; a resource that is valuable to the community both in terms of the cost of training, which is substantially borne by the taxpayer, and in terms of the benefit derived by the community from a well-trained health workforce.</w:t>
      </w:r>
    </w:p>
    <w:p w:rsidR="00BA5619" w:rsidRPr="00247A87" w:rsidRDefault="00E21102" w:rsidP="00EF0087">
      <w:pPr>
        <w:spacing w:before="120" w:after="120"/>
        <w:rPr>
          <w:szCs w:val="22"/>
        </w:rPr>
      </w:pPr>
      <w:r>
        <w:rPr>
          <w:szCs w:val="22"/>
        </w:rPr>
        <w:t>In the past, u</w:t>
      </w:r>
      <w:r w:rsidR="00BA5619" w:rsidRPr="00247A87">
        <w:rPr>
          <w:szCs w:val="22"/>
        </w:rPr>
        <w:t>ncoordinated decision making in the absence of an active workforce planning mechanism has seen a “boom and bust” cycle in medical training and resulting doctor numbers. This has a cost to the community.</w:t>
      </w:r>
    </w:p>
    <w:p w:rsidR="00BA5619" w:rsidRPr="00247A87" w:rsidRDefault="00BA5619" w:rsidP="00EF0087">
      <w:pPr>
        <w:spacing w:before="120" w:after="120"/>
        <w:rPr>
          <w:szCs w:val="22"/>
        </w:rPr>
      </w:pPr>
      <w:r w:rsidRPr="00247A87">
        <w:rPr>
          <w:bCs/>
          <w:szCs w:val="22"/>
        </w:rPr>
        <w:t xml:space="preserve">The </w:t>
      </w:r>
      <w:proofErr w:type="spellStart"/>
      <w:r w:rsidR="00A33A03" w:rsidRPr="00247A87">
        <w:rPr>
          <w:rFonts w:eastAsia="Calibri"/>
          <w:szCs w:val="22"/>
        </w:rPr>
        <w:t>AFHW</w:t>
      </w:r>
      <w:proofErr w:type="spellEnd"/>
      <w:r w:rsidR="00A33A03" w:rsidRPr="00247A87">
        <w:rPr>
          <w:rFonts w:eastAsia="Calibri"/>
          <w:szCs w:val="22"/>
        </w:rPr>
        <w:t xml:space="preserve"> - Doctors</w:t>
      </w:r>
      <w:r w:rsidR="00A33A03" w:rsidRPr="00247A87">
        <w:rPr>
          <w:bCs/>
          <w:szCs w:val="22"/>
        </w:rPr>
        <w:t xml:space="preserve"> </w:t>
      </w:r>
      <w:r w:rsidRPr="00247A87">
        <w:rPr>
          <w:bCs/>
          <w:szCs w:val="22"/>
        </w:rPr>
        <w:t xml:space="preserve">report shows there are three key factors that underpin the importance of national workforce planning for doctors. First, there is an immediate need to deal with the significant increase in domestic medical students that has occurred over the last ten years. This presents an opportunity to </w:t>
      </w:r>
      <w:r w:rsidR="00081952">
        <w:rPr>
          <w:bCs/>
          <w:szCs w:val="22"/>
        </w:rPr>
        <w:t>influence further training for</w:t>
      </w:r>
      <w:r w:rsidRPr="00247A87">
        <w:rPr>
          <w:bCs/>
          <w:szCs w:val="22"/>
        </w:rPr>
        <w:t xml:space="preserve"> medical students</w:t>
      </w:r>
      <w:r w:rsidR="00081952">
        <w:rPr>
          <w:bCs/>
          <w:szCs w:val="22"/>
        </w:rPr>
        <w:t>, to encourage</w:t>
      </w:r>
      <w:r w:rsidRPr="00247A87">
        <w:rPr>
          <w:bCs/>
          <w:szCs w:val="22"/>
        </w:rPr>
        <w:t xml:space="preserve"> doctors </w:t>
      </w:r>
      <w:r w:rsidR="00081952">
        <w:rPr>
          <w:bCs/>
          <w:szCs w:val="22"/>
        </w:rPr>
        <w:t>to move into the</w:t>
      </w:r>
      <w:r w:rsidRPr="00247A87">
        <w:rPr>
          <w:bCs/>
          <w:szCs w:val="22"/>
        </w:rPr>
        <w:t xml:space="preserve"> locations and specialties that will be </w:t>
      </w:r>
      <w:r w:rsidRPr="00247A87">
        <w:rPr>
          <w:szCs w:val="22"/>
        </w:rPr>
        <w:t xml:space="preserve">needed in the future. </w:t>
      </w:r>
    </w:p>
    <w:p w:rsidR="00BA5619" w:rsidRPr="00247A87" w:rsidRDefault="00BA5619" w:rsidP="00EF0087">
      <w:pPr>
        <w:spacing w:before="120" w:after="120"/>
        <w:rPr>
          <w:szCs w:val="22"/>
        </w:rPr>
      </w:pPr>
      <w:r w:rsidRPr="00247A87">
        <w:rPr>
          <w:szCs w:val="22"/>
        </w:rPr>
        <w:t>Second, due to the age demographic of the medical workforce, a huge number of doctors will retire from 2025. The length of time it takes to train a doctor means that short term changes in training levels are not an effective response to short term imbalances between supply and demand. This re-enforces the need to plan over a medium term time horizon and to minimise short term movements in medical intakes, which could be better dealt with using temporary migration.</w:t>
      </w:r>
    </w:p>
    <w:p w:rsidR="00BA5619" w:rsidRPr="00247A87" w:rsidRDefault="00BA5619" w:rsidP="00EF0087">
      <w:pPr>
        <w:spacing w:before="120" w:after="120"/>
        <w:rPr>
          <w:szCs w:val="22"/>
        </w:rPr>
      </w:pPr>
      <w:r w:rsidRPr="00247A87">
        <w:rPr>
          <w:szCs w:val="22"/>
        </w:rPr>
        <w:t xml:space="preserve">Third, the report states there is </w:t>
      </w:r>
      <w:r w:rsidR="00E21102">
        <w:rPr>
          <w:szCs w:val="22"/>
        </w:rPr>
        <w:t>a</w:t>
      </w:r>
      <w:r w:rsidR="00E21102" w:rsidRPr="00247A87">
        <w:rPr>
          <w:szCs w:val="22"/>
        </w:rPr>
        <w:t xml:space="preserve"> </w:t>
      </w:r>
      <w:r w:rsidRPr="00247A87">
        <w:rPr>
          <w:szCs w:val="22"/>
        </w:rPr>
        <w:t>lack of coordination across the medical training pipeline</w:t>
      </w:r>
      <w:r w:rsidR="00E21102">
        <w:rPr>
          <w:szCs w:val="22"/>
        </w:rPr>
        <w:t>. B</w:t>
      </w:r>
      <w:r w:rsidRPr="00247A87">
        <w:rPr>
          <w:szCs w:val="22"/>
        </w:rPr>
        <w:t>etween governments, universities, medical colleges and the various employers of doctors</w:t>
      </w:r>
      <w:r w:rsidR="00E21102">
        <w:rPr>
          <w:szCs w:val="22"/>
        </w:rPr>
        <w:t>,</w:t>
      </w:r>
      <w:r w:rsidRPr="00247A87">
        <w:rPr>
          <w:szCs w:val="22"/>
        </w:rPr>
        <w:t xml:space="preserve"> there are hundreds of individuals making decisions on how many doctors and what type of doctors are trained in Australia. Ensuring these individual decisions are aligned to what Australia needs from doctors in the future is essential. </w:t>
      </w:r>
    </w:p>
    <w:p w:rsidR="00BA5619" w:rsidRPr="00247A87" w:rsidRDefault="00BA5619" w:rsidP="00EF0087">
      <w:pPr>
        <w:spacing w:before="120" w:after="120"/>
        <w:rPr>
          <w:szCs w:val="22"/>
        </w:rPr>
      </w:pPr>
      <w:r w:rsidRPr="00247A87">
        <w:rPr>
          <w:szCs w:val="22"/>
        </w:rPr>
        <w:t xml:space="preserve">The development of the </w:t>
      </w:r>
      <w:proofErr w:type="spellStart"/>
      <w:r w:rsidR="00E21102">
        <w:rPr>
          <w:szCs w:val="22"/>
        </w:rPr>
        <w:t>AFHW</w:t>
      </w:r>
      <w:proofErr w:type="spellEnd"/>
      <w:r w:rsidR="00E21102">
        <w:rPr>
          <w:szCs w:val="22"/>
        </w:rPr>
        <w:t xml:space="preserve"> – Doctors </w:t>
      </w:r>
      <w:r w:rsidRPr="00247A87">
        <w:rPr>
          <w:szCs w:val="22"/>
        </w:rPr>
        <w:t>report was guided by the expert input of the National Medical Training Advisory Network (</w:t>
      </w:r>
      <w:proofErr w:type="spellStart"/>
      <w:r w:rsidRPr="00247A87">
        <w:rPr>
          <w:szCs w:val="22"/>
        </w:rPr>
        <w:t>NMTAN</w:t>
      </w:r>
      <w:proofErr w:type="spellEnd"/>
      <w:r w:rsidRPr="00247A87">
        <w:rPr>
          <w:szCs w:val="22"/>
        </w:rPr>
        <w:t>) that has representation from all the key stakeholder groups in medical education, training and employment.</w:t>
      </w:r>
    </w:p>
    <w:p w:rsidR="00BA5619" w:rsidRPr="00247A87" w:rsidRDefault="00BA5619" w:rsidP="00247A87">
      <w:pPr>
        <w:spacing w:before="120" w:after="120"/>
        <w:rPr>
          <w:szCs w:val="22"/>
        </w:rPr>
      </w:pPr>
      <w:r w:rsidRPr="00247A87">
        <w:rPr>
          <w:szCs w:val="22"/>
        </w:rPr>
        <w:t>The report makes recommendations for future work including</w:t>
      </w:r>
      <w:r w:rsidR="00E21102">
        <w:rPr>
          <w:szCs w:val="22"/>
        </w:rPr>
        <w:t>:</w:t>
      </w:r>
    </w:p>
    <w:p w:rsidR="00BA5619" w:rsidRPr="00247A87" w:rsidRDefault="00BA5619" w:rsidP="00D510F1">
      <w:pPr>
        <w:numPr>
          <w:ilvl w:val="0"/>
          <w:numId w:val="3"/>
        </w:numPr>
        <w:spacing w:before="120" w:after="120"/>
        <w:ind w:left="426" w:hanging="426"/>
        <w:rPr>
          <w:szCs w:val="22"/>
        </w:rPr>
      </w:pPr>
      <w:r w:rsidRPr="00247A87">
        <w:rPr>
          <w:szCs w:val="22"/>
        </w:rPr>
        <w:t>updates to the workforce modelling results to determine requirements for future adjustments</w:t>
      </w:r>
      <w:r w:rsidR="003745D1">
        <w:rPr>
          <w:szCs w:val="22"/>
        </w:rPr>
        <w:t xml:space="preserve"> every two years</w:t>
      </w:r>
      <w:r w:rsidR="00E21102">
        <w:rPr>
          <w:szCs w:val="22"/>
        </w:rPr>
        <w:t>; and</w:t>
      </w:r>
    </w:p>
    <w:p w:rsidR="00BA5619" w:rsidRPr="00247A87" w:rsidRDefault="00E21102" w:rsidP="00D510F1">
      <w:pPr>
        <w:numPr>
          <w:ilvl w:val="0"/>
          <w:numId w:val="3"/>
        </w:numPr>
        <w:spacing w:before="120" w:after="120"/>
        <w:ind w:left="426" w:hanging="426"/>
        <w:rPr>
          <w:szCs w:val="22"/>
        </w:rPr>
      </w:pPr>
      <w:proofErr w:type="gramStart"/>
      <w:r>
        <w:rPr>
          <w:szCs w:val="22"/>
        </w:rPr>
        <w:t>p</w:t>
      </w:r>
      <w:r w:rsidRPr="00247A87">
        <w:rPr>
          <w:szCs w:val="22"/>
        </w:rPr>
        <w:t>rioritisation</w:t>
      </w:r>
      <w:proofErr w:type="gramEnd"/>
      <w:r w:rsidRPr="00247A87">
        <w:rPr>
          <w:szCs w:val="22"/>
        </w:rPr>
        <w:t xml:space="preserve"> </w:t>
      </w:r>
      <w:r w:rsidR="00BA5619" w:rsidRPr="00247A87">
        <w:rPr>
          <w:szCs w:val="22"/>
        </w:rPr>
        <w:t>of future policy work to gain a better understanding of the prevocational years and overall capacity for and distribution of vocational medical training.</w:t>
      </w:r>
    </w:p>
    <w:p w:rsidR="00CE1828" w:rsidRPr="00AA0A42" w:rsidRDefault="00CE1828" w:rsidP="00B831A8">
      <w:pPr>
        <w:pStyle w:val="Heading3"/>
      </w:pPr>
      <w:bookmarkStart w:id="14" w:name="_Toc445986941"/>
      <w:r w:rsidRPr="00AA0A42">
        <w:t>Background</w:t>
      </w:r>
      <w:bookmarkEnd w:id="14"/>
    </w:p>
    <w:p w:rsidR="00CE1828" w:rsidRPr="002E6CA0" w:rsidRDefault="00CE1828" w:rsidP="00EF0087">
      <w:pPr>
        <w:spacing w:before="120" w:after="120"/>
        <w:rPr>
          <w:szCs w:val="22"/>
        </w:rPr>
      </w:pPr>
      <w:r w:rsidRPr="002E6CA0">
        <w:rPr>
          <w:szCs w:val="22"/>
        </w:rPr>
        <w:t xml:space="preserve">The establishment of the </w:t>
      </w:r>
      <w:proofErr w:type="spellStart"/>
      <w:r w:rsidRPr="002E6CA0">
        <w:rPr>
          <w:szCs w:val="22"/>
        </w:rPr>
        <w:t>NMTAN</w:t>
      </w:r>
      <w:proofErr w:type="spellEnd"/>
      <w:r w:rsidRPr="002E6CA0">
        <w:rPr>
          <w:szCs w:val="22"/>
        </w:rPr>
        <w:t xml:space="preserve"> was approved on 10 August 2012 by the then Standing Council on Health (</w:t>
      </w:r>
      <w:proofErr w:type="spellStart"/>
      <w:r w:rsidRPr="002E6CA0">
        <w:rPr>
          <w:szCs w:val="22"/>
        </w:rPr>
        <w:t>SCOH</w:t>
      </w:r>
      <w:proofErr w:type="spellEnd"/>
      <w:r w:rsidRPr="002E6CA0">
        <w:rPr>
          <w:szCs w:val="22"/>
        </w:rPr>
        <w:t xml:space="preserve">) as a mechanism to enable a nationally </w:t>
      </w:r>
      <w:r w:rsidR="00081952">
        <w:rPr>
          <w:szCs w:val="22"/>
        </w:rPr>
        <w:t>coordinated</w:t>
      </w:r>
      <w:r w:rsidR="00081952" w:rsidRPr="002E6CA0">
        <w:rPr>
          <w:szCs w:val="22"/>
        </w:rPr>
        <w:t xml:space="preserve"> </w:t>
      </w:r>
      <w:r w:rsidRPr="002E6CA0">
        <w:rPr>
          <w:szCs w:val="22"/>
        </w:rPr>
        <w:t xml:space="preserve">medical training system in Australia. The </w:t>
      </w:r>
      <w:proofErr w:type="spellStart"/>
      <w:r w:rsidRPr="002E6CA0">
        <w:rPr>
          <w:szCs w:val="22"/>
        </w:rPr>
        <w:t>NMTAN</w:t>
      </w:r>
      <w:proofErr w:type="spellEnd"/>
      <w:r w:rsidRPr="002E6CA0">
        <w:rPr>
          <w:szCs w:val="22"/>
        </w:rPr>
        <w:t xml:space="preserve"> was established under the auspices of the former Health Workforce Australia </w:t>
      </w:r>
      <w:r w:rsidR="003745D1">
        <w:rPr>
          <w:szCs w:val="22"/>
        </w:rPr>
        <w:t>(</w:t>
      </w:r>
      <w:proofErr w:type="spellStart"/>
      <w:r w:rsidR="003745D1">
        <w:rPr>
          <w:szCs w:val="22"/>
        </w:rPr>
        <w:t>HWA</w:t>
      </w:r>
      <w:proofErr w:type="spellEnd"/>
      <w:r w:rsidR="003745D1">
        <w:rPr>
          <w:szCs w:val="22"/>
        </w:rPr>
        <w:t xml:space="preserve">) </w:t>
      </w:r>
      <w:r w:rsidRPr="002E6CA0">
        <w:rPr>
          <w:szCs w:val="22"/>
        </w:rPr>
        <w:t xml:space="preserve">and held its first meeting in February 2014. Since August 2014, </w:t>
      </w:r>
      <w:r w:rsidR="00081952">
        <w:rPr>
          <w:szCs w:val="22"/>
        </w:rPr>
        <w:t>support to</w:t>
      </w:r>
      <w:r w:rsidRPr="002E6CA0">
        <w:rPr>
          <w:szCs w:val="22"/>
        </w:rPr>
        <w:t xml:space="preserve"> the </w:t>
      </w:r>
      <w:proofErr w:type="spellStart"/>
      <w:r w:rsidRPr="002E6CA0">
        <w:rPr>
          <w:szCs w:val="22"/>
        </w:rPr>
        <w:t>NMTAN</w:t>
      </w:r>
      <w:proofErr w:type="spellEnd"/>
      <w:r w:rsidRPr="002E6CA0">
        <w:rPr>
          <w:szCs w:val="22"/>
        </w:rPr>
        <w:t xml:space="preserve"> </w:t>
      </w:r>
      <w:r w:rsidR="00081952">
        <w:rPr>
          <w:szCs w:val="22"/>
        </w:rPr>
        <w:t xml:space="preserve">has </w:t>
      </w:r>
      <w:r w:rsidR="003745D1">
        <w:rPr>
          <w:szCs w:val="22"/>
        </w:rPr>
        <w:t>been</w:t>
      </w:r>
      <w:r w:rsidR="003745D1" w:rsidRPr="002E6CA0">
        <w:rPr>
          <w:szCs w:val="22"/>
        </w:rPr>
        <w:t xml:space="preserve"> </w:t>
      </w:r>
      <w:r w:rsidR="00081952">
        <w:rPr>
          <w:szCs w:val="22"/>
        </w:rPr>
        <w:t>provided</w:t>
      </w:r>
      <w:r w:rsidR="00081952" w:rsidRPr="002E6CA0">
        <w:rPr>
          <w:szCs w:val="22"/>
        </w:rPr>
        <w:t xml:space="preserve"> </w:t>
      </w:r>
      <w:r w:rsidRPr="002E6CA0">
        <w:rPr>
          <w:szCs w:val="22"/>
        </w:rPr>
        <w:t>by the</w:t>
      </w:r>
      <w:r w:rsidR="003745D1">
        <w:rPr>
          <w:szCs w:val="22"/>
        </w:rPr>
        <w:t xml:space="preserve"> Commonwealth</w:t>
      </w:r>
      <w:r w:rsidRPr="002E6CA0">
        <w:rPr>
          <w:szCs w:val="22"/>
        </w:rPr>
        <w:t xml:space="preserve"> Department</w:t>
      </w:r>
      <w:r w:rsidR="003745D1">
        <w:rPr>
          <w:szCs w:val="22"/>
        </w:rPr>
        <w:t xml:space="preserve"> of Health</w:t>
      </w:r>
      <w:r w:rsidRPr="002E6CA0">
        <w:rPr>
          <w:szCs w:val="22"/>
        </w:rPr>
        <w:t>.</w:t>
      </w:r>
    </w:p>
    <w:p w:rsidR="00CE1828" w:rsidRPr="002E6CA0" w:rsidRDefault="00CE1828" w:rsidP="00EF0087">
      <w:pPr>
        <w:spacing w:before="120" w:after="120"/>
        <w:rPr>
          <w:szCs w:val="22"/>
        </w:rPr>
      </w:pPr>
      <w:r w:rsidRPr="002E6CA0">
        <w:rPr>
          <w:szCs w:val="22"/>
        </w:rPr>
        <w:t xml:space="preserve">The </w:t>
      </w:r>
      <w:proofErr w:type="spellStart"/>
      <w:r w:rsidRPr="002E6CA0">
        <w:rPr>
          <w:szCs w:val="22"/>
        </w:rPr>
        <w:t>NMTAN</w:t>
      </w:r>
      <w:proofErr w:type="spellEnd"/>
      <w:r w:rsidRPr="002E6CA0">
        <w:rPr>
          <w:szCs w:val="22"/>
        </w:rPr>
        <w:t xml:space="preserve"> provides guidance </w:t>
      </w:r>
      <w:r w:rsidR="00081952">
        <w:rPr>
          <w:szCs w:val="22"/>
        </w:rPr>
        <w:t>in</w:t>
      </w:r>
      <w:r w:rsidR="00081952" w:rsidRPr="002E6CA0">
        <w:rPr>
          <w:szCs w:val="22"/>
        </w:rPr>
        <w:t xml:space="preserve"> </w:t>
      </w:r>
      <w:r w:rsidRPr="002E6CA0">
        <w:rPr>
          <w:szCs w:val="22"/>
        </w:rPr>
        <w:t xml:space="preserve">the development of a series of medical training plans to inform government, health and education sectors. In addition, the </w:t>
      </w:r>
      <w:proofErr w:type="spellStart"/>
      <w:r w:rsidRPr="002E6CA0">
        <w:rPr>
          <w:szCs w:val="22"/>
        </w:rPr>
        <w:t>NMTAN</w:t>
      </w:r>
      <w:proofErr w:type="spellEnd"/>
      <w:r w:rsidRPr="002E6CA0">
        <w:rPr>
          <w:szCs w:val="22"/>
        </w:rPr>
        <w:t xml:space="preserve"> provide</w:t>
      </w:r>
      <w:r w:rsidR="003745D1">
        <w:rPr>
          <w:szCs w:val="22"/>
        </w:rPr>
        <w:t>s</w:t>
      </w:r>
      <w:r w:rsidRPr="002E6CA0">
        <w:rPr>
          <w:szCs w:val="22"/>
        </w:rPr>
        <w:t xml:space="preserve"> policy </w:t>
      </w:r>
      <w:r w:rsidRPr="002E6CA0">
        <w:rPr>
          <w:szCs w:val="22"/>
        </w:rPr>
        <w:lastRenderedPageBreak/>
        <w:t>advice about the planning and coordination of medical training in Australia, in collaboration with other networks involved in the medical training space.</w:t>
      </w:r>
    </w:p>
    <w:p w:rsidR="00CE1828" w:rsidRPr="002E6CA0" w:rsidRDefault="00CE1828" w:rsidP="00EF0087">
      <w:pPr>
        <w:spacing w:before="120" w:after="120"/>
        <w:rPr>
          <w:szCs w:val="22"/>
        </w:rPr>
      </w:pPr>
      <w:r w:rsidRPr="002E6CA0">
        <w:rPr>
          <w:szCs w:val="22"/>
        </w:rPr>
        <w:t xml:space="preserve">The </w:t>
      </w:r>
      <w:proofErr w:type="spellStart"/>
      <w:r w:rsidRPr="002E6CA0">
        <w:rPr>
          <w:szCs w:val="22"/>
        </w:rPr>
        <w:t>NMTAN</w:t>
      </w:r>
      <w:proofErr w:type="spellEnd"/>
      <w:r w:rsidRPr="002E6CA0">
        <w:rPr>
          <w:szCs w:val="22"/>
        </w:rPr>
        <w:t xml:space="preserve"> currently has three subcommittees that explore different aspects of medical training to inform future workforce planning</w:t>
      </w:r>
      <w:r w:rsidR="003745D1">
        <w:rPr>
          <w:szCs w:val="22"/>
        </w:rPr>
        <w:t>:</w:t>
      </w:r>
    </w:p>
    <w:p w:rsidR="00CE1828" w:rsidRPr="0090788F" w:rsidRDefault="003745D1" w:rsidP="00D510F1">
      <w:pPr>
        <w:numPr>
          <w:ilvl w:val="0"/>
          <w:numId w:val="3"/>
        </w:numPr>
        <w:spacing w:before="120" w:after="120"/>
        <w:ind w:left="426" w:hanging="426"/>
        <w:rPr>
          <w:szCs w:val="22"/>
        </w:rPr>
      </w:pPr>
      <w:proofErr w:type="gramStart"/>
      <w:r>
        <w:rPr>
          <w:szCs w:val="22"/>
        </w:rPr>
        <w:t>t</w:t>
      </w:r>
      <w:r w:rsidRPr="0090788F">
        <w:rPr>
          <w:szCs w:val="22"/>
        </w:rPr>
        <w:t>he</w:t>
      </w:r>
      <w:proofErr w:type="gramEnd"/>
      <w:r w:rsidRPr="0090788F">
        <w:rPr>
          <w:szCs w:val="22"/>
        </w:rPr>
        <w:t xml:space="preserve"> </w:t>
      </w:r>
      <w:r w:rsidR="00CE1828" w:rsidRPr="0090788F">
        <w:rPr>
          <w:szCs w:val="22"/>
        </w:rPr>
        <w:t xml:space="preserve">‘changing work with the increase in burden of chronic disease’ subcommittee examines the implications of the increasing incidence of chronic disease and increased delivery of chronic disease management in the primary care setting. Modelling of the medical workforce will be undertaken based on </w:t>
      </w:r>
      <w:r>
        <w:rPr>
          <w:szCs w:val="22"/>
        </w:rPr>
        <w:t>a number of</w:t>
      </w:r>
      <w:r w:rsidR="00CE1828" w:rsidRPr="0090788F">
        <w:rPr>
          <w:szCs w:val="22"/>
        </w:rPr>
        <w:t xml:space="preserve"> models of care. It is expected this wo</w:t>
      </w:r>
      <w:r>
        <w:rPr>
          <w:szCs w:val="22"/>
        </w:rPr>
        <w:t>r</w:t>
      </w:r>
      <w:r w:rsidR="00CE1828" w:rsidRPr="0090788F">
        <w:rPr>
          <w:szCs w:val="22"/>
        </w:rPr>
        <w:t>k wi</w:t>
      </w:r>
      <w:r w:rsidR="00247A87" w:rsidRPr="0090788F">
        <w:rPr>
          <w:szCs w:val="22"/>
        </w:rPr>
        <w:t xml:space="preserve">ll be completed </w:t>
      </w:r>
      <w:r>
        <w:rPr>
          <w:szCs w:val="22"/>
        </w:rPr>
        <w:t>in</w:t>
      </w:r>
      <w:r w:rsidRPr="0090788F">
        <w:rPr>
          <w:szCs w:val="22"/>
        </w:rPr>
        <w:t xml:space="preserve"> </w:t>
      </w:r>
      <w:r w:rsidR="00247A87" w:rsidRPr="0090788F">
        <w:rPr>
          <w:szCs w:val="22"/>
        </w:rPr>
        <w:t>2016</w:t>
      </w:r>
      <w:r>
        <w:rPr>
          <w:szCs w:val="22"/>
        </w:rPr>
        <w:t>;</w:t>
      </w:r>
    </w:p>
    <w:p w:rsidR="00CE1828" w:rsidRPr="0090788F" w:rsidRDefault="003745D1" w:rsidP="00D510F1">
      <w:pPr>
        <w:numPr>
          <w:ilvl w:val="0"/>
          <w:numId w:val="3"/>
        </w:numPr>
        <w:spacing w:before="120" w:after="120"/>
        <w:ind w:left="426" w:hanging="426"/>
        <w:rPr>
          <w:szCs w:val="22"/>
        </w:rPr>
      </w:pPr>
      <w:r>
        <w:rPr>
          <w:szCs w:val="22"/>
        </w:rPr>
        <w:t>t</w:t>
      </w:r>
      <w:r w:rsidRPr="0090788F">
        <w:rPr>
          <w:szCs w:val="22"/>
        </w:rPr>
        <w:t xml:space="preserve">he </w:t>
      </w:r>
      <w:r w:rsidR="00CE1828" w:rsidRPr="0090788F">
        <w:rPr>
          <w:szCs w:val="22"/>
        </w:rPr>
        <w:t>‘employment patterns and intentions of prevocational doctors’ subcommittee aims to improve the modelling undertaken for the prevocational years in medicine and use this improved modelling to better inform career planning for junior doctors. The subcommittee has developed an internal report that provides a snapshot of the existing prevocational doctor workforce in Australia. This information will be used to develop a series of fact sheets on each of the medical specialties, to be made available on the Department’s website. It is expected the factsheets will become available from June 2016</w:t>
      </w:r>
      <w:r>
        <w:rPr>
          <w:szCs w:val="22"/>
        </w:rPr>
        <w:t>; and</w:t>
      </w:r>
    </w:p>
    <w:p w:rsidR="00297E79" w:rsidRDefault="003745D1" w:rsidP="00D510F1">
      <w:pPr>
        <w:numPr>
          <w:ilvl w:val="0"/>
          <w:numId w:val="3"/>
        </w:numPr>
        <w:spacing w:before="120" w:after="120"/>
        <w:ind w:left="426" w:hanging="426"/>
        <w:rPr>
          <w:szCs w:val="22"/>
        </w:rPr>
      </w:pPr>
      <w:r>
        <w:rPr>
          <w:szCs w:val="22"/>
        </w:rPr>
        <w:t>t</w:t>
      </w:r>
      <w:r w:rsidRPr="0090788F">
        <w:rPr>
          <w:szCs w:val="22"/>
        </w:rPr>
        <w:t xml:space="preserve">he </w:t>
      </w:r>
      <w:r w:rsidR="00297E79" w:rsidRPr="0090788F">
        <w:rPr>
          <w:szCs w:val="22"/>
        </w:rPr>
        <w:t xml:space="preserve">‘capacity for and distribution of medical training’ subcommittee makes recommendations to the </w:t>
      </w:r>
      <w:proofErr w:type="spellStart"/>
      <w:r w:rsidR="00297E79" w:rsidRPr="0090788F">
        <w:rPr>
          <w:szCs w:val="22"/>
        </w:rPr>
        <w:t>NMTAN</w:t>
      </w:r>
      <w:proofErr w:type="spellEnd"/>
      <w:r w:rsidR="00297E79" w:rsidRPr="0090788F">
        <w:rPr>
          <w:szCs w:val="22"/>
        </w:rPr>
        <w:t xml:space="preserve"> Executive Committee on changes to policy and practices that could improve geographic distribution of medical training to produce the number and proportion </w:t>
      </w:r>
      <w:r>
        <w:rPr>
          <w:szCs w:val="22"/>
        </w:rPr>
        <w:t xml:space="preserve">of </w:t>
      </w:r>
      <w:r w:rsidR="00297E79" w:rsidRPr="0090788F">
        <w:rPr>
          <w:szCs w:val="22"/>
        </w:rPr>
        <w:t xml:space="preserve">medical specialists needed to provide specialist healthcare to Australians. </w:t>
      </w:r>
      <w:r w:rsidR="004C5072">
        <w:rPr>
          <w:szCs w:val="22"/>
        </w:rPr>
        <w:t>M</w:t>
      </w:r>
      <w:r w:rsidR="008262D4" w:rsidRPr="002E6CA0">
        <w:rPr>
          <w:szCs w:val="22"/>
        </w:rPr>
        <w:t xml:space="preserve">embers </w:t>
      </w:r>
      <w:r w:rsidR="004C5072">
        <w:rPr>
          <w:szCs w:val="22"/>
        </w:rPr>
        <w:t>have identified</w:t>
      </w:r>
      <w:r w:rsidR="008262D4" w:rsidRPr="002E6CA0">
        <w:rPr>
          <w:szCs w:val="22"/>
        </w:rPr>
        <w:t xml:space="preserve"> a priority list of specialties to be modelled</w:t>
      </w:r>
      <w:r w:rsidR="008262D4">
        <w:rPr>
          <w:szCs w:val="22"/>
        </w:rPr>
        <w:t>, with t</w:t>
      </w:r>
      <w:r w:rsidR="00297E79" w:rsidRPr="0090788F">
        <w:rPr>
          <w:szCs w:val="22"/>
        </w:rPr>
        <w:t xml:space="preserve">he focus initially on a small number of specialties seen to be at risk of workforce shortage </w:t>
      </w:r>
      <w:r w:rsidR="004C5072">
        <w:rPr>
          <w:szCs w:val="22"/>
        </w:rPr>
        <w:t xml:space="preserve">or oversupply, </w:t>
      </w:r>
      <w:r w:rsidR="00297E79" w:rsidRPr="0090788F">
        <w:rPr>
          <w:szCs w:val="22"/>
        </w:rPr>
        <w:t xml:space="preserve">and where there is capacity to address these issues with training. </w:t>
      </w:r>
    </w:p>
    <w:p w:rsidR="006D101F" w:rsidRPr="0090788F" w:rsidRDefault="006D101F" w:rsidP="001D6F53">
      <w:pPr>
        <w:spacing w:before="120" w:after="120"/>
        <w:rPr>
          <w:szCs w:val="22"/>
        </w:rPr>
      </w:pPr>
      <w:r>
        <w:rPr>
          <w:szCs w:val="22"/>
        </w:rPr>
        <w:t xml:space="preserve">In addition to the policy-focussed subcommittee, a fourth standing subcommittee – the data subcommittee – is responsible for the production of an annual report of medical education and training, including undergraduate, postgraduate and vocational training projects. The functions of this subcommittee were transferred from the Medical Training Review Panel to the </w:t>
      </w:r>
      <w:proofErr w:type="spellStart"/>
      <w:r>
        <w:rPr>
          <w:szCs w:val="22"/>
        </w:rPr>
        <w:t>NMTAN</w:t>
      </w:r>
      <w:proofErr w:type="spellEnd"/>
      <w:r>
        <w:rPr>
          <w:szCs w:val="22"/>
        </w:rPr>
        <w:t xml:space="preserve"> in 2015.</w:t>
      </w:r>
    </w:p>
    <w:p w:rsidR="00297E79" w:rsidRPr="002E6CA0" w:rsidRDefault="008262D4" w:rsidP="0090788F">
      <w:pPr>
        <w:spacing w:before="120" w:after="120"/>
        <w:rPr>
          <w:szCs w:val="22"/>
        </w:rPr>
      </w:pPr>
      <w:r>
        <w:rPr>
          <w:szCs w:val="22"/>
        </w:rPr>
        <w:t>This psychiatry paper is</w:t>
      </w:r>
      <w:r w:rsidR="00297E79" w:rsidRPr="002E6CA0">
        <w:rPr>
          <w:szCs w:val="22"/>
        </w:rPr>
        <w:t xml:space="preserve"> the first of the report</w:t>
      </w:r>
      <w:r>
        <w:rPr>
          <w:szCs w:val="22"/>
        </w:rPr>
        <w:t>s</w:t>
      </w:r>
      <w:r w:rsidR="00297E79" w:rsidRPr="002E6CA0">
        <w:rPr>
          <w:szCs w:val="22"/>
        </w:rPr>
        <w:t xml:space="preserve"> under the capacity and distribution subcommittee </w:t>
      </w:r>
      <w:r w:rsidR="00CE1828" w:rsidRPr="002E6CA0">
        <w:rPr>
          <w:szCs w:val="22"/>
        </w:rPr>
        <w:t>work</w:t>
      </w:r>
      <w:r>
        <w:rPr>
          <w:szCs w:val="22"/>
        </w:rPr>
        <w:t>. I</w:t>
      </w:r>
      <w:r w:rsidR="00297E79" w:rsidRPr="002E6CA0">
        <w:rPr>
          <w:szCs w:val="22"/>
        </w:rPr>
        <w:t>t involves</w:t>
      </w:r>
      <w:r w:rsidR="00CE1828" w:rsidRPr="002E6CA0">
        <w:rPr>
          <w:szCs w:val="22"/>
        </w:rPr>
        <w:t xml:space="preserve"> </w:t>
      </w:r>
      <w:r w:rsidR="00297E79" w:rsidRPr="002E6CA0">
        <w:rPr>
          <w:szCs w:val="22"/>
        </w:rPr>
        <w:t xml:space="preserve">updating the </w:t>
      </w:r>
      <w:r w:rsidR="00CE1828" w:rsidRPr="002E6CA0">
        <w:rPr>
          <w:szCs w:val="22"/>
        </w:rPr>
        <w:t xml:space="preserve">supply and demand projections </w:t>
      </w:r>
      <w:r w:rsidR="00297E79" w:rsidRPr="002E6CA0">
        <w:rPr>
          <w:szCs w:val="22"/>
        </w:rPr>
        <w:t xml:space="preserve">previously </w:t>
      </w:r>
      <w:r>
        <w:rPr>
          <w:szCs w:val="22"/>
        </w:rPr>
        <w:t>completed</w:t>
      </w:r>
      <w:r w:rsidRPr="002E6CA0">
        <w:rPr>
          <w:szCs w:val="22"/>
        </w:rPr>
        <w:t xml:space="preserve"> </w:t>
      </w:r>
      <w:r w:rsidR="00297E79" w:rsidRPr="002E6CA0">
        <w:rPr>
          <w:szCs w:val="22"/>
        </w:rPr>
        <w:t>b</w:t>
      </w:r>
      <w:r w:rsidR="006C68E4" w:rsidRPr="002E6CA0">
        <w:rPr>
          <w:szCs w:val="22"/>
        </w:rPr>
        <w:t xml:space="preserve">y the former </w:t>
      </w:r>
      <w:proofErr w:type="spellStart"/>
      <w:r w:rsidR="006C68E4" w:rsidRPr="002E6CA0">
        <w:rPr>
          <w:szCs w:val="22"/>
        </w:rPr>
        <w:t>HWA</w:t>
      </w:r>
      <w:proofErr w:type="spellEnd"/>
      <w:r w:rsidR="006C68E4" w:rsidRPr="002E6CA0">
        <w:rPr>
          <w:szCs w:val="22"/>
        </w:rPr>
        <w:t xml:space="preserve"> </w:t>
      </w:r>
      <w:r>
        <w:rPr>
          <w:szCs w:val="22"/>
        </w:rPr>
        <w:t xml:space="preserve">and published in </w:t>
      </w:r>
      <w:proofErr w:type="spellStart"/>
      <w:r w:rsidR="006C68E4" w:rsidRPr="002E6CA0">
        <w:rPr>
          <w:szCs w:val="22"/>
        </w:rPr>
        <w:t>HW</w:t>
      </w:r>
      <w:proofErr w:type="spellEnd"/>
      <w:r w:rsidR="006C68E4" w:rsidRPr="002E6CA0">
        <w:rPr>
          <w:szCs w:val="22"/>
        </w:rPr>
        <w:t xml:space="preserve"> 2025</w:t>
      </w:r>
      <w:r>
        <w:rPr>
          <w:szCs w:val="22"/>
        </w:rPr>
        <w:t xml:space="preserve"> –</w:t>
      </w:r>
      <w:r w:rsidR="006C68E4" w:rsidRPr="002E6CA0">
        <w:rPr>
          <w:szCs w:val="22"/>
        </w:rPr>
        <w:t xml:space="preserve"> Medical Specialists </w:t>
      </w:r>
      <w:r w:rsidR="00297E79" w:rsidRPr="002E6CA0">
        <w:rPr>
          <w:szCs w:val="22"/>
        </w:rPr>
        <w:t xml:space="preserve">Volume 3. </w:t>
      </w:r>
    </w:p>
    <w:p w:rsidR="00CE1828" w:rsidRPr="002E6CA0" w:rsidRDefault="00CE1828" w:rsidP="002E6CA0">
      <w:pPr>
        <w:spacing w:before="120" w:after="120"/>
        <w:rPr>
          <w:szCs w:val="22"/>
        </w:rPr>
      </w:pPr>
      <w:r w:rsidRPr="002E6CA0">
        <w:rPr>
          <w:szCs w:val="22"/>
        </w:rPr>
        <w:t>Th</w:t>
      </w:r>
      <w:r w:rsidR="008262D4">
        <w:rPr>
          <w:szCs w:val="22"/>
        </w:rPr>
        <w:t>is</w:t>
      </w:r>
      <w:r w:rsidRPr="002E6CA0">
        <w:rPr>
          <w:szCs w:val="22"/>
        </w:rPr>
        <w:t xml:space="preserve"> work </w:t>
      </w:r>
      <w:r w:rsidR="00297E79" w:rsidRPr="002E6CA0">
        <w:rPr>
          <w:szCs w:val="22"/>
        </w:rPr>
        <w:t>has been</w:t>
      </w:r>
      <w:r w:rsidRPr="002E6CA0">
        <w:rPr>
          <w:szCs w:val="22"/>
        </w:rPr>
        <w:t xml:space="preserve"> guided by the input of the </w:t>
      </w:r>
      <w:proofErr w:type="spellStart"/>
      <w:r w:rsidR="00EF0087">
        <w:rPr>
          <w:szCs w:val="22"/>
        </w:rPr>
        <w:t>NMTAN</w:t>
      </w:r>
      <w:proofErr w:type="spellEnd"/>
      <w:r w:rsidRPr="002E6CA0">
        <w:rPr>
          <w:szCs w:val="22"/>
        </w:rPr>
        <w:t xml:space="preserve">. The work </w:t>
      </w:r>
      <w:r w:rsidR="00EF0087">
        <w:rPr>
          <w:szCs w:val="22"/>
        </w:rPr>
        <w:t>has been</w:t>
      </w:r>
      <w:r w:rsidR="00297E79" w:rsidRPr="002E6CA0">
        <w:rPr>
          <w:szCs w:val="22"/>
        </w:rPr>
        <w:t xml:space="preserve"> </w:t>
      </w:r>
      <w:r w:rsidR="007417CE" w:rsidRPr="002E6CA0">
        <w:rPr>
          <w:szCs w:val="22"/>
        </w:rPr>
        <w:t>completed in two stages:</w:t>
      </w:r>
    </w:p>
    <w:p w:rsidR="00B356F0" w:rsidRPr="0090788F" w:rsidRDefault="007417CE" w:rsidP="00D510F1">
      <w:pPr>
        <w:numPr>
          <w:ilvl w:val="0"/>
          <w:numId w:val="3"/>
        </w:numPr>
        <w:spacing w:before="120" w:after="120"/>
        <w:ind w:left="426" w:hanging="426"/>
        <w:rPr>
          <w:szCs w:val="22"/>
        </w:rPr>
      </w:pPr>
      <w:r w:rsidRPr="0090788F">
        <w:rPr>
          <w:szCs w:val="22"/>
        </w:rPr>
        <w:t xml:space="preserve">Stage 1: </w:t>
      </w:r>
      <w:r w:rsidR="008262D4">
        <w:rPr>
          <w:szCs w:val="22"/>
        </w:rPr>
        <w:t>r</w:t>
      </w:r>
      <w:r w:rsidR="008262D4" w:rsidRPr="0090788F">
        <w:rPr>
          <w:szCs w:val="22"/>
        </w:rPr>
        <w:t xml:space="preserve">eview </w:t>
      </w:r>
      <w:r w:rsidR="0035664E" w:rsidRPr="0090788F">
        <w:rPr>
          <w:szCs w:val="22"/>
        </w:rPr>
        <w:t>and analysis of supply and demand</w:t>
      </w:r>
      <w:r w:rsidR="00B356F0" w:rsidRPr="0090788F">
        <w:rPr>
          <w:szCs w:val="22"/>
        </w:rPr>
        <w:t xml:space="preserve"> through the m</w:t>
      </w:r>
      <w:r w:rsidR="0035664E" w:rsidRPr="0090788F">
        <w:rPr>
          <w:szCs w:val="22"/>
        </w:rPr>
        <w:t xml:space="preserve">odelling </w:t>
      </w:r>
      <w:r w:rsidR="00B356F0" w:rsidRPr="0090788F">
        <w:rPr>
          <w:szCs w:val="22"/>
        </w:rPr>
        <w:t xml:space="preserve">of the psychiatry </w:t>
      </w:r>
      <w:r w:rsidR="0035664E" w:rsidRPr="0090788F">
        <w:rPr>
          <w:szCs w:val="22"/>
        </w:rPr>
        <w:t xml:space="preserve">workforce </w:t>
      </w:r>
      <w:r w:rsidR="00B356F0" w:rsidRPr="0090788F">
        <w:rPr>
          <w:szCs w:val="22"/>
        </w:rPr>
        <w:t xml:space="preserve">with </w:t>
      </w:r>
      <w:r w:rsidR="0035664E" w:rsidRPr="0090788F">
        <w:rPr>
          <w:szCs w:val="22"/>
        </w:rPr>
        <w:t>projection</w:t>
      </w:r>
      <w:r w:rsidR="008262D4">
        <w:rPr>
          <w:szCs w:val="22"/>
        </w:rPr>
        <w:t>s</w:t>
      </w:r>
      <w:r w:rsidR="0035664E" w:rsidRPr="0090788F">
        <w:rPr>
          <w:szCs w:val="22"/>
        </w:rPr>
        <w:t xml:space="preserve"> to 2030 and </w:t>
      </w:r>
      <w:r w:rsidR="00B356F0" w:rsidRPr="0090788F">
        <w:rPr>
          <w:szCs w:val="22"/>
        </w:rPr>
        <w:t xml:space="preserve">analysis of current </w:t>
      </w:r>
      <w:r w:rsidR="0035664E" w:rsidRPr="0090788F">
        <w:rPr>
          <w:szCs w:val="22"/>
        </w:rPr>
        <w:t>training capacity</w:t>
      </w:r>
      <w:r w:rsidR="00B356F0" w:rsidRPr="0090788F">
        <w:rPr>
          <w:szCs w:val="22"/>
        </w:rPr>
        <w:t xml:space="preserve"> and </w:t>
      </w:r>
      <w:r w:rsidR="008262D4">
        <w:rPr>
          <w:szCs w:val="22"/>
        </w:rPr>
        <w:t>identification of</w:t>
      </w:r>
      <w:r w:rsidR="008262D4" w:rsidRPr="0090788F">
        <w:rPr>
          <w:szCs w:val="22"/>
        </w:rPr>
        <w:t xml:space="preserve"> </w:t>
      </w:r>
      <w:r w:rsidR="0035664E" w:rsidRPr="0090788F">
        <w:rPr>
          <w:szCs w:val="22"/>
        </w:rPr>
        <w:t>pipeline issues</w:t>
      </w:r>
      <w:r w:rsidRPr="0090788F">
        <w:rPr>
          <w:szCs w:val="22"/>
        </w:rPr>
        <w:t>.</w:t>
      </w:r>
      <w:r w:rsidR="00B356F0" w:rsidRPr="0090788F">
        <w:rPr>
          <w:szCs w:val="22"/>
        </w:rPr>
        <w:t xml:space="preserve"> This </w:t>
      </w:r>
      <w:r w:rsidR="005E02DE" w:rsidRPr="0090788F">
        <w:rPr>
          <w:szCs w:val="22"/>
        </w:rPr>
        <w:t xml:space="preserve">resulted </w:t>
      </w:r>
      <w:r w:rsidR="00B356F0" w:rsidRPr="0090788F">
        <w:rPr>
          <w:szCs w:val="22"/>
        </w:rPr>
        <w:t xml:space="preserve">in the development of an interim report for targeted consultation with </w:t>
      </w:r>
      <w:proofErr w:type="spellStart"/>
      <w:r w:rsidR="00B356F0" w:rsidRPr="0090788F">
        <w:rPr>
          <w:szCs w:val="22"/>
        </w:rPr>
        <w:t>NMTAN</w:t>
      </w:r>
      <w:proofErr w:type="spellEnd"/>
      <w:r w:rsidR="00B356F0" w:rsidRPr="0090788F">
        <w:rPr>
          <w:szCs w:val="22"/>
        </w:rPr>
        <w:t xml:space="preserve"> and relevant stakeholders/experts. </w:t>
      </w:r>
    </w:p>
    <w:p w:rsidR="00105F78" w:rsidRPr="0090788F" w:rsidRDefault="00B356F0" w:rsidP="00D510F1">
      <w:pPr>
        <w:numPr>
          <w:ilvl w:val="0"/>
          <w:numId w:val="3"/>
        </w:numPr>
        <w:spacing w:before="120" w:after="120"/>
        <w:ind w:left="426" w:hanging="426"/>
        <w:rPr>
          <w:szCs w:val="22"/>
        </w:rPr>
      </w:pPr>
      <w:r w:rsidRPr="0090788F">
        <w:rPr>
          <w:szCs w:val="22"/>
        </w:rPr>
        <w:t>Stage 2: consolidat</w:t>
      </w:r>
      <w:r w:rsidR="008262D4">
        <w:rPr>
          <w:szCs w:val="22"/>
        </w:rPr>
        <w:t>ion of</w:t>
      </w:r>
      <w:r w:rsidRPr="0090788F">
        <w:rPr>
          <w:szCs w:val="22"/>
        </w:rPr>
        <w:t xml:space="preserve"> the feedback </w:t>
      </w:r>
      <w:r w:rsidR="008262D4">
        <w:rPr>
          <w:szCs w:val="22"/>
        </w:rPr>
        <w:t>on</w:t>
      </w:r>
      <w:r w:rsidR="008262D4" w:rsidRPr="0090788F">
        <w:rPr>
          <w:szCs w:val="22"/>
        </w:rPr>
        <w:t xml:space="preserve"> </w:t>
      </w:r>
      <w:r w:rsidRPr="0090788F">
        <w:rPr>
          <w:szCs w:val="22"/>
        </w:rPr>
        <w:t>the interim report to identify issues to develop training target ranges (including capacity in aggregation and by location) and policy recommendation</w:t>
      </w:r>
      <w:r w:rsidR="008262D4">
        <w:rPr>
          <w:szCs w:val="22"/>
        </w:rPr>
        <w:t>s</w:t>
      </w:r>
      <w:r w:rsidRPr="0090788F">
        <w:rPr>
          <w:szCs w:val="22"/>
        </w:rPr>
        <w:t xml:space="preserve"> for psychiatry. </w:t>
      </w:r>
      <w:r w:rsidR="007417CE" w:rsidRPr="0090788F">
        <w:rPr>
          <w:szCs w:val="22"/>
        </w:rPr>
        <w:t xml:space="preserve"> </w:t>
      </w:r>
    </w:p>
    <w:p w:rsidR="004027EA" w:rsidRPr="00AA0A42" w:rsidRDefault="00351E1A" w:rsidP="00B831A8">
      <w:pPr>
        <w:pStyle w:val="Heading3"/>
      </w:pPr>
      <w:bookmarkStart w:id="15" w:name="_Toc445986942"/>
      <w:r w:rsidRPr="00AA0A42">
        <w:t>Determining the Future Capacity for Training Needs</w:t>
      </w:r>
      <w:bookmarkEnd w:id="15"/>
    </w:p>
    <w:p w:rsidR="00A408E0" w:rsidRPr="002E6CA0" w:rsidRDefault="00A408E0" w:rsidP="002E6CA0">
      <w:pPr>
        <w:spacing w:before="120" w:after="120"/>
        <w:rPr>
          <w:szCs w:val="22"/>
        </w:rPr>
      </w:pPr>
      <w:r w:rsidRPr="002E6CA0">
        <w:rPr>
          <w:szCs w:val="22"/>
        </w:rPr>
        <w:t xml:space="preserve">Australia’s medical training system is delivered through a complex interconnection of funding and organisation channels that span </w:t>
      </w:r>
      <w:r w:rsidR="008262D4">
        <w:rPr>
          <w:szCs w:val="22"/>
        </w:rPr>
        <w:t>C</w:t>
      </w:r>
      <w:r w:rsidR="008262D4" w:rsidRPr="002E6CA0">
        <w:rPr>
          <w:szCs w:val="22"/>
        </w:rPr>
        <w:t xml:space="preserve">ommonwealth </w:t>
      </w:r>
      <w:r w:rsidRPr="002E6CA0">
        <w:rPr>
          <w:szCs w:val="22"/>
        </w:rPr>
        <w:t xml:space="preserve">and state and territory governments, as well as private and non-government agencies. The cross-sectional nature of delivering and funding medical training in Australia makes workforce planning difficult for </w:t>
      </w:r>
      <w:r w:rsidRPr="002E6CA0">
        <w:rPr>
          <w:szCs w:val="22"/>
        </w:rPr>
        <w:lastRenderedPageBreak/>
        <w:t>any particular agency or sector to deliver in isolation</w:t>
      </w:r>
      <w:r w:rsidR="008262D4">
        <w:rPr>
          <w:szCs w:val="22"/>
        </w:rPr>
        <w:t xml:space="preserve">. There is also a </w:t>
      </w:r>
      <w:r w:rsidRPr="002E6CA0">
        <w:rPr>
          <w:szCs w:val="22"/>
        </w:rPr>
        <w:t xml:space="preserve">risk there will be ongoing mismatch </w:t>
      </w:r>
      <w:r w:rsidR="008262D4">
        <w:rPr>
          <w:szCs w:val="22"/>
        </w:rPr>
        <w:t>between</w:t>
      </w:r>
      <w:r w:rsidR="008262D4" w:rsidRPr="002E6CA0">
        <w:rPr>
          <w:szCs w:val="22"/>
        </w:rPr>
        <w:t xml:space="preserve"> </w:t>
      </w:r>
      <w:r w:rsidRPr="002E6CA0">
        <w:rPr>
          <w:szCs w:val="22"/>
        </w:rPr>
        <w:t>the medical workforce that is trained and the medical workforce that is required</w:t>
      </w:r>
      <w:r w:rsidR="00EF0087">
        <w:rPr>
          <w:szCs w:val="22"/>
        </w:rPr>
        <w:t xml:space="preserve"> to deliver necessary services.</w:t>
      </w:r>
      <w:r w:rsidRPr="002E6CA0">
        <w:rPr>
          <w:szCs w:val="22"/>
        </w:rPr>
        <w:t xml:space="preserve"> </w:t>
      </w:r>
    </w:p>
    <w:p w:rsidR="00A408E0" w:rsidRPr="002E6CA0" w:rsidRDefault="00A408E0" w:rsidP="002E6CA0">
      <w:pPr>
        <w:spacing w:before="120" w:after="120"/>
        <w:rPr>
          <w:szCs w:val="22"/>
        </w:rPr>
      </w:pPr>
      <w:r w:rsidRPr="002E6CA0">
        <w:rPr>
          <w:szCs w:val="22"/>
        </w:rPr>
        <w:t>The pathway to independent practice as a vocationally recognised specialist is long and there are multiple layers of investment in the training from university entrance to the completion of specialist vocational training. At the same time, there are numerous players involved in the training pathway</w:t>
      </w:r>
      <w:r w:rsidR="00023E0F">
        <w:rPr>
          <w:szCs w:val="22"/>
        </w:rPr>
        <w:t>,</w:t>
      </w:r>
      <w:r w:rsidRPr="002E6CA0">
        <w:rPr>
          <w:szCs w:val="22"/>
        </w:rPr>
        <w:t xml:space="preserve"> from universities to public</w:t>
      </w:r>
      <w:r w:rsidR="00EC654C">
        <w:rPr>
          <w:szCs w:val="22"/>
        </w:rPr>
        <w:t xml:space="preserve"> and private</w:t>
      </w:r>
      <w:r w:rsidRPr="002E6CA0">
        <w:rPr>
          <w:szCs w:val="22"/>
        </w:rPr>
        <w:t xml:space="preserve"> hospitals and private medical practices.</w:t>
      </w:r>
    </w:p>
    <w:p w:rsidR="00351E1A" w:rsidRPr="002E6CA0" w:rsidRDefault="00351E1A" w:rsidP="002E6CA0">
      <w:pPr>
        <w:spacing w:before="120" w:after="120"/>
        <w:rPr>
          <w:szCs w:val="22"/>
        </w:rPr>
      </w:pPr>
      <w:r w:rsidRPr="002E6CA0">
        <w:rPr>
          <w:szCs w:val="22"/>
        </w:rPr>
        <w:t xml:space="preserve">The recent growth in the medical workforce is important in the calculated supply and demand for health services over the time period covered by the workforce modelling. </w:t>
      </w:r>
    </w:p>
    <w:p w:rsidR="00351E1A" w:rsidRPr="002E6CA0" w:rsidRDefault="00351E1A" w:rsidP="002E6CA0">
      <w:pPr>
        <w:spacing w:before="120" w:after="120"/>
        <w:rPr>
          <w:szCs w:val="22"/>
        </w:rPr>
      </w:pPr>
      <w:r w:rsidRPr="002E6CA0">
        <w:rPr>
          <w:szCs w:val="22"/>
        </w:rPr>
        <w:t xml:space="preserve">This increase in the number of medical students and graduates demonstrates a large increase in the inflows into the medical workforce over a short space of time. This has implications for clinical training capacity, initially at the university level but extending into the prevocational and vocational training years. </w:t>
      </w:r>
      <w:r w:rsidR="00282A93">
        <w:rPr>
          <w:szCs w:val="22"/>
        </w:rPr>
        <w:t>T</w:t>
      </w:r>
      <w:r w:rsidRPr="002E6CA0">
        <w:rPr>
          <w:szCs w:val="22"/>
        </w:rPr>
        <w:t>his pressure</w:t>
      </w:r>
      <w:r w:rsidR="00282A93">
        <w:rPr>
          <w:szCs w:val="22"/>
        </w:rPr>
        <w:t xml:space="preserve"> has already been seen</w:t>
      </w:r>
      <w:r w:rsidRPr="002E6CA0">
        <w:rPr>
          <w:szCs w:val="22"/>
        </w:rPr>
        <w:t xml:space="preserve"> in the availability of intern training places</w:t>
      </w:r>
      <w:r w:rsidR="00282A93">
        <w:rPr>
          <w:szCs w:val="22"/>
        </w:rPr>
        <w:t>,</w:t>
      </w:r>
      <w:r w:rsidRPr="002E6CA0">
        <w:rPr>
          <w:szCs w:val="22"/>
        </w:rPr>
        <w:t xml:space="preserve"> which </w:t>
      </w:r>
      <w:r w:rsidRPr="00C7490F">
        <w:rPr>
          <w:szCs w:val="22"/>
        </w:rPr>
        <w:t>to date has largely kept pace with</w:t>
      </w:r>
      <w:r w:rsidRPr="002E6CA0">
        <w:rPr>
          <w:szCs w:val="22"/>
        </w:rPr>
        <w:t xml:space="preserve"> the increasing number of graduates. </w:t>
      </w:r>
    </w:p>
    <w:p w:rsidR="004027EA" w:rsidRPr="00DC0BBE" w:rsidRDefault="00351E1A" w:rsidP="002C4533">
      <w:pPr>
        <w:spacing w:before="120" w:after="120"/>
        <w:rPr>
          <w:rFonts w:ascii="Arial" w:eastAsia="Calibri" w:hAnsi="Arial" w:cs="Arial"/>
          <w:szCs w:val="22"/>
        </w:rPr>
      </w:pPr>
      <w:r w:rsidRPr="00C7490F">
        <w:rPr>
          <w:szCs w:val="22"/>
        </w:rPr>
        <w:t>This pressure is</w:t>
      </w:r>
      <w:r w:rsidR="00554FF5" w:rsidRPr="00C7490F">
        <w:rPr>
          <w:szCs w:val="22"/>
        </w:rPr>
        <w:t xml:space="preserve"> now</w:t>
      </w:r>
      <w:r w:rsidRPr="00C7490F">
        <w:rPr>
          <w:szCs w:val="22"/>
        </w:rPr>
        <w:t xml:space="preserve"> beginning to move into the next stages of the training pipeline. There </w:t>
      </w:r>
      <w:r w:rsidRPr="002E6CA0">
        <w:rPr>
          <w:szCs w:val="22"/>
        </w:rPr>
        <w:t>has been an increase of 3</w:t>
      </w:r>
      <w:r w:rsidR="007B4909" w:rsidRPr="002E6CA0">
        <w:rPr>
          <w:szCs w:val="22"/>
        </w:rPr>
        <w:t>6</w:t>
      </w:r>
      <w:r w:rsidRPr="002E6CA0">
        <w:rPr>
          <w:szCs w:val="22"/>
        </w:rPr>
        <w:t xml:space="preserve"> per cent in the number of vocational training positions between 2010 and 2014 with unclear links to future workforce requirements. </w:t>
      </w:r>
      <w:r w:rsidR="00EC654C">
        <w:rPr>
          <w:szCs w:val="22"/>
        </w:rPr>
        <w:t xml:space="preserve">Previous </w:t>
      </w:r>
      <w:r w:rsidRPr="002E6CA0">
        <w:rPr>
          <w:szCs w:val="22"/>
        </w:rPr>
        <w:t xml:space="preserve">workforce modelling demonstrates an emerging mismatch between the number of trainees seeking a vocational training place and the availability of places based on community need. This mismatch emerges from around 2017 in the most recent modelling </w:t>
      </w:r>
      <w:r w:rsidR="005E02DE" w:rsidRPr="002E6CA0">
        <w:rPr>
          <w:szCs w:val="22"/>
        </w:rPr>
        <w:t xml:space="preserve">presented </w:t>
      </w:r>
      <w:r w:rsidR="00751713" w:rsidRPr="002E6CA0">
        <w:rPr>
          <w:szCs w:val="22"/>
        </w:rPr>
        <w:t xml:space="preserve">in </w:t>
      </w:r>
      <w:r w:rsidR="005E02DE" w:rsidRPr="002E6CA0">
        <w:rPr>
          <w:szCs w:val="22"/>
        </w:rPr>
        <w:t xml:space="preserve">the </w:t>
      </w:r>
      <w:proofErr w:type="spellStart"/>
      <w:r w:rsidR="001D56F5">
        <w:rPr>
          <w:szCs w:val="22"/>
        </w:rPr>
        <w:t>AFHW</w:t>
      </w:r>
      <w:proofErr w:type="spellEnd"/>
      <w:r w:rsidR="001D56F5">
        <w:rPr>
          <w:szCs w:val="22"/>
        </w:rPr>
        <w:t xml:space="preserve"> – Doctors report</w:t>
      </w:r>
      <w:r w:rsidR="005E02DE" w:rsidRPr="002E6CA0">
        <w:rPr>
          <w:szCs w:val="22"/>
        </w:rPr>
        <w:t xml:space="preserve"> </w:t>
      </w:r>
      <w:r w:rsidRPr="002E6CA0">
        <w:rPr>
          <w:szCs w:val="22"/>
        </w:rPr>
        <w:t>and extends to appr</w:t>
      </w:r>
      <w:r w:rsidR="002C4533">
        <w:rPr>
          <w:szCs w:val="22"/>
        </w:rPr>
        <w:t>oximately 1,000 places by 2030.</w:t>
      </w:r>
      <w:r w:rsidR="004027EA" w:rsidRPr="00DC0BBE">
        <w:rPr>
          <w:rFonts w:ascii="Arial" w:eastAsia="Calibri" w:hAnsi="Arial" w:cs="Arial"/>
          <w:szCs w:val="22"/>
        </w:rPr>
        <w:br w:type="page"/>
      </w:r>
    </w:p>
    <w:p w:rsidR="004027EA" w:rsidRPr="00AA0A42" w:rsidRDefault="004027EA" w:rsidP="00024EE6">
      <w:pPr>
        <w:pStyle w:val="Heading2"/>
      </w:pPr>
      <w:bookmarkStart w:id="16" w:name="_Toc445986943"/>
      <w:r w:rsidRPr="00AA0A42">
        <w:lastRenderedPageBreak/>
        <w:t>Introduction</w:t>
      </w:r>
      <w:bookmarkEnd w:id="16"/>
    </w:p>
    <w:p w:rsidR="00B40A81" w:rsidRDefault="00775498" w:rsidP="002E6CA0">
      <w:pPr>
        <w:spacing w:before="120" w:after="120"/>
        <w:rPr>
          <w:szCs w:val="22"/>
        </w:rPr>
      </w:pPr>
      <w:r w:rsidRPr="002E6CA0">
        <w:rPr>
          <w:szCs w:val="22"/>
        </w:rPr>
        <w:t xml:space="preserve">This report outlines </w:t>
      </w:r>
      <w:r w:rsidR="00BA5C5A">
        <w:rPr>
          <w:szCs w:val="22"/>
        </w:rPr>
        <w:t xml:space="preserve">an analysis of the psychiatry workforce and </w:t>
      </w:r>
      <w:r w:rsidRPr="002E6CA0">
        <w:rPr>
          <w:szCs w:val="22"/>
        </w:rPr>
        <w:t xml:space="preserve">the results of </w:t>
      </w:r>
      <w:r w:rsidR="000E72D3" w:rsidRPr="002E6CA0">
        <w:rPr>
          <w:szCs w:val="22"/>
        </w:rPr>
        <w:t>updated</w:t>
      </w:r>
      <w:r w:rsidRPr="002E6CA0">
        <w:rPr>
          <w:szCs w:val="22"/>
        </w:rPr>
        <w:t xml:space="preserve"> supply and demand </w:t>
      </w:r>
      <w:r w:rsidR="000E72D3" w:rsidRPr="002E6CA0">
        <w:rPr>
          <w:szCs w:val="22"/>
        </w:rPr>
        <w:t>projection</w:t>
      </w:r>
      <w:r w:rsidR="00902F43">
        <w:rPr>
          <w:szCs w:val="22"/>
        </w:rPr>
        <w:t>s,</w:t>
      </w:r>
      <w:r w:rsidRPr="002E6CA0">
        <w:rPr>
          <w:szCs w:val="22"/>
        </w:rPr>
        <w:t xml:space="preserve"> </w:t>
      </w:r>
      <w:r w:rsidR="0076224E" w:rsidRPr="002E6CA0">
        <w:rPr>
          <w:szCs w:val="22"/>
        </w:rPr>
        <w:t>as well as consi</w:t>
      </w:r>
      <w:r w:rsidR="000E72D3" w:rsidRPr="002E6CA0">
        <w:rPr>
          <w:szCs w:val="22"/>
        </w:rPr>
        <w:t xml:space="preserve">dering capacity and distribution for </w:t>
      </w:r>
      <w:r w:rsidR="00CF5529" w:rsidRPr="002E6CA0">
        <w:rPr>
          <w:szCs w:val="22"/>
        </w:rPr>
        <w:t xml:space="preserve">vocational </w:t>
      </w:r>
      <w:r w:rsidR="000E72D3" w:rsidRPr="002E6CA0">
        <w:rPr>
          <w:szCs w:val="22"/>
        </w:rPr>
        <w:t xml:space="preserve">training into the future. A document outlining the methodology to be undertaken to determine the supply and demand </w:t>
      </w:r>
      <w:r w:rsidR="00455EB1" w:rsidRPr="002E6CA0">
        <w:rPr>
          <w:szCs w:val="22"/>
        </w:rPr>
        <w:t>projections and the capacity and distribution for training for the</w:t>
      </w:r>
      <w:r w:rsidR="000E72D3" w:rsidRPr="002E6CA0">
        <w:rPr>
          <w:szCs w:val="22"/>
        </w:rPr>
        <w:t xml:space="preserve"> psychiatry workforce </w:t>
      </w:r>
      <w:r w:rsidR="00455EB1" w:rsidRPr="002E6CA0">
        <w:rPr>
          <w:szCs w:val="22"/>
        </w:rPr>
        <w:t xml:space="preserve">by </w:t>
      </w:r>
      <w:r w:rsidR="000E72D3" w:rsidRPr="002E6CA0">
        <w:rPr>
          <w:szCs w:val="22"/>
        </w:rPr>
        <w:t xml:space="preserve">2030 was approved by the </w:t>
      </w:r>
      <w:proofErr w:type="spellStart"/>
      <w:r w:rsidR="000E72D3" w:rsidRPr="002E6CA0">
        <w:rPr>
          <w:szCs w:val="22"/>
        </w:rPr>
        <w:t>NMTAN</w:t>
      </w:r>
      <w:proofErr w:type="spellEnd"/>
      <w:r w:rsidR="000E72D3" w:rsidRPr="002E6CA0">
        <w:rPr>
          <w:szCs w:val="22"/>
        </w:rPr>
        <w:t xml:space="preserve"> in February 2015.</w:t>
      </w:r>
      <w:r w:rsidR="0076224E" w:rsidRPr="002E6CA0">
        <w:rPr>
          <w:szCs w:val="22"/>
        </w:rPr>
        <w:t xml:space="preserve"> </w:t>
      </w:r>
    </w:p>
    <w:p w:rsidR="00455EB1" w:rsidRPr="002E6CA0" w:rsidRDefault="0076224E" w:rsidP="002E6CA0">
      <w:pPr>
        <w:spacing w:before="120" w:after="120"/>
        <w:rPr>
          <w:szCs w:val="22"/>
        </w:rPr>
      </w:pPr>
      <w:r w:rsidRPr="002E6CA0">
        <w:rPr>
          <w:szCs w:val="22"/>
        </w:rPr>
        <w:t xml:space="preserve">A summary of the approved </w:t>
      </w:r>
      <w:r w:rsidR="003C65D5" w:rsidRPr="002E6CA0">
        <w:rPr>
          <w:szCs w:val="22"/>
        </w:rPr>
        <w:t>modelling inputs can be found in</w:t>
      </w:r>
      <w:r w:rsidRPr="002E6CA0">
        <w:rPr>
          <w:szCs w:val="22"/>
        </w:rPr>
        <w:t xml:space="preserve"> Appendix 1.</w:t>
      </w:r>
    </w:p>
    <w:p w:rsidR="000E72D3" w:rsidRPr="002E6CA0" w:rsidRDefault="000E72D3" w:rsidP="002E6CA0">
      <w:pPr>
        <w:spacing w:before="120" w:after="120"/>
        <w:rPr>
          <w:szCs w:val="22"/>
        </w:rPr>
      </w:pPr>
      <w:r w:rsidRPr="002E6CA0">
        <w:rPr>
          <w:szCs w:val="22"/>
        </w:rPr>
        <w:t xml:space="preserve">Psychiatry was selected as the first medical specialty to be considered by the </w:t>
      </w:r>
      <w:proofErr w:type="spellStart"/>
      <w:r w:rsidRPr="002E6CA0">
        <w:rPr>
          <w:szCs w:val="22"/>
        </w:rPr>
        <w:t>NMTAN</w:t>
      </w:r>
      <w:proofErr w:type="spellEnd"/>
      <w:r w:rsidRPr="002E6CA0">
        <w:rPr>
          <w:szCs w:val="22"/>
        </w:rPr>
        <w:t xml:space="preserve"> largely due to concerns identified in </w:t>
      </w:r>
      <w:proofErr w:type="spellStart"/>
      <w:r w:rsidRPr="002E6CA0">
        <w:rPr>
          <w:szCs w:val="22"/>
        </w:rPr>
        <w:t>HW</w:t>
      </w:r>
      <w:proofErr w:type="spellEnd"/>
      <w:r w:rsidR="00902F43">
        <w:rPr>
          <w:szCs w:val="22"/>
        </w:rPr>
        <w:t xml:space="preserve"> </w:t>
      </w:r>
      <w:r w:rsidRPr="002E6CA0">
        <w:rPr>
          <w:szCs w:val="22"/>
        </w:rPr>
        <w:t xml:space="preserve">2025 Volume 3 that indicated psychiatry was both </w:t>
      </w:r>
      <w:r w:rsidR="00455EB1" w:rsidRPr="002E6CA0">
        <w:rPr>
          <w:szCs w:val="22"/>
        </w:rPr>
        <w:t>in</w:t>
      </w:r>
      <w:r w:rsidRPr="002E6CA0">
        <w:rPr>
          <w:szCs w:val="22"/>
        </w:rPr>
        <w:t xml:space="preserve"> current under-supply and </w:t>
      </w:r>
      <w:r w:rsidR="00455EB1" w:rsidRPr="002E6CA0">
        <w:rPr>
          <w:szCs w:val="22"/>
        </w:rPr>
        <w:t xml:space="preserve">showed </w:t>
      </w:r>
      <w:r w:rsidRPr="002E6CA0">
        <w:rPr>
          <w:szCs w:val="22"/>
        </w:rPr>
        <w:t>significant future workforce shortage</w:t>
      </w:r>
      <w:r w:rsidR="00455EB1" w:rsidRPr="002E6CA0">
        <w:rPr>
          <w:szCs w:val="22"/>
        </w:rPr>
        <w:t xml:space="preserve">. The </w:t>
      </w:r>
      <w:r w:rsidR="00EB4618" w:rsidRPr="002E6CA0">
        <w:rPr>
          <w:szCs w:val="22"/>
        </w:rPr>
        <w:t xml:space="preserve">attributing factors for the current and future </w:t>
      </w:r>
      <w:r w:rsidR="00455EB1" w:rsidRPr="002E6CA0">
        <w:rPr>
          <w:szCs w:val="22"/>
        </w:rPr>
        <w:t xml:space="preserve">shortages were identified </w:t>
      </w:r>
      <w:r w:rsidR="00EB4618" w:rsidRPr="002E6CA0">
        <w:rPr>
          <w:szCs w:val="22"/>
        </w:rPr>
        <w:t>by key stakeholder</w:t>
      </w:r>
      <w:r w:rsidR="00902F43">
        <w:rPr>
          <w:szCs w:val="22"/>
        </w:rPr>
        <w:t>s</w:t>
      </w:r>
      <w:r w:rsidR="00EB4618" w:rsidRPr="002E6CA0">
        <w:rPr>
          <w:szCs w:val="22"/>
        </w:rPr>
        <w:t xml:space="preserve"> during </w:t>
      </w:r>
      <w:proofErr w:type="spellStart"/>
      <w:r w:rsidR="00EB4618" w:rsidRPr="002E6CA0">
        <w:rPr>
          <w:szCs w:val="22"/>
        </w:rPr>
        <w:t>HW</w:t>
      </w:r>
      <w:proofErr w:type="spellEnd"/>
      <w:r w:rsidR="00EB4618" w:rsidRPr="002E6CA0">
        <w:rPr>
          <w:szCs w:val="22"/>
        </w:rPr>
        <w:t xml:space="preserve"> 2025 Volume 3 consultation as the following</w:t>
      </w:r>
      <w:r w:rsidRPr="002E6CA0">
        <w:rPr>
          <w:szCs w:val="22"/>
        </w:rPr>
        <w:t>:</w:t>
      </w:r>
    </w:p>
    <w:p w:rsidR="000E72D3" w:rsidRPr="0090788F" w:rsidRDefault="00902F43" w:rsidP="00D510F1">
      <w:pPr>
        <w:numPr>
          <w:ilvl w:val="0"/>
          <w:numId w:val="3"/>
        </w:numPr>
        <w:spacing w:before="120" w:after="120"/>
        <w:ind w:left="426" w:hanging="426"/>
        <w:rPr>
          <w:szCs w:val="22"/>
        </w:rPr>
      </w:pPr>
      <w:r>
        <w:rPr>
          <w:szCs w:val="22"/>
        </w:rPr>
        <w:t>r</w:t>
      </w:r>
      <w:r w:rsidRPr="0090788F">
        <w:rPr>
          <w:szCs w:val="22"/>
        </w:rPr>
        <w:t xml:space="preserve">elatively </w:t>
      </w:r>
      <w:r w:rsidR="000E72D3" w:rsidRPr="0090788F">
        <w:rPr>
          <w:szCs w:val="22"/>
        </w:rPr>
        <w:t xml:space="preserve">shorter working hours, on average 38.5 hours per week, suggesting a high </w:t>
      </w:r>
      <w:r w:rsidR="00475D7B" w:rsidRPr="0090788F">
        <w:rPr>
          <w:szCs w:val="22"/>
        </w:rPr>
        <w:t>incidence</w:t>
      </w:r>
      <w:r w:rsidR="000E72D3" w:rsidRPr="0090788F">
        <w:rPr>
          <w:szCs w:val="22"/>
        </w:rPr>
        <w:t xml:space="preserve"> of part-time practitioners;</w:t>
      </w:r>
    </w:p>
    <w:p w:rsidR="000E72D3" w:rsidRPr="0090788F" w:rsidRDefault="00475D7B" w:rsidP="00D510F1">
      <w:pPr>
        <w:numPr>
          <w:ilvl w:val="0"/>
          <w:numId w:val="3"/>
        </w:numPr>
        <w:spacing w:before="120" w:after="120"/>
        <w:ind w:left="426" w:hanging="426"/>
        <w:rPr>
          <w:szCs w:val="22"/>
        </w:rPr>
      </w:pPr>
      <w:r w:rsidRPr="0090788F">
        <w:rPr>
          <w:szCs w:val="22"/>
        </w:rPr>
        <w:t>a</w:t>
      </w:r>
      <w:r w:rsidR="000E72D3" w:rsidRPr="0090788F">
        <w:rPr>
          <w:szCs w:val="22"/>
        </w:rPr>
        <w:t xml:space="preserve"> comparatively large proportion of practitioners aged 55 years or over (43%) coupled with a high average age (53 years);</w:t>
      </w:r>
    </w:p>
    <w:p w:rsidR="000E72D3" w:rsidRPr="0090788F" w:rsidRDefault="000E72D3" w:rsidP="00D510F1">
      <w:pPr>
        <w:numPr>
          <w:ilvl w:val="0"/>
          <w:numId w:val="3"/>
        </w:numPr>
        <w:spacing w:before="120" w:after="120"/>
        <w:ind w:left="426" w:hanging="426"/>
        <w:rPr>
          <w:szCs w:val="22"/>
        </w:rPr>
      </w:pPr>
      <w:r w:rsidRPr="0090788F">
        <w:rPr>
          <w:szCs w:val="22"/>
        </w:rPr>
        <w:t xml:space="preserve">challenges in attracting domestic graduates to the profession as evidenced by a high reliance on the participation of international medical practitioners in the specialty; </w:t>
      </w:r>
    </w:p>
    <w:p w:rsidR="000E72D3" w:rsidRPr="0090788F" w:rsidRDefault="000E72D3" w:rsidP="00D510F1">
      <w:pPr>
        <w:numPr>
          <w:ilvl w:val="0"/>
          <w:numId w:val="3"/>
        </w:numPr>
        <w:spacing w:before="120" w:after="120"/>
        <w:ind w:left="426" w:hanging="426"/>
        <w:rPr>
          <w:szCs w:val="22"/>
        </w:rPr>
      </w:pPr>
      <w:r w:rsidRPr="0090788F">
        <w:rPr>
          <w:szCs w:val="22"/>
        </w:rPr>
        <w:t xml:space="preserve">a relatively long minimum training period (5 years) but </w:t>
      </w:r>
      <w:r w:rsidR="00E07842">
        <w:rPr>
          <w:szCs w:val="22"/>
        </w:rPr>
        <w:t xml:space="preserve">which </w:t>
      </w:r>
      <w:r w:rsidRPr="0090788F">
        <w:rPr>
          <w:szCs w:val="22"/>
        </w:rPr>
        <w:t xml:space="preserve">on average takes </w:t>
      </w:r>
      <w:r w:rsidR="00475D7B" w:rsidRPr="0090788F">
        <w:rPr>
          <w:szCs w:val="22"/>
        </w:rPr>
        <w:t>over</w:t>
      </w:r>
      <w:r w:rsidRPr="0090788F">
        <w:rPr>
          <w:szCs w:val="22"/>
        </w:rPr>
        <w:t xml:space="preserve"> 6 years; and</w:t>
      </w:r>
    </w:p>
    <w:p w:rsidR="00547D0A" w:rsidRPr="00547D0A" w:rsidRDefault="000E72D3" w:rsidP="00D510F1">
      <w:pPr>
        <w:numPr>
          <w:ilvl w:val="0"/>
          <w:numId w:val="3"/>
        </w:numPr>
        <w:spacing w:before="120" w:after="120"/>
        <w:ind w:left="426" w:hanging="426"/>
        <w:rPr>
          <w:szCs w:val="22"/>
        </w:rPr>
      </w:pPr>
      <w:proofErr w:type="gramStart"/>
      <w:r w:rsidRPr="0090788F">
        <w:rPr>
          <w:szCs w:val="22"/>
        </w:rPr>
        <w:t>a</w:t>
      </w:r>
      <w:proofErr w:type="gramEnd"/>
      <w:r w:rsidRPr="0090788F">
        <w:rPr>
          <w:szCs w:val="22"/>
        </w:rPr>
        <w:t xml:space="preserve"> shortage of specialty training places compounded by an under-utilisation of the private sector for training.</w:t>
      </w:r>
    </w:p>
    <w:p w:rsidR="00547D0A" w:rsidRPr="004E10A8" w:rsidRDefault="00547D0A" w:rsidP="00B831A8">
      <w:pPr>
        <w:pStyle w:val="Heading3"/>
      </w:pPr>
      <w:bookmarkStart w:id="17" w:name="_Toc445986944"/>
      <w:r w:rsidRPr="004E10A8">
        <w:t>Current workforce status</w:t>
      </w:r>
      <w:bookmarkEnd w:id="17"/>
      <w:r w:rsidRPr="004E10A8">
        <w:t xml:space="preserve"> </w:t>
      </w:r>
    </w:p>
    <w:p w:rsidR="00547D0A" w:rsidRPr="00D547FF" w:rsidRDefault="00547D0A" w:rsidP="00296E67">
      <w:r w:rsidRPr="002E6CA0">
        <w:t xml:space="preserve">In 2013, there were 3,236 registered, accredited psychiatrists in Australia. Of these, 3,031 (94 per cent) </w:t>
      </w:r>
      <w:r w:rsidR="00E07842">
        <w:t>were</w:t>
      </w:r>
      <w:r w:rsidR="00E07842" w:rsidRPr="002E6CA0">
        <w:t xml:space="preserve"> </w:t>
      </w:r>
      <w:r w:rsidRPr="002E6CA0">
        <w:t>employed psychiatrists in the workforce, with the majority (93 per cent) working as clinicians</w:t>
      </w:r>
      <w:r w:rsidR="00E07842">
        <w:t>;</w:t>
      </w:r>
      <w:r w:rsidRPr="002E6CA0">
        <w:t xml:space="preserve"> that is, practitioners who spend most of their time undertaking activities related to the diagnosis, treatment and prevention of mental illness and emotional problems.</w:t>
      </w:r>
    </w:p>
    <w:p w:rsidR="002E4971" w:rsidRPr="004E10A8" w:rsidRDefault="00547D0A" w:rsidP="003C642E">
      <w:pPr>
        <w:pStyle w:val="Heading4"/>
        <w:jc w:val="left"/>
      </w:pPr>
      <w:r w:rsidRPr="004E10A8">
        <w:t xml:space="preserve">Figure </w:t>
      </w:r>
      <w:r w:rsidR="00214BBC">
        <w:t>1</w:t>
      </w:r>
      <w:r w:rsidRPr="004E10A8">
        <w:t xml:space="preserve"> – Psychiatry workforce by job role, 2013</w:t>
      </w:r>
    </w:p>
    <w:p w:rsidR="00547D0A" w:rsidRPr="00DC0BBE" w:rsidRDefault="00547D0A" w:rsidP="00547D0A">
      <w:pPr>
        <w:rPr>
          <w:rFonts w:ascii="Arial" w:hAnsi="Arial" w:cs="Arial"/>
          <w:szCs w:val="22"/>
        </w:rPr>
      </w:pPr>
      <w:r w:rsidRPr="00DC0BBE">
        <w:rPr>
          <w:rFonts w:ascii="Arial" w:hAnsi="Arial" w:cs="Arial"/>
          <w:noProof/>
          <w:lang w:eastAsia="en-AU"/>
        </w:rPr>
        <w:drawing>
          <wp:inline distT="0" distB="0" distL="0" distR="0" wp14:anchorId="0E581716" wp14:editId="647A5A8A">
            <wp:extent cx="5718220" cy="2292439"/>
            <wp:effectExtent l="0" t="0" r="0" b="0"/>
            <wp:docPr id="6" name="Diagram 6" descr="In 2013, there were 3,236 registered, accredited psychiatrists in Australia.  Of these 3,031 were employed psychiatrists in the workforce made up of:&#10;&#10;Clinicians: 2,805&#10;Administrators: 94&#10;Teacher/Educators: 57&#10;Researchers: 55&#10;Other: 20" title="Figure 1 is a diagram showing the psychiatry workforce by job role in 20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47D0A" w:rsidRPr="001C730C" w:rsidRDefault="00547D0A" w:rsidP="00547D0A">
      <w:pPr>
        <w:rPr>
          <w:i/>
          <w:sz w:val="16"/>
          <w:szCs w:val="22"/>
        </w:rPr>
      </w:pPr>
      <w:r w:rsidRPr="001C730C">
        <w:rPr>
          <w:i/>
          <w:sz w:val="16"/>
          <w:szCs w:val="22"/>
        </w:rPr>
        <w:t xml:space="preserve">Source: </w:t>
      </w:r>
      <w:proofErr w:type="spellStart"/>
      <w:r w:rsidRPr="001C730C">
        <w:rPr>
          <w:i/>
          <w:sz w:val="16"/>
          <w:szCs w:val="22"/>
        </w:rPr>
        <w:t>NHWDS</w:t>
      </w:r>
      <w:proofErr w:type="spellEnd"/>
      <w:r w:rsidRPr="001C730C">
        <w:rPr>
          <w:i/>
          <w:sz w:val="16"/>
          <w:szCs w:val="22"/>
        </w:rPr>
        <w:t>, Medical Practitioner 2013</w:t>
      </w:r>
    </w:p>
    <w:p w:rsidR="00547D0A" w:rsidRPr="00DC0BBE" w:rsidRDefault="00547D0A" w:rsidP="00547D0A">
      <w:pPr>
        <w:rPr>
          <w:rFonts w:ascii="Arial" w:hAnsi="Arial" w:cs="Arial"/>
          <w:i/>
          <w:sz w:val="16"/>
          <w:szCs w:val="22"/>
        </w:rPr>
      </w:pPr>
    </w:p>
    <w:p w:rsidR="001C730C" w:rsidRDefault="001C730C" w:rsidP="00547D0A">
      <w:pPr>
        <w:spacing w:before="120" w:after="120"/>
        <w:rPr>
          <w:szCs w:val="22"/>
        </w:rPr>
      </w:pPr>
    </w:p>
    <w:p w:rsidR="00547D0A" w:rsidRPr="00547D0A" w:rsidRDefault="006A16C8" w:rsidP="00547D0A">
      <w:pPr>
        <w:spacing w:before="120" w:after="120"/>
        <w:rPr>
          <w:szCs w:val="22"/>
        </w:rPr>
      </w:pPr>
      <w:r>
        <w:rPr>
          <w:szCs w:val="22"/>
        </w:rPr>
        <w:lastRenderedPageBreak/>
        <w:t>F</w:t>
      </w:r>
      <w:r w:rsidR="00547D0A" w:rsidRPr="002E6CA0">
        <w:rPr>
          <w:szCs w:val="22"/>
        </w:rPr>
        <w:t xml:space="preserve">igure </w:t>
      </w:r>
      <w:r w:rsidR="0011170C">
        <w:rPr>
          <w:szCs w:val="22"/>
        </w:rPr>
        <w:t xml:space="preserve">2 </w:t>
      </w:r>
      <w:r w:rsidR="00547D0A" w:rsidRPr="002E6CA0">
        <w:rPr>
          <w:szCs w:val="22"/>
        </w:rPr>
        <w:t xml:space="preserve">shows the age distribution of psychiatrists that </w:t>
      </w:r>
      <w:r w:rsidR="00E07842">
        <w:rPr>
          <w:szCs w:val="22"/>
        </w:rPr>
        <w:t>were</w:t>
      </w:r>
      <w:r w:rsidR="00E07842" w:rsidRPr="002E6CA0">
        <w:rPr>
          <w:szCs w:val="22"/>
        </w:rPr>
        <w:t xml:space="preserve"> </w:t>
      </w:r>
      <w:r w:rsidR="00547D0A" w:rsidRPr="002E6CA0">
        <w:rPr>
          <w:szCs w:val="22"/>
        </w:rPr>
        <w:t>registered,</w:t>
      </w:r>
      <w:r w:rsidR="00017DDA">
        <w:rPr>
          <w:szCs w:val="22"/>
        </w:rPr>
        <w:t xml:space="preserve"> accredited and </w:t>
      </w:r>
      <w:r w:rsidR="00547D0A" w:rsidRPr="002E6CA0">
        <w:rPr>
          <w:szCs w:val="22"/>
        </w:rPr>
        <w:t>e</w:t>
      </w:r>
      <w:r w:rsidR="004D160E">
        <w:rPr>
          <w:szCs w:val="22"/>
        </w:rPr>
        <w:t xml:space="preserve">mployed </w:t>
      </w:r>
      <w:r w:rsidR="00017DDA">
        <w:rPr>
          <w:szCs w:val="22"/>
        </w:rPr>
        <w:t xml:space="preserve">as working </w:t>
      </w:r>
      <w:r w:rsidR="00547D0A" w:rsidRPr="002E6CA0">
        <w:rPr>
          <w:szCs w:val="22"/>
        </w:rPr>
        <w:t>clinicians. All categories of workforce status follow the same distribution for all the age groups and as expected taper off as age increases past 55 – 59 years of age. As can be seen</w:t>
      </w:r>
      <w:r w:rsidR="00E07842">
        <w:rPr>
          <w:szCs w:val="22"/>
        </w:rPr>
        <w:t>,</w:t>
      </w:r>
      <w:r w:rsidR="00547D0A" w:rsidRPr="002E6CA0">
        <w:rPr>
          <w:szCs w:val="22"/>
        </w:rPr>
        <w:t xml:space="preserve"> the vast majority (58 per cent) of the psychiatry workforce </w:t>
      </w:r>
      <w:r w:rsidR="00E07842">
        <w:rPr>
          <w:szCs w:val="22"/>
        </w:rPr>
        <w:t>was</w:t>
      </w:r>
      <w:r w:rsidR="00E07842" w:rsidRPr="002E6CA0">
        <w:rPr>
          <w:szCs w:val="22"/>
        </w:rPr>
        <w:t xml:space="preserve"> </w:t>
      </w:r>
      <w:r w:rsidR="00547D0A" w:rsidRPr="002E6CA0">
        <w:rPr>
          <w:szCs w:val="22"/>
        </w:rPr>
        <w:t>within the age groups 40 – 59 years.</w:t>
      </w:r>
    </w:p>
    <w:p w:rsidR="00547D0A" w:rsidRPr="004E10A8" w:rsidRDefault="00547D0A" w:rsidP="003C642E">
      <w:pPr>
        <w:pStyle w:val="Heading4"/>
      </w:pPr>
      <w:r w:rsidRPr="004E10A8">
        <w:t xml:space="preserve">Figure </w:t>
      </w:r>
      <w:r w:rsidR="00214BBC">
        <w:t>2</w:t>
      </w:r>
      <w:r w:rsidRPr="004E10A8">
        <w:t xml:space="preserve"> –</w:t>
      </w:r>
      <w:r w:rsidR="00095BE6" w:rsidRPr="004E10A8">
        <w:t xml:space="preserve"> P</w:t>
      </w:r>
      <w:r w:rsidRPr="004E10A8">
        <w:t>sychiatrists</w:t>
      </w:r>
      <w:r w:rsidR="006A1551">
        <w:t>:</w:t>
      </w:r>
      <w:r w:rsidRPr="004E10A8">
        <w:t xml:space="preserve"> registered, employed, working, clinicians (headcount) by age group</w:t>
      </w:r>
    </w:p>
    <w:p w:rsidR="00547D0A" w:rsidRPr="00DC0BBE" w:rsidRDefault="00547D0A" w:rsidP="00547D0A">
      <w:pPr>
        <w:tabs>
          <w:tab w:val="left" w:pos="567"/>
        </w:tabs>
        <w:spacing w:before="120" w:after="120"/>
        <w:rPr>
          <w:rFonts w:ascii="Arial" w:eastAsia="Calibri" w:hAnsi="Arial" w:cs="Arial"/>
          <w:szCs w:val="22"/>
        </w:rPr>
      </w:pPr>
      <w:r w:rsidRPr="00B92279">
        <w:rPr>
          <w:rFonts w:ascii="Arial" w:hAnsi="Arial" w:cs="Arial"/>
          <w:noProof/>
          <w:lang w:eastAsia="en-AU"/>
        </w:rPr>
        <w:drawing>
          <wp:inline distT="0" distB="0" distL="0" distR="0" wp14:anchorId="44F05F23" wp14:editId="547E96FB">
            <wp:extent cx="5718220" cy="2588653"/>
            <wp:effectExtent l="0" t="0" r="15875" b="21590"/>
            <wp:docPr id="9" name="Chart 9" descr="30 - 34 age group 68 are registered, 60 employed, 60 working,  60 are clinician&#10;35-39 age group 347 registered, 324 employed, 324 working and 315 and ares clinicians&#10;40-44 age group 457 registered, 430 employed, 427 working and 411 and are clinicians&#10;45-49 age group 469 registered, 455 employed, 451 working and 416 are clinicians&#10;50-54 age group 474 registered, 452 employed, 451 working and 402 are clinicians&#10;55-59 age group 450 registered, 429 employed, 427 working and 387 are clinicians&#10;60-64 age group 370 registered, 346 employed,341 working and 313 are clinicians&#10;65-69 age group 311 registered, 290 employed, 288 working and 264 are clinicians&#10;70-74 age group 175 registered, 161 employed, 159 working and 146 are clinicians&#10;75-79 age group 73 registered, 69 employed, 66 woring and 59 are clinicians&#10;80-84 aged group 31 registered, 27 employed, 27 working and 22 are clinicians&#10;85-89 age group 10 registered, 9 employed, 9 working and 9 are clinicians&#10;90-95 age group 1 registered, 1 employed, 1 working and 1 is a clinician" title="Figure 2 - Comparison of psychiatrists that are registered accredited specialist, employed, working, clinicians (headcount) by age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47D0A" w:rsidRPr="00426FDF" w:rsidRDefault="00547D0A" w:rsidP="00547D0A">
      <w:pPr>
        <w:rPr>
          <w:i/>
          <w:sz w:val="16"/>
          <w:szCs w:val="22"/>
        </w:rPr>
      </w:pPr>
      <w:r w:rsidRPr="00426FDF">
        <w:rPr>
          <w:i/>
          <w:sz w:val="16"/>
          <w:szCs w:val="22"/>
        </w:rPr>
        <w:t xml:space="preserve">Source: </w:t>
      </w:r>
      <w:proofErr w:type="spellStart"/>
      <w:r w:rsidRPr="00426FDF">
        <w:rPr>
          <w:i/>
          <w:sz w:val="16"/>
          <w:szCs w:val="22"/>
        </w:rPr>
        <w:t>NHWDS</w:t>
      </w:r>
      <w:proofErr w:type="spellEnd"/>
      <w:r w:rsidRPr="00426FDF">
        <w:rPr>
          <w:i/>
          <w:sz w:val="16"/>
          <w:szCs w:val="22"/>
        </w:rPr>
        <w:t>, Medical Practitioner 2013</w:t>
      </w:r>
    </w:p>
    <w:p w:rsidR="00547D0A" w:rsidRDefault="00547D0A" w:rsidP="00547D0A">
      <w:pPr>
        <w:rPr>
          <w:rFonts w:ascii="Arial" w:hAnsi="Arial" w:cs="Arial"/>
          <w:i/>
          <w:sz w:val="16"/>
          <w:szCs w:val="22"/>
        </w:rPr>
      </w:pPr>
    </w:p>
    <w:p w:rsidR="00547D0A" w:rsidRDefault="00547D0A" w:rsidP="00547D0A">
      <w:pPr>
        <w:rPr>
          <w:rFonts w:ascii="Arial" w:eastAsia="Calibri" w:hAnsi="Arial" w:cs="Arial"/>
          <w:szCs w:val="22"/>
        </w:rPr>
      </w:pPr>
      <w:r w:rsidRPr="002E6CA0">
        <w:rPr>
          <w:szCs w:val="22"/>
        </w:rPr>
        <w:t>The number of employed psychiatrists has grown over the years (2 per cent)</w:t>
      </w:r>
      <w:r w:rsidR="00E07842">
        <w:rPr>
          <w:szCs w:val="22"/>
        </w:rPr>
        <w:t>, with</w:t>
      </w:r>
      <w:r w:rsidRPr="002E6CA0">
        <w:rPr>
          <w:szCs w:val="22"/>
        </w:rPr>
        <w:t xml:space="preserve"> female psychiatrists </w:t>
      </w:r>
      <w:r w:rsidR="00E07842">
        <w:rPr>
          <w:szCs w:val="22"/>
        </w:rPr>
        <w:t>experiencing</w:t>
      </w:r>
      <w:r w:rsidRPr="002E6CA0">
        <w:rPr>
          <w:szCs w:val="22"/>
        </w:rPr>
        <w:t xml:space="preserve"> the largest growth over the last five years</w:t>
      </w:r>
      <w:r w:rsidR="00E07842">
        <w:rPr>
          <w:szCs w:val="22"/>
        </w:rPr>
        <w:t>,</w:t>
      </w:r>
      <w:r w:rsidRPr="002E6CA0">
        <w:rPr>
          <w:szCs w:val="22"/>
        </w:rPr>
        <w:t xml:space="preserve"> at a rate of 4 per cent</w:t>
      </w:r>
      <w:r w:rsidR="00E07842">
        <w:rPr>
          <w:szCs w:val="22"/>
        </w:rPr>
        <w:t>,</w:t>
      </w:r>
      <w:r w:rsidRPr="002E6CA0">
        <w:rPr>
          <w:szCs w:val="22"/>
        </w:rPr>
        <w:t xml:space="preserve"> while males have only grown at 1 per cent. However</w:t>
      </w:r>
      <w:r w:rsidR="00E07842">
        <w:rPr>
          <w:szCs w:val="22"/>
        </w:rPr>
        <w:t>,</w:t>
      </w:r>
      <w:r w:rsidRPr="002E6CA0">
        <w:rPr>
          <w:szCs w:val="22"/>
        </w:rPr>
        <w:t xml:space="preserve"> the split between males and females has remained fairly constant</w:t>
      </w:r>
      <w:r w:rsidR="00E07842">
        <w:rPr>
          <w:szCs w:val="22"/>
        </w:rPr>
        <w:t>,</w:t>
      </w:r>
      <w:r w:rsidRPr="002E6CA0">
        <w:rPr>
          <w:szCs w:val="22"/>
        </w:rPr>
        <w:t xml:space="preserve"> with a slight narrowing of the disparity between males and females</w:t>
      </w:r>
      <w:r w:rsidR="00E07842">
        <w:rPr>
          <w:szCs w:val="22"/>
        </w:rPr>
        <w:t>,</w:t>
      </w:r>
      <w:r w:rsidRPr="002E6CA0">
        <w:rPr>
          <w:szCs w:val="22"/>
        </w:rPr>
        <w:t xml:space="preserve"> </w:t>
      </w:r>
      <w:r w:rsidR="00E07842">
        <w:rPr>
          <w:szCs w:val="22"/>
        </w:rPr>
        <w:t>with the</w:t>
      </w:r>
      <w:r w:rsidRPr="002E6CA0">
        <w:rPr>
          <w:szCs w:val="22"/>
        </w:rPr>
        <w:t xml:space="preserve"> relative rate </w:t>
      </w:r>
      <w:r w:rsidR="00E07842">
        <w:rPr>
          <w:szCs w:val="22"/>
        </w:rPr>
        <w:t>remaining at</w:t>
      </w:r>
      <w:r w:rsidRPr="002E6CA0">
        <w:rPr>
          <w:szCs w:val="22"/>
        </w:rPr>
        <w:t xml:space="preserve"> 66 per cent and 34 per cent respectively.</w:t>
      </w:r>
      <w:r>
        <w:rPr>
          <w:rFonts w:ascii="Arial" w:eastAsia="Calibri" w:hAnsi="Arial" w:cs="Arial"/>
          <w:szCs w:val="22"/>
        </w:rPr>
        <w:t xml:space="preserve"> </w:t>
      </w:r>
    </w:p>
    <w:p w:rsidR="00547D0A" w:rsidRPr="00547D0A" w:rsidRDefault="00547D0A" w:rsidP="00547D0A">
      <w:pPr>
        <w:rPr>
          <w:rFonts w:ascii="Arial" w:hAnsi="Arial" w:cs="Arial"/>
          <w:i/>
          <w:sz w:val="16"/>
          <w:szCs w:val="22"/>
        </w:rPr>
      </w:pPr>
    </w:p>
    <w:p w:rsidR="00547D0A" w:rsidRPr="004E10A8" w:rsidRDefault="00547D0A" w:rsidP="003C642E">
      <w:pPr>
        <w:pStyle w:val="Heading4"/>
        <w:jc w:val="left"/>
      </w:pPr>
      <w:r w:rsidRPr="004E10A8">
        <w:t xml:space="preserve">Figure </w:t>
      </w:r>
      <w:r w:rsidR="00214BBC">
        <w:t>3</w:t>
      </w:r>
      <w:r w:rsidRPr="004E10A8">
        <w:t xml:space="preserve"> – Employed psychiatrists, by gender 2008 – 2013</w:t>
      </w:r>
    </w:p>
    <w:p w:rsidR="00547D0A" w:rsidRPr="00DC0BBE" w:rsidRDefault="00426FDF" w:rsidP="00547D0A">
      <w:pPr>
        <w:keepNext/>
        <w:tabs>
          <w:tab w:val="left" w:pos="567"/>
        </w:tabs>
        <w:spacing w:before="120" w:after="120"/>
        <w:rPr>
          <w:rFonts w:ascii="Arial" w:hAnsi="Arial" w:cs="Arial"/>
        </w:rPr>
      </w:pPr>
      <w:r>
        <w:rPr>
          <w:noProof/>
          <w:lang w:eastAsia="en-AU"/>
        </w:rPr>
        <w:drawing>
          <wp:inline distT="0" distB="0" distL="0" distR="0" wp14:anchorId="17731026" wp14:editId="343F4A09">
            <wp:extent cx="5718220" cy="2588653"/>
            <wp:effectExtent l="0" t="0" r="15875" b="21590"/>
            <wp:docPr id="1" name="Chart 1" descr="Figure 3 demonstrates the gradual growth of the number of employed psychiatrists between 2008 and 2013, by gender.&#10;2008: 1849 males, 894 females&#10;2009: 2060 males, 945 females&#10;2011: 1852 males, 984 females&#10;2012: 1884 males, 1029 females&#10;2013: 1992 males, 1109 fema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47D0A" w:rsidRPr="00547D0A" w:rsidRDefault="00547D0A" w:rsidP="00547D0A">
      <w:pPr>
        <w:tabs>
          <w:tab w:val="left" w:pos="567"/>
        </w:tabs>
        <w:spacing w:before="120"/>
        <w:rPr>
          <w:rFonts w:eastAsia="Calibri"/>
          <w:sz w:val="16"/>
          <w:szCs w:val="16"/>
        </w:rPr>
      </w:pPr>
      <w:r w:rsidRPr="00547D0A">
        <w:rPr>
          <w:rFonts w:eastAsia="Calibri"/>
          <w:sz w:val="16"/>
          <w:szCs w:val="16"/>
        </w:rPr>
        <w:t xml:space="preserve">Data for 2010 </w:t>
      </w:r>
      <w:r w:rsidR="00426FDF">
        <w:rPr>
          <w:rFonts w:eastAsia="Calibri"/>
          <w:sz w:val="16"/>
          <w:szCs w:val="16"/>
        </w:rPr>
        <w:t xml:space="preserve">has been omitted as it </w:t>
      </w:r>
      <w:r w:rsidRPr="00547D0A">
        <w:rPr>
          <w:rFonts w:eastAsia="Calibri"/>
          <w:sz w:val="16"/>
          <w:szCs w:val="16"/>
        </w:rPr>
        <w:t>exclude</w:t>
      </w:r>
      <w:r w:rsidR="001A33C4">
        <w:rPr>
          <w:rFonts w:eastAsia="Calibri"/>
          <w:sz w:val="16"/>
          <w:szCs w:val="16"/>
        </w:rPr>
        <w:t>s</w:t>
      </w:r>
      <w:r w:rsidRPr="00547D0A">
        <w:rPr>
          <w:rFonts w:eastAsia="Calibri"/>
          <w:sz w:val="16"/>
          <w:szCs w:val="16"/>
        </w:rPr>
        <w:t xml:space="preserve"> Queensland and Western Australia due to their registration closing after the national registration deadline of 30 September 2010.</w:t>
      </w:r>
    </w:p>
    <w:p w:rsidR="00547D0A" w:rsidRPr="0011170C" w:rsidRDefault="00547D0A" w:rsidP="0011170C">
      <w:pPr>
        <w:tabs>
          <w:tab w:val="left" w:pos="567"/>
        </w:tabs>
        <w:spacing w:after="120"/>
        <w:rPr>
          <w:rFonts w:eastAsia="Calibri"/>
          <w:i/>
          <w:sz w:val="16"/>
          <w:szCs w:val="16"/>
        </w:rPr>
      </w:pPr>
      <w:r w:rsidRPr="00547D0A">
        <w:rPr>
          <w:rFonts w:eastAsia="Calibri"/>
          <w:i/>
          <w:sz w:val="16"/>
          <w:szCs w:val="16"/>
        </w:rPr>
        <w:t xml:space="preserve">Sources: </w:t>
      </w:r>
      <w:proofErr w:type="spellStart"/>
      <w:r w:rsidRPr="00547D0A">
        <w:rPr>
          <w:rFonts w:eastAsia="Calibri"/>
          <w:i/>
          <w:sz w:val="16"/>
          <w:szCs w:val="16"/>
        </w:rPr>
        <w:t>AIHW</w:t>
      </w:r>
      <w:proofErr w:type="spellEnd"/>
      <w:r w:rsidRPr="00547D0A">
        <w:rPr>
          <w:rFonts w:eastAsia="Calibri"/>
          <w:i/>
          <w:sz w:val="16"/>
          <w:szCs w:val="16"/>
        </w:rPr>
        <w:t xml:space="preserve"> Medical Labour Force Surveys 2008 and 2009; National Health Workforce Data Set: medical practitioners 2010 to 2013.</w:t>
      </w:r>
    </w:p>
    <w:p w:rsidR="00426FDF" w:rsidRDefault="00426FDF" w:rsidP="0011170C">
      <w:pPr>
        <w:spacing w:before="120" w:after="120"/>
        <w:rPr>
          <w:szCs w:val="22"/>
        </w:rPr>
      </w:pPr>
    </w:p>
    <w:p w:rsidR="00547D0A" w:rsidRPr="0011170C" w:rsidRDefault="00547D0A" w:rsidP="0011170C">
      <w:pPr>
        <w:spacing w:before="120" w:after="120"/>
        <w:rPr>
          <w:szCs w:val="22"/>
        </w:rPr>
      </w:pPr>
      <w:r w:rsidRPr="002E6CA0">
        <w:rPr>
          <w:szCs w:val="22"/>
        </w:rPr>
        <w:lastRenderedPageBreak/>
        <w:t>In 2013</w:t>
      </w:r>
      <w:r w:rsidR="006A16C8">
        <w:rPr>
          <w:szCs w:val="22"/>
        </w:rPr>
        <w:t>,</w:t>
      </w:r>
      <w:r w:rsidRPr="002E6CA0">
        <w:rPr>
          <w:szCs w:val="22"/>
        </w:rPr>
        <w:t xml:space="preserve"> Australia had 13.1 employed psychiatrists per 100,000 </w:t>
      </w:r>
      <w:proofErr w:type="gramStart"/>
      <w:r w:rsidRPr="002E6CA0">
        <w:rPr>
          <w:szCs w:val="22"/>
        </w:rPr>
        <w:t>population</w:t>
      </w:r>
      <w:proofErr w:type="gramEnd"/>
      <w:r w:rsidRPr="002E6CA0">
        <w:rPr>
          <w:szCs w:val="22"/>
        </w:rPr>
        <w:t>. The latest data available to make comparisons with OECD data is 2011; in 2011</w:t>
      </w:r>
      <w:r w:rsidR="001F41AC">
        <w:rPr>
          <w:szCs w:val="22"/>
        </w:rPr>
        <w:t>,</w:t>
      </w:r>
      <w:r w:rsidRPr="002E6CA0">
        <w:rPr>
          <w:szCs w:val="22"/>
        </w:rPr>
        <w:t xml:space="preserve"> the rate was slightly lower at 12.8 per 100,000</w:t>
      </w:r>
      <w:r w:rsidR="001F41AC">
        <w:rPr>
          <w:szCs w:val="22"/>
        </w:rPr>
        <w:t xml:space="preserve"> </w:t>
      </w:r>
      <w:r w:rsidRPr="002E6CA0">
        <w:rPr>
          <w:szCs w:val="22"/>
        </w:rPr>
        <w:t>– this is somewhat lower than the OECD average of 15.6</w:t>
      </w:r>
      <w:r w:rsidR="001F41AC">
        <w:rPr>
          <w:szCs w:val="22"/>
        </w:rPr>
        <w:t xml:space="preserve"> and </w:t>
      </w:r>
      <w:r w:rsidR="001F41AC" w:rsidRPr="002E6CA0">
        <w:rPr>
          <w:szCs w:val="22"/>
        </w:rPr>
        <w:t>placing Australia 11th highest out of 22 selected countries</w:t>
      </w:r>
      <w:r w:rsidRPr="002E6CA0">
        <w:rPr>
          <w:szCs w:val="22"/>
        </w:rPr>
        <w:t xml:space="preserve">. This is an aggregate number and does not take into account geographic distributional differences; however it does provide a comparison </w:t>
      </w:r>
      <w:r w:rsidR="001F41AC">
        <w:rPr>
          <w:szCs w:val="22"/>
        </w:rPr>
        <w:t>with</w:t>
      </w:r>
      <w:r w:rsidR="001F41AC" w:rsidRPr="002E6CA0">
        <w:rPr>
          <w:szCs w:val="22"/>
        </w:rPr>
        <w:t xml:space="preserve"> </w:t>
      </w:r>
      <w:r w:rsidRPr="002E6CA0">
        <w:rPr>
          <w:szCs w:val="22"/>
        </w:rPr>
        <w:t>a number of other developed countries</w:t>
      </w:r>
      <w:r w:rsidR="001F41AC" w:rsidRPr="001F41AC">
        <w:rPr>
          <w:szCs w:val="22"/>
        </w:rPr>
        <w:t xml:space="preserve"> </w:t>
      </w:r>
      <w:r w:rsidR="001F41AC" w:rsidRPr="002E6CA0">
        <w:rPr>
          <w:szCs w:val="22"/>
        </w:rPr>
        <w:t>of employed psychiatrists</w:t>
      </w:r>
      <w:r w:rsidRPr="002E6CA0">
        <w:rPr>
          <w:szCs w:val="22"/>
        </w:rPr>
        <w:t xml:space="preserve">. </w:t>
      </w:r>
    </w:p>
    <w:p w:rsidR="00B92279" w:rsidRPr="004E10A8" w:rsidRDefault="00547D0A" w:rsidP="003C642E">
      <w:pPr>
        <w:pStyle w:val="Heading4"/>
        <w:jc w:val="left"/>
      </w:pPr>
      <w:r w:rsidRPr="004E10A8">
        <w:t xml:space="preserve">Figure </w:t>
      </w:r>
      <w:r w:rsidR="00214BBC">
        <w:t>4</w:t>
      </w:r>
      <w:r w:rsidRPr="004E10A8">
        <w:t xml:space="preserve"> – Psychiatrists, per 100 000 population, 2011</w:t>
      </w:r>
    </w:p>
    <w:p w:rsidR="00547D0A" w:rsidRPr="00DC0BBE" w:rsidRDefault="00547D0A" w:rsidP="00D84538">
      <w:pPr>
        <w:tabs>
          <w:tab w:val="left" w:pos="567"/>
        </w:tabs>
        <w:spacing w:before="120" w:after="120"/>
        <w:rPr>
          <w:rFonts w:ascii="Arial" w:eastAsia="Calibri" w:hAnsi="Arial" w:cs="Arial"/>
          <w:i/>
          <w:sz w:val="16"/>
          <w:szCs w:val="16"/>
        </w:rPr>
      </w:pPr>
      <w:r w:rsidRPr="00DC0BBE">
        <w:rPr>
          <w:rFonts w:ascii="Arial" w:hAnsi="Arial" w:cs="Arial"/>
          <w:noProof/>
          <w:lang w:eastAsia="en-AU"/>
        </w:rPr>
        <w:drawing>
          <wp:inline distT="0" distB="0" distL="0" distR="0" wp14:anchorId="7B081900" wp14:editId="00B41E1F">
            <wp:extent cx="5731099" cy="2588654"/>
            <wp:effectExtent l="0" t="0" r="22225" b="21590"/>
            <wp:docPr id="19" name="Chart 19" descr="Switzerland: 41.4&#10;Norway: 30.8&#10;Finland: 28.1&#10;France: 22.4&#10;Iceland: 19.7&#10;Austria: 19.7&#10;Netherlands:18.8&#10;OECD: 15.6&#10;Germany: 15.2&#10;Denmark: 14.1&#10;Australia: 12.8&#10;Canada: 12.6&#10;Japan: 10.1&#10;New Zealand: 9.8&#10;Italy: 7.8&#10;United States: 7.8&#10;Hungary: 6.5&#10;Ireland: 6.1&#10;Sweden: 3.6&#10;Turkey: 2.1&#10;China: 1.5&#10;India: 0.3&#10;" title="Figure 4 is a graph that compares psychiatrists, per 100,000 population, in 20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47D0A" w:rsidRPr="0011170C" w:rsidRDefault="00547D0A" w:rsidP="003D3407">
      <w:pPr>
        <w:tabs>
          <w:tab w:val="left" w:pos="567"/>
        </w:tabs>
        <w:rPr>
          <w:rFonts w:eastAsia="Calibri"/>
          <w:i/>
          <w:sz w:val="16"/>
          <w:szCs w:val="16"/>
        </w:rPr>
      </w:pPr>
      <w:r w:rsidRPr="0011170C">
        <w:rPr>
          <w:rFonts w:eastAsia="Calibri"/>
          <w:i/>
          <w:sz w:val="16"/>
          <w:szCs w:val="16"/>
        </w:rPr>
        <w:t xml:space="preserve">Source: OECD Health Statistics 2014; WHO </w:t>
      </w:r>
      <w:proofErr w:type="spellStart"/>
      <w:r w:rsidRPr="0011170C">
        <w:rPr>
          <w:rFonts w:eastAsia="Calibri"/>
          <w:i/>
          <w:sz w:val="16"/>
          <w:szCs w:val="16"/>
        </w:rPr>
        <w:t>GHO</w:t>
      </w:r>
      <w:proofErr w:type="spellEnd"/>
      <w:r w:rsidRPr="0011170C">
        <w:rPr>
          <w:rFonts w:eastAsia="Calibri"/>
          <w:i/>
          <w:sz w:val="16"/>
          <w:szCs w:val="16"/>
        </w:rPr>
        <w:t xml:space="preserve"> 2014.</w:t>
      </w:r>
    </w:p>
    <w:p w:rsidR="00547D0A" w:rsidRDefault="00547D0A" w:rsidP="00547D0A">
      <w:pPr>
        <w:spacing w:before="120" w:after="120"/>
        <w:rPr>
          <w:szCs w:val="22"/>
        </w:rPr>
      </w:pPr>
      <w:r w:rsidRPr="002E6CA0">
        <w:rPr>
          <w:szCs w:val="22"/>
        </w:rPr>
        <w:t>In 2013</w:t>
      </w:r>
      <w:r w:rsidR="006A16C8">
        <w:rPr>
          <w:szCs w:val="22"/>
        </w:rPr>
        <w:t>,</w:t>
      </w:r>
      <w:r w:rsidRPr="002E6CA0">
        <w:rPr>
          <w:szCs w:val="22"/>
        </w:rPr>
        <w:t xml:space="preserve"> the psychiatry workforce (clinicians) had the following characteristics:</w:t>
      </w:r>
    </w:p>
    <w:p w:rsidR="00CE6588" w:rsidRDefault="00CE6588" w:rsidP="00D510F1">
      <w:pPr>
        <w:pStyle w:val="ListParagraph"/>
        <w:numPr>
          <w:ilvl w:val="0"/>
          <w:numId w:val="13"/>
        </w:numPr>
        <w:spacing w:before="120" w:after="120"/>
        <w:ind w:left="426" w:hanging="426"/>
        <w:rPr>
          <w:szCs w:val="22"/>
        </w:rPr>
      </w:pPr>
      <w:r>
        <w:rPr>
          <w:szCs w:val="22"/>
        </w:rPr>
        <w:t>The average age of the clinician psychiatry workforce was 52.8 years.</w:t>
      </w:r>
    </w:p>
    <w:p w:rsidR="00CE6588" w:rsidRDefault="00CE6588" w:rsidP="00D510F1">
      <w:pPr>
        <w:pStyle w:val="ListParagraph"/>
        <w:numPr>
          <w:ilvl w:val="0"/>
          <w:numId w:val="13"/>
        </w:numPr>
        <w:spacing w:before="120" w:after="120"/>
        <w:ind w:left="426" w:hanging="426"/>
        <w:rPr>
          <w:szCs w:val="22"/>
        </w:rPr>
      </w:pPr>
      <w:r>
        <w:rPr>
          <w:szCs w:val="22"/>
        </w:rPr>
        <w:t>Females accounted for 37% of the workforce and worked an average of 33.5 hours per week.</w:t>
      </w:r>
    </w:p>
    <w:p w:rsidR="00CE6588" w:rsidRDefault="00CE6588" w:rsidP="00D510F1">
      <w:pPr>
        <w:pStyle w:val="ListParagraph"/>
        <w:numPr>
          <w:ilvl w:val="0"/>
          <w:numId w:val="13"/>
        </w:numPr>
        <w:spacing w:before="120" w:after="120"/>
        <w:ind w:left="426" w:hanging="426"/>
        <w:rPr>
          <w:szCs w:val="22"/>
        </w:rPr>
      </w:pPr>
      <w:r>
        <w:rPr>
          <w:szCs w:val="22"/>
        </w:rPr>
        <w:t>The average hours worked by a psychiatrist was 38.3 hours per week.</w:t>
      </w:r>
    </w:p>
    <w:p w:rsidR="00CE6588" w:rsidRDefault="00CE6588" w:rsidP="00D510F1">
      <w:pPr>
        <w:pStyle w:val="ListParagraph"/>
        <w:numPr>
          <w:ilvl w:val="0"/>
          <w:numId w:val="13"/>
        </w:numPr>
        <w:spacing w:before="120" w:after="120"/>
        <w:ind w:left="426" w:hanging="426"/>
        <w:rPr>
          <w:szCs w:val="22"/>
        </w:rPr>
      </w:pPr>
      <w:r>
        <w:rPr>
          <w:szCs w:val="22"/>
        </w:rPr>
        <w:t>42.8% were aged 55 years and over and worked an average of 36.8 hours per week.</w:t>
      </w:r>
    </w:p>
    <w:p w:rsidR="00CE6588" w:rsidRDefault="00CE6588" w:rsidP="00D510F1">
      <w:pPr>
        <w:pStyle w:val="ListParagraph"/>
        <w:numPr>
          <w:ilvl w:val="0"/>
          <w:numId w:val="13"/>
        </w:numPr>
        <w:spacing w:before="120" w:after="120"/>
        <w:ind w:left="426" w:hanging="426"/>
        <w:rPr>
          <w:szCs w:val="22"/>
        </w:rPr>
      </w:pPr>
      <w:r>
        <w:rPr>
          <w:szCs w:val="22"/>
        </w:rPr>
        <w:t xml:space="preserve">60% of all psychiatrists </w:t>
      </w:r>
      <w:r w:rsidR="00EB7082">
        <w:rPr>
          <w:szCs w:val="22"/>
        </w:rPr>
        <w:t>were</w:t>
      </w:r>
      <w:r>
        <w:rPr>
          <w:szCs w:val="22"/>
        </w:rPr>
        <w:t xml:space="preserve"> located in NSW and VIC and 88% of all psychiatrists </w:t>
      </w:r>
      <w:r w:rsidR="00EB7082">
        <w:rPr>
          <w:szCs w:val="22"/>
        </w:rPr>
        <w:t>were</w:t>
      </w:r>
      <w:r>
        <w:rPr>
          <w:szCs w:val="22"/>
        </w:rPr>
        <w:t xml:space="preserve"> located in major cities.</w:t>
      </w:r>
    </w:p>
    <w:p w:rsidR="00CE6588" w:rsidRDefault="00CE6588" w:rsidP="00D510F1">
      <w:pPr>
        <w:pStyle w:val="ListParagraph"/>
        <w:numPr>
          <w:ilvl w:val="0"/>
          <w:numId w:val="13"/>
        </w:numPr>
        <w:spacing w:before="120" w:after="120"/>
        <w:ind w:left="426" w:hanging="426"/>
        <w:rPr>
          <w:szCs w:val="22"/>
        </w:rPr>
      </w:pPr>
      <w:r>
        <w:rPr>
          <w:szCs w:val="22"/>
        </w:rPr>
        <w:t xml:space="preserve">55% of </w:t>
      </w:r>
      <w:proofErr w:type="gramStart"/>
      <w:r>
        <w:rPr>
          <w:szCs w:val="22"/>
        </w:rPr>
        <w:t>psychiatrists</w:t>
      </w:r>
      <w:proofErr w:type="gramEnd"/>
      <w:r>
        <w:rPr>
          <w:szCs w:val="22"/>
        </w:rPr>
        <w:t xml:space="preserve"> clinical hours </w:t>
      </w:r>
      <w:r w:rsidR="00EB7082">
        <w:rPr>
          <w:szCs w:val="22"/>
        </w:rPr>
        <w:t>were</w:t>
      </w:r>
      <w:r>
        <w:rPr>
          <w:szCs w:val="22"/>
        </w:rPr>
        <w:t xml:space="preserve"> provided in the private sector.</w:t>
      </w:r>
    </w:p>
    <w:p w:rsidR="00547D0A" w:rsidRDefault="000C0CAD" w:rsidP="00547D0A">
      <w:pPr>
        <w:rPr>
          <w:i/>
          <w:sz w:val="16"/>
          <w:szCs w:val="22"/>
        </w:rPr>
      </w:pPr>
      <w:r w:rsidRPr="000C0CAD">
        <w:rPr>
          <w:i/>
          <w:sz w:val="16"/>
          <w:szCs w:val="22"/>
        </w:rPr>
        <w:t xml:space="preserve">Source: </w:t>
      </w:r>
      <w:proofErr w:type="spellStart"/>
      <w:r w:rsidRPr="000C0CAD">
        <w:rPr>
          <w:i/>
          <w:sz w:val="16"/>
          <w:szCs w:val="22"/>
        </w:rPr>
        <w:t>NHWDS</w:t>
      </w:r>
      <w:proofErr w:type="spellEnd"/>
      <w:r w:rsidRPr="000C0CAD">
        <w:rPr>
          <w:i/>
          <w:sz w:val="16"/>
          <w:szCs w:val="22"/>
        </w:rPr>
        <w:t>, Medical Practitioner 2013</w:t>
      </w:r>
    </w:p>
    <w:p w:rsidR="00985EBD" w:rsidRPr="003D3407" w:rsidRDefault="00985EBD" w:rsidP="00547D0A">
      <w:pPr>
        <w:rPr>
          <w:i/>
          <w:sz w:val="16"/>
          <w:szCs w:val="22"/>
        </w:rPr>
      </w:pPr>
    </w:p>
    <w:p w:rsidR="00547D0A" w:rsidRPr="00547D0A" w:rsidRDefault="00547D0A" w:rsidP="00547D0A">
      <w:pPr>
        <w:spacing w:before="120" w:after="120"/>
        <w:rPr>
          <w:szCs w:val="22"/>
        </w:rPr>
      </w:pPr>
      <w:r w:rsidRPr="002E6CA0">
        <w:rPr>
          <w:szCs w:val="22"/>
        </w:rPr>
        <w:t xml:space="preserve">While specialist clinician psychiatrists are located throughout Australia, </w:t>
      </w:r>
      <w:r w:rsidR="001F41AC">
        <w:rPr>
          <w:szCs w:val="22"/>
        </w:rPr>
        <w:t xml:space="preserve">in 2013 </w:t>
      </w:r>
      <w:r w:rsidRPr="002E6CA0">
        <w:rPr>
          <w:szCs w:val="22"/>
        </w:rPr>
        <w:t xml:space="preserve">they </w:t>
      </w:r>
      <w:r w:rsidR="001F41AC">
        <w:rPr>
          <w:szCs w:val="22"/>
        </w:rPr>
        <w:t>were</w:t>
      </w:r>
      <w:r w:rsidR="001F41AC" w:rsidRPr="002E6CA0">
        <w:rPr>
          <w:szCs w:val="22"/>
        </w:rPr>
        <w:t xml:space="preserve"> </w:t>
      </w:r>
      <w:r w:rsidRPr="002E6CA0">
        <w:rPr>
          <w:szCs w:val="22"/>
        </w:rPr>
        <w:t>mainly concentrated along the eastern sea border. The follow map illustrates the remoteness areas and the density of psychiatrists within these remoteness a</w:t>
      </w:r>
      <w:r w:rsidR="00985EBD">
        <w:rPr>
          <w:szCs w:val="22"/>
        </w:rPr>
        <w:t>reas.</w:t>
      </w:r>
    </w:p>
    <w:p w:rsidR="000C0CAD" w:rsidRDefault="000C0CAD">
      <w:pPr>
        <w:jc w:val="left"/>
        <w:rPr>
          <w:b/>
          <w:bCs/>
          <w:sz w:val="20"/>
          <w:szCs w:val="18"/>
        </w:rPr>
      </w:pPr>
      <w:r>
        <w:rPr>
          <w:szCs w:val="18"/>
        </w:rPr>
        <w:br w:type="page"/>
      </w:r>
    </w:p>
    <w:p w:rsidR="0027604A" w:rsidRPr="0027604A" w:rsidRDefault="00547D0A" w:rsidP="00D84538">
      <w:pPr>
        <w:pStyle w:val="Heading4"/>
        <w:jc w:val="left"/>
      </w:pPr>
      <w:r w:rsidRPr="004E10A8">
        <w:lastRenderedPageBreak/>
        <w:t xml:space="preserve">Figure </w:t>
      </w:r>
      <w:r w:rsidR="00214BBC">
        <w:t>5</w:t>
      </w:r>
      <w:r w:rsidRPr="004E10A8">
        <w:t xml:space="preserve"> – Psychiatrists (specialist clinicians) by remoteness areas, 2013</w:t>
      </w:r>
    </w:p>
    <w:p w:rsidR="00547D0A" w:rsidRPr="00DC0BBE" w:rsidRDefault="00324F2A" w:rsidP="00D84538">
      <w:pPr>
        <w:spacing w:before="120"/>
        <w:jc w:val="center"/>
        <w:rPr>
          <w:rFonts w:ascii="Arial" w:hAnsi="Arial" w:cs="Arial"/>
          <w:b/>
          <w:bCs/>
          <w:color w:val="000080"/>
          <w:kern w:val="28"/>
          <w:sz w:val="28"/>
          <w:szCs w:val="32"/>
        </w:rPr>
      </w:pPr>
      <w:r>
        <w:rPr>
          <w:rFonts w:ascii="Arial" w:hAnsi="Arial" w:cs="Arial"/>
          <w:noProof/>
          <w:szCs w:val="22"/>
          <w:bdr w:val="single" w:sz="8" w:space="0" w:color="000080"/>
          <w:shd w:val="clear" w:color="auto" w:fill="000000" w:themeFill="text1"/>
          <w:lang w:eastAsia="en-AU"/>
        </w:rPr>
        <w:drawing>
          <wp:inline distT="0" distB="0" distL="0" distR="0" wp14:anchorId="18F44E2D" wp14:editId="6F67CFB1">
            <wp:extent cx="5003800" cy="3537658"/>
            <wp:effectExtent l="0" t="0" r="6350" b="5715"/>
            <wp:docPr id="17" name="Picture 17" descr="The map shows that in 2013 specialist clinician psychiatrists were mainly concentrated along the eastern sea border.  The majority were located in inner regional locations." title="Figure 5 is a map of Australia showing psychiatrists (specialist clinicians) by remoteness areas in 20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astt\AppData\Local\Microsoft\Windows\Temporary Internet Files\Content.Outlook\22E6FHO4\Psychiatry - per capita rate.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03800" cy="3537658"/>
                    </a:xfrm>
                    <a:prstGeom prst="rect">
                      <a:avLst/>
                    </a:prstGeom>
                    <a:noFill/>
                    <a:ln>
                      <a:noFill/>
                    </a:ln>
                  </pic:spPr>
                </pic:pic>
              </a:graphicData>
            </a:graphic>
          </wp:inline>
        </w:drawing>
      </w:r>
    </w:p>
    <w:p w:rsidR="00547D0A" w:rsidRPr="003D3407" w:rsidRDefault="003D3407" w:rsidP="00C64C65">
      <w:pPr>
        <w:spacing w:before="120"/>
        <w:ind w:left="720"/>
        <w:rPr>
          <w:bCs/>
          <w:color w:val="000000"/>
          <w:szCs w:val="22"/>
          <w:lang w:eastAsia="en-AU"/>
        </w:rPr>
      </w:pPr>
      <w:r>
        <w:rPr>
          <w:i/>
          <w:sz w:val="16"/>
          <w:szCs w:val="22"/>
        </w:rPr>
        <w:t xml:space="preserve">  </w:t>
      </w:r>
      <w:r w:rsidR="00547D0A" w:rsidRPr="003D3407">
        <w:rPr>
          <w:i/>
          <w:sz w:val="16"/>
          <w:szCs w:val="22"/>
        </w:rPr>
        <w:t xml:space="preserve">Source: </w:t>
      </w:r>
      <w:proofErr w:type="spellStart"/>
      <w:r w:rsidR="00547D0A" w:rsidRPr="003D3407">
        <w:rPr>
          <w:i/>
          <w:sz w:val="16"/>
          <w:szCs w:val="22"/>
        </w:rPr>
        <w:t>NHWDS</w:t>
      </w:r>
      <w:proofErr w:type="spellEnd"/>
      <w:r w:rsidR="00547D0A" w:rsidRPr="003D3407">
        <w:rPr>
          <w:i/>
          <w:sz w:val="16"/>
          <w:szCs w:val="22"/>
        </w:rPr>
        <w:t>, Medical Practitioner 2013</w:t>
      </w:r>
    </w:p>
    <w:p w:rsidR="00547D0A" w:rsidRPr="00547D0A" w:rsidRDefault="00547D0A" w:rsidP="00547D0A">
      <w:pPr>
        <w:spacing w:before="120" w:after="120"/>
        <w:rPr>
          <w:szCs w:val="22"/>
        </w:rPr>
      </w:pPr>
      <w:r w:rsidRPr="0090788F">
        <w:rPr>
          <w:szCs w:val="22"/>
        </w:rPr>
        <w:t xml:space="preserve">The hours worked by specialist clinician psychiatrists </w:t>
      </w:r>
      <w:r w:rsidR="001F41AC">
        <w:rPr>
          <w:szCs w:val="22"/>
        </w:rPr>
        <w:t>were</w:t>
      </w:r>
      <w:r w:rsidR="001F41AC" w:rsidRPr="0090788F">
        <w:rPr>
          <w:szCs w:val="22"/>
        </w:rPr>
        <w:t xml:space="preserve"> </w:t>
      </w:r>
      <w:r w:rsidRPr="0090788F">
        <w:rPr>
          <w:szCs w:val="22"/>
        </w:rPr>
        <w:t xml:space="preserve">reported in the 2013 medical workforce survey, where the question </w:t>
      </w:r>
      <w:r w:rsidR="001F41AC" w:rsidRPr="0090788F">
        <w:rPr>
          <w:szCs w:val="22"/>
        </w:rPr>
        <w:t>ask</w:t>
      </w:r>
      <w:r w:rsidR="001F41AC">
        <w:rPr>
          <w:szCs w:val="22"/>
        </w:rPr>
        <w:t>ed</w:t>
      </w:r>
      <w:r w:rsidR="001F41AC" w:rsidRPr="0090788F">
        <w:rPr>
          <w:szCs w:val="22"/>
        </w:rPr>
        <w:t xml:space="preserve"> </w:t>
      </w:r>
      <w:r w:rsidRPr="0090788F">
        <w:rPr>
          <w:szCs w:val="22"/>
        </w:rPr>
        <w:t>what their total hours were in a clinical and non-clinical role</w:t>
      </w:r>
      <w:r w:rsidR="001F41AC">
        <w:rPr>
          <w:szCs w:val="22"/>
        </w:rPr>
        <w:t>,</w:t>
      </w:r>
      <w:r w:rsidRPr="0090788F">
        <w:rPr>
          <w:szCs w:val="22"/>
        </w:rPr>
        <w:t xml:space="preserve"> and separate</w:t>
      </w:r>
      <w:r w:rsidR="001F41AC">
        <w:rPr>
          <w:szCs w:val="22"/>
        </w:rPr>
        <w:t>d</w:t>
      </w:r>
      <w:r w:rsidRPr="0090788F">
        <w:rPr>
          <w:szCs w:val="22"/>
        </w:rPr>
        <w:t xml:space="preserve"> the clinical hours further into sectors. Another section of the survey for specialist registration further identifie</w:t>
      </w:r>
      <w:r w:rsidR="001F41AC">
        <w:rPr>
          <w:szCs w:val="22"/>
        </w:rPr>
        <w:t>d</w:t>
      </w:r>
      <w:r w:rsidRPr="0090788F">
        <w:rPr>
          <w:szCs w:val="22"/>
        </w:rPr>
        <w:t xml:space="preserve"> the hours most worked for a particular speciality</w:t>
      </w:r>
      <w:r w:rsidR="001F41AC">
        <w:rPr>
          <w:szCs w:val="22"/>
        </w:rPr>
        <w:t>,</w:t>
      </w:r>
      <w:r w:rsidRPr="0090788F">
        <w:rPr>
          <w:szCs w:val="22"/>
        </w:rPr>
        <w:t xml:space="preserve"> again by sector. </w:t>
      </w:r>
    </w:p>
    <w:p w:rsidR="00547D0A" w:rsidRPr="00251345" w:rsidRDefault="00547D0A" w:rsidP="00547D0A">
      <w:pPr>
        <w:rPr>
          <w:bCs/>
          <w:color w:val="000000"/>
          <w:szCs w:val="22"/>
          <w:lang w:eastAsia="en-AU"/>
        </w:rPr>
      </w:pPr>
      <w:r w:rsidRPr="00251345">
        <w:rPr>
          <w:bCs/>
          <w:color w:val="000000"/>
          <w:szCs w:val="22"/>
          <w:lang w:eastAsia="en-AU"/>
        </w:rPr>
        <w:t xml:space="preserve">The following graphs illustrate the </w:t>
      </w:r>
      <w:r w:rsidRPr="00251345">
        <w:rPr>
          <w:szCs w:val="22"/>
        </w:rPr>
        <w:t>groups and gender by the following hierarchy of hours:</w:t>
      </w:r>
    </w:p>
    <w:p w:rsidR="00547D0A" w:rsidRPr="00251345" w:rsidRDefault="00547D0A" w:rsidP="00D510F1">
      <w:pPr>
        <w:pStyle w:val="ListParagraph"/>
        <w:numPr>
          <w:ilvl w:val="0"/>
          <w:numId w:val="4"/>
        </w:numPr>
        <w:spacing w:before="120" w:after="120"/>
        <w:ind w:left="426" w:hanging="426"/>
        <w:contextualSpacing w:val="0"/>
        <w:rPr>
          <w:bCs/>
          <w:color w:val="000000"/>
          <w:szCs w:val="22"/>
          <w:lang w:eastAsia="en-AU"/>
        </w:rPr>
      </w:pPr>
      <w:r w:rsidRPr="00251345">
        <w:rPr>
          <w:bCs/>
          <w:color w:val="000000"/>
          <w:szCs w:val="22"/>
          <w:lang w:eastAsia="en-AU"/>
        </w:rPr>
        <w:t>total average hours (clinical and non-clinical hours)</w:t>
      </w:r>
    </w:p>
    <w:p w:rsidR="00547D0A" w:rsidRPr="00251345" w:rsidRDefault="00547D0A" w:rsidP="00D510F1">
      <w:pPr>
        <w:pStyle w:val="ListParagraph"/>
        <w:numPr>
          <w:ilvl w:val="0"/>
          <w:numId w:val="4"/>
        </w:numPr>
        <w:spacing w:before="120" w:after="120"/>
        <w:ind w:left="426" w:hanging="426"/>
        <w:contextualSpacing w:val="0"/>
        <w:rPr>
          <w:bCs/>
          <w:color w:val="000000"/>
          <w:szCs w:val="22"/>
          <w:lang w:eastAsia="en-AU"/>
        </w:rPr>
      </w:pPr>
      <w:r w:rsidRPr="00251345">
        <w:rPr>
          <w:bCs/>
          <w:color w:val="000000"/>
          <w:szCs w:val="22"/>
          <w:lang w:eastAsia="en-AU"/>
        </w:rPr>
        <w:t xml:space="preserve">clinical average hours </w:t>
      </w:r>
    </w:p>
    <w:p w:rsidR="00547D0A" w:rsidRPr="00251345" w:rsidRDefault="00547D0A" w:rsidP="00D510F1">
      <w:pPr>
        <w:pStyle w:val="ListParagraph"/>
        <w:numPr>
          <w:ilvl w:val="0"/>
          <w:numId w:val="4"/>
        </w:numPr>
        <w:spacing w:before="120" w:after="120"/>
        <w:ind w:left="426" w:hanging="426"/>
        <w:contextualSpacing w:val="0"/>
        <w:rPr>
          <w:bCs/>
          <w:color w:val="000000"/>
          <w:szCs w:val="22"/>
          <w:lang w:eastAsia="en-AU"/>
        </w:rPr>
      </w:pPr>
      <w:r w:rsidRPr="00251345">
        <w:rPr>
          <w:bCs/>
          <w:color w:val="000000"/>
          <w:szCs w:val="22"/>
          <w:lang w:eastAsia="en-AU"/>
        </w:rPr>
        <w:t>spe</w:t>
      </w:r>
      <w:r w:rsidR="00985EBD">
        <w:rPr>
          <w:bCs/>
          <w:color w:val="000000"/>
          <w:szCs w:val="22"/>
          <w:lang w:eastAsia="en-AU"/>
        </w:rPr>
        <w:t>cialist clinical average hours</w:t>
      </w:r>
    </w:p>
    <w:p w:rsidR="00547D0A" w:rsidRPr="00251345" w:rsidRDefault="00547D0A" w:rsidP="00547D0A">
      <w:pPr>
        <w:spacing w:before="120" w:after="120"/>
        <w:rPr>
          <w:szCs w:val="22"/>
        </w:rPr>
      </w:pPr>
      <w:r w:rsidRPr="0090788F">
        <w:rPr>
          <w:szCs w:val="22"/>
        </w:rPr>
        <w:t xml:space="preserve">This graph shows the difference between total average hours and clinical average hours for males and females, which </w:t>
      </w:r>
      <w:r w:rsidR="001F41AC">
        <w:rPr>
          <w:szCs w:val="22"/>
        </w:rPr>
        <w:t>were</w:t>
      </w:r>
      <w:r w:rsidR="001F41AC" w:rsidRPr="0090788F">
        <w:rPr>
          <w:szCs w:val="22"/>
        </w:rPr>
        <w:t xml:space="preserve"> </w:t>
      </w:r>
      <w:r w:rsidRPr="0090788F">
        <w:rPr>
          <w:szCs w:val="22"/>
        </w:rPr>
        <w:t xml:space="preserve">quite similar at 4.5 and 4.8 hours on average respectively. </w:t>
      </w:r>
      <w:r w:rsidR="001F41AC">
        <w:rPr>
          <w:szCs w:val="22"/>
        </w:rPr>
        <w:t>T</w:t>
      </w:r>
      <w:r w:rsidRPr="0090788F">
        <w:rPr>
          <w:szCs w:val="22"/>
        </w:rPr>
        <w:t xml:space="preserve">he difference between clinical average hours and specialist clinical average hours </w:t>
      </w:r>
      <w:r w:rsidR="001F41AC">
        <w:rPr>
          <w:szCs w:val="22"/>
        </w:rPr>
        <w:t>was</w:t>
      </w:r>
      <w:r w:rsidR="001F41AC" w:rsidRPr="0090788F">
        <w:rPr>
          <w:szCs w:val="22"/>
        </w:rPr>
        <w:t xml:space="preserve"> </w:t>
      </w:r>
      <w:r w:rsidRPr="0090788F">
        <w:rPr>
          <w:szCs w:val="22"/>
        </w:rPr>
        <w:t>much smaller in comparison</w:t>
      </w:r>
      <w:r w:rsidR="001F41AC">
        <w:rPr>
          <w:szCs w:val="22"/>
        </w:rPr>
        <w:t xml:space="preserve">, </w:t>
      </w:r>
      <w:r w:rsidRPr="0090788F">
        <w:rPr>
          <w:szCs w:val="22"/>
        </w:rPr>
        <w:t xml:space="preserve">at 1.5 and 2.2 </w:t>
      </w:r>
      <w:r w:rsidR="001F41AC">
        <w:rPr>
          <w:szCs w:val="22"/>
        </w:rPr>
        <w:t xml:space="preserve">hours </w:t>
      </w:r>
      <w:r w:rsidR="001F41AC" w:rsidRPr="0090788F">
        <w:rPr>
          <w:szCs w:val="22"/>
        </w:rPr>
        <w:t xml:space="preserve">for males and females </w:t>
      </w:r>
      <w:r w:rsidRPr="0090788F">
        <w:rPr>
          <w:szCs w:val="22"/>
        </w:rPr>
        <w:t>respectively. As would be expected for both males and females</w:t>
      </w:r>
      <w:r w:rsidR="001F41AC">
        <w:rPr>
          <w:szCs w:val="22"/>
        </w:rPr>
        <w:t>,</w:t>
      </w:r>
      <w:r w:rsidRPr="0090788F">
        <w:rPr>
          <w:szCs w:val="22"/>
        </w:rPr>
        <w:t xml:space="preserve"> the total average hours </w:t>
      </w:r>
      <w:r w:rsidR="001F41AC">
        <w:rPr>
          <w:szCs w:val="22"/>
        </w:rPr>
        <w:t>were</w:t>
      </w:r>
      <w:r w:rsidR="001F41AC" w:rsidRPr="0090788F">
        <w:rPr>
          <w:szCs w:val="22"/>
        </w:rPr>
        <w:t xml:space="preserve"> </w:t>
      </w:r>
      <w:r w:rsidRPr="0090788F">
        <w:rPr>
          <w:szCs w:val="22"/>
        </w:rPr>
        <w:t xml:space="preserve">greater than the clinical average hours and these </w:t>
      </w:r>
      <w:r w:rsidR="001F41AC">
        <w:rPr>
          <w:szCs w:val="22"/>
        </w:rPr>
        <w:t>were</w:t>
      </w:r>
      <w:r w:rsidR="001F41AC" w:rsidRPr="0090788F">
        <w:rPr>
          <w:szCs w:val="22"/>
        </w:rPr>
        <w:t xml:space="preserve"> </w:t>
      </w:r>
      <w:r w:rsidRPr="0090788F">
        <w:rPr>
          <w:szCs w:val="22"/>
        </w:rPr>
        <w:t xml:space="preserve">greater than the specialist clinical average hours. </w:t>
      </w:r>
    </w:p>
    <w:p w:rsidR="00547D0A" w:rsidRPr="004E10A8" w:rsidRDefault="00547D0A" w:rsidP="003C642E">
      <w:pPr>
        <w:pStyle w:val="Heading4"/>
        <w:jc w:val="left"/>
      </w:pPr>
      <w:r w:rsidRPr="004E10A8">
        <w:lastRenderedPageBreak/>
        <w:t xml:space="preserve">Figure </w:t>
      </w:r>
      <w:r w:rsidR="00214BBC">
        <w:t>6</w:t>
      </w:r>
      <w:r w:rsidRPr="004E10A8">
        <w:t xml:space="preserve"> - Average hours by total, clinical and specialist hours worked</w:t>
      </w:r>
    </w:p>
    <w:p w:rsidR="00547D0A" w:rsidRPr="00D81EC8" w:rsidRDefault="00574659" w:rsidP="00D84538">
      <w:pPr>
        <w:spacing w:before="120"/>
        <w:rPr>
          <w:rFonts w:ascii="Arial" w:hAnsi="Arial" w:cs="Arial"/>
          <w:sz w:val="16"/>
          <w:szCs w:val="22"/>
        </w:rPr>
      </w:pPr>
      <w:r w:rsidRPr="00574659">
        <w:rPr>
          <w:noProof/>
          <w:sz w:val="20"/>
          <w:szCs w:val="20"/>
          <w:lang w:eastAsia="en-AU"/>
        </w:rPr>
        <w:drawing>
          <wp:inline distT="0" distB="0" distL="0" distR="0" wp14:anchorId="7C97993E" wp14:editId="5EDEE32C">
            <wp:extent cx="5731099" cy="3039415"/>
            <wp:effectExtent l="0" t="0" r="22225" b="27940"/>
            <wp:docPr id="4" name="Chart 4" descr="Average specilites hours: males 33.67 hours, females 26.03&#10;Average clinical hours: males 35.57, females 28.41&#10;Average total hours: males 41.21, females 33.27" title="Figure 6: Average hours by total, clinical and specialist hours worked by ge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47D0A" w:rsidRPr="0072306E" w:rsidRDefault="00547D0A" w:rsidP="00C64C65">
      <w:pPr>
        <w:spacing w:before="120"/>
        <w:rPr>
          <w:i/>
          <w:sz w:val="16"/>
          <w:szCs w:val="22"/>
        </w:rPr>
      </w:pPr>
      <w:r w:rsidRPr="0072306E">
        <w:rPr>
          <w:i/>
          <w:sz w:val="16"/>
          <w:szCs w:val="22"/>
        </w:rPr>
        <w:t xml:space="preserve">Source: </w:t>
      </w:r>
      <w:proofErr w:type="spellStart"/>
      <w:r w:rsidRPr="0072306E">
        <w:rPr>
          <w:i/>
          <w:sz w:val="16"/>
          <w:szCs w:val="22"/>
        </w:rPr>
        <w:t>NHWDS</w:t>
      </w:r>
      <w:proofErr w:type="spellEnd"/>
      <w:r w:rsidRPr="0072306E">
        <w:rPr>
          <w:i/>
          <w:sz w:val="16"/>
          <w:szCs w:val="22"/>
        </w:rPr>
        <w:t>, Medical Practitioner 2013</w:t>
      </w:r>
    </w:p>
    <w:p w:rsidR="00547D0A" w:rsidRPr="0090788F" w:rsidRDefault="00547D0A" w:rsidP="00547D0A">
      <w:pPr>
        <w:spacing w:before="120" w:after="120"/>
        <w:rPr>
          <w:szCs w:val="22"/>
        </w:rPr>
      </w:pPr>
      <w:r w:rsidRPr="0090788F">
        <w:rPr>
          <w:szCs w:val="22"/>
        </w:rPr>
        <w:t>For the purpose of modelling, the total average hours worked is used as it recognises that in treating patient</w:t>
      </w:r>
      <w:r w:rsidR="00D67F21">
        <w:rPr>
          <w:szCs w:val="22"/>
        </w:rPr>
        <w:t>s</w:t>
      </w:r>
      <w:r w:rsidRPr="0090788F">
        <w:rPr>
          <w:szCs w:val="22"/>
        </w:rPr>
        <w:t xml:space="preserve"> there are clinical and non-clinical components that need to be considered. </w:t>
      </w:r>
    </w:p>
    <w:p w:rsidR="00547D0A" w:rsidRPr="00251345" w:rsidRDefault="00547D0A" w:rsidP="00547D0A">
      <w:pPr>
        <w:spacing w:before="120" w:after="120"/>
        <w:rPr>
          <w:szCs w:val="22"/>
        </w:rPr>
      </w:pPr>
      <w:r w:rsidRPr="0090788F">
        <w:rPr>
          <w:szCs w:val="22"/>
        </w:rPr>
        <w:t xml:space="preserve">The following two figures show the average total hours by location (state and territory and remoteness respectively). The national average is shown on the graphs. As can be seen in Figure </w:t>
      </w:r>
      <w:r w:rsidR="00D67F21">
        <w:rPr>
          <w:szCs w:val="22"/>
        </w:rPr>
        <w:t>7</w:t>
      </w:r>
      <w:r w:rsidR="001F41AC">
        <w:rPr>
          <w:szCs w:val="22"/>
        </w:rPr>
        <w:t>, in 2013</w:t>
      </w:r>
      <w:r w:rsidRPr="0090788F">
        <w:rPr>
          <w:szCs w:val="22"/>
        </w:rPr>
        <w:t xml:space="preserve"> there </w:t>
      </w:r>
      <w:r w:rsidR="001F41AC">
        <w:rPr>
          <w:szCs w:val="22"/>
        </w:rPr>
        <w:t>were</w:t>
      </w:r>
      <w:r w:rsidR="001F41AC" w:rsidRPr="0090788F">
        <w:rPr>
          <w:szCs w:val="22"/>
        </w:rPr>
        <w:t xml:space="preserve"> </w:t>
      </w:r>
      <w:r w:rsidRPr="0090788F">
        <w:rPr>
          <w:szCs w:val="22"/>
        </w:rPr>
        <w:t>a number of state</w:t>
      </w:r>
      <w:r w:rsidR="006A16C8">
        <w:rPr>
          <w:szCs w:val="22"/>
        </w:rPr>
        <w:t>s</w:t>
      </w:r>
      <w:r w:rsidRPr="0090788F">
        <w:rPr>
          <w:szCs w:val="22"/>
        </w:rPr>
        <w:t xml:space="preserve"> and territories that </w:t>
      </w:r>
      <w:r w:rsidR="001F41AC">
        <w:rPr>
          <w:szCs w:val="22"/>
        </w:rPr>
        <w:t>had</w:t>
      </w:r>
      <w:r w:rsidR="001F41AC" w:rsidRPr="0090788F">
        <w:rPr>
          <w:szCs w:val="22"/>
        </w:rPr>
        <w:t xml:space="preserve"> </w:t>
      </w:r>
      <w:r w:rsidRPr="0090788F">
        <w:rPr>
          <w:szCs w:val="22"/>
        </w:rPr>
        <w:t>average hours greater than the national average. These states and territories tend</w:t>
      </w:r>
      <w:r w:rsidR="001F41AC">
        <w:rPr>
          <w:szCs w:val="22"/>
        </w:rPr>
        <w:t>ed</w:t>
      </w:r>
      <w:r w:rsidRPr="0090788F">
        <w:rPr>
          <w:szCs w:val="22"/>
        </w:rPr>
        <w:t xml:space="preserve"> to be those that </w:t>
      </w:r>
      <w:r w:rsidR="001F41AC">
        <w:rPr>
          <w:szCs w:val="22"/>
        </w:rPr>
        <w:t>had</w:t>
      </w:r>
      <w:r w:rsidR="001F41AC" w:rsidRPr="0090788F">
        <w:rPr>
          <w:szCs w:val="22"/>
        </w:rPr>
        <w:t xml:space="preserve"> </w:t>
      </w:r>
      <w:r w:rsidRPr="0090788F">
        <w:rPr>
          <w:szCs w:val="22"/>
        </w:rPr>
        <w:t>larger proportions of rural/remote areas or smaller workforces available to provide services.</w:t>
      </w:r>
    </w:p>
    <w:p w:rsidR="00547D0A" w:rsidRPr="004E10A8" w:rsidRDefault="00547D0A" w:rsidP="003C642E">
      <w:pPr>
        <w:pStyle w:val="Heading4"/>
        <w:jc w:val="left"/>
      </w:pPr>
      <w:bookmarkStart w:id="18" w:name="_Ref414440406"/>
      <w:r w:rsidRPr="004E10A8">
        <w:t xml:space="preserve">Figure </w:t>
      </w:r>
      <w:bookmarkEnd w:id="18"/>
      <w:r w:rsidR="00214BBC">
        <w:t>7</w:t>
      </w:r>
      <w:r w:rsidR="00193200" w:rsidRPr="004E10A8">
        <w:t xml:space="preserve"> – Average hours by total</w:t>
      </w:r>
      <w:r w:rsidRPr="004E10A8">
        <w:t>, by states and territories</w:t>
      </w:r>
    </w:p>
    <w:p w:rsidR="00547D0A" w:rsidRDefault="00547D0A" w:rsidP="00547D0A">
      <w:pPr>
        <w:rPr>
          <w:rFonts w:ascii="Arial" w:hAnsi="Arial" w:cs="Arial"/>
          <w:szCs w:val="22"/>
        </w:rPr>
      </w:pPr>
      <w:r w:rsidRPr="001316B7">
        <w:rPr>
          <w:rFonts w:ascii="Arial" w:hAnsi="Arial" w:cs="Arial"/>
          <w:noProof/>
          <w:szCs w:val="22"/>
          <w:lang w:eastAsia="en-AU"/>
        </w:rPr>
        <mc:AlternateContent>
          <mc:Choice Requires="wps">
            <w:drawing>
              <wp:inline distT="0" distB="0" distL="0" distR="0" wp14:anchorId="27BDEE5F" wp14:editId="3C6E6EC1">
                <wp:extent cx="2154141" cy="341906"/>
                <wp:effectExtent l="0" t="0" r="0" b="12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141" cy="341906"/>
                        </a:xfrm>
                        <a:prstGeom prst="rect">
                          <a:avLst/>
                        </a:prstGeom>
                        <a:noFill/>
                        <a:ln w="9525">
                          <a:noFill/>
                          <a:miter lim="800000"/>
                          <a:headEnd/>
                          <a:tailEnd/>
                        </a:ln>
                      </wps:spPr>
                      <wps:txbx>
                        <w:txbxContent>
                          <w:p w:rsidR="00DE5C13" w:rsidRPr="0072306E" w:rsidRDefault="00DE5C13" w:rsidP="00547D0A">
                            <w:pPr>
                              <w:rPr>
                                <w:sz w:val="18"/>
                              </w:rPr>
                            </w:pPr>
                            <w:r w:rsidRPr="0072306E">
                              <w:rPr>
                                <w:sz w:val="18"/>
                              </w:rPr>
                              <w:t>National Average: 38.3</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69.6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" filled="f" stroked="f">
                <v:textbox>
                  <w:txbxContent>
                    <w:p w:rsidR="00DE5C13" w:rsidRPr="0072306E" w:rsidRDefault="00DE5C13" w:rsidP="00547D0A">
                      <w:pPr>
                        <w:rPr>
                          <w:sz w:val="18"/>
                        </w:rPr>
                      </w:pPr>
                      <w:r w:rsidRPr="0072306E">
                        <w:rPr>
                          <w:sz w:val="18"/>
                        </w:rPr>
                        <w:t>National Average: 38.3</w:t>
                      </w:r>
                    </w:p>
                  </w:txbxContent>
                </v:textbox>
                <w10:anchorlock/>
              </v:shape>
            </w:pict>
          </mc:Fallback>
        </mc:AlternateContent>
      </w:r>
      <w:r>
        <w:rPr>
          <w:noProof/>
          <w:lang w:eastAsia="en-AU"/>
        </w:rPr>
        <w:drawing>
          <wp:inline distT="0" distB="0" distL="0" distR="0" wp14:anchorId="739BBD73" wp14:editId="38BFCEBA">
            <wp:extent cx="5731099" cy="2588654"/>
            <wp:effectExtent l="0" t="0" r="22225" b="21590"/>
            <wp:docPr id="29" name="Chart 29" descr="Figure 7  shows the national average total hours worked at 38.3. It is then broken down by jurisdcitions with:&#10;New South Wales at 38.31&#10;Victoria at 36.71&#10;Queensland at 40.42&#10;South Australia at 37.64&#10;Western Australia at 39.93&#10;Tasmaina at 33&#10;Northen Territory at 41.71&#10;Australian Capital Territory at 40.58" title="Figure 7 – Average hours workers at national level, and by states and territ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47D0A" w:rsidRPr="0072306E" w:rsidRDefault="00547D0A" w:rsidP="00C64C65">
      <w:pPr>
        <w:spacing w:before="120"/>
        <w:rPr>
          <w:i/>
          <w:sz w:val="16"/>
          <w:szCs w:val="22"/>
        </w:rPr>
      </w:pPr>
      <w:r w:rsidRPr="0072306E">
        <w:rPr>
          <w:i/>
          <w:sz w:val="16"/>
          <w:szCs w:val="22"/>
        </w:rPr>
        <w:t xml:space="preserve">Source: </w:t>
      </w:r>
      <w:proofErr w:type="spellStart"/>
      <w:r w:rsidRPr="0072306E">
        <w:rPr>
          <w:i/>
          <w:sz w:val="16"/>
          <w:szCs w:val="22"/>
        </w:rPr>
        <w:t>NHWDS</w:t>
      </w:r>
      <w:proofErr w:type="spellEnd"/>
      <w:r w:rsidRPr="0072306E">
        <w:rPr>
          <w:i/>
          <w:sz w:val="16"/>
          <w:szCs w:val="22"/>
        </w:rPr>
        <w:t>, Medical Practitioner 2013</w:t>
      </w:r>
    </w:p>
    <w:p w:rsidR="00547D0A" w:rsidRPr="00251345" w:rsidRDefault="00547D0A" w:rsidP="00547D0A">
      <w:pPr>
        <w:spacing w:before="120" w:after="120"/>
        <w:rPr>
          <w:szCs w:val="22"/>
        </w:rPr>
      </w:pPr>
      <w:r w:rsidRPr="0090788F">
        <w:rPr>
          <w:szCs w:val="22"/>
        </w:rPr>
        <w:t xml:space="preserve">Figure </w:t>
      </w:r>
      <w:r w:rsidR="00D67F21">
        <w:rPr>
          <w:szCs w:val="22"/>
        </w:rPr>
        <w:t>8</w:t>
      </w:r>
      <w:r w:rsidRPr="0090788F">
        <w:rPr>
          <w:szCs w:val="22"/>
        </w:rPr>
        <w:t xml:space="preserve"> shows a similar </w:t>
      </w:r>
      <w:r w:rsidR="00D67F21">
        <w:rPr>
          <w:szCs w:val="22"/>
        </w:rPr>
        <w:t>pattern</w:t>
      </w:r>
      <w:r w:rsidRPr="0090788F">
        <w:rPr>
          <w:szCs w:val="22"/>
        </w:rPr>
        <w:t>, where the average total hours worked tend</w:t>
      </w:r>
      <w:r w:rsidR="001F41AC">
        <w:rPr>
          <w:szCs w:val="22"/>
        </w:rPr>
        <w:t>ed</w:t>
      </w:r>
      <w:r w:rsidRPr="0090788F">
        <w:rPr>
          <w:szCs w:val="22"/>
        </w:rPr>
        <w:t xml:space="preserve"> to be greater in the outer regional, remote and very remote areas. A possible reason for these greater total average hours could be the need to travel greater distances to access some of the remote areas.</w:t>
      </w:r>
    </w:p>
    <w:p w:rsidR="00547D0A" w:rsidRPr="004E10A8" w:rsidRDefault="00547D0A" w:rsidP="003C642E">
      <w:pPr>
        <w:pStyle w:val="Heading4"/>
        <w:jc w:val="left"/>
      </w:pPr>
      <w:bookmarkStart w:id="19" w:name="_Ref414435776"/>
      <w:r w:rsidRPr="004E10A8">
        <w:lastRenderedPageBreak/>
        <w:t xml:space="preserve">Figure </w:t>
      </w:r>
      <w:bookmarkEnd w:id="19"/>
      <w:r w:rsidR="00214BBC">
        <w:t>8</w:t>
      </w:r>
      <w:r w:rsidRPr="004E10A8">
        <w:t xml:space="preserve"> – Average </w:t>
      </w:r>
      <w:r w:rsidR="00A06FB7" w:rsidRPr="004E10A8">
        <w:t xml:space="preserve">total </w:t>
      </w:r>
      <w:r w:rsidRPr="004E10A8">
        <w:t>hours remoteness</w:t>
      </w:r>
    </w:p>
    <w:p w:rsidR="00801868" w:rsidRDefault="00801868" w:rsidP="00801868">
      <w:pPr>
        <w:rPr>
          <w:sz w:val="18"/>
          <w:szCs w:val="18"/>
        </w:rPr>
      </w:pPr>
    </w:p>
    <w:p w:rsidR="00801868" w:rsidRPr="004D160E" w:rsidRDefault="00801868" w:rsidP="00801868">
      <w:pPr>
        <w:ind w:left="284"/>
        <w:rPr>
          <w:sz w:val="18"/>
          <w:szCs w:val="18"/>
        </w:rPr>
      </w:pPr>
      <w:r w:rsidRPr="004D160E">
        <w:rPr>
          <w:sz w:val="18"/>
          <w:szCs w:val="18"/>
        </w:rPr>
        <w:t>National average: 38.3</w:t>
      </w:r>
    </w:p>
    <w:p w:rsidR="00801868" w:rsidRPr="00801868" w:rsidRDefault="00801868" w:rsidP="00801868"/>
    <w:p w:rsidR="00547D0A" w:rsidRPr="00DC0BBE" w:rsidRDefault="0072306E" w:rsidP="00547D0A">
      <w:pPr>
        <w:rPr>
          <w:rFonts w:ascii="Arial" w:hAnsi="Arial" w:cs="Arial"/>
          <w:noProof/>
          <w:lang w:eastAsia="en-AU"/>
        </w:rPr>
      </w:pPr>
      <w:r>
        <w:rPr>
          <w:noProof/>
          <w:lang w:eastAsia="en-AU"/>
        </w:rPr>
        <w:drawing>
          <wp:inline distT="0" distB="0" distL="0" distR="0" wp14:anchorId="316A8944" wp14:editId="5F20CB6B">
            <wp:extent cx="5743977" cy="2781837"/>
            <wp:effectExtent l="0" t="0" r="9525" b="19050"/>
            <wp:docPr id="30" name="Chart 30" descr="Figure 8 demonstrates the national total average hours worked are 38.3. The graph provides hours by remoteness area with:&#10;Major cities at 38.30&#10;Inner regional at 37.39&#10;Outer regional at 40.64&#10;Remote at 43.11&#10;Very Remote at 42.00" title="Figure 8 – Average total hours remoten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47D0A" w:rsidRPr="0072306E" w:rsidRDefault="00547D0A" w:rsidP="00C64C65">
      <w:pPr>
        <w:spacing w:before="120"/>
        <w:rPr>
          <w:i/>
          <w:sz w:val="16"/>
          <w:szCs w:val="22"/>
        </w:rPr>
      </w:pPr>
      <w:r w:rsidRPr="0072306E">
        <w:rPr>
          <w:i/>
          <w:sz w:val="16"/>
          <w:szCs w:val="22"/>
        </w:rPr>
        <w:t xml:space="preserve">Source: </w:t>
      </w:r>
      <w:proofErr w:type="spellStart"/>
      <w:r w:rsidRPr="0072306E">
        <w:rPr>
          <w:i/>
          <w:sz w:val="16"/>
          <w:szCs w:val="22"/>
        </w:rPr>
        <w:t>NHWDS</w:t>
      </w:r>
      <w:proofErr w:type="spellEnd"/>
      <w:r w:rsidRPr="0072306E">
        <w:rPr>
          <w:i/>
          <w:sz w:val="16"/>
          <w:szCs w:val="22"/>
        </w:rPr>
        <w:t>, Medical Practitioner 2013</w:t>
      </w:r>
    </w:p>
    <w:p w:rsidR="00547D0A" w:rsidRPr="004D160E" w:rsidRDefault="00D67F21" w:rsidP="004D160E">
      <w:pPr>
        <w:spacing w:before="120" w:after="120"/>
        <w:rPr>
          <w:szCs w:val="22"/>
        </w:rPr>
      </w:pPr>
      <w:r>
        <w:rPr>
          <w:szCs w:val="22"/>
        </w:rPr>
        <w:t>Table 1</w:t>
      </w:r>
      <w:r w:rsidR="00547D0A" w:rsidRPr="0090788F">
        <w:rPr>
          <w:szCs w:val="22"/>
        </w:rPr>
        <w:t xml:space="preserve"> gives an indication of where the specialist clinicians </w:t>
      </w:r>
      <w:r w:rsidR="001F41AC">
        <w:rPr>
          <w:szCs w:val="22"/>
        </w:rPr>
        <w:t>were</w:t>
      </w:r>
      <w:r w:rsidR="001F41AC" w:rsidRPr="0090788F">
        <w:rPr>
          <w:szCs w:val="22"/>
        </w:rPr>
        <w:t xml:space="preserve"> </w:t>
      </w:r>
      <w:r w:rsidR="00547D0A" w:rsidRPr="0090788F">
        <w:rPr>
          <w:szCs w:val="22"/>
        </w:rPr>
        <w:t>spending most of their working hours</w:t>
      </w:r>
      <w:r w:rsidR="001F41AC">
        <w:rPr>
          <w:szCs w:val="22"/>
        </w:rPr>
        <w:t xml:space="preserve">; that is, in the </w:t>
      </w:r>
      <w:r w:rsidR="00547D0A" w:rsidRPr="0090788F">
        <w:rPr>
          <w:szCs w:val="22"/>
        </w:rPr>
        <w:t xml:space="preserve">public or private sector by location (states and territories). The specialist psychiatrist clinicians are </w:t>
      </w:r>
      <w:r w:rsidR="001F41AC">
        <w:rPr>
          <w:szCs w:val="22"/>
        </w:rPr>
        <w:t xml:space="preserve">presented </w:t>
      </w:r>
      <w:r w:rsidR="00547D0A" w:rsidRPr="0090788F">
        <w:rPr>
          <w:szCs w:val="22"/>
        </w:rPr>
        <w:t>in the form of FTE, where 45 per cent of the full-time specialists work</w:t>
      </w:r>
      <w:r w:rsidR="001F41AC">
        <w:rPr>
          <w:szCs w:val="22"/>
        </w:rPr>
        <w:t>ed</w:t>
      </w:r>
      <w:r w:rsidR="00547D0A" w:rsidRPr="0090788F">
        <w:rPr>
          <w:szCs w:val="22"/>
        </w:rPr>
        <w:t xml:space="preserve"> in the public setting</w:t>
      </w:r>
      <w:r w:rsidR="001F41AC">
        <w:rPr>
          <w:szCs w:val="22"/>
        </w:rPr>
        <w:t xml:space="preserve">, </w:t>
      </w:r>
      <w:r w:rsidR="00547D0A" w:rsidRPr="0090788F">
        <w:rPr>
          <w:szCs w:val="22"/>
        </w:rPr>
        <w:t>while 55 per cent work</w:t>
      </w:r>
      <w:r w:rsidR="001F41AC">
        <w:rPr>
          <w:szCs w:val="22"/>
        </w:rPr>
        <w:t>ed</w:t>
      </w:r>
      <w:r w:rsidR="00547D0A" w:rsidRPr="0090788F">
        <w:rPr>
          <w:szCs w:val="22"/>
        </w:rPr>
        <w:t xml:space="preserve"> in the private setting. The table </w:t>
      </w:r>
      <w:r>
        <w:rPr>
          <w:szCs w:val="22"/>
        </w:rPr>
        <w:t xml:space="preserve">also </w:t>
      </w:r>
      <w:r w:rsidR="00547D0A" w:rsidRPr="0090788F">
        <w:rPr>
          <w:szCs w:val="22"/>
        </w:rPr>
        <w:t xml:space="preserve">shows that </w:t>
      </w:r>
      <w:r w:rsidR="001F41AC">
        <w:rPr>
          <w:szCs w:val="22"/>
        </w:rPr>
        <w:t xml:space="preserve">in 2013 </w:t>
      </w:r>
      <w:r w:rsidR="00547D0A" w:rsidRPr="0090788F">
        <w:rPr>
          <w:szCs w:val="22"/>
        </w:rPr>
        <w:t>New South Wales ha</w:t>
      </w:r>
      <w:r w:rsidR="001F41AC">
        <w:rPr>
          <w:szCs w:val="22"/>
        </w:rPr>
        <w:t>d</w:t>
      </w:r>
      <w:r w:rsidR="00547D0A" w:rsidRPr="0090788F">
        <w:rPr>
          <w:szCs w:val="22"/>
        </w:rPr>
        <w:t xml:space="preserve"> the highest proportion of full-time psychiatrists (31 per cent) closely followed by Victoria (29 per cent) and Queensland (19 per cent). </w:t>
      </w:r>
    </w:p>
    <w:p w:rsidR="00547D0A" w:rsidRPr="004E10A8" w:rsidRDefault="00547D0A" w:rsidP="00D84538">
      <w:pPr>
        <w:pStyle w:val="Heading4"/>
        <w:spacing w:after="120"/>
        <w:jc w:val="left"/>
      </w:pPr>
      <w:r w:rsidRPr="004E10A8">
        <w:t xml:space="preserve">Table </w:t>
      </w:r>
      <w:fldSimple w:instr=" SEQ Table \* ARABIC ">
        <w:r w:rsidR="00A34F47" w:rsidRPr="004E10A8">
          <w:rPr>
            <w:noProof/>
          </w:rPr>
          <w:t>1</w:t>
        </w:r>
      </w:fldSimple>
      <w:r w:rsidRPr="004E10A8">
        <w:t xml:space="preserve"> –</w:t>
      </w:r>
      <w:r w:rsidR="006A1551">
        <w:t>P</w:t>
      </w:r>
      <w:r w:rsidRPr="004E10A8">
        <w:t>sychiatrist clinicians</w:t>
      </w:r>
      <w:r w:rsidR="006A1551">
        <w:t xml:space="preserve"> </w:t>
      </w:r>
      <w:r w:rsidRPr="004E10A8">
        <w:t>by state and territory</w:t>
      </w:r>
      <w:r w:rsidR="006A1551">
        <w:t xml:space="preserve"> and sector</w:t>
      </w:r>
    </w:p>
    <w:tbl>
      <w:tblPr>
        <w:tblW w:w="4942" w:type="pct"/>
        <w:tblInd w:w="108" w:type="dxa"/>
        <w:tblLook w:val="04A0" w:firstRow="1" w:lastRow="0" w:firstColumn="1" w:lastColumn="0" w:noHBand="0" w:noVBand="1"/>
      </w:tblPr>
      <w:tblGrid>
        <w:gridCol w:w="627"/>
        <w:gridCol w:w="650"/>
        <w:gridCol w:w="707"/>
        <w:gridCol w:w="776"/>
        <w:gridCol w:w="721"/>
        <w:gridCol w:w="816"/>
        <w:gridCol w:w="776"/>
        <w:gridCol w:w="642"/>
        <w:gridCol w:w="898"/>
        <w:gridCol w:w="945"/>
        <w:gridCol w:w="800"/>
        <w:gridCol w:w="777"/>
      </w:tblGrid>
      <w:tr w:rsidR="00547D0A" w:rsidRPr="00B80454" w:rsidTr="0072306E">
        <w:trPr>
          <w:trHeight w:val="330"/>
        </w:trPr>
        <w:tc>
          <w:tcPr>
            <w:tcW w:w="285" w:type="pct"/>
            <w:tcBorders>
              <w:top w:val="single" w:sz="4" w:space="0" w:color="auto"/>
              <w:left w:val="single" w:sz="4" w:space="0" w:color="auto"/>
              <w:bottom w:val="single" w:sz="12" w:space="0" w:color="auto"/>
              <w:right w:val="nil"/>
            </w:tcBorders>
            <w:shd w:val="clear" w:color="auto" w:fill="000080"/>
            <w:vAlign w:val="center"/>
            <w:hideMark/>
          </w:tcPr>
          <w:p w:rsidR="00547D0A" w:rsidRPr="00B80454" w:rsidRDefault="00547D0A" w:rsidP="00D84538">
            <w:pPr>
              <w:rPr>
                <w:b/>
                <w:bCs/>
                <w:color w:val="FFFFFF" w:themeColor="background1"/>
                <w:sz w:val="18"/>
                <w:szCs w:val="18"/>
                <w:lang w:eastAsia="en-AU"/>
              </w:rPr>
            </w:pPr>
            <w:r w:rsidRPr="00B80454">
              <w:rPr>
                <w:b/>
                <w:bCs/>
                <w:color w:val="FFFFFF" w:themeColor="background1"/>
                <w:sz w:val="18"/>
                <w:szCs w:val="18"/>
                <w:lang w:eastAsia="en-AU"/>
              </w:rPr>
              <w:t> </w:t>
            </w:r>
          </w:p>
        </w:tc>
        <w:tc>
          <w:tcPr>
            <w:tcW w:w="752" w:type="pct"/>
            <w:gridSpan w:val="2"/>
            <w:tcBorders>
              <w:top w:val="single" w:sz="4" w:space="0" w:color="auto"/>
              <w:left w:val="nil"/>
              <w:bottom w:val="single" w:sz="12" w:space="0" w:color="auto"/>
              <w:right w:val="nil"/>
            </w:tcBorders>
            <w:shd w:val="clear" w:color="auto" w:fill="000080"/>
            <w:vAlign w:val="center"/>
            <w:hideMark/>
          </w:tcPr>
          <w:p w:rsidR="00547D0A" w:rsidRPr="00B80454" w:rsidRDefault="00547D0A" w:rsidP="00D84538">
            <w:pPr>
              <w:jc w:val="center"/>
              <w:rPr>
                <w:b/>
                <w:bCs/>
                <w:color w:val="FFFFFF" w:themeColor="background1"/>
                <w:sz w:val="18"/>
                <w:szCs w:val="18"/>
                <w:lang w:eastAsia="en-AU"/>
              </w:rPr>
            </w:pPr>
            <w:r w:rsidRPr="00B80454">
              <w:rPr>
                <w:b/>
                <w:bCs/>
                <w:color w:val="FFFFFF" w:themeColor="background1"/>
                <w:sz w:val="18"/>
                <w:szCs w:val="18"/>
                <w:lang w:eastAsia="en-AU"/>
              </w:rPr>
              <w:t>Male</w:t>
            </w:r>
          </w:p>
        </w:tc>
        <w:tc>
          <w:tcPr>
            <w:tcW w:w="430" w:type="pct"/>
            <w:tcBorders>
              <w:top w:val="single" w:sz="4" w:space="0" w:color="auto"/>
              <w:left w:val="nil"/>
              <w:bottom w:val="single" w:sz="12" w:space="0" w:color="auto"/>
              <w:right w:val="single" w:sz="4" w:space="0" w:color="auto"/>
            </w:tcBorders>
            <w:shd w:val="clear" w:color="auto" w:fill="000080"/>
            <w:vAlign w:val="center"/>
            <w:hideMark/>
          </w:tcPr>
          <w:p w:rsidR="00547D0A" w:rsidRPr="00B80454" w:rsidRDefault="00547D0A" w:rsidP="00D84538">
            <w:pPr>
              <w:rPr>
                <w:color w:val="FFFFFF" w:themeColor="background1"/>
                <w:sz w:val="18"/>
                <w:szCs w:val="18"/>
                <w:lang w:eastAsia="en-AU"/>
              </w:rPr>
            </w:pPr>
            <w:r w:rsidRPr="00B80454">
              <w:rPr>
                <w:color w:val="FFFFFF" w:themeColor="background1"/>
                <w:sz w:val="18"/>
                <w:szCs w:val="18"/>
                <w:lang w:eastAsia="en-AU"/>
              </w:rPr>
              <w:t> </w:t>
            </w:r>
          </w:p>
        </w:tc>
        <w:tc>
          <w:tcPr>
            <w:tcW w:w="1284" w:type="pct"/>
            <w:gridSpan w:val="3"/>
            <w:tcBorders>
              <w:top w:val="single" w:sz="4" w:space="0" w:color="auto"/>
              <w:left w:val="single" w:sz="4" w:space="0" w:color="auto"/>
              <w:bottom w:val="single" w:sz="12" w:space="0" w:color="auto"/>
              <w:right w:val="single" w:sz="4" w:space="0" w:color="auto"/>
            </w:tcBorders>
            <w:shd w:val="clear" w:color="auto" w:fill="000080"/>
            <w:vAlign w:val="center"/>
            <w:hideMark/>
          </w:tcPr>
          <w:p w:rsidR="00547D0A" w:rsidRPr="00B80454" w:rsidRDefault="00547D0A" w:rsidP="00D84538">
            <w:pPr>
              <w:jc w:val="center"/>
              <w:rPr>
                <w:b/>
                <w:bCs/>
                <w:color w:val="FFFFFF" w:themeColor="background1"/>
                <w:sz w:val="18"/>
                <w:szCs w:val="18"/>
                <w:lang w:eastAsia="en-AU"/>
              </w:rPr>
            </w:pPr>
            <w:r w:rsidRPr="00B80454">
              <w:rPr>
                <w:b/>
                <w:bCs/>
                <w:color w:val="FFFFFF" w:themeColor="background1"/>
                <w:sz w:val="18"/>
                <w:szCs w:val="18"/>
                <w:lang w:eastAsia="en-AU"/>
              </w:rPr>
              <w:t>Female</w:t>
            </w:r>
          </w:p>
        </w:tc>
        <w:tc>
          <w:tcPr>
            <w:tcW w:w="2249" w:type="pct"/>
            <w:gridSpan w:val="5"/>
            <w:tcBorders>
              <w:top w:val="single" w:sz="4" w:space="0" w:color="auto"/>
              <w:left w:val="single" w:sz="4" w:space="0" w:color="auto"/>
              <w:bottom w:val="single" w:sz="12" w:space="0" w:color="auto"/>
              <w:right w:val="single" w:sz="4" w:space="0" w:color="auto"/>
            </w:tcBorders>
            <w:shd w:val="clear" w:color="auto" w:fill="000080"/>
            <w:vAlign w:val="center"/>
            <w:hideMark/>
          </w:tcPr>
          <w:p w:rsidR="00547D0A" w:rsidRPr="00B80454" w:rsidRDefault="00547D0A" w:rsidP="00D84538">
            <w:pPr>
              <w:jc w:val="center"/>
              <w:rPr>
                <w:b/>
                <w:bCs/>
                <w:color w:val="FFFFFF" w:themeColor="background1"/>
                <w:sz w:val="18"/>
                <w:szCs w:val="18"/>
                <w:lang w:eastAsia="en-AU"/>
              </w:rPr>
            </w:pPr>
            <w:r w:rsidRPr="00B80454">
              <w:rPr>
                <w:b/>
                <w:bCs/>
                <w:color w:val="FFFFFF" w:themeColor="background1"/>
                <w:sz w:val="18"/>
                <w:szCs w:val="18"/>
                <w:lang w:eastAsia="en-AU"/>
              </w:rPr>
              <w:t>Total</w:t>
            </w:r>
          </w:p>
        </w:tc>
      </w:tr>
      <w:tr w:rsidR="00547D0A" w:rsidRPr="00B80454" w:rsidTr="0072306E">
        <w:trPr>
          <w:trHeight w:val="930"/>
        </w:trPr>
        <w:tc>
          <w:tcPr>
            <w:tcW w:w="285" w:type="pct"/>
            <w:vMerge w:val="restart"/>
            <w:tcBorders>
              <w:top w:val="nil"/>
              <w:left w:val="single" w:sz="4" w:space="0" w:color="auto"/>
              <w:bottom w:val="nil"/>
              <w:right w:val="nil"/>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p>
        </w:tc>
        <w:tc>
          <w:tcPr>
            <w:tcW w:w="361" w:type="pct"/>
            <w:vMerge w:val="restart"/>
            <w:tcBorders>
              <w:top w:val="nil"/>
              <w:left w:val="nil"/>
              <w:bottom w:val="nil"/>
              <w:right w:val="nil"/>
            </w:tcBorders>
            <w:shd w:val="clear" w:color="auto" w:fill="000080"/>
            <w:textDirection w:val="btLr"/>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Headcount</w:t>
            </w:r>
          </w:p>
        </w:tc>
        <w:tc>
          <w:tcPr>
            <w:tcW w:w="821" w:type="pct"/>
            <w:gridSpan w:val="2"/>
            <w:tcBorders>
              <w:top w:val="single" w:sz="12" w:space="0" w:color="auto"/>
              <w:left w:val="nil"/>
              <w:bottom w:val="nil"/>
              <w:right w:val="single" w:sz="4" w:space="0" w:color="auto"/>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FTE</w:t>
            </w:r>
          </w:p>
        </w:tc>
        <w:tc>
          <w:tcPr>
            <w:tcW w:w="402" w:type="pct"/>
            <w:vMerge w:val="restart"/>
            <w:tcBorders>
              <w:top w:val="nil"/>
              <w:left w:val="single" w:sz="4" w:space="0" w:color="auto"/>
              <w:bottom w:val="nil"/>
              <w:right w:val="nil"/>
            </w:tcBorders>
            <w:shd w:val="clear" w:color="auto" w:fill="000080"/>
            <w:textDirection w:val="btLr"/>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Headcount</w:t>
            </w:r>
          </w:p>
        </w:tc>
        <w:tc>
          <w:tcPr>
            <w:tcW w:w="882" w:type="pct"/>
            <w:gridSpan w:val="2"/>
            <w:tcBorders>
              <w:top w:val="single" w:sz="12" w:space="0" w:color="auto"/>
              <w:left w:val="nil"/>
              <w:bottom w:val="nil"/>
              <w:right w:val="single" w:sz="4" w:space="0" w:color="auto"/>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FTE</w:t>
            </w:r>
          </w:p>
        </w:tc>
        <w:tc>
          <w:tcPr>
            <w:tcW w:w="357" w:type="pct"/>
            <w:vMerge w:val="restart"/>
            <w:tcBorders>
              <w:top w:val="nil"/>
              <w:left w:val="single" w:sz="4" w:space="0" w:color="auto"/>
              <w:bottom w:val="nil"/>
              <w:right w:val="nil"/>
            </w:tcBorders>
            <w:shd w:val="clear" w:color="auto" w:fill="000080"/>
            <w:textDirection w:val="btLr"/>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Headcount</w:t>
            </w:r>
          </w:p>
        </w:tc>
        <w:tc>
          <w:tcPr>
            <w:tcW w:w="1892" w:type="pct"/>
            <w:gridSpan w:val="4"/>
            <w:tcBorders>
              <w:top w:val="single" w:sz="12" w:space="0" w:color="auto"/>
              <w:left w:val="nil"/>
              <w:bottom w:val="nil"/>
              <w:right w:val="single" w:sz="4" w:space="0" w:color="auto"/>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FTE</w:t>
            </w:r>
          </w:p>
        </w:tc>
      </w:tr>
      <w:tr w:rsidR="00547D0A" w:rsidRPr="00B80454" w:rsidTr="00B92279">
        <w:trPr>
          <w:trHeight w:val="70"/>
        </w:trPr>
        <w:tc>
          <w:tcPr>
            <w:tcW w:w="285" w:type="pct"/>
            <w:vMerge/>
            <w:tcBorders>
              <w:top w:val="nil"/>
              <w:left w:val="single" w:sz="4" w:space="0" w:color="auto"/>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p>
        </w:tc>
        <w:tc>
          <w:tcPr>
            <w:tcW w:w="361" w:type="pct"/>
            <w:vMerge/>
            <w:tcBorders>
              <w:top w:val="nil"/>
              <w:left w:val="nil"/>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p>
        </w:tc>
        <w:tc>
          <w:tcPr>
            <w:tcW w:w="390" w:type="pct"/>
            <w:tcBorders>
              <w:top w:val="nil"/>
              <w:left w:val="nil"/>
              <w:bottom w:val="nil"/>
              <w:right w:val="nil"/>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Public</w:t>
            </w:r>
          </w:p>
        </w:tc>
        <w:tc>
          <w:tcPr>
            <w:tcW w:w="430" w:type="pct"/>
            <w:tcBorders>
              <w:top w:val="nil"/>
              <w:left w:val="nil"/>
              <w:bottom w:val="nil"/>
              <w:right w:val="single" w:sz="4" w:space="0" w:color="auto"/>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Private</w:t>
            </w:r>
          </w:p>
        </w:tc>
        <w:tc>
          <w:tcPr>
            <w:tcW w:w="402" w:type="pct"/>
            <w:vMerge/>
            <w:tcBorders>
              <w:top w:val="nil"/>
              <w:left w:val="single" w:sz="4" w:space="0" w:color="auto"/>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p>
        </w:tc>
        <w:tc>
          <w:tcPr>
            <w:tcW w:w="452" w:type="pct"/>
            <w:tcBorders>
              <w:top w:val="nil"/>
              <w:left w:val="nil"/>
              <w:bottom w:val="nil"/>
              <w:right w:val="nil"/>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Public</w:t>
            </w:r>
          </w:p>
        </w:tc>
        <w:tc>
          <w:tcPr>
            <w:tcW w:w="430" w:type="pct"/>
            <w:tcBorders>
              <w:top w:val="nil"/>
              <w:left w:val="nil"/>
              <w:bottom w:val="nil"/>
              <w:right w:val="single" w:sz="4" w:space="0" w:color="auto"/>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Private</w:t>
            </w:r>
          </w:p>
        </w:tc>
        <w:tc>
          <w:tcPr>
            <w:tcW w:w="357" w:type="pct"/>
            <w:vMerge/>
            <w:tcBorders>
              <w:top w:val="nil"/>
              <w:left w:val="single" w:sz="4" w:space="0" w:color="auto"/>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p>
        </w:tc>
        <w:tc>
          <w:tcPr>
            <w:tcW w:w="497" w:type="pct"/>
            <w:tcBorders>
              <w:top w:val="nil"/>
              <w:left w:val="nil"/>
              <w:bottom w:val="nil"/>
              <w:right w:val="nil"/>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Public</w:t>
            </w:r>
          </w:p>
        </w:tc>
        <w:tc>
          <w:tcPr>
            <w:tcW w:w="522" w:type="pct"/>
            <w:tcBorders>
              <w:top w:val="nil"/>
              <w:left w:val="nil"/>
              <w:bottom w:val="nil"/>
              <w:right w:val="nil"/>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 Public</w:t>
            </w:r>
          </w:p>
        </w:tc>
        <w:tc>
          <w:tcPr>
            <w:tcW w:w="443" w:type="pct"/>
            <w:tcBorders>
              <w:top w:val="nil"/>
              <w:left w:val="nil"/>
              <w:bottom w:val="nil"/>
              <w:right w:val="nil"/>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Private</w:t>
            </w:r>
          </w:p>
        </w:tc>
        <w:tc>
          <w:tcPr>
            <w:tcW w:w="429" w:type="pct"/>
            <w:tcBorders>
              <w:top w:val="nil"/>
              <w:left w:val="nil"/>
              <w:bottom w:val="nil"/>
              <w:right w:val="single" w:sz="4" w:space="0" w:color="auto"/>
            </w:tcBorders>
            <w:shd w:val="clear" w:color="auto" w:fill="000080"/>
            <w:vAlign w:val="center"/>
            <w:hideMark/>
          </w:tcPr>
          <w:p w:rsidR="00547D0A" w:rsidRPr="00B80454" w:rsidRDefault="00547D0A" w:rsidP="00F2364C">
            <w:pPr>
              <w:jc w:val="center"/>
              <w:rPr>
                <w:b/>
                <w:bCs/>
                <w:color w:val="FFFFFF" w:themeColor="background1"/>
                <w:sz w:val="18"/>
                <w:szCs w:val="18"/>
                <w:lang w:eastAsia="en-AU"/>
              </w:rPr>
            </w:pPr>
            <w:r w:rsidRPr="00B80454">
              <w:rPr>
                <w:b/>
                <w:bCs/>
                <w:color w:val="FFFFFF" w:themeColor="background1"/>
                <w:sz w:val="18"/>
                <w:szCs w:val="18"/>
                <w:lang w:eastAsia="en-AU"/>
              </w:rPr>
              <w:t>% Private</w:t>
            </w:r>
          </w:p>
        </w:tc>
      </w:tr>
      <w:tr w:rsidR="00547D0A" w:rsidRPr="00B80454" w:rsidTr="0072306E">
        <w:trPr>
          <w:trHeight w:val="315"/>
        </w:trPr>
        <w:tc>
          <w:tcPr>
            <w:tcW w:w="285" w:type="pct"/>
            <w:tcBorders>
              <w:top w:val="nil"/>
              <w:left w:val="single" w:sz="4" w:space="0" w:color="auto"/>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r w:rsidRPr="00B80454">
              <w:rPr>
                <w:b/>
                <w:bCs/>
                <w:color w:val="FFFFFF" w:themeColor="background1"/>
                <w:sz w:val="18"/>
                <w:szCs w:val="18"/>
                <w:lang w:eastAsia="en-AU"/>
              </w:rPr>
              <w:t>NSW</w:t>
            </w:r>
          </w:p>
        </w:tc>
        <w:tc>
          <w:tcPr>
            <w:tcW w:w="361"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570</w:t>
            </w:r>
          </w:p>
        </w:tc>
        <w:tc>
          <w:tcPr>
            <w:tcW w:w="390"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200.2</w:t>
            </w:r>
          </w:p>
        </w:tc>
        <w:tc>
          <w:tcPr>
            <w:tcW w:w="430"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292.7</w:t>
            </w:r>
          </w:p>
        </w:tc>
        <w:tc>
          <w:tcPr>
            <w:tcW w:w="402" w:type="pct"/>
            <w:tcBorders>
              <w:top w:val="nil"/>
              <w:left w:val="single" w:sz="4" w:space="0" w:color="auto"/>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302</w:t>
            </w:r>
          </w:p>
        </w:tc>
        <w:tc>
          <w:tcPr>
            <w:tcW w:w="452"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127.4</w:t>
            </w:r>
          </w:p>
        </w:tc>
        <w:tc>
          <w:tcPr>
            <w:tcW w:w="430"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99.8</w:t>
            </w:r>
          </w:p>
        </w:tc>
        <w:tc>
          <w:tcPr>
            <w:tcW w:w="357" w:type="pct"/>
            <w:tcBorders>
              <w:top w:val="nil"/>
              <w:left w:val="single" w:sz="4" w:space="0" w:color="auto"/>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872</w:t>
            </w:r>
          </w:p>
        </w:tc>
        <w:tc>
          <w:tcPr>
            <w:tcW w:w="497"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327.6</w:t>
            </w:r>
          </w:p>
        </w:tc>
        <w:tc>
          <w:tcPr>
            <w:tcW w:w="522"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45.5%</w:t>
            </w:r>
          </w:p>
        </w:tc>
        <w:tc>
          <w:tcPr>
            <w:tcW w:w="443"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392.5</w:t>
            </w:r>
          </w:p>
        </w:tc>
        <w:tc>
          <w:tcPr>
            <w:tcW w:w="429"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54.5%</w:t>
            </w:r>
          </w:p>
        </w:tc>
      </w:tr>
      <w:tr w:rsidR="00547D0A" w:rsidRPr="00B80454" w:rsidTr="0072306E">
        <w:trPr>
          <w:trHeight w:val="315"/>
        </w:trPr>
        <w:tc>
          <w:tcPr>
            <w:tcW w:w="285" w:type="pct"/>
            <w:tcBorders>
              <w:top w:val="nil"/>
              <w:left w:val="single" w:sz="4" w:space="0" w:color="auto"/>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r w:rsidRPr="00B80454">
              <w:rPr>
                <w:b/>
                <w:bCs/>
                <w:color w:val="FFFFFF" w:themeColor="background1"/>
                <w:sz w:val="18"/>
                <w:szCs w:val="18"/>
                <w:lang w:eastAsia="en-AU"/>
              </w:rPr>
              <w:t>VIC</w:t>
            </w:r>
          </w:p>
        </w:tc>
        <w:tc>
          <w:tcPr>
            <w:tcW w:w="361"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512</w:t>
            </w:r>
          </w:p>
        </w:tc>
        <w:tc>
          <w:tcPr>
            <w:tcW w:w="390"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147.7</w:t>
            </w:r>
          </w:p>
        </w:tc>
        <w:tc>
          <w:tcPr>
            <w:tcW w:w="430"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291.5</w:t>
            </w:r>
          </w:p>
        </w:tc>
        <w:tc>
          <w:tcPr>
            <w:tcW w:w="402" w:type="pct"/>
            <w:tcBorders>
              <w:top w:val="nil"/>
              <w:left w:val="single" w:sz="4" w:space="0" w:color="auto"/>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289</w:t>
            </w:r>
          </w:p>
        </w:tc>
        <w:tc>
          <w:tcPr>
            <w:tcW w:w="452"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88.4</w:t>
            </w:r>
          </w:p>
        </w:tc>
        <w:tc>
          <w:tcPr>
            <w:tcW w:w="430"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106.5</w:t>
            </w:r>
          </w:p>
        </w:tc>
        <w:tc>
          <w:tcPr>
            <w:tcW w:w="357" w:type="pct"/>
            <w:tcBorders>
              <w:top w:val="nil"/>
              <w:left w:val="single" w:sz="4" w:space="0" w:color="auto"/>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801</w:t>
            </w:r>
          </w:p>
        </w:tc>
        <w:tc>
          <w:tcPr>
            <w:tcW w:w="497"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236</w:t>
            </w:r>
          </w:p>
        </w:tc>
        <w:tc>
          <w:tcPr>
            <w:tcW w:w="522"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37.2%</w:t>
            </w:r>
          </w:p>
        </w:tc>
        <w:tc>
          <w:tcPr>
            <w:tcW w:w="443"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397.9</w:t>
            </w:r>
          </w:p>
        </w:tc>
        <w:tc>
          <w:tcPr>
            <w:tcW w:w="429"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62.8%</w:t>
            </w:r>
          </w:p>
        </w:tc>
      </w:tr>
      <w:tr w:rsidR="00547D0A" w:rsidRPr="00B80454" w:rsidTr="0072306E">
        <w:trPr>
          <w:trHeight w:val="315"/>
        </w:trPr>
        <w:tc>
          <w:tcPr>
            <w:tcW w:w="285" w:type="pct"/>
            <w:tcBorders>
              <w:top w:val="nil"/>
              <w:left w:val="single" w:sz="4" w:space="0" w:color="auto"/>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r w:rsidRPr="00B80454">
              <w:rPr>
                <w:b/>
                <w:bCs/>
                <w:color w:val="FFFFFF" w:themeColor="background1"/>
                <w:sz w:val="18"/>
                <w:szCs w:val="18"/>
                <w:lang w:eastAsia="en-AU"/>
              </w:rPr>
              <w:t>QLD</w:t>
            </w:r>
          </w:p>
        </w:tc>
        <w:tc>
          <w:tcPr>
            <w:tcW w:w="361"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344</w:t>
            </w:r>
          </w:p>
        </w:tc>
        <w:tc>
          <w:tcPr>
            <w:tcW w:w="390"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140</w:t>
            </w:r>
          </w:p>
        </w:tc>
        <w:tc>
          <w:tcPr>
            <w:tcW w:w="430"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193</w:t>
            </w:r>
          </w:p>
        </w:tc>
        <w:tc>
          <w:tcPr>
            <w:tcW w:w="402" w:type="pct"/>
            <w:tcBorders>
              <w:top w:val="nil"/>
              <w:left w:val="single" w:sz="4" w:space="0" w:color="auto"/>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200</w:t>
            </w:r>
          </w:p>
        </w:tc>
        <w:tc>
          <w:tcPr>
            <w:tcW w:w="452"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73.7</w:t>
            </w:r>
          </w:p>
        </w:tc>
        <w:tc>
          <w:tcPr>
            <w:tcW w:w="430"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70.6</w:t>
            </w:r>
          </w:p>
        </w:tc>
        <w:tc>
          <w:tcPr>
            <w:tcW w:w="357" w:type="pct"/>
            <w:tcBorders>
              <w:top w:val="nil"/>
              <w:left w:val="single" w:sz="4" w:space="0" w:color="auto"/>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544</w:t>
            </w:r>
          </w:p>
        </w:tc>
        <w:tc>
          <w:tcPr>
            <w:tcW w:w="497"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213.7</w:t>
            </w:r>
          </w:p>
        </w:tc>
        <w:tc>
          <w:tcPr>
            <w:tcW w:w="522"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44.8%</w:t>
            </w:r>
          </w:p>
        </w:tc>
        <w:tc>
          <w:tcPr>
            <w:tcW w:w="443"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263.6</w:t>
            </w:r>
          </w:p>
        </w:tc>
        <w:tc>
          <w:tcPr>
            <w:tcW w:w="429"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55.2%</w:t>
            </w:r>
          </w:p>
        </w:tc>
      </w:tr>
      <w:tr w:rsidR="00547D0A" w:rsidRPr="00B80454" w:rsidTr="0072306E">
        <w:trPr>
          <w:trHeight w:val="315"/>
        </w:trPr>
        <w:tc>
          <w:tcPr>
            <w:tcW w:w="285" w:type="pct"/>
            <w:tcBorders>
              <w:top w:val="nil"/>
              <w:left w:val="single" w:sz="4" w:space="0" w:color="auto"/>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r w:rsidRPr="00B80454">
              <w:rPr>
                <w:b/>
                <w:bCs/>
                <w:color w:val="FFFFFF" w:themeColor="background1"/>
                <w:sz w:val="18"/>
                <w:szCs w:val="18"/>
                <w:lang w:eastAsia="en-AU"/>
              </w:rPr>
              <w:t>SA</w:t>
            </w:r>
          </w:p>
        </w:tc>
        <w:tc>
          <w:tcPr>
            <w:tcW w:w="361"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140</w:t>
            </w:r>
          </w:p>
        </w:tc>
        <w:tc>
          <w:tcPr>
            <w:tcW w:w="390"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57.1</w:t>
            </w:r>
          </w:p>
        </w:tc>
        <w:tc>
          <w:tcPr>
            <w:tcW w:w="430"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67.8</w:t>
            </w:r>
          </w:p>
        </w:tc>
        <w:tc>
          <w:tcPr>
            <w:tcW w:w="402" w:type="pct"/>
            <w:tcBorders>
              <w:top w:val="nil"/>
              <w:left w:val="single" w:sz="4" w:space="0" w:color="auto"/>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99</w:t>
            </w:r>
          </w:p>
        </w:tc>
        <w:tc>
          <w:tcPr>
            <w:tcW w:w="452"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41.8</w:t>
            </w:r>
          </w:p>
        </w:tc>
        <w:tc>
          <w:tcPr>
            <w:tcW w:w="430"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26.7</w:t>
            </w:r>
          </w:p>
        </w:tc>
        <w:tc>
          <w:tcPr>
            <w:tcW w:w="357" w:type="pct"/>
            <w:tcBorders>
              <w:top w:val="nil"/>
              <w:left w:val="single" w:sz="4" w:space="0" w:color="auto"/>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239</w:t>
            </w:r>
          </w:p>
        </w:tc>
        <w:tc>
          <w:tcPr>
            <w:tcW w:w="497"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98.8</w:t>
            </w:r>
          </w:p>
        </w:tc>
        <w:tc>
          <w:tcPr>
            <w:tcW w:w="522"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51.1%</w:t>
            </w:r>
          </w:p>
        </w:tc>
        <w:tc>
          <w:tcPr>
            <w:tcW w:w="443"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94.5</w:t>
            </w:r>
          </w:p>
        </w:tc>
        <w:tc>
          <w:tcPr>
            <w:tcW w:w="429"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48.9%</w:t>
            </w:r>
          </w:p>
        </w:tc>
      </w:tr>
      <w:tr w:rsidR="00547D0A" w:rsidRPr="00B80454" w:rsidTr="0072306E">
        <w:trPr>
          <w:trHeight w:val="315"/>
        </w:trPr>
        <w:tc>
          <w:tcPr>
            <w:tcW w:w="285" w:type="pct"/>
            <w:tcBorders>
              <w:top w:val="nil"/>
              <w:left w:val="single" w:sz="4" w:space="0" w:color="auto"/>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r w:rsidRPr="00B80454">
              <w:rPr>
                <w:b/>
                <w:bCs/>
                <w:color w:val="FFFFFF" w:themeColor="background1"/>
                <w:sz w:val="18"/>
                <w:szCs w:val="18"/>
                <w:lang w:eastAsia="en-AU"/>
              </w:rPr>
              <w:t>WA</w:t>
            </w:r>
          </w:p>
        </w:tc>
        <w:tc>
          <w:tcPr>
            <w:tcW w:w="361"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149</w:t>
            </w:r>
          </w:p>
        </w:tc>
        <w:tc>
          <w:tcPr>
            <w:tcW w:w="390"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78.9</w:t>
            </w:r>
          </w:p>
        </w:tc>
        <w:tc>
          <w:tcPr>
            <w:tcW w:w="430"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59.6</w:t>
            </w:r>
          </w:p>
        </w:tc>
        <w:tc>
          <w:tcPr>
            <w:tcW w:w="402" w:type="pct"/>
            <w:tcBorders>
              <w:top w:val="nil"/>
              <w:left w:val="single" w:sz="4" w:space="0" w:color="auto"/>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87</w:t>
            </w:r>
          </w:p>
        </w:tc>
        <w:tc>
          <w:tcPr>
            <w:tcW w:w="452"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36.6</w:t>
            </w:r>
          </w:p>
        </w:tc>
        <w:tc>
          <w:tcPr>
            <w:tcW w:w="430"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22.2</w:t>
            </w:r>
          </w:p>
        </w:tc>
        <w:tc>
          <w:tcPr>
            <w:tcW w:w="357" w:type="pct"/>
            <w:tcBorders>
              <w:top w:val="nil"/>
              <w:left w:val="single" w:sz="4" w:space="0" w:color="auto"/>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236</w:t>
            </w:r>
          </w:p>
        </w:tc>
        <w:tc>
          <w:tcPr>
            <w:tcW w:w="497"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115.5</w:t>
            </w:r>
          </w:p>
        </w:tc>
        <w:tc>
          <w:tcPr>
            <w:tcW w:w="522"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58.5%</w:t>
            </w:r>
          </w:p>
        </w:tc>
        <w:tc>
          <w:tcPr>
            <w:tcW w:w="443"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81.8</w:t>
            </w:r>
          </w:p>
        </w:tc>
        <w:tc>
          <w:tcPr>
            <w:tcW w:w="429"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41.5%</w:t>
            </w:r>
          </w:p>
        </w:tc>
      </w:tr>
      <w:tr w:rsidR="00547D0A" w:rsidRPr="00B80454" w:rsidTr="0072306E">
        <w:trPr>
          <w:trHeight w:val="315"/>
        </w:trPr>
        <w:tc>
          <w:tcPr>
            <w:tcW w:w="285" w:type="pct"/>
            <w:tcBorders>
              <w:top w:val="nil"/>
              <w:left w:val="single" w:sz="4" w:space="0" w:color="auto"/>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r w:rsidRPr="00B80454">
              <w:rPr>
                <w:b/>
                <w:bCs/>
                <w:color w:val="FFFFFF" w:themeColor="background1"/>
                <w:sz w:val="18"/>
                <w:szCs w:val="18"/>
                <w:lang w:eastAsia="en-AU"/>
              </w:rPr>
              <w:t>TAS</w:t>
            </w:r>
          </w:p>
        </w:tc>
        <w:tc>
          <w:tcPr>
            <w:tcW w:w="361"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31</w:t>
            </w:r>
          </w:p>
        </w:tc>
        <w:tc>
          <w:tcPr>
            <w:tcW w:w="390"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13.5</w:t>
            </w:r>
          </w:p>
        </w:tc>
        <w:tc>
          <w:tcPr>
            <w:tcW w:w="430"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10.7</w:t>
            </w:r>
          </w:p>
        </w:tc>
        <w:tc>
          <w:tcPr>
            <w:tcW w:w="402" w:type="pct"/>
            <w:tcBorders>
              <w:top w:val="nil"/>
              <w:left w:val="single" w:sz="4" w:space="0" w:color="auto"/>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20</w:t>
            </w:r>
          </w:p>
        </w:tc>
        <w:tc>
          <w:tcPr>
            <w:tcW w:w="452"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6.6</w:t>
            </w:r>
          </w:p>
        </w:tc>
        <w:tc>
          <w:tcPr>
            <w:tcW w:w="430"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5.8</w:t>
            </w:r>
          </w:p>
        </w:tc>
        <w:tc>
          <w:tcPr>
            <w:tcW w:w="357" w:type="pct"/>
            <w:tcBorders>
              <w:top w:val="nil"/>
              <w:left w:val="single" w:sz="4" w:space="0" w:color="auto"/>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51</w:t>
            </w:r>
          </w:p>
        </w:tc>
        <w:tc>
          <w:tcPr>
            <w:tcW w:w="497"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20.1</w:t>
            </w:r>
          </w:p>
        </w:tc>
        <w:tc>
          <w:tcPr>
            <w:tcW w:w="522"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54.9%</w:t>
            </w:r>
          </w:p>
        </w:tc>
        <w:tc>
          <w:tcPr>
            <w:tcW w:w="443"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16.5</w:t>
            </w:r>
          </w:p>
        </w:tc>
        <w:tc>
          <w:tcPr>
            <w:tcW w:w="429"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45.0%</w:t>
            </w:r>
          </w:p>
        </w:tc>
      </w:tr>
      <w:tr w:rsidR="00547D0A" w:rsidRPr="00B80454" w:rsidTr="0072306E">
        <w:trPr>
          <w:trHeight w:val="315"/>
        </w:trPr>
        <w:tc>
          <w:tcPr>
            <w:tcW w:w="285" w:type="pct"/>
            <w:tcBorders>
              <w:top w:val="nil"/>
              <w:left w:val="single" w:sz="4" w:space="0" w:color="auto"/>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r w:rsidRPr="00B80454">
              <w:rPr>
                <w:b/>
                <w:bCs/>
                <w:color w:val="FFFFFF" w:themeColor="background1"/>
                <w:sz w:val="18"/>
                <w:szCs w:val="18"/>
                <w:lang w:eastAsia="en-AU"/>
              </w:rPr>
              <w:t>NT</w:t>
            </w:r>
          </w:p>
        </w:tc>
        <w:tc>
          <w:tcPr>
            <w:tcW w:w="361"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6</w:t>
            </w:r>
          </w:p>
        </w:tc>
        <w:tc>
          <w:tcPr>
            <w:tcW w:w="390"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4.5</w:t>
            </w:r>
          </w:p>
        </w:tc>
        <w:tc>
          <w:tcPr>
            <w:tcW w:w="430"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0.8</w:t>
            </w:r>
          </w:p>
        </w:tc>
        <w:tc>
          <w:tcPr>
            <w:tcW w:w="402" w:type="pct"/>
            <w:tcBorders>
              <w:top w:val="nil"/>
              <w:left w:val="single" w:sz="4" w:space="0" w:color="auto"/>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8</w:t>
            </w:r>
          </w:p>
        </w:tc>
        <w:tc>
          <w:tcPr>
            <w:tcW w:w="452"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4</w:t>
            </w:r>
          </w:p>
        </w:tc>
        <w:tc>
          <w:tcPr>
            <w:tcW w:w="430"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1.7</w:t>
            </w:r>
          </w:p>
        </w:tc>
        <w:tc>
          <w:tcPr>
            <w:tcW w:w="357" w:type="pct"/>
            <w:tcBorders>
              <w:top w:val="nil"/>
              <w:left w:val="single" w:sz="4" w:space="0" w:color="auto"/>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14</w:t>
            </w:r>
          </w:p>
        </w:tc>
        <w:tc>
          <w:tcPr>
            <w:tcW w:w="497"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8.5</w:t>
            </w:r>
          </w:p>
        </w:tc>
        <w:tc>
          <w:tcPr>
            <w:tcW w:w="522"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77.1%</w:t>
            </w:r>
          </w:p>
        </w:tc>
        <w:tc>
          <w:tcPr>
            <w:tcW w:w="443" w:type="pct"/>
            <w:tcBorders>
              <w:top w:val="nil"/>
              <w:left w:val="nil"/>
              <w:bottom w:val="nil"/>
              <w:right w:val="nil"/>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2.5</w:t>
            </w:r>
          </w:p>
        </w:tc>
        <w:tc>
          <w:tcPr>
            <w:tcW w:w="429" w:type="pct"/>
            <w:tcBorders>
              <w:top w:val="nil"/>
              <w:left w:val="nil"/>
              <w:bottom w:val="nil"/>
              <w:right w:val="single" w:sz="4" w:space="0" w:color="auto"/>
            </w:tcBorders>
            <w:shd w:val="clear" w:color="000000" w:fill="D8D8D8"/>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23.0%</w:t>
            </w:r>
          </w:p>
        </w:tc>
      </w:tr>
      <w:tr w:rsidR="00547D0A" w:rsidRPr="00B80454" w:rsidTr="0072306E">
        <w:trPr>
          <w:trHeight w:val="315"/>
        </w:trPr>
        <w:tc>
          <w:tcPr>
            <w:tcW w:w="285" w:type="pct"/>
            <w:tcBorders>
              <w:top w:val="nil"/>
              <w:left w:val="single" w:sz="4" w:space="0" w:color="auto"/>
              <w:bottom w:val="nil"/>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r w:rsidRPr="00B80454">
              <w:rPr>
                <w:b/>
                <w:bCs/>
                <w:color w:val="FFFFFF" w:themeColor="background1"/>
                <w:sz w:val="18"/>
                <w:szCs w:val="18"/>
                <w:lang w:eastAsia="en-AU"/>
              </w:rPr>
              <w:t>ACT</w:t>
            </w:r>
          </w:p>
        </w:tc>
        <w:tc>
          <w:tcPr>
            <w:tcW w:w="361"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25</w:t>
            </w:r>
          </w:p>
        </w:tc>
        <w:tc>
          <w:tcPr>
            <w:tcW w:w="390"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13</w:t>
            </w:r>
          </w:p>
        </w:tc>
        <w:tc>
          <w:tcPr>
            <w:tcW w:w="430"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9.7</w:t>
            </w:r>
          </w:p>
        </w:tc>
        <w:tc>
          <w:tcPr>
            <w:tcW w:w="402" w:type="pct"/>
            <w:tcBorders>
              <w:top w:val="nil"/>
              <w:left w:val="single" w:sz="4" w:space="0" w:color="auto"/>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23</w:t>
            </w:r>
          </w:p>
        </w:tc>
        <w:tc>
          <w:tcPr>
            <w:tcW w:w="452"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13.8</w:t>
            </w:r>
          </w:p>
        </w:tc>
        <w:tc>
          <w:tcPr>
            <w:tcW w:w="430"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4.7</w:t>
            </w:r>
          </w:p>
        </w:tc>
        <w:tc>
          <w:tcPr>
            <w:tcW w:w="357" w:type="pct"/>
            <w:tcBorders>
              <w:top w:val="nil"/>
              <w:left w:val="single" w:sz="4" w:space="0" w:color="auto"/>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48</w:t>
            </w:r>
          </w:p>
        </w:tc>
        <w:tc>
          <w:tcPr>
            <w:tcW w:w="497"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26.9</w:t>
            </w:r>
          </w:p>
        </w:tc>
        <w:tc>
          <w:tcPr>
            <w:tcW w:w="522"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65.1%</w:t>
            </w:r>
          </w:p>
        </w:tc>
        <w:tc>
          <w:tcPr>
            <w:tcW w:w="443" w:type="pct"/>
            <w:tcBorders>
              <w:top w:val="nil"/>
              <w:left w:val="nil"/>
              <w:bottom w:val="nil"/>
              <w:right w:val="nil"/>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14.4</w:t>
            </w:r>
          </w:p>
        </w:tc>
        <w:tc>
          <w:tcPr>
            <w:tcW w:w="429" w:type="pct"/>
            <w:tcBorders>
              <w:top w:val="nil"/>
              <w:left w:val="nil"/>
              <w:bottom w:val="nil"/>
              <w:right w:val="single" w:sz="4" w:space="0" w:color="auto"/>
            </w:tcBorders>
            <w:shd w:val="clear" w:color="auto" w:fill="auto"/>
            <w:vAlign w:val="center"/>
            <w:hideMark/>
          </w:tcPr>
          <w:p w:rsidR="00547D0A" w:rsidRPr="00B80454" w:rsidRDefault="00547D0A" w:rsidP="00B80454">
            <w:pPr>
              <w:jc w:val="center"/>
              <w:rPr>
                <w:color w:val="000000"/>
                <w:sz w:val="18"/>
                <w:szCs w:val="18"/>
                <w:lang w:eastAsia="en-AU"/>
              </w:rPr>
            </w:pPr>
            <w:r w:rsidRPr="00B80454">
              <w:rPr>
                <w:color w:val="000000"/>
                <w:sz w:val="18"/>
                <w:szCs w:val="18"/>
                <w:lang w:eastAsia="en-AU"/>
              </w:rPr>
              <w:t>34.9%</w:t>
            </w:r>
          </w:p>
        </w:tc>
      </w:tr>
      <w:tr w:rsidR="00547D0A" w:rsidRPr="00B80454" w:rsidTr="0072306E">
        <w:trPr>
          <w:trHeight w:val="300"/>
        </w:trPr>
        <w:tc>
          <w:tcPr>
            <w:tcW w:w="285" w:type="pct"/>
            <w:tcBorders>
              <w:top w:val="nil"/>
              <w:left w:val="single" w:sz="4" w:space="0" w:color="auto"/>
              <w:bottom w:val="single" w:sz="4" w:space="0" w:color="auto"/>
              <w:right w:val="nil"/>
            </w:tcBorders>
            <w:shd w:val="clear" w:color="auto" w:fill="000080"/>
            <w:vAlign w:val="center"/>
            <w:hideMark/>
          </w:tcPr>
          <w:p w:rsidR="00547D0A" w:rsidRPr="00B80454" w:rsidRDefault="00547D0A" w:rsidP="00F2364C">
            <w:pPr>
              <w:rPr>
                <w:b/>
                <w:bCs/>
                <w:color w:val="FFFFFF" w:themeColor="background1"/>
                <w:sz w:val="18"/>
                <w:szCs w:val="18"/>
                <w:lang w:eastAsia="en-AU"/>
              </w:rPr>
            </w:pPr>
            <w:r w:rsidRPr="00B80454">
              <w:rPr>
                <w:b/>
                <w:bCs/>
                <w:color w:val="FFFFFF" w:themeColor="background1"/>
                <w:sz w:val="18"/>
                <w:szCs w:val="18"/>
                <w:lang w:eastAsia="en-AU"/>
              </w:rPr>
              <w:t>Total</w:t>
            </w:r>
          </w:p>
        </w:tc>
        <w:tc>
          <w:tcPr>
            <w:tcW w:w="361" w:type="pct"/>
            <w:tcBorders>
              <w:top w:val="nil"/>
              <w:left w:val="nil"/>
              <w:bottom w:val="single" w:sz="4" w:space="0" w:color="auto"/>
              <w:right w:val="nil"/>
            </w:tcBorders>
            <w:shd w:val="clear" w:color="000000" w:fill="D8D8D8"/>
            <w:vAlign w:val="center"/>
            <w:hideMark/>
          </w:tcPr>
          <w:p w:rsidR="00547D0A" w:rsidRPr="00B80454" w:rsidRDefault="00547D0A" w:rsidP="00B80454">
            <w:pPr>
              <w:jc w:val="center"/>
              <w:rPr>
                <w:b/>
                <w:bCs/>
                <w:color w:val="000000"/>
                <w:sz w:val="18"/>
                <w:szCs w:val="18"/>
                <w:lang w:eastAsia="en-AU"/>
              </w:rPr>
            </w:pPr>
            <w:r w:rsidRPr="00B80454">
              <w:rPr>
                <w:b/>
                <w:bCs/>
                <w:color w:val="000000"/>
                <w:sz w:val="18"/>
                <w:szCs w:val="18"/>
                <w:lang w:eastAsia="en-AU"/>
              </w:rPr>
              <w:t>1,777</w:t>
            </w:r>
          </w:p>
        </w:tc>
        <w:tc>
          <w:tcPr>
            <w:tcW w:w="390" w:type="pct"/>
            <w:tcBorders>
              <w:top w:val="nil"/>
              <w:left w:val="nil"/>
              <w:bottom w:val="single" w:sz="4" w:space="0" w:color="auto"/>
              <w:right w:val="nil"/>
            </w:tcBorders>
            <w:shd w:val="clear" w:color="000000" w:fill="D8D8D8"/>
            <w:vAlign w:val="center"/>
            <w:hideMark/>
          </w:tcPr>
          <w:p w:rsidR="00547D0A" w:rsidRPr="00B80454" w:rsidRDefault="00547D0A" w:rsidP="00B80454">
            <w:pPr>
              <w:jc w:val="center"/>
              <w:rPr>
                <w:b/>
                <w:bCs/>
                <w:color w:val="000000"/>
                <w:sz w:val="18"/>
                <w:szCs w:val="18"/>
                <w:lang w:eastAsia="en-AU"/>
              </w:rPr>
            </w:pPr>
            <w:r w:rsidRPr="00B80454">
              <w:rPr>
                <w:b/>
                <w:bCs/>
                <w:color w:val="000000"/>
                <w:sz w:val="18"/>
                <w:szCs w:val="18"/>
                <w:lang w:eastAsia="en-AU"/>
              </w:rPr>
              <w:t>654.8</w:t>
            </w:r>
          </w:p>
        </w:tc>
        <w:tc>
          <w:tcPr>
            <w:tcW w:w="430" w:type="pct"/>
            <w:tcBorders>
              <w:top w:val="nil"/>
              <w:left w:val="nil"/>
              <w:bottom w:val="single" w:sz="4" w:space="0" w:color="auto"/>
              <w:right w:val="single" w:sz="4" w:space="0" w:color="auto"/>
            </w:tcBorders>
            <w:shd w:val="clear" w:color="000000" w:fill="D8D8D8"/>
            <w:vAlign w:val="center"/>
            <w:hideMark/>
          </w:tcPr>
          <w:p w:rsidR="00547D0A" w:rsidRPr="00B80454" w:rsidRDefault="00547D0A" w:rsidP="00B80454">
            <w:pPr>
              <w:jc w:val="center"/>
              <w:rPr>
                <w:b/>
                <w:bCs/>
                <w:color w:val="000000"/>
                <w:sz w:val="18"/>
                <w:szCs w:val="18"/>
                <w:lang w:eastAsia="en-AU"/>
              </w:rPr>
            </w:pPr>
            <w:r w:rsidRPr="00B80454">
              <w:rPr>
                <w:b/>
                <w:bCs/>
                <w:color w:val="000000"/>
                <w:sz w:val="18"/>
                <w:szCs w:val="18"/>
                <w:lang w:eastAsia="en-AU"/>
              </w:rPr>
              <w:t>925.6</w:t>
            </w:r>
          </w:p>
        </w:tc>
        <w:tc>
          <w:tcPr>
            <w:tcW w:w="402" w:type="pct"/>
            <w:tcBorders>
              <w:top w:val="nil"/>
              <w:left w:val="single" w:sz="4" w:space="0" w:color="auto"/>
              <w:bottom w:val="single" w:sz="4" w:space="0" w:color="auto"/>
              <w:right w:val="nil"/>
            </w:tcBorders>
            <w:shd w:val="clear" w:color="000000" w:fill="D8D8D8"/>
            <w:vAlign w:val="center"/>
            <w:hideMark/>
          </w:tcPr>
          <w:p w:rsidR="00547D0A" w:rsidRPr="00B80454" w:rsidRDefault="00547D0A" w:rsidP="00B80454">
            <w:pPr>
              <w:jc w:val="center"/>
              <w:rPr>
                <w:b/>
                <w:bCs/>
                <w:color w:val="000000"/>
                <w:sz w:val="18"/>
                <w:szCs w:val="18"/>
                <w:lang w:eastAsia="en-AU"/>
              </w:rPr>
            </w:pPr>
            <w:r w:rsidRPr="00B80454">
              <w:rPr>
                <w:b/>
                <w:bCs/>
                <w:color w:val="000000"/>
                <w:sz w:val="18"/>
                <w:szCs w:val="18"/>
                <w:lang w:eastAsia="en-AU"/>
              </w:rPr>
              <w:t>1,028</w:t>
            </w:r>
          </w:p>
        </w:tc>
        <w:tc>
          <w:tcPr>
            <w:tcW w:w="452" w:type="pct"/>
            <w:tcBorders>
              <w:top w:val="nil"/>
              <w:left w:val="nil"/>
              <w:bottom w:val="single" w:sz="4" w:space="0" w:color="auto"/>
              <w:right w:val="nil"/>
            </w:tcBorders>
            <w:shd w:val="clear" w:color="000000" w:fill="D8D8D8"/>
            <w:vAlign w:val="center"/>
            <w:hideMark/>
          </w:tcPr>
          <w:p w:rsidR="00547D0A" w:rsidRPr="00B80454" w:rsidRDefault="00547D0A" w:rsidP="00B80454">
            <w:pPr>
              <w:jc w:val="center"/>
              <w:rPr>
                <w:b/>
                <w:bCs/>
                <w:color w:val="000000"/>
                <w:sz w:val="18"/>
                <w:szCs w:val="18"/>
                <w:lang w:eastAsia="en-AU"/>
              </w:rPr>
            </w:pPr>
            <w:r w:rsidRPr="00B80454">
              <w:rPr>
                <w:b/>
                <w:bCs/>
                <w:color w:val="000000"/>
                <w:sz w:val="18"/>
                <w:szCs w:val="18"/>
                <w:lang w:eastAsia="en-AU"/>
              </w:rPr>
              <w:t>392.2</w:t>
            </w:r>
          </w:p>
        </w:tc>
        <w:tc>
          <w:tcPr>
            <w:tcW w:w="430" w:type="pct"/>
            <w:tcBorders>
              <w:top w:val="nil"/>
              <w:left w:val="nil"/>
              <w:bottom w:val="single" w:sz="4" w:space="0" w:color="auto"/>
              <w:right w:val="single" w:sz="4" w:space="0" w:color="auto"/>
            </w:tcBorders>
            <w:shd w:val="clear" w:color="000000" w:fill="D8D8D8"/>
            <w:vAlign w:val="center"/>
            <w:hideMark/>
          </w:tcPr>
          <w:p w:rsidR="00547D0A" w:rsidRPr="00B80454" w:rsidRDefault="00547D0A" w:rsidP="00B80454">
            <w:pPr>
              <w:jc w:val="center"/>
              <w:rPr>
                <w:b/>
                <w:bCs/>
                <w:color w:val="000000"/>
                <w:sz w:val="18"/>
                <w:szCs w:val="18"/>
                <w:lang w:eastAsia="en-AU"/>
              </w:rPr>
            </w:pPr>
            <w:r w:rsidRPr="00B80454">
              <w:rPr>
                <w:b/>
                <w:bCs/>
                <w:color w:val="000000"/>
                <w:sz w:val="18"/>
                <w:szCs w:val="18"/>
                <w:lang w:eastAsia="en-AU"/>
              </w:rPr>
              <w:t>338</w:t>
            </w:r>
          </w:p>
        </w:tc>
        <w:tc>
          <w:tcPr>
            <w:tcW w:w="357" w:type="pct"/>
            <w:tcBorders>
              <w:top w:val="nil"/>
              <w:left w:val="single" w:sz="4" w:space="0" w:color="auto"/>
              <w:bottom w:val="single" w:sz="4" w:space="0" w:color="auto"/>
              <w:right w:val="nil"/>
            </w:tcBorders>
            <w:shd w:val="clear" w:color="000000" w:fill="D8D8D8"/>
            <w:vAlign w:val="center"/>
            <w:hideMark/>
          </w:tcPr>
          <w:p w:rsidR="00547D0A" w:rsidRPr="00B80454" w:rsidRDefault="00547D0A" w:rsidP="00B80454">
            <w:pPr>
              <w:jc w:val="center"/>
              <w:rPr>
                <w:b/>
                <w:bCs/>
                <w:color w:val="000000"/>
                <w:sz w:val="18"/>
                <w:szCs w:val="18"/>
                <w:lang w:eastAsia="en-AU"/>
              </w:rPr>
            </w:pPr>
            <w:r w:rsidRPr="00B80454">
              <w:rPr>
                <w:b/>
                <w:bCs/>
                <w:color w:val="000000"/>
                <w:sz w:val="18"/>
                <w:szCs w:val="18"/>
                <w:lang w:eastAsia="en-AU"/>
              </w:rPr>
              <w:t>2,805</w:t>
            </w:r>
          </w:p>
        </w:tc>
        <w:tc>
          <w:tcPr>
            <w:tcW w:w="497" w:type="pct"/>
            <w:tcBorders>
              <w:top w:val="nil"/>
              <w:left w:val="nil"/>
              <w:bottom w:val="single" w:sz="4" w:space="0" w:color="auto"/>
              <w:right w:val="nil"/>
            </w:tcBorders>
            <w:shd w:val="clear" w:color="000000" w:fill="D8D8D8"/>
            <w:vAlign w:val="center"/>
            <w:hideMark/>
          </w:tcPr>
          <w:p w:rsidR="00547D0A" w:rsidRPr="00B80454" w:rsidRDefault="00547D0A" w:rsidP="00B80454">
            <w:pPr>
              <w:jc w:val="center"/>
              <w:rPr>
                <w:b/>
                <w:bCs/>
                <w:color w:val="000000"/>
                <w:sz w:val="18"/>
                <w:szCs w:val="18"/>
                <w:lang w:eastAsia="en-AU"/>
              </w:rPr>
            </w:pPr>
            <w:r w:rsidRPr="00B80454">
              <w:rPr>
                <w:b/>
                <w:bCs/>
                <w:color w:val="000000"/>
                <w:sz w:val="18"/>
                <w:szCs w:val="18"/>
                <w:lang w:eastAsia="en-AU"/>
              </w:rPr>
              <w:t>1,047.0</w:t>
            </w:r>
          </w:p>
        </w:tc>
        <w:tc>
          <w:tcPr>
            <w:tcW w:w="522" w:type="pct"/>
            <w:tcBorders>
              <w:top w:val="nil"/>
              <w:left w:val="nil"/>
              <w:bottom w:val="single" w:sz="4" w:space="0" w:color="auto"/>
              <w:right w:val="nil"/>
            </w:tcBorders>
            <w:shd w:val="clear" w:color="000000" w:fill="D8D8D8"/>
            <w:vAlign w:val="center"/>
            <w:hideMark/>
          </w:tcPr>
          <w:p w:rsidR="00547D0A" w:rsidRPr="00B80454" w:rsidRDefault="00547D0A" w:rsidP="00B80454">
            <w:pPr>
              <w:jc w:val="center"/>
              <w:rPr>
                <w:b/>
                <w:bCs/>
                <w:color w:val="000000"/>
                <w:sz w:val="18"/>
                <w:szCs w:val="18"/>
                <w:lang w:eastAsia="en-AU"/>
              </w:rPr>
            </w:pPr>
            <w:r w:rsidRPr="00B80454">
              <w:rPr>
                <w:b/>
                <w:bCs/>
                <w:color w:val="000000"/>
                <w:sz w:val="18"/>
                <w:szCs w:val="18"/>
                <w:lang w:eastAsia="en-AU"/>
              </w:rPr>
              <w:t>45.3%</w:t>
            </w:r>
          </w:p>
        </w:tc>
        <w:tc>
          <w:tcPr>
            <w:tcW w:w="443" w:type="pct"/>
            <w:tcBorders>
              <w:top w:val="nil"/>
              <w:left w:val="nil"/>
              <w:bottom w:val="single" w:sz="4" w:space="0" w:color="auto"/>
              <w:right w:val="nil"/>
            </w:tcBorders>
            <w:shd w:val="clear" w:color="000000" w:fill="D8D8D8"/>
            <w:vAlign w:val="center"/>
            <w:hideMark/>
          </w:tcPr>
          <w:p w:rsidR="00547D0A" w:rsidRPr="00B80454" w:rsidRDefault="00547D0A" w:rsidP="00B80454">
            <w:pPr>
              <w:jc w:val="center"/>
              <w:rPr>
                <w:b/>
                <w:bCs/>
                <w:color w:val="000000"/>
                <w:sz w:val="18"/>
                <w:szCs w:val="18"/>
                <w:lang w:eastAsia="en-AU"/>
              </w:rPr>
            </w:pPr>
            <w:r w:rsidRPr="00B80454">
              <w:rPr>
                <w:b/>
                <w:bCs/>
                <w:color w:val="000000"/>
                <w:sz w:val="18"/>
                <w:szCs w:val="18"/>
                <w:lang w:eastAsia="en-AU"/>
              </w:rPr>
              <w:t>1,263.6</w:t>
            </w:r>
          </w:p>
        </w:tc>
        <w:tc>
          <w:tcPr>
            <w:tcW w:w="429" w:type="pct"/>
            <w:tcBorders>
              <w:top w:val="nil"/>
              <w:left w:val="nil"/>
              <w:bottom w:val="single" w:sz="4" w:space="0" w:color="auto"/>
              <w:right w:val="single" w:sz="4" w:space="0" w:color="auto"/>
            </w:tcBorders>
            <w:shd w:val="clear" w:color="000000" w:fill="D8D8D8"/>
            <w:vAlign w:val="center"/>
            <w:hideMark/>
          </w:tcPr>
          <w:p w:rsidR="00547D0A" w:rsidRPr="00B80454" w:rsidRDefault="00547D0A" w:rsidP="00B80454">
            <w:pPr>
              <w:jc w:val="center"/>
              <w:rPr>
                <w:b/>
                <w:bCs/>
                <w:color w:val="000000"/>
                <w:sz w:val="18"/>
                <w:szCs w:val="18"/>
                <w:lang w:eastAsia="en-AU"/>
              </w:rPr>
            </w:pPr>
            <w:r w:rsidRPr="00B80454">
              <w:rPr>
                <w:b/>
                <w:bCs/>
                <w:color w:val="000000"/>
                <w:sz w:val="18"/>
                <w:szCs w:val="18"/>
                <w:lang w:eastAsia="en-AU"/>
              </w:rPr>
              <w:t>54.7%</w:t>
            </w:r>
          </w:p>
        </w:tc>
      </w:tr>
    </w:tbl>
    <w:p w:rsidR="00547D0A" w:rsidRPr="0072306E" w:rsidRDefault="00547D0A" w:rsidP="00C64C65">
      <w:pPr>
        <w:spacing w:before="120"/>
        <w:rPr>
          <w:i/>
          <w:sz w:val="16"/>
          <w:szCs w:val="18"/>
        </w:rPr>
      </w:pPr>
      <w:r w:rsidRPr="0072306E">
        <w:rPr>
          <w:i/>
          <w:sz w:val="16"/>
          <w:szCs w:val="18"/>
        </w:rPr>
        <w:t xml:space="preserve">Source: </w:t>
      </w:r>
      <w:proofErr w:type="spellStart"/>
      <w:r w:rsidRPr="0072306E">
        <w:rPr>
          <w:i/>
          <w:sz w:val="16"/>
          <w:szCs w:val="18"/>
        </w:rPr>
        <w:t>NHWDS</w:t>
      </w:r>
      <w:proofErr w:type="spellEnd"/>
      <w:r w:rsidRPr="0072306E">
        <w:rPr>
          <w:i/>
          <w:sz w:val="16"/>
          <w:szCs w:val="18"/>
        </w:rPr>
        <w:t>, Medical Practitioner 2013 (1 FTE equivalent to 40 hours)</w:t>
      </w:r>
    </w:p>
    <w:p w:rsidR="00C7490F" w:rsidRDefault="00C7490F">
      <w:pPr>
        <w:jc w:val="left"/>
        <w:rPr>
          <w:rFonts w:eastAsia="Calibri" w:cs="Arial"/>
          <w:b/>
          <w:bCs/>
          <w:iCs/>
          <w:color w:val="000080"/>
          <w:sz w:val="26"/>
          <w:szCs w:val="28"/>
        </w:rPr>
      </w:pPr>
      <w:r>
        <w:br w:type="page"/>
      </w:r>
    </w:p>
    <w:p w:rsidR="00D547FF" w:rsidRPr="000421CE" w:rsidRDefault="00D547FF" w:rsidP="00B831A8">
      <w:pPr>
        <w:pStyle w:val="Heading3"/>
      </w:pPr>
      <w:bookmarkStart w:id="20" w:name="_Toc445986945"/>
      <w:r w:rsidRPr="000421CE">
        <w:lastRenderedPageBreak/>
        <w:t>Current trainee status</w:t>
      </w:r>
      <w:bookmarkEnd w:id="20"/>
    </w:p>
    <w:p w:rsidR="00D547FF" w:rsidRPr="00024EE6" w:rsidRDefault="00D547FF" w:rsidP="00B831A8">
      <w:pPr>
        <w:pStyle w:val="Heading4"/>
      </w:pPr>
      <w:r w:rsidRPr="00024EE6">
        <w:t xml:space="preserve">Fellowship program </w:t>
      </w:r>
    </w:p>
    <w:p w:rsidR="002714F7" w:rsidRDefault="00D547FF" w:rsidP="00D547FF">
      <w:pPr>
        <w:spacing w:before="120" w:after="120"/>
        <w:rPr>
          <w:szCs w:val="22"/>
        </w:rPr>
      </w:pPr>
      <w:r w:rsidRPr="002E6CA0">
        <w:rPr>
          <w:szCs w:val="22"/>
        </w:rPr>
        <w:t>The Royal Australian and New Zealand College of Psychiatrists (</w:t>
      </w:r>
      <w:proofErr w:type="spellStart"/>
      <w:r w:rsidRPr="002E6CA0">
        <w:rPr>
          <w:szCs w:val="22"/>
        </w:rPr>
        <w:t>RANZCP</w:t>
      </w:r>
      <w:proofErr w:type="spellEnd"/>
      <w:r w:rsidRPr="002E6CA0">
        <w:rPr>
          <w:szCs w:val="22"/>
        </w:rPr>
        <w:t>) oversees the training and qualification of psychiatrists in Australia and New Zealand. In January 2013</w:t>
      </w:r>
      <w:r w:rsidR="001F41AC">
        <w:rPr>
          <w:szCs w:val="22"/>
        </w:rPr>
        <w:t>,</w:t>
      </w:r>
      <w:r w:rsidRPr="002E6CA0">
        <w:rPr>
          <w:szCs w:val="22"/>
        </w:rPr>
        <w:t xml:space="preserve"> the </w:t>
      </w:r>
      <w:proofErr w:type="spellStart"/>
      <w:r w:rsidRPr="002E6CA0">
        <w:rPr>
          <w:szCs w:val="22"/>
        </w:rPr>
        <w:t>RANZCP</w:t>
      </w:r>
      <w:proofErr w:type="spellEnd"/>
      <w:r w:rsidRPr="002E6CA0">
        <w:rPr>
          <w:szCs w:val="22"/>
        </w:rPr>
        <w:t xml:space="preserve"> implemented the competency – based Fellowship program</w:t>
      </w:r>
      <w:r w:rsidR="001F41AC">
        <w:rPr>
          <w:szCs w:val="22"/>
        </w:rPr>
        <w:t xml:space="preserve"> (</w:t>
      </w:r>
      <w:r w:rsidRPr="002E6CA0">
        <w:rPr>
          <w:szCs w:val="22"/>
        </w:rPr>
        <w:t xml:space="preserve">the 2012 Fellowship </w:t>
      </w:r>
      <w:r w:rsidR="006A16C8">
        <w:rPr>
          <w:szCs w:val="22"/>
        </w:rPr>
        <w:t>p</w:t>
      </w:r>
      <w:r w:rsidRPr="002E6CA0">
        <w:rPr>
          <w:szCs w:val="22"/>
        </w:rPr>
        <w:t>rogram</w:t>
      </w:r>
      <w:r w:rsidR="001F41AC">
        <w:rPr>
          <w:szCs w:val="22"/>
        </w:rPr>
        <w:t>)</w:t>
      </w:r>
      <w:r w:rsidRPr="002E6CA0">
        <w:rPr>
          <w:szCs w:val="22"/>
        </w:rPr>
        <w:t>. The revised program includes a modified training structure with 3 levels, Stage 1, Stage 2 and Stage 3</w:t>
      </w:r>
      <w:r w:rsidR="001F41AC">
        <w:rPr>
          <w:szCs w:val="22"/>
        </w:rPr>
        <w:t>,</w:t>
      </w:r>
      <w:r w:rsidRPr="002E6CA0">
        <w:rPr>
          <w:szCs w:val="22"/>
        </w:rPr>
        <w:t xml:space="preserve"> completed over </w:t>
      </w:r>
      <w:r w:rsidR="006A16C8">
        <w:rPr>
          <w:szCs w:val="22"/>
        </w:rPr>
        <w:t xml:space="preserve">a minimum of </w:t>
      </w:r>
      <w:r w:rsidRPr="002E6CA0">
        <w:rPr>
          <w:szCs w:val="22"/>
        </w:rPr>
        <w:t xml:space="preserve">60 months in total.  </w:t>
      </w:r>
    </w:p>
    <w:p w:rsidR="00D547FF" w:rsidRPr="002E6CA0" w:rsidRDefault="00D547FF" w:rsidP="00D547FF">
      <w:pPr>
        <w:spacing w:before="120" w:after="120"/>
        <w:rPr>
          <w:szCs w:val="22"/>
        </w:rPr>
      </w:pPr>
      <w:r w:rsidRPr="002E6CA0">
        <w:rPr>
          <w:szCs w:val="22"/>
        </w:rPr>
        <w:t xml:space="preserve">The revised program includes a modified assessment structure with </w:t>
      </w:r>
      <w:proofErr w:type="spellStart"/>
      <w:r w:rsidRPr="002E6CA0">
        <w:rPr>
          <w:szCs w:val="22"/>
        </w:rPr>
        <w:t>Entrustable</w:t>
      </w:r>
      <w:proofErr w:type="spellEnd"/>
      <w:r w:rsidRPr="002E6CA0">
        <w:rPr>
          <w:szCs w:val="22"/>
        </w:rPr>
        <w:t xml:space="preserve"> Professional Activities (</w:t>
      </w:r>
      <w:proofErr w:type="spellStart"/>
      <w:r w:rsidRPr="002E6CA0">
        <w:rPr>
          <w:szCs w:val="22"/>
        </w:rPr>
        <w:t>EPAs</w:t>
      </w:r>
      <w:proofErr w:type="spellEnd"/>
      <w:r w:rsidRPr="002E6CA0">
        <w:rPr>
          <w:szCs w:val="22"/>
        </w:rPr>
        <w:t>) and Workplace Based Assessments (</w:t>
      </w:r>
      <w:proofErr w:type="spellStart"/>
      <w:r w:rsidRPr="002E6CA0">
        <w:rPr>
          <w:szCs w:val="22"/>
        </w:rPr>
        <w:t>WBAs</w:t>
      </w:r>
      <w:proofErr w:type="spellEnd"/>
      <w:r w:rsidRPr="002E6CA0">
        <w:rPr>
          <w:szCs w:val="22"/>
        </w:rPr>
        <w:t xml:space="preserve">). </w:t>
      </w:r>
    </w:p>
    <w:p w:rsidR="00D547FF" w:rsidRPr="002E6CA0" w:rsidRDefault="00D547FF" w:rsidP="00D547FF">
      <w:pPr>
        <w:spacing w:before="120" w:after="120"/>
        <w:rPr>
          <w:szCs w:val="22"/>
        </w:rPr>
      </w:pPr>
      <w:r w:rsidRPr="002E6CA0">
        <w:rPr>
          <w:szCs w:val="22"/>
        </w:rPr>
        <w:t xml:space="preserve">The 2012 Fellowship </w:t>
      </w:r>
      <w:r w:rsidR="006A16C8">
        <w:rPr>
          <w:szCs w:val="22"/>
        </w:rPr>
        <w:t>p</w:t>
      </w:r>
      <w:r w:rsidRPr="002E6CA0">
        <w:rPr>
          <w:szCs w:val="22"/>
        </w:rPr>
        <w:t xml:space="preserve">rogram will follow a staggered implementation process according to the following schedule: </w:t>
      </w:r>
    </w:p>
    <w:p w:rsidR="00D547FF" w:rsidRPr="0090788F" w:rsidRDefault="00D547FF" w:rsidP="00D510F1">
      <w:pPr>
        <w:numPr>
          <w:ilvl w:val="0"/>
          <w:numId w:val="3"/>
        </w:numPr>
        <w:spacing w:before="120" w:after="120"/>
        <w:ind w:left="357" w:hanging="357"/>
        <w:rPr>
          <w:szCs w:val="22"/>
        </w:rPr>
      </w:pPr>
      <w:r w:rsidRPr="0090788F">
        <w:rPr>
          <w:szCs w:val="22"/>
        </w:rPr>
        <w:t>Stage 1 to commence December 2012</w:t>
      </w:r>
    </w:p>
    <w:p w:rsidR="00D547FF" w:rsidRPr="0090788F" w:rsidRDefault="00D547FF" w:rsidP="00D510F1">
      <w:pPr>
        <w:numPr>
          <w:ilvl w:val="0"/>
          <w:numId w:val="3"/>
        </w:numPr>
        <w:spacing w:before="120" w:after="120"/>
        <w:ind w:left="357" w:hanging="357"/>
        <w:rPr>
          <w:szCs w:val="22"/>
        </w:rPr>
      </w:pPr>
      <w:r w:rsidRPr="0090788F">
        <w:rPr>
          <w:szCs w:val="22"/>
        </w:rPr>
        <w:t>Stage 2 to commence December 2013</w:t>
      </w:r>
    </w:p>
    <w:p w:rsidR="00D547FF" w:rsidRPr="00D67F21" w:rsidRDefault="00D547FF" w:rsidP="00D510F1">
      <w:pPr>
        <w:numPr>
          <w:ilvl w:val="0"/>
          <w:numId w:val="3"/>
        </w:numPr>
        <w:spacing w:before="120" w:after="120"/>
        <w:ind w:left="357" w:hanging="357"/>
        <w:rPr>
          <w:szCs w:val="22"/>
        </w:rPr>
      </w:pPr>
      <w:r w:rsidRPr="0090788F">
        <w:rPr>
          <w:szCs w:val="22"/>
        </w:rPr>
        <w:t>Stage 3 to commence December 2015</w:t>
      </w:r>
    </w:p>
    <w:p w:rsidR="00D547FF" w:rsidRPr="004E10A8" w:rsidRDefault="00D547FF" w:rsidP="003C642E">
      <w:pPr>
        <w:pStyle w:val="Heading4"/>
        <w:jc w:val="left"/>
      </w:pPr>
      <w:r w:rsidRPr="004E10A8">
        <w:t xml:space="preserve">Figure </w:t>
      </w:r>
      <w:r w:rsidR="00214BBC">
        <w:t>9</w:t>
      </w:r>
      <w:r w:rsidRPr="004E10A8">
        <w:t xml:space="preserve"> – Flow chart of </w:t>
      </w:r>
      <w:proofErr w:type="spellStart"/>
      <w:r w:rsidRPr="004E10A8">
        <w:t>RANZCP</w:t>
      </w:r>
      <w:proofErr w:type="spellEnd"/>
      <w:r w:rsidRPr="004E10A8">
        <w:t xml:space="preserve"> 2012 Fellowship Program</w:t>
      </w:r>
    </w:p>
    <w:p w:rsidR="00D547FF" w:rsidRPr="00C7490F" w:rsidRDefault="00D547FF" w:rsidP="00C7490F">
      <w:pPr>
        <w:pStyle w:val="Caption"/>
        <w:keepNext/>
        <w:spacing w:before="120"/>
        <w:rPr>
          <w:szCs w:val="18"/>
        </w:rPr>
      </w:pPr>
      <w:r w:rsidRPr="00C7490F">
        <w:rPr>
          <w:noProof/>
          <w:szCs w:val="18"/>
          <w:lang w:eastAsia="en-AU"/>
        </w:rPr>
        <w:drawing>
          <wp:inline distT="0" distB="0" distL="0" distR="0" wp14:anchorId="0828C049" wp14:editId="1E656007">
            <wp:extent cx="5718220" cy="2554463"/>
            <wp:effectExtent l="19050" t="19050" r="15875" b="17780"/>
            <wp:docPr id="31" name="Picture 31" descr="The figure shows the three stages  of the Fellowship program, duration and the required assessments that need to be undertaken as part of each stage.&#10;a description can be found at: &#10;&#10;www.ranzcp.org/Pre-Fellowship/2012-Fellowship-Program/About-the-training-program/Stages-of-training.aspx&#10;" title="Figure 9: RANZCP 2012 Felllowhsip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nzcp.org/Images/Pre-Fellowship/Training-diagram.aspx?width=680&amp;height=359"/>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5714273" cy="2552700"/>
                    </a:xfrm>
                    <a:prstGeom prst="rect">
                      <a:avLst/>
                    </a:prstGeom>
                    <a:noFill/>
                    <a:ln w="3175">
                      <a:solidFill>
                        <a:srgbClr val="000080"/>
                      </a:solidFill>
                      <a:prstDash val="solid"/>
                    </a:ln>
                  </pic:spPr>
                </pic:pic>
              </a:graphicData>
            </a:graphic>
          </wp:inline>
        </w:drawing>
      </w:r>
    </w:p>
    <w:p w:rsidR="00D547FF" w:rsidRPr="0072306E" w:rsidRDefault="00D547FF" w:rsidP="00C64C65">
      <w:pPr>
        <w:spacing w:before="120"/>
        <w:rPr>
          <w:i/>
          <w:sz w:val="16"/>
          <w:szCs w:val="20"/>
        </w:rPr>
      </w:pPr>
      <w:r w:rsidRPr="0072306E">
        <w:rPr>
          <w:i/>
          <w:sz w:val="16"/>
          <w:szCs w:val="20"/>
        </w:rPr>
        <w:t>Source: The Royal Australian and New Zealand College of Psychiatrists, 2013</w:t>
      </w:r>
    </w:p>
    <w:p w:rsidR="00D547FF" w:rsidRPr="00A77E53" w:rsidRDefault="00D547FF" w:rsidP="00D547FF">
      <w:pPr>
        <w:rPr>
          <w:rFonts w:ascii="Arial" w:hAnsi="Arial" w:cs="Arial"/>
          <w:sz w:val="16"/>
          <w:szCs w:val="20"/>
        </w:rPr>
      </w:pPr>
    </w:p>
    <w:p w:rsidR="00D547FF" w:rsidRPr="002E6CA0" w:rsidRDefault="00D547FF" w:rsidP="00D547FF">
      <w:pPr>
        <w:spacing w:before="120" w:after="120"/>
        <w:rPr>
          <w:szCs w:val="22"/>
        </w:rPr>
      </w:pPr>
      <w:r w:rsidRPr="002E6CA0">
        <w:rPr>
          <w:szCs w:val="22"/>
        </w:rPr>
        <w:t xml:space="preserve">The 2012 Fellowship </w:t>
      </w:r>
      <w:r w:rsidR="006A16C8">
        <w:rPr>
          <w:szCs w:val="22"/>
        </w:rPr>
        <w:t>p</w:t>
      </w:r>
      <w:r w:rsidRPr="002E6CA0">
        <w:rPr>
          <w:szCs w:val="22"/>
        </w:rPr>
        <w:t xml:space="preserve">rogram has a number of exams and assessments that are required to be completed for the attainment of </w:t>
      </w:r>
      <w:r w:rsidR="00892201">
        <w:rPr>
          <w:szCs w:val="22"/>
        </w:rPr>
        <w:t>F</w:t>
      </w:r>
      <w:r w:rsidRPr="002E6CA0">
        <w:rPr>
          <w:szCs w:val="22"/>
        </w:rPr>
        <w:t>ellowship. These are outlined in</w:t>
      </w:r>
      <w:r w:rsidR="001340F6">
        <w:rPr>
          <w:szCs w:val="22"/>
        </w:rPr>
        <w:t xml:space="preserve"> table 2</w:t>
      </w:r>
      <w:r w:rsidRPr="002E6CA0">
        <w:rPr>
          <w:szCs w:val="22"/>
        </w:rPr>
        <w:t xml:space="preserve">, which shows the months/stage at which they can first be attempted and by when they should be passed. This provides trainees with a baseline against which their progress will be monitored to ensure a steady progression. </w:t>
      </w:r>
    </w:p>
    <w:p w:rsidR="00D547FF" w:rsidRPr="004E10A8" w:rsidRDefault="00D547FF" w:rsidP="00D84538">
      <w:pPr>
        <w:pStyle w:val="Heading4"/>
        <w:spacing w:after="120"/>
        <w:jc w:val="left"/>
      </w:pPr>
      <w:bookmarkStart w:id="21" w:name="_Ref413936546"/>
      <w:bookmarkStart w:id="22" w:name="_Ref413936540"/>
      <w:r w:rsidRPr="004E10A8">
        <w:t xml:space="preserve">Table </w:t>
      </w:r>
      <w:fldSimple w:instr=" SEQ Table \* ARABIC ">
        <w:r w:rsidR="00A34F47" w:rsidRPr="004E10A8">
          <w:rPr>
            <w:noProof/>
          </w:rPr>
          <w:t>2</w:t>
        </w:r>
      </w:fldSimple>
      <w:bookmarkEnd w:id="21"/>
      <w:r w:rsidRPr="004E10A8">
        <w:t xml:space="preserve"> – Trainees progress trajectory of exams</w:t>
      </w:r>
      <w:bookmarkEnd w:id="22"/>
    </w:p>
    <w:tbl>
      <w:tblPr>
        <w:tblW w:w="4942" w:type="pct"/>
        <w:tblInd w:w="108" w:type="dxa"/>
        <w:tblLook w:val="04A0" w:firstRow="1" w:lastRow="0" w:firstColumn="1" w:lastColumn="0" w:noHBand="0" w:noVBand="1"/>
        <w:tblCaption w:val="Table 2: Trainee exam progress trajectory"/>
        <w:tblDescription w:val="Table 2 shows the exams and assessments and the time frame they can be attempted and have to be passed for each stage for the 2012 Fellowship program:                                                                                 Written multiple choice exams during stage 2;                                            Written essay exams in the second year of stage 2 and/or the first 18 months of stage 3;                                                                                           Objective structured clinical exams in the first 18 months of stage 3; Scholarly project in stage 1, stage 2 and first 18 months of stage 3; and              Psychotherapy writen case in stage 1, stage 2 and the first 6 months of stage 3.                                                                                                                                    "/>
      </w:tblPr>
      <w:tblGrid>
        <w:gridCol w:w="3991"/>
        <w:gridCol w:w="471"/>
        <w:gridCol w:w="623"/>
        <w:gridCol w:w="508"/>
        <w:gridCol w:w="506"/>
        <w:gridCol w:w="506"/>
        <w:gridCol w:w="508"/>
        <w:gridCol w:w="506"/>
        <w:gridCol w:w="506"/>
        <w:gridCol w:w="506"/>
        <w:gridCol w:w="504"/>
      </w:tblGrid>
      <w:tr w:rsidR="00D547FF" w:rsidRPr="00AA0A42" w:rsidTr="002C4533">
        <w:trPr>
          <w:trHeight w:val="300"/>
        </w:trPr>
        <w:tc>
          <w:tcPr>
            <w:tcW w:w="2184" w:type="pct"/>
            <w:tcBorders>
              <w:top w:val="single" w:sz="8" w:space="0" w:color="auto"/>
              <w:left w:val="single" w:sz="8" w:space="0" w:color="auto"/>
            </w:tcBorders>
            <w:shd w:val="clear" w:color="000000" w:fill="000080"/>
            <w:noWrap/>
            <w:vAlign w:val="bottom"/>
            <w:hideMark/>
          </w:tcPr>
          <w:p w:rsidR="00D547FF" w:rsidRPr="00AA0A42" w:rsidRDefault="00D547FF" w:rsidP="00F2364C">
            <w:pPr>
              <w:rPr>
                <w:b/>
                <w:bCs/>
                <w:color w:val="FFFFFF"/>
                <w:sz w:val="18"/>
                <w:szCs w:val="18"/>
                <w:lang w:eastAsia="en-AU"/>
              </w:rPr>
            </w:pPr>
            <w:r w:rsidRPr="00AA0A42">
              <w:rPr>
                <w:b/>
                <w:bCs/>
                <w:color w:val="FFFFFF"/>
                <w:sz w:val="18"/>
                <w:szCs w:val="18"/>
                <w:lang w:eastAsia="en-AU"/>
              </w:rPr>
              <w:t>2012 Fellowship Program Examinations</w:t>
            </w:r>
          </w:p>
        </w:tc>
        <w:tc>
          <w:tcPr>
            <w:tcW w:w="599" w:type="pct"/>
            <w:gridSpan w:val="2"/>
            <w:tcBorders>
              <w:top w:val="single" w:sz="8" w:space="0" w:color="auto"/>
              <w:right w:val="single" w:sz="18" w:space="0" w:color="auto"/>
            </w:tcBorders>
            <w:shd w:val="clear" w:color="000000" w:fill="000080"/>
            <w:noWrap/>
            <w:vAlign w:val="bottom"/>
            <w:hideMark/>
          </w:tcPr>
          <w:p w:rsidR="00D547FF" w:rsidRPr="00AA0A42" w:rsidRDefault="00D547FF" w:rsidP="00F2364C">
            <w:pPr>
              <w:jc w:val="center"/>
              <w:rPr>
                <w:b/>
                <w:bCs/>
                <w:color w:val="FFFFFF"/>
                <w:sz w:val="18"/>
                <w:szCs w:val="18"/>
                <w:lang w:eastAsia="en-AU"/>
              </w:rPr>
            </w:pPr>
            <w:r w:rsidRPr="00AA0A42">
              <w:rPr>
                <w:b/>
                <w:bCs/>
                <w:color w:val="FFFFFF"/>
                <w:sz w:val="18"/>
                <w:szCs w:val="18"/>
                <w:lang w:eastAsia="en-AU"/>
              </w:rPr>
              <w:t>STAGE 1</w:t>
            </w:r>
          </w:p>
        </w:tc>
        <w:tc>
          <w:tcPr>
            <w:tcW w:w="1110" w:type="pct"/>
            <w:gridSpan w:val="4"/>
            <w:tcBorders>
              <w:top w:val="single" w:sz="8" w:space="0" w:color="auto"/>
              <w:left w:val="single" w:sz="18" w:space="0" w:color="auto"/>
              <w:right w:val="single" w:sz="18" w:space="0" w:color="auto"/>
            </w:tcBorders>
            <w:shd w:val="clear" w:color="000000" w:fill="000080"/>
            <w:noWrap/>
            <w:vAlign w:val="bottom"/>
            <w:hideMark/>
          </w:tcPr>
          <w:p w:rsidR="00D547FF" w:rsidRPr="00AA0A42" w:rsidRDefault="00D547FF" w:rsidP="00F2364C">
            <w:pPr>
              <w:jc w:val="center"/>
              <w:rPr>
                <w:b/>
                <w:bCs/>
                <w:color w:val="FFFFFF"/>
                <w:sz w:val="18"/>
                <w:szCs w:val="18"/>
                <w:lang w:eastAsia="en-AU"/>
              </w:rPr>
            </w:pPr>
            <w:r w:rsidRPr="00AA0A42">
              <w:rPr>
                <w:b/>
                <w:bCs/>
                <w:color w:val="FFFFFF"/>
                <w:sz w:val="18"/>
                <w:szCs w:val="18"/>
                <w:lang w:eastAsia="en-AU"/>
              </w:rPr>
              <w:t>STAGE 2</w:t>
            </w:r>
          </w:p>
        </w:tc>
        <w:tc>
          <w:tcPr>
            <w:tcW w:w="1108" w:type="pct"/>
            <w:gridSpan w:val="4"/>
            <w:tcBorders>
              <w:top w:val="single" w:sz="8" w:space="0" w:color="auto"/>
              <w:left w:val="single" w:sz="18" w:space="0" w:color="auto"/>
              <w:right w:val="single" w:sz="8" w:space="0" w:color="auto"/>
            </w:tcBorders>
            <w:shd w:val="clear" w:color="000000" w:fill="000080"/>
            <w:noWrap/>
            <w:vAlign w:val="bottom"/>
            <w:hideMark/>
          </w:tcPr>
          <w:p w:rsidR="00D547FF" w:rsidRPr="00AA0A42" w:rsidRDefault="00D547FF" w:rsidP="00F2364C">
            <w:pPr>
              <w:jc w:val="center"/>
              <w:rPr>
                <w:b/>
                <w:bCs/>
                <w:color w:val="FFFFFF"/>
                <w:sz w:val="18"/>
                <w:szCs w:val="18"/>
                <w:lang w:eastAsia="en-AU"/>
              </w:rPr>
            </w:pPr>
            <w:r w:rsidRPr="00AA0A42">
              <w:rPr>
                <w:b/>
                <w:bCs/>
                <w:color w:val="FFFFFF"/>
                <w:sz w:val="18"/>
                <w:szCs w:val="18"/>
                <w:lang w:eastAsia="en-AU"/>
              </w:rPr>
              <w:t>STAGE 3</w:t>
            </w:r>
          </w:p>
        </w:tc>
      </w:tr>
      <w:tr w:rsidR="00D547FF" w:rsidRPr="00AA0A42" w:rsidTr="002C4533">
        <w:trPr>
          <w:trHeight w:val="300"/>
        </w:trPr>
        <w:tc>
          <w:tcPr>
            <w:tcW w:w="2184" w:type="pct"/>
            <w:tcBorders>
              <w:top w:val="nil"/>
              <w:left w:val="single" w:sz="8" w:space="0" w:color="auto"/>
              <w:bottom w:val="single" w:sz="18" w:space="0" w:color="auto"/>
            </w:tcBorders>
            <w:shd w:val="clear" w:color="000000" w:fill="000080"/>
            <w:noWrap/>
            <w:vAlign w:val="bottom"/>
            <w:hideMark/>
          </w:tcPr>
          <w:p w:rsidR="00D547FF" w:rsidRPr="00AA0A42" w:rsidRDefault="00D547FF" w:rsidP="00F2364C">
            <w:pPr>
              <w:rPr>
                <w:b/>
                <w:bCs/>
                <w:color w:val="FFFFFF"/>
                <w:sz w:val="18"/>
                <w:szCs w:val="18"/>
                <w:lang w:eastAsia="en-AU"/>
              </w:rPr>
            </w:pPr>
            <w:r w:rsidRPr="00AA0A42">
              <w:rPr>
                <w:b/>
                <w:bCs/>
                <w:color w:val="FFFFFF"/>
                <w:sz w:val="18"/>
                <w:szCs w:val="18"/>
                <w:lang w:eastAsia="en-AU"/>
              </w:rPr>
              <w:t>Months</w:t>
            </w:r>
          </w:p>
        </w:tc>
        <w:tc>
          <w:tcPr>
            <w:tcW w:w="258" w:type="pct"/>
            <w:tcBorders>
              <w:top w:val="nil"/>
              <w:bottom w:val="single" w:sz="18" w:space="0" w:color="auto"/>
            </w:tcBorders>
            <w:shd w:val="clear" w:color="000000" w:fill="000080"/>
            <w:noWrap/>
            <w:vAlign w:val="bottom"/>
            <w:hideMark/>
          </w:tcPr>
          <w:p w:rsidR="00D547FF" w:rsidRPr="00AA0A42" w:rsidRDefault="00D547FF" w:rsidP="00F2364C">
            <w:pPr>
              <w:jc w:val="right"/>
              <w:rPr>
                <w:b/>
                <w:bCs/>
                <w:color w:val="FFFFFF"/>
                <w:sz w:val="18"/>
                <w:szCs w:val="18"/>
                <w:lang w:eastAsia="en-AU"/>
              </w:rPr>
            </w:pPr>
            <w:r w:rsidRPr="00AA0A42">
              <w:rPr>
                <w:b/>
                <w:bCs/>
                <w:color w:val="FFFFFF"/>
                <w:sz w:val="18"/>
                <w:szCs w:val="18"/>
                <w:lang w:eastAsia="en-AU"/>
              </w:rPr>
              <w:t>6</w:t>
            </w:r>
          </w:p>
        </w:tc>
        <w:tc>
          <w:tcPr>
            <w:tcW w:w="340" w:type="pct"/>
            <w:tcBorders>
              <w:top w:val="nil"/>
              <w:bottom w:val="single" w:sz="18" w:space="0" w:color="auto"/>
              <w:right w:val="single" w:sz="18" w:space="0" w:color="auto"/>
            </w:tcBorders>
            <w:shd w:val="clear" w:color="000000" w:fill="000080"/>
            <w:noWrap/>
            <w:vAlign w:val="bottom"/>
            <w:hideMark/>
          </w:tcPr>
          <w:p w:rsidR="00D547FF" w:rsidRPr="00AA0A42" w:rsidRDefault="00D547FF" w:rsidP="00F2364C">
            <w:pPr>
              <w:jc w:val="right"/>
              <w:rPr>
                <w:b/>
                <w:bCs/>
                <w:color w:val="FFFFFF"/>
                <w:sz w:val="18"/>
                <w:szCs w:val="18"/>
                <w:lang w:eastAsia="en-AU"/>
              </w:rPr>
            </w:pPr>
            <w:r w:rsidRPr="00AA0A42">
              <w:rPr>
                <w:b/>
                <w:bCs/>
                <w:color w:val="FFFFFF"/>
                <w:sz w:val="18"/>
                <w:szCs w:val="18"/>
                <w:lang w:eastAsia="en-AU"/>
              </w:rPr>
              <w:t>12</w:t>
            </w:r>
          </w:p>
        </w:tc>
        <w:tc>
          <w:tcPr>
            <w:tcW w:w="278" w:type="pct"/>
            <w:tcBorders>
              <w:top w:val="nil"/>
              <w:left w:val="single" w:sz="18" w:space="0" w:color="auto"/>
              <w:bottom w:val="single" w:sz="18" w:space="0" w:color="auto"/>
            </w:tcBorders>
            <w:shd w:val="clear" w:color="000000" w:fill="000080"/>
            <w:noWrap/>
            <w:vAlign w:val="bottom"/>
            <w:hideMark/>
          </w:tcPr>
          <w:p w:rsidR="00D547FF" w:rsidRPr="00AA0A42" w:rsidRDefault="00D547FF" w:rsidP="00F2364C">
            <w:pPr>
              <w:jc w:val="right"/>
              <w:rPr>
                <w:b/>
                <w:bCs/>
                <w:color w:val="FFFFFF"/>
                <w:sz w:val="18"/>
                <w:szCs w:val="18"/>
                <w:lang w:eastAsia="en-AU"/>
              </w:rPr>
            </w:pPr>
            <w:r w:rsidRPr="00AA0A42">
              <w:rPr>
                <w:b/>
                <w:bCs/>
                <w:color w:val="FFFFFF"/>
                <w:sz w:val="18"/>
                <w:szCs w:val="18"/>
                <w:lang w:eastAsia="en-AU"/>
              </w:rPr>
              <w:t>18</w:t>
            </w:r>
          </w:p>
        </w:tc>
        <w:tc>
          <w:tcPr>
            <w:tcW w:w="277" w:type="pct"/>
            <w:tcBorders>
              <w:top w:val="nil"/>
              <w:bottom w:val="single" w:sz="18" w:space="0" w:color="auto"/>
            </w:tcBorders>
            <w:shd w:val="clear" w:color="000000" w:fill="000080"/>
            <w:noWrap/>
            <w:vAlign w:val="bottom"/>
            <w:hideMark/>
          </w:tcPr>
          <w:p w:rsidR="00D547FF" w:rsidRPr="00AA0A42" w:rsidRDefault="00D547FF" w:rsidP="00F2364C">
            <w:pPr>
              <w:jc w:val="right"/>
              <w:rPr>
                <w:b/>
                <w:bCs/>
                <w:color w:val="FFFFFF"/>
                <w:sz w:val="18"/>
                <w:szCs w:val="18"/>
                <w:lang w:eastAsia="en-AU"/>
              </w:rPr>
            </w:pPr>
            <w:r w:rsidRPr="00AA0A42">
              <w:rPr>
                <w:b/>
                <w:bCs/>
                <w:color w:val="FFFFFF"/>
                <w:sz w:val="18"/>
                <w:szCs w:val="18"/>
                <w:lang w:eastAsia="en-AU"/>
              </w:rPr>
              <w:t>24</w:t>
            </w:r>
          </w:p>
        </w:tc>
        <w:tc>
          <w:tcPr>
            <w:tcW w:w="277" w:type="pct"/>
            <w:tcBorders>
              <w:top w:val="nil"/>
              <w:bottom w:val="single" w:sz="18" w:space="0" w:color="auto"/>
            </w:tcBorders>
            <w:shd w:val="clear" w:color="000000" w:fill="000080"/>
            <w:noWrap/>
            <w:vAlign w:val="bottom"/>
            <w:hideMark/>
          </w:tcPr>
          <w:p w:rsidR="00D547FF" w:rsidRPr="00AA0A42" w:rsidRDefault="00D547FF" w:rsidP="00F2364C">
            <w:pPr>
              <w:jc w:val="right"/>
              <w:rPr>
                <w:b/>
                <w:bCs/>
                <w:color w:val="FFFFFF"/>
                <w:sz w:val="18"/>
                <w:szCs w:val="18"/>
                <w:lang w:eastAsia="en-AU"/>
              </w:rPr>
            </w:pPr>
            <w:r w:rsidRPr="00AA0A42">
              <w:rPr>
                <w:b/>
                <w:bCs/>
                <w:color w:val="FFFFFF"/>
                <w:sz w:val="18"/>
                <w:szCs w:val="18"/>
                <w:lang w:eastAsia="en-AU"/>
              </w:rPr>
              <w:t>30</w:t>
            </w:r>
          </w:p>
        </w:tc>
        <w:tc>
          <w:tcPr>
            <w:tcW w:w="278" w:type="pct"/>
            <w:tcBorders>
              <w:top w:val="nil"/>
              <w:bottom w:val="single" w:sz="18" w:space="0" w:color="auto"/>
              <w:right w:val="single" w:sz="18" w:space="0" w:color="auto"/>
            </w:tcBorders>
            <w:shd w:val="clear" w:color="000000" w:fill="000080"/>
            <w:noWrap/>
            <w:vAlign w:val="bottom"/>
            <w:hideMark/>
          </w:tcPr>
          <w:p w:rsidR="00D547FF" w:rsidRPr="00AA0A42" w:rsidRDefault="00D547FF" w:rsidP="00F2364C">
            <w:pPr>
              <w:jc w:val="right"/>
              <w:rPr>
                <w:b/>
                <w:bCs/>
                <w:color w:val="FFFFFF"/>
                <w:sz w:val="18"/>
                <w:szCs w:val="18"/>
                <w:lang w:eastAsia="en-AU"/>
              </w:rPr>
            </w:pPr>
            <w:r w:rsidRPr="00AA0A42">
              <w:rPr>
                <w:b/>
                <w:bCs/>
                <w:color w:val="FFFFFF"/>
                <w:sz w:val="18"/>
                <w:szCs w:val="18"/>
                <w:lang w:eastAsia="en-AU"/>
              </w:rPr>
              <w:t>36</w:t>
            </w:r>
          </w:p>
        </w:tc>
        <w:tc>
          <w:tcPr>
            <w:tcW w:w="277" w:type="pct"/>
            <w:tcBorders>
              <w:top w:val="nil"/>
              <w:left w:val="single" w:sz="18" w:space="0" w:color="auto"/>
              <w:bottom w:val="single" w:sz="18" w:space="0" w:color="auto"/>
            </w:tcBorders>
            <w:shd w:val="clear" w:color="000000" w:fill="000080"/>
            <w:noWrap/>
            <w:vAlign w:val="bottom"/>
            <w:hideMark/>
          </w:tcPr>
          <w:p w:rsidR="00D547FF" w:rsidRPr="00AA0A42" w:rsidRDefault="00D547FF" w:rsidP="00F2364C">
            <w:pPr>
              <w:jc w:val="right"/>
              <w:rPr>
                <w:b/>
                <w:bCs/>
                <w:color w:val="FFFFFF"/>
                <w:sz w:val="18"/>
                <w:szCs w:val="18"/>
                <w:lang w:eastAsia="en-AU"/>
              </w:rPr>
            </w:pPr>
            <w:r w:rsidRPr="00AA0A42">
              <w:rPr>
                <w:b/>
                <w:bCs/>
                <w:color w:val="FFFFFF"/>
                <w:sz w:val="18"/>
                <w:szCs w:val="18"/>
                <w:lang w:eastAsia="en-AU"/>
              </w:rPr>
              <w:t>42</w:t>
            </w:r>
          </w:p>
        </w:tc>
        <w:tc>
          <w:tcPr>
            <w:tcW w:w="277" w:type="pct"/>
            <w:tcBorders>
              <w:top w:val="nil"/>
              <w:bottom w:val="single" w:sz="18" w:space="0" w:color="auto"/>
            </w:tcBorders>
            <w:shd w:val="clear" w:color="000000" w:fill="000080"/>
            <w:noWrap/>
            <w:vAlign w:val="bottom"/>
            <w:hideMark/>
          </w:tcPr>
          <w:p w:rsidR="00D547FF" w:rsidRPr="00AA0A42" w:rsidRDefault="00D547FF" w:rsidP="00F2364C">
            <w:pPr>
              <w:jc w:val="right"/>
              <w:rPr>
                <w:b/>
                <w:bCs/>
                <w:color w:val="FFFFFF"/>
                <w:sz w:val="18"/>
                <w:szCs w:val="18"/>
                <w:lang w:eastAsia="en-AU"/>
              </w:rPr>
            </w:pPr>
            <w:r w:rsidRPr="00AA0A42">
              <w:rPr>
                <w:b/>
                <w:bCs/>
                <w:color w:val="FFFFFF"/>
                <w:sz w:val="18"/>
                <w:szCs w:val="18"/>
                <w:lang w:eastAsia="en-AU"/>
              </w:rPr>
              <w:t>48</w:t>
            </w:r>
          </w:p>
        </w:tc>
        <w:tc>
          <w:tcPr>
            <w:tcW w:w="277" w:type="pct"/>
            <w:tcBorders>
              <w:top w:val="nil"/>
              <w:bottom w:val="single" w:sz="18" w:space="0" w:color="auto"/>
            </w:tcBorders>
            <w:shd w:val="clear" w:color="000000" w:fill="000080"/>
            <w:noWrap/>
            <w:vAlign w:val="bottom"/>
            <w:hideMark/>
          </w:tcPr>
          <w:p w:rsidR="00D547FF" w:rsidRPr="00AA0A42" w:rsidRDefault="00D547FF" w:rsidP="00F2364C">
            <w:pPr>
              <w:jc w:val="right"/>
              <w:rPr>
                <w:b/>
                <w:bCs/>
                <w:color w:val="FFFFFF"/>
                <w:sz w:val="18"/>
                <w:szCs w:val="18"/>
                <w:lang w:eastAsia="en-AU"/>
              </w:rPr>
            </w:pPr>
            <w:r w:rsidRPr="00AA0A42">
              <w:rPr>
                <w:b/>
                <w:bCs/>
                <w:color w:val="FFFFFF"/>
                <w:sz w:val="18"/>
                <w:szCs w:val="18"/>
                <w:lang w:eastAsia="en-AU"/>
              </w:rPr>
              <w:t>54</w:t>
            </w:r>
          </w:p>
        </w:tc>
        <w:tc>
          <w:tcPr>
            <w:tcW w:w="277" w:type="pct"/>
            <w:tcBorders>
              <w:top w:val="nil"/>
              <w:bottom w:val="single" w:sz="18" w:space="0" w:color="auto"/>
              <w:right w:val="single" w:sz="8" w:space="0" w:color="auto"/>
            </w:tcBorders>
            <w:shd w:val="clear" w:color="000000" w:fill="000080"/>
            <w:noWrap/>
            <w:vAlign w:val="bottom"/>
            <w:hideMark/>
          </w:tcPr>
          <w:p w:rsidR="00D547FF" w:rsidRPr="00AA0A42" w:rsidRDefault="00D547FF" w:rsidP="00F2364C">
            <w:pPr>
              <w:jc w:val="right"/>
              <w:rPr>
                <w:b/>
                <w:bCs/>
                <w:color w:val="FFFFFF"/>
                <w:sz w:val="18"/>
                <w:szCs w:val="18"/>
                <w:lang w:eastAsia="en-AU"/>
              </w:rPr>
            </w:pPr>
            <w:r w:rsidRPr="00AA0A42">
              <w:rPr>
                <w:b/>
                <w:bCs/>
                <w:color w:val="FFFFFF"/>
                <w:sz w:val="18"/>
                <w:szCs w:val="18"/>
                <w:lang w:eastAsia="en-AU"/>
              </w:rPr>
              <w:t>60</w:t>
            </w:r>
          </w:p>
        </w:tc>
      </w:tr>
      <w:tr w:rsidR="00D547FF" w:rsidRPr="00AA0A42" w:rsidTr="002C4533">
        <w:trPr>
          <w:trHeight w:val="300"/>
        </w:trPr>
        <w:tc>
          <w:tcPr>
            <w:tcW w:w="2184" w:type="pct"/>
            <w:tcBorders>
              <w:top w:val="single" w:sz="18" w:space="0" w:color="auto"/>
              <w:left w:val="single" w:sz="8" w:space="0" w:color="auto"/>
              <w:bottom w:val="single" w:sz="4" w:space="0" w:color="auto"/>
            </w:tcBorders>
            <w:shd w:val="clear" w:color="auto" w:fill="000080"/>
            <w:noWrap/>
            <w:vAlign w:val="bottom"/>
            <w:hideMark/>
          </w:tcPr>
          <w:p w:rsidR="00D547FF" w:rsidRPr="00AA0A42" w:rsidRDefault="00D547FF" w:rsidP="00F2364C">
            <w:pPr>
              <w:rPr>
                <w:color w:val="FFFFFF" w:themeColor="background1"/>
                <w:sz w:val="18"/>
                <w:szCs w:val="18"/>
                <w:lang w:eastAsia="en-AU"/>
              </w:rPr>
            </w:pPr>
            <w:r w:rsidRPr="00AA0A42">
              <w:rPr>
                <w:color w:val="FFFFFF" w:themeColor="background1"/>
                <w:sz w:val="18"/>
                <w:szCs w:val="18"/>
                <w:lang w:eastAsia="en-AU"/>
              </w:rPr>
              <w:t>Written Multiple Choice Question Exam</w:t>
            </w:r>
          </w:p>
        </w:tc>
        <w:tc>
          <w:tcPr>
            <w:tcW w:w="258" w:type="pct"/>
            <w:tcBorders>
              <w:top w:val="single" w:sz="18" w:space="0" w:color="auto"/>
              <w:bottom w:val="single" w:sz="2"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340" w:type="pct"/>
            <w:tcBorders>
              <w:top w:val="single" w:sz="18" w:space="0" w:color="auto"/>
              <w:bottom w:val="single" w:sz="2" w:space="0" w:color="auto"/>
              <w:right w:val="single" w:sz="18"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8" w:type="pct"/>
            <w:tcBorders>
              <w:top w:val="single" w:sz="18" w:space="0" w:color="auto"/>
              <w:left w:val="single" w:sz="18"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18"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18"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8" w:type="pct"/>
            <w:tcBorders>
              <w:top w:val="single" w:sz="18" w:space="0" w:color="auto"/>
              <w:bottom w:val="single" w:sz="2" w:space="0" w:color="auto"/>
              <w:right w:val="single" w:sz="18"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18" w:space="0" w:color="auto"/>
              <w:left w:val="single" w:sz="18" w:space="0" w:color="auto"/>
              <w:bottom w:val="single" w:sz="2"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18" w:space="0" w:color="auto"/>
              <w:bottom w:val="single" w:sz="2"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18" w:space="0" w:color="auto"/>
              <w:bottom w:val="single" w:sz="2"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18" w:space="0" w:color="auto"/>
              <w:bottom w:val="single" w:sz="2" w:space="0" w:color="auto"/>
              <w:right w:val="single" w:sz="8"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r>
      <w:tr w:rsidR="00D547FF" w:rsidRPr="00AA0A42" w:rsidTr="002C4533">
        <w:trPr>
          <w:trHeight w:val="300"/>
        </w:trPr>
        <w:tc>
          <w:tcPr>
            <w:tcW w:w="2184" w:type="pct"/>
            <w:tcBorders>
              <w:top w:val="nil"/>
              <w:left w:val="single" w:sz="8" w:space="0" w:color="auto"/>
              <w:bottom w:val="single" w:sz="4" w:space="0" w:color="auto"/>
            </w:tcBorders>
            <w:shd w:val="clear" w:color="auto" w:fill="000080"/>
            <w:noWrap/>
            <w:vAlign w:val="bottom"/>
            <w:hideMark/>
          </w:tcPr>
          <w:p w:rsidR="00D547FF" w:rsidRPr="00AA0A42" w:rsidRDefault="00D547FF" w:rsidP="00F2364C">
            <w:pPr>
              <w:rPr>
                <w:color w:val="FFFFFF" w:themeColor="background1"/>
                <w:sz w:val="18"/>
                <w:szCs w:val="18"/>
                <w:lang w:eastAsia="en-AU"/>
              </w:rPr>
            </w:pPr>
            <w:r w:rsidRPr="00AA0A42">
              <w:rPr>
                <w:color w:val="FFFFFF" w:themeColor="background1"/>
                <w:sz w:val="18"/>
                <w:szCs w:val="18"/>
                <w:lang w:eastAsia="en-AU"/>
              </w:rPr>
              <w:t>Written Essay Exam</w:t>
            </w:r>
          </w:p>
        </w:tc>
        <w:tc>
          <w:tcPr>
            <w:tcW w:w="258" w:type="pct"/>
            <w:tcBorders>
              <w:top w:val="single" w:sz="2" w:space="0" w:color="auto"/>
              <w:bottom w:val="single" w:sz="2"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340" w:type="pct"/>
            <w:tcBorders>
              <w:top w:val="single" w:sz="2" w:space="0" w:color="auto"/>
              <w:bottom w:val="single" w:sz="2" w:space="0" w:color="auto"/>
              <w:right w:val="single" w:sz="18"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8" w:type="pct"/>
            <w:tcBorders>
              <w:top w:val="single" w:sz="2" w:space="0" w:color="auto"/>
              <w:left w:val="single" w:sz="18" w:space="0" w:color="auto"/>
              <w:bottom w:val="single" w:sz="2"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8" w:type="pct"/>
            <w:tcBorders>
              <w:top w:val="single" w:sz="2" w:space="0" w:color="auto"/>
              <w:bottom w:val="single" w:sz="2" w:space="0" w:color="auto"/>
              <w:right w:val="single" w:sz="18"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left w:val="single" w:sz="18"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right w:val="single" w:sz="8"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r>
      <w:tr w:rsidR="00D547FF" w:rsidRPr="00AA0A42" w:rsidTr="002C4533">
        <w:trPr>
          <w:trHeight w:val="300"/>
        </w:trPr>
        <w:tc>
          <w:tcPr>
            <w:tcW w:w="2184" w:type="pct"/>
            <w:tcBorders>
              <w:top w:val="nil"/>
              <w:left w:val="single" w:sz="8" w:space="0" w:color="auto"/>
              <w:bottom w:val="single" w:sz="4" w:space="0" w:color="auto"/>
            </w:tcBorders>
            <w:shd w:val="clear" w:color="auto" w:fill="000080"/>
            <w:noWrap/>
            <w:vAlign w:val="bottom"/>
            <w:hideMark/>
          </w:tcPr>
          <w:p w:rsidR="00D547FF" w:rsidRPr="00AA0A42" w:rsidRDefault="00D547FF" w:rsidP="00F2364C">
            <w:pPr>
              <w:rPr>
                <w:color w:val="FFFFFF" w:themeColor="background1"/>
                <w:sz w:val="18"/>
                <w:szCs w:val="18"/>
                <w:lang w:eastAsia="en-AU"/>
              </w:rPr>
            </w:pPr>
            <w:r w:rsidRPr="00AA0A42">
              <w:rPr>
                <w:color w:val="FFFFFF" w:themeColor="background1"/>
                <w:sz w:val="18"/>
                <w:szCs w:val="18"/>
                <w:lang w:eastAsia="en-AU"/>
              </w:rPr>
              <w:t>Objective Structured Clinical Exam</w:t>
            </w:r>
          </w:p>
        </w:tc>
        <w:tc>
          <w:tcPr>
            <w:tcW w:w="258" w:type="pct"/>
            <w:tcBorders>
              <w:top w:val="single" w:sz="2" w:space="0" w:color="auto"/>
              <w:bottom w:val="single" w:sz="2"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340" w:type="pct"/>
            <w:tcBorders>
              <w:top w:val="single" w:sz="2" w:space="0" w:color="auto"/>
              <w:bottom w:val="single" w:sz="2" w:space="0" w:color="auto"/>
              <w:right w:val="single" w:sz="18"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8" w:type="pct"/>
            <w:tcBorders>
              <w:top w:val="single" w:sz="2" w:space="0" w:color="auto"/>
              <w:left w:val="single" w:sz="18" w:space="0" w:color="auto"/>
              <w:bottom w:val="single" w:sz="2"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8" w:type="pct"/>
            <w:tcBorders>
              <w:top w:val="single" w:sz="2" w:space="0" w:color="auto"/>
              <w:bottom w:val="single" w:sz="2" w:space="0" w:color="auto"/>
              <w:right w:val="single" w:sz="18"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left w:val="single" w:sz="18"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right w:val="single" w:sz="8"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r>
      <w:tr w:rsidR="00D547FF" w:rsidRPr="00AA0A42" w:rsidTr="002C4533">
        <w:trPr>
          <w:trHeight w:val="300"/>
        </w:trPr>
        <w:tc>
          <w:tcPr>
            <w:tcW w:w="2184" w:type="pct"/>
            <w:tcBorders>
              <w:top w:val="nil"/>
              <w:left w:val="single" w:sz="8" w:space="0" w:color="auto"/>
              <w:bottom w:val="single" w:sz="4" w:space="0" w:color="auto"/>
            </w:tcBorders>
            <w:shd w:val="clear" w:color="auto" w:fill="000080"/>
            <w:noWrap/>
            <w:vAlign w:val="bottom"/>
            <w:hideMark/>
          </w:tcPr>
          <w:p w:rsidR="00D547FF" w:rsidRPr="00AA0A42" w:rsidRDefault="00D547FF" w:rsidP="00F2364C">
            <w:pPr>
              <w:rPr>
                <w:color w:val="FFFFFF" w:themeColor="background1"/>
                <w:sz w:val="18"/>
                <w:szCs w:val="18"/>
                <w:lang w:eastAsia="en-AU"/>
              </w:rPr>
            </w:pPr>
            <w:r w:rsidRPr="00AA0A42">
              <w:rPr>
                <w:color w:val="FFFFFF" w:themeColor="background1"/>
                <w:sz w:val="18"/>
                <w:szCs w:val="18"/>
                <w:lang w:eastAsia="en-AU"/>
              </w:rPr>
              <w:t>Scholarly Project</w:t>
            </w:r>
          </w:p>
        </w:tc>
        <w:tc>
          <w:tcPr>
            <w:tcW w:w="258" w:type="pct"/>
            <w:tcBorders>
              <w:top w:val="single" w:sz="2"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340" w:type="pct"/>
            <w:tcBorders>
              <w:top w:val="single" w:sz="2" w:space="0" w:color="auto"/>
              <w:bottom w:val="single" w:sz="2" w:space="0" w:color="auto"/>
              <w:right w:val="single" w:sz="18"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8" w:type="pct"/>
            <w:tcBorders>
              <w:top w:val="single" w:sz="2" w:space="0" w:color="auto"/>
              <w:left w:val="single" w:sz="18"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8" w:type="pct"/>
            <w:tcBorders>
              <w:top w:val="single" w:sz="2" w:space="0" w:color="auto"/>
              <w:bottom w:val="single" w:sz="2" w:space="0" w:color="auto"/>
              <w:right w:val="single" w:sz="18"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left w:val="single" w:sz="18"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2" w:space="0" w:color="auto"/>
              <w:right w:val="single" w:sz="8"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r>
      <w:tr w:rsidR="00D547FF" w:rsidRPr="00AA0A42" w:rsidTr="002C4533">
        <w:trPr>
          <w:trHeight w:val="300"/>
        </w:trPr>
        <w:tc>
          <w:tcPr>
            <w:tcW w:w="2184" w:type="pct"/>
            <w:tcBorders>
              <w:top w:val="single" w:sz="4" w:space="0" w:color="auto"/>
              <w:left w:val="single" w:sz="8" w:space="0" w:color="auto"/>
              <w:bottom w:val="single" w:sz="8" w:space="0" w:color="auto"/>
            </w:tcBorders>
            <w:shd w:val="clear" w:color="auto" w:fill="000080"/>
            <w:noWrap/>
            <w:vAlign w:val="bottom"/>
            <w:hideMark/>
          </w:tcPr>
          <w:p w:rsidR="00D547FF" w:rsidRPr="00AA0A42" w:rsidRDefault="00D547FF" w:rsidP="00F2364C">
            <w:pPr>
              <w:rPr>
                <w:color w:val="FFFFFF" w:themeColor="background1"/>
                <w:sz w:val="18"/>
                <w:szCs w:val="18"/>
                <w:lang w:eastAsia="en-AU"/>
              </w:rPr>
            </w:pPr>
            <w:r w:rsidRPr="00AA0A42">
              <w:rPr>
                <w:color w:val="FFFFFF" w:themeColor="background1"/>
                <w:sz w:val="18"/>
                <w:szCs w:val="18"/>
                <w:lang w:eastAsia="en-AU"/>
              </w:rPr>
              <w:t>Psychotherapy Written Case</w:t>
            </w:r>
          </w:p>
        </w:tc>
        <w:tc>
          <w:tcPr>
            <w:tcW w:w="258" w:type="pct"/>
            <w:tcBorders>
              <w:top w:val="single" w:sz="2" w:space="0" w:color="auto"/>
              <w:bottom w:val="single" w:sz="8"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340" w:type="pct"/>
            <w:tcBorders>
              <w:top w:val="single" w:sz="2" w:space="0" w:color="auto"/>
              <w:bottom w:val="single" w:sz="8" w:space="0" w:color="auto"/>
              <w:right w:val="single" w:sz="18"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8" w:type="pct"/>
            <w:tcBorders>
              <w:top w:val="single" w:sz="2" w:space="0" w:color="auto"/>
              <w:left w:val="single" w:sz="18" w:space="0" w:color="auto"/>
              <w:bottom w:val="single" w:sz="8"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8"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8"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8" w:type="pct"/>
            <w:tcBorders>
              <w:top w:val="single" w:sz="2" w:space="0" w:color="auto"/>
              <w:bottom w:val="single" w:sz="8" w:space="0" w:color="auto"/>
              <w:right w:val="single" w:sz="18"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left w:val="single" w:sz="18" w:space="0" w:color="auto"/>
              <w:bottom w:val="single" w:sz="8" w:space="0" w:color="auto"/>
            </w:tcBorders>
            <w:shd w:val="clear" w:color="auto" w:fill="D9D9D9" w:themeFill="background1" w:themeFillShade="D9"/>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8"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8"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c>
          <w:tcPr>
            <w:tcW w:w="277" w:type="pct"/>
            <w:tcBorders>
              <w:top w:val="single" w:sz="2" w:space="0" w:color="auto"/>
              <w:bottom w:val="single" w:sz="8" w:space="0" w:color="auto"/>
              <w:right w:val="single" w:sz="8" w:space="0" w:color="auto"/>
            </w:tcBorders>
            <w:shd w:val="clear" w:color="auto" w:fill="auto"/>
            <w:noWrap/>
            <w:vAlign w:val="bottom"/>
            <w:hideMark/>
          </w:tcPr>
          <w:p w:rsidR="00D547FF" w:rsidRPr="00AA0A42" w:rsidRDefault="00D547FF" w:rsidP="00F2364C">
            <w:pPr>
              <w:rPr>
                <w:color w:val="000000"/>
                <w:sz w:val="18"/>
                <w:szCs w:val="18"/>
                <w:lang w:eastAsia="en-AU"/>
              </w:rPr>
            </w:pPr>
            <w:r w:rsidRPr="00AA0A42">
              <w:rPr>
                <w:color w:val="000000"/>
                <w:sz w:val="18"/>
                <w:szCs w:val="18"/>
                <w:lang w:eastAsia="en-AU"/>
              </w:rPr>
              <w:t> </w:t>
            </w:r>
          </w:p>
        </w:tc>
      </w:tr>
    </w:tbl>
    <w:p w:rsidR="00D547FF" w:rsidRPr="0072306E" w:rsidRDefault="00D547FF" w:rsidP="00D84538">
      <w:pPr>
        <w:rPr>
          <w:rFonts w:eastAsia="Calibri"/>
          <w:i/>
          <w:sz w:val="16"/>
          <w:szCs w:val="18"/>
        </w:rPr>
      </w:pPr>
      <w:r w:rsidRPr="0072306E">
        <w:rPr>
          <w:rFonts w:eastAsia="Calibri"/>
          <w:i/>
          <w:sz w:val="16"/>
          <w:szCs w:val="18"/>
        </w:rPr>
        <w:t xml:space="preserve">Source: </w:t>
      </w:r>
      <w:proofErr w:type="spellStart"/>
      <w:r w:rsidRPr="0072306E">
        <w:rPr>
          <w:rFonts w:eastAsia="Calibri"/>
          <w:i/>
          <w:sz w:val="16"/>
          <w:szCs w:val="18"/>
        </w:rPr>
        <w:t>RANZCP</w:t>
      </w:r>
      <w:proofErr w:type="spellEnd"/>
      <w:r w:rsidRPr="0072306E">
        <w:rPr>
          <w:rFonts w:eastAsia="Calibri"/>
          <w:i/>
          <w:sz w:val="16"/>
          <w:szCs w:val="18"/>
        </w:rPr>
        <w:t xml:space="preserve"> Trainee Progress Trajectory in </w:t>
      </w:r>
      <w:proofErr w:type="spellStart"/>
      <w:r w:rsidRPr="0072306E">
        <w:rPr>
          <w:rFonts w:eastAsia="Calibri"/>
          <w:i/>
          <w:sz w:val="16"/>
          <w:szCs w:val="18"/>
        </w:rPr>
        <w:t>CBFP</w:t>
      </w:r>
      <w:proofErr w:type="spellEnd"/>
      <w:r w:rsidRPr="0072306E">
        <w:rPr>
          <w:rFonts w:eastAsia="Calibri"/>
          <w:i/>
          <w:sz w:val="16"/>
          <w:szCs w:val="18"/>
        </w:rPr>
        <w:t xml:space="preserve"> v0.14</w:t>
      </w:r>
    </w:p>
    <w:p w:rsidR="00D67F21" w:rsidRDefault="00D547FF" w:rsidP="00D547FF">
      <w:pPr>
        <w:spacing w:before="120" w:after="120"/>
        <w:rPr>
          <w:szCs w:val="22"/>
        </w:rPr>
      </w:pPr>
      <w:r w:rsidRPr="002E6CA0">
        <w:rPr>
          <w:szCs w:val="22"/>
        </w:rPr>
        <w:lastRenderedPageBreak/>
        <w:t xml:space="preserve">Data supplied by </w:t>
      </w:r>
      <w:proofErr w:type="spellStart"/>
      <w:r w:rsidRPr="002E6CA0">
        <w:rPr>
          <w:szCs w:val="22"/>
        </w:rPr>
        <w:t>RANZCP</w:t>
      </w:r>
      <w:proofErr w:type="spellEnd"/>
      <w:r w:rsidRPr="002E6CA0">
        <w:rPr>
          <w:szCs w:val="22"/>
        </w:rPr>
        <w:t xml:space="preserve"> has provided a geographical distribution of the total number of trainees by training program for 2014. The </w:t>
      </w:r>
      <w:proofErr w:type="spellStart"/>
      <w:r w:rsidRPr="002E6CA0">
        <w:rPr>
          <w:szCs w:val="22"/>
        </w:rPr>
        <w:t>RANZCP</w:t>
      </w:r>
      <w:proofErr w:type="spellEnd"/>
      <w:r w:rsidRPr="002E6CA0">
        <w:rPr>
          <w:szCs w:val="22"/>
        </w:rPr>
        <w:t xml:space="preserve"> is progressively introducing the 2012 Fellowship program (Stage 1 and Stage 2). Stage 1 was introduced in December 2012 in New Zealand and </w:t>
      </w:r>
      <w:r w:rsidR="001F41AC">
        <w:rPr>
          <w:szCs w:val="22"/>
        </w:rPr>
        <w:t xml:space="preserve">in </w:t>
      </w:r>
      <w:r w:rsidRPr="002E6CA0">
        <w:rPr>
          <w:szCs w:val="22"/>
        </w:rPr>
        <w:t xml:space="preserve">January 2013 in Australia. Trainees began entering Stage 2 from December 2013. </w:t>
      </w:r>
    </w:p>
    <w:p w:rsidR="00A34F47" w:rsidRPr="00A34F47" w:rsidRDefault="00D547FF" w:rsidP="00A34F47">
      <w:pPr>
        <w:spacing w:before="120" w:after="120"/>
        <w:rPr>
          <w:szCs w:val="22"/>
        </w:rPr>
      </w:pPr>
      <w:r w:rsidRPr="002E6CA0">
        <w:rPr>
          <w:szCs w:val="22"/>
        </w:rPr>
        <w:t xml:space="preserve">The 2003 Fellowship program is separated into Basic Training and Advanced Training across 5 years. The minimum amount of time to complete basic training is 3 years and advanced training 2 years. As the 2012 Fellowship program is implemented, the 2003 Fellowship program (Basic and Advanced Training) is being phased out and trainees will be </w:t>
      </w:r>
      <w:r w:rsidR="001F41AC">
        <w:rPr>
          <w:szCs w:val="22"/>
        </w:rPr>
        <w:t xml:space="preserve">fully </w:t>
      </w:r>
      <w:r w:rsidRPr="002E6CA0">
        <w:rPr>
          <w:szCs w:val="22"/>
        </w:rPr>
        <w:t xml:space="preserve">transitioned </w:t>
      </w:r>
      <w:r w:rsidR="001F41AC">
        <w:rPr>
          <w:szCs w:val="22"/>
        </w:rPr>
        <w:t xml:space="preserve">into the 2012 Fellowship program </w:t>
      </w:r>
      <w:r w:rsidRPr="002E6CA0">
        <w:rPr>
          <w:szCs w:val="22"/>
        </w:rPr>
        <w:t xml:space="preserve">after 2015. </w:t>
      </w:r>
      <w:r w:rsidRPr="002E6CA0">
        <w:fldChar w:fldCharType="begin"/>
      </w:r>
      <w:r w:rsidRPr="002E6CA0">
        <w:instrText xml:space="preserve"> REF _Ref410638688 \h  \* MERGEFORMAT </w:instrText>
      </w:r>
      <w:r w:rsidRPr="002E6CA0">
        <w:fldChar w:fldCharType="separate"/>
      </w:r>
    </w:p>
    <w:p w:rsidR="00D547FF" w:rsidRPr="002714F7" w:rsidRDefault="00A34F47" w:rsidP="00BA5C5A">
      <w:r w:rsidRPr="00A34F47">
        <w:t>Table</w:t>
      </w:r>
      <w:r w:rsidRPr="00A34F47">
        <w:rPr>
          <w:noProof/>
        </w:rPr>
        <w:t xml:space="preserve"> 3</w:t>
      </w:r>
      <w:r w:rsidR="00D547FF" w:rsidRPr="002E6CA0">
        <w:fldChar w:fldCharType="end"/>
      </w:r>
      <w:r w:rsidR="00D547FF" w:rsidRPr="002E6CA0">
        <w:t xml:space="preserve"> includes all trainees from Stage 1 and Stage 2 of the 2012 Fellowship </w:t>
      </w:r>
      <w:r w:rsidR="00892201">
        <w:t>p</w:t>
      </w:r>
      <w:r w:rsidR="00D547FF" w:rsidRPr="002E6CA0">
        <w:t xml:space="preserve">rogram and </w:t>
      </w:r>
      <w:r w:rsidR="001F41AC">
        <w:t>the 2003 Fellowship program (</w:t>
      </w:r>
      <w:r w:rsidR="00892201" w:rsidRPr="002E6CA0">
        <w:t xml:space="preserve">Basic Training </w:t>
      </w:r>
      <w:r w:rsidR="00D547FF" w:rsidRPr="002E6CA0">
        <w:t xml:space="preserve">and </w:t>
      </w:r>
      <w:r w:rsidR="00892201" w:rsidRPr="002E6CA0">
        <w:t>Advanced Training</w:t>
      </w:r>
      <w:r w:rsidR="001F41AC">
        <w:t>)</w:t>
      </w:r>
      <w:r w:rsidR="00D547FF" w:rsidRPr="002E6CA0">
        <w:t xml:space="preserve">. In 2014, the </w:t>
      </w:r>
      <w:proofErr w:type="spellStart"/>
      <w:r w:rsidR="00D547FF" w:rsidRPr="002E6CA0">
        <w:t>RANZCP</w:t>
      </w:r>
      <w:proofErr w:type="spellEnd"/>
      <w:r w:rsidR="00D547FF" w:rsidRPr="002E6CA0">
        <w:t xml:space="preserve"> had a total of 1,072 domestic trainees. </w:t>
      </w:r>
      <w:bookmarkStart w:id="23" w:name="_Ref410638688"/>
    </w:p>
    <w:p w:rsidR="00D547FF" w:rsidRPr="004E10A8" w:rsidRDefault="00D547FF" w:rsidP="00D84538">
      <w:pPr>
        <w:pStyle w:val="Heading4"/>
        <w:spacing w:after="120"/>
      </w:pPr>
      <w:r w:rsidRPr="004E10A8">
        <w:t xml:space="preserve">Table </w:t>
      </w:r>
      <w:fldSimple w:instr=" SEQ Table \* ARABIC ">
        <w:r w:rsidR="00A34F47" w:rsidRPr="004E10A8">
          <w:rPr>
            <w:noProof/>
          </w:rPr>
          <w:t>3</w:t>
        </w:r>
      </w:fldSimple>
      <w:bookmarkEnd w:id="23"/>
      <w:r w:rsidRPr="004E10A8">
        <w:t xml:space="preserve"> – Total number of trainees by training progr</w:t>
      </w:r>
      <w:r w:rsidR="00137333">
        <w:t>am and geographic distribution.</w:t>
      </w:r>
    </w:p>
    <w:tbl>
      <w:tblPr>
        <w:tblStyle w:val="MediumShading2-Accent2"/>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Number of trainees by training program and geographic distribution in 2014"/>
        <w:tblDescription w:val="Table 3 shows that in 2014 there were a total of 1072 trainees nationally with 26 in SA, 346 in NSW, 13 in NT, 234 in QLD, 72 in SA, 24 in TAS, 272 in VIC and 85 in WA.                                                                                        The numbers per program:                                                                                   Stage 1: total 216 with 3 in ACT, 63 in NSW, 4 in NT, 48 in QLD, 18 in SA, 4 in TAS, 56 in VIC and 20 in WA.                                                                                                         Stage 2: 93 in total with 3 in ACT, 25 in NSW, 16 in QLD, 10 in SA, 31 in VIC and 8 in WA;                                                                                             Basic: 559 in total with 18 in ACT, 183 in NSW, 8 in NT, 124 in QLD, 36 in SA, 15 in TAS, 130 in VIC and 45 in WA;                                              Advanced: 204 in total with 2 in ACT, 75 in NSW, 1 in NT, 46 in QLD, 8 in SA, 5 in TAS, 55 in VIC and 12 in WA. "/>
      </w:tblPr>
      <w:tblGrid>
        <w:gridCol w:w="2729"/>
        <w:gridCol w:w="720"/>
        <w:gridCol w:w="824"/>
        <w:gridCol w:w="592"/>
        <w:gridCol w:w="744"/>
        <w:gridCol w:w="566"/>
        <w:gridCol w:w="700"/>
        <w:gridCol w:w="689"/>
        <w:gridCol w:w="687"/>
        <w:gridCol w:w="884"/>
      </w:tblGrid>
      <w:tr w:rsidR="00D547FF" w:rsidRPr="00AA0A42" w:rsidTr="0011081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1494" w:type="pct"/>
            <w:noWrap/>
            <w:hideMark/>
          </w:tcPr>
          <w:p w:rsidR="00D547FF" w:rsidRPr="00AA0A42" w:rsidRDefault="00D547FF" w:rsidP="00F2364C">
            <w:pPr>
              <w:spacing w:before="60" w:after="60"/>
              <w:jc w:val="center"/>
              <w:rPr>
                <w:b/>
                <w:sz w:val="18"/>
                <w:szCs w:val="18"/>
              </w:rPr>
            </w:pPr>
            <w:r w:rsidRPr="00AA0A42">
              <w:rPr>
                <w:b/>
                <w:sz w:val="18"/>
                <w:szCs w:val="18"/>
              </w:rPr>
              <w:t>2012 Fellowship Program</w:t>
            </w:r>
          </w:p>
        </w:tc>
        <w:tc>
          <w:tcPr>
            <w:tcW w:w="394" w:type="pct"/>
            <w:noWrap/>
            <w:hideMark/>
          </w:tcPr>
          <w:p w:rsidR="00D547FF" w:rsidRPr="00AA0A42" w:rsidRDefault="00D547FF" w:rsidP="00F2364C">
            <w:pPr>
              <w:spacing w:before="60" w:after="60"/>
              <w:jc w:val="right"/>
              <w:cnfStyle w:val="100000000000" w:firstRow="1" w:lastRow="0" w:firstColumn="0" w:lastColumn="0" w:oddVBand="0" w:evenVBand="0" w:oddHBand="0" w:evenHBand="0" w:firstRowFirstColumn="0" w:firstRowLastColumn="0" w:lastRowFirstColumn="0" w:lastRowLastColumn="0"/>
              <w:rPr>
                <w:b/>
                <w:sz w:val="18"/>
                <w:szCs w:val="18"/>
              </w:rPr>
            </w:pPr>
            <w:r w:rsidRPr="00AA0A42">
              <w:rPr>
                <w:b/>
                <w:sz w:val="18"/>
                <w:szCs w:val="18"/>
              </w:rPr>
              <w:t>ACT</w:t>
            </w:r>
          </w:p>
        </w:tc>
        <w:tc>
          <w:tcPr>
            <w:tcW w:w="451" w:type="pct"/>
            <w:noWrap/>
            <w:hideMark/>
          </w:tcPr>
          <w:p w:rsidR="00D547FF" w:rsidRPr="00AA0A42" w:rsidRDefault="00D547FF" w:rsidP="00F2364C">
            <w:pPr>
              <w:spacing w:before="60" w:after="60"/>
              <w:jc w:val="right"/>
              <w:cnfStyle w:val="100000000000" w:firstRow="1" w:lastRow="0" w:firstColumn="0" w:lastColumn="0" w:oddVBand="0" w:evenVBand="0" w:oddHBand="0" w:evenHBand="0" w:firstRowFirstColumn="0" w:firstRowLastColumn="0" w:lastRowFirstColumn="0" w:lastRowLastColumn="0"/>
              <w:rPr>
                <w:b/>
                <w:sz w:val="18"/>
                <w:szCs w:val="18"/>
              </w:rPr>
            </w:pPr>
            <w:r w:rsidRPr="00AA0A42">
              <w:rPr>
                <w:b/>
                <w:sz w:val="18"/>
                <w:szCs w:val="18"/>
              </w:rPr>
              <w:t>NSW</w:t>
            </w:r>
          </w:p>
        </w:tc>
        <w:tc>
          <w:tcPr>
            <w:tcW w:w="324" w:type="pct"/>
            <w:noWrap/>
            <w:hideMark/>
          </w:tcPr>
          <w:p w:rsidR="00D547FF" w:rsidRPr="00AA0A42" w:rsidRDefault="00D547FF" w:rsidP="00F2364C">
            <w:pPr>
              <w:spacing w:before="60" w:after="60"/>
              <w:jc w:val="right"/>
              <w:cnfStyle w:val="100000000000" w:firstRow="1" w:lastRow="0" w:firstColumn="0" w:lastColumn="0" w:oddVBand="0" w:evenVBand="0" w:oddHBand="0" w:evenHBand="0" w:firstRowFirstColumn="0" w:firstRowLastColumn="0" w:lastRowFirstColumn="0" w:lastRowLastColumn="0"/>
              <w:rPr>
                <w:b/>
                <w:sz w:val="18"/>
                <w:szCs w:val="18"/>
              </w:rPr>
            </w:pPr>
            <w:r w:rsidRPr="00AA0A42">
              <w:rPr>
                <w:b/>
                <w:sz w:val="18"/>
                <w:szCs w:val="18"/>
              </w:rPr>
              <w:t>NT</w:t>
            </w:r>
          </w:p>
        </w:tc>
        <w:tc>
          <w:tcPr>
            <w:tcW w:w="407" w:type="pct"/>
            <w:noWrap/>
            <w:hideMark/>
          </w:tcPr>
          <w:p w:rsidR="00D547FF" w:rsidRPr="00AA0A42" w:rsidRDefault="00D547FF" w:rsidP="00F2364C">
            <w:pPr>
              <w:spacing w:before="60" w:after="60"/>
              <w:jc w:val="right"/>
              <w:cnfStyle w:val="100000000000" w:firstRow="1" w:lastRow="0" w:firstColumn="0" w:lastColumn="0" w:oddVBand="0" w:evenVBand="0" w:oddHBand="0" w:evenHBand="0" w:firstRowFirstColumn="0" w:firstRowLastColumn="0" w:lastRowFirstColumn="0" w:lastRowLastColumn="0"/>
              <w:rPr>
                <w:b/>
                <w:sz w:val="18"/>
                <w:szCs w:val="18"/>
              </w:rPr>
            </w:pPr>
            <w:r w:rsidRPr="00AA0A42">
              <w:rPr>
                <w:b/>
                <w:sz w:val="18"/>
                <w:szCs w:val="18"/>
              </w:rPr>
              <w:t>QLD</w:t>
            </w:r>
          </w:p>
        </w:tc>
        <w:tc>
          <w:tcPr>
            <w:tcW w:w="310" w:type="pct"/>
            <w:noWrap/>
            <w:hideMark/>
          </w:tcPr>
          <w:p w:rsidR="00D547FF" w:rsidRPr="00AA0A42" w:rsidRDefault="00D547FF" w:rsidP="00F2364C">
            <w:pPr>
              <w:spacing w:before="60" w:after="60"/>
              <w:jc w:val="right"/>
              <w:cnfStyle w:val="100000000000" w:firstRow="1" w:lastRow="0" w:firstColumn="0" w:lastColumn="0" w:oddVBand="0" w:evenVBand="0" w:oddHBand="0" w:evenHBand="0" w:firstRowFirstColumn="0" w:firstRowLastColumn="0" w:lastRowFirstColumn="0" w:lastRowLastColumn="0"/>
              <w:rPr>
                <w:b/>
                <w:sz w:val="18"/>
                <w:szCs w:val="18"/>
              </w:rPr>
            </w:pPr>
            <w:r w:rsidRPr="00AA0A42">
              <w:rPr>
                <w:b/>
                <w:sz w:val="18"/>
                <w:szCs w:val="18"/>
              </w:rPr>
              <w:t>SA</w:t>
            </w:r>
          </w:p>
        </w:tc>
        <w:tc>
          <w:tcPr>
            <w:tcW w:w="383" w:type="pct"/>
            <w:noWrap/>
            <w:hideMark/>
          </w:tcPr>
          <w:p w:rsidR="00D547FF" w:rsidRPr="00AA0A42" w:rsidRDefault="00D547FF" w:rsidP="00F2364C">
            <w:pPr>
              <w:spacing w:before="60" w:after="60"/>
              <w:jc w:val="right"/>
              <w:cnfStyle w:val="100000000000" w:firstRow="1" w:lastRow="0" w:firstColumn="0" w:lastColumn="0" w:oddVBand="0" w:evenVBand="0" w:oddHBand="0" w:evenHBand="0" w:firstRowFirstColumn="0" w:firstRowLastColumn="0" w:lastRowFirstColumn="0" w:lastRowLastColumn="0"/>
              <w:rPr>
                <w:b/>
                <w:sz w:val="18"/>
                <w:szCs w:val="18"/>
              </w:rPr>
            </w:pPr>
            <w:r w:rsidRPr="00AA0A42">
              <w:rPr>
                <w:b/>
                <w:sz w:val="18"/>
                <w:szCs w:val="18"/>
              </w:rPr>
              <w:t>TAS</w:t>
            </w:r>
          </w:p>
        </w:tc>
        <w:tc>
          <w:tcPr>
            <w:tcW w:w="377" w:type="pct"/>
            <w:noWrap/>
            <w:hideMark/>
          </w:tcPr>
          <w:p w:rsidR="00D547FF" w:rsidRPr="00AA0A42" w:rsidRDefault="00D547FF" w:rsidP="00F2364C">
            <w:pPr>
              <w:spacing w:before="60" w:after="60"/>
              <w:jc w:val="right"/>
              <w:cnfStyle w:val="100000000000" w:firstRow="1" w:lastRow="0" w:firstColumn="0" w:lastColumn="0" w:oddVBand="0" w:evenVBand="0" w:oddHBand="0" w:evenHBand="0" w:firstRowFirstColumn="0" w:firstRowLastColumn="0" w:lastRowFirstColumn="0" w:lastRowLastColumn="0"/>
              <w:rPr>
                <w:b/>
                <w:sz w:val="18"/>
                <w:szCs w:val="18"/>
              </w:rPr>
            </w:pPr>
            <w:r w:rsidRPr="00AA0A42">
              <w:rPr>
                <w:b/>
                <w:sz w:val="18"/>
                <w:szCs w:val="18"/>
              </w:rPr>
              <w:t>VIC</w:t>
            </w:r>
          </w:p>
        </w:tc>
        <w:tc>
          <w:tcPr>
            <w:tcW w:w="376" w:type="pct"/>
            <w:noWrap/>
            <w:hideMark/>
          </w:tcPr>
          <w:p w:rsidR="00D547FF" w:rsidRPr="00AA0A42" w:rsidRDefault="00D547FF" w:rsidP="00F2364C">
            <w:pPr>
              <w:spacing w:before="60" w:after="60"/>
              <w:jc w:val="right"/>
              <w:cnfStyle w:val="100000000000" w:firstRow="1" w:lastRow="0" w:firstColumn="0" w:lastColumn="0" w:oddVBand="0" w:evenVBand="0" w:oddHBand="0" w:evenHBand="0" w:firstRowFirstColumn="0" w:firstRowLastColumn="0" w:lastRowFirstColumn="0" w:lastRowLastColumn="0"/>
              <w:rPr>
                <w:b/>
                <w:sz w:val="18"/>
                <w:szCs w:val="18"/>
              </w:rPr>
            </w:pPr>
            <w:r w:rsidRPr="00AA0A42">
              <w:rPr>
                <w:b/>
                <w:sz w:val="18"/>
                <w:szCs w:val="18"/>
              </w:rPr>
              <w:t>WA</w:t>
            </w:r>
          </w:p>
        </w:tc>
        <w:tc>
          <w:tcPr>
            <w:tcW w:w="487" w:type="pct"/>
            <w:noWrap/>
            <w:hideMark/>
          </w:tcPr>
          <w:p w:rsidR="00D547FF" w:rsidRPr="00AA0A42" w:rsidRDefault="00D547FF" w:rsidP="00F2364C">
            <w:pPr>
              <w:spacing w:before="60" w:after="60"/>
              <w:jc w:val="right"/>
              <w:cnfStyle w:val="100000000000" w:firstRow="1" w:lastRow="0" w:firstColumn="0" w:lastColumn="0" w:oddVBand="0" w:evenVBand="0" w:oddHBand="0" w:evenHBand="0" w:firstRowFirstColumn="0" w:firstRowLastColumn="0" w:lastRowFirstColumn="0" w:lastRowLastColumn="0"/>
              <w:rPr>
                <w:b/>
                <w:sz w:val="18"/>
                <w:szCs w:val="18"/>
              </w:rPr>
            </w:pPr>
            <w:r w:rsidRPr="00AA0A42">
              <w:rPr>
                <w:b/>
                <w:sz w:val="18"/>
                <w:szCs w:val="18"/>
              </w:rPr>
              <w:t>Total</w:t>
            </w:r>
          </w:p>
        </w:tc>
      </w:tr>
      <w:tr w:rsidR="00D547FF" w:rsidRPr="00AA0A42" w:rsidTr="00785E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94" w:type="pct"/>
            <w:noWrap/>
            <w:hideMark/>
          </w:tcPr>
          <w:p w:rsidR="00D547FF" w:rsidRPr="00AA0A42" w:rsidRDefault="00D547FF" w:rsidP="00F2364C">
            <w:pPr>
              <w:spacing w:before="60" w:after="60"/>
              <w:rPr>
                <w:b w:val="0"/>
                <w:sz w:val="18"/>
                <w:szCs w:val="18"/>
              </w:rPr>
            </w:pPr>
            <w:r w:rsidRPr="00AA0A42">
              <w:rPr>
                <w:b w:val="0"/>
                <w:sz w:val="18"/>
                <w:szCs w:val="18"/>
              </w:rPr>
              <w:t>Stage 1</w:t>
            </w:r>
          </w:p>
        </w:tc>
        <w:tc>
          <w:tcPr>
            <w:tcW w:w="394"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3</w:t>
            </w:r>
          </w:p>
        </w:tc>
        <w:tc>
          <w:tcPr>
            <w:tcW w:w="451"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63</w:t>
            </w:r>
          </w:p>
        </w:tc>
        <w:tc>
          <w:tcPr>
            <w:tcW w:w="324"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4</w:t>
            </w:r>
          </w:p>
        </w:tc>
        <w:tc>
          <w:tcPr>
            <w:tcW w:w="407"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48</w:t>
            </w:r>
          </w:p>
        </w:tc>
        <w:tc>
          <w:tcPr>
            <w:tcW w:w="310"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18</w:t>
            </w:r>
          </w:p>
        </w:tc>
        <w:tc>
          <w:tcPr>
            <w:tcW w:w="383"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4</w:t>
            </w:r>
          </w:p>
        </w:tc>
        <w:tc>
          <w:tcPr>
            <w:tcW w:w="377"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56</w:t>
            </w:r>
          </w:p>
        </w:tc>
        <w:tc>
          <w:tcPr>
            <w:tcW w:w="376"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20</w:t>
            </w:r>
          </w:p>
        </w:tc>
        <w:tc>
          <w:tcPr>
            <w:tcW w:w="487"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216</w:t>
            </w:r>
          </w:p>
        </w:tc>
      </w:tr>
      <w:tr w:rsidR="00D547FF" w:rsidRPr="00AA0A42" w:rsidTr="00785E5A">
        <w:trPr>
          <w:trHeight w:val="255"/>
        </w:trPr>
        <w:tc>
          <w:tcPr>
            <w:cnfStyle w:val="001000000000" w:firstRow="0" w:lastRow="0" w:firstColumn="1" w:lastColumn="0" w:oddVBand="0" w:evenVBand="0" w:oddHBand="0" w:evenHBand="0" w:firstRowFirstColumn="0" w:firstRowLastColumn="0" w:lastRowFirstColumn="0" w:lastRowLastColumn="0"/>
            <w:tcW w:w="1494" w:type="pct"/>
            <w:noWrap/>
            <w:hideMark/>
          </w:tcPr>
          <w:p w:rsidR="00D547FF" w:rsidRPr="00AA0A42" w:rsidRDefault="00D547FF" w:rsidP="00F2364C">
            <w:pPr>
              <w:spacing w:before="60" w:after="60"/>
              <w:rPr>
                <w:b w:val="0"/>
                <w:sz w:val="18"/>
                <w:szCs w:val="18"/>
              </w:rPr>
            </w:pPr>
            <w:r w:rsidRPr="00AA0A42">
              <w:rPr>
                <w:b w:val="0"/>
                <w:sz w:val="18"/>
                <w:szCs w:val="18"/>
              </w:rPr>
              <w:t>Stage 2</w:t>
            </w:r>
          </w:p>
        </w:tc>
        <w:tc>
          <w:tcPr>
            <w:tcW w:w="394"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3</w:t>
            </w:r>
          </w:p>
        </w:tc>
        <w:tc>
          <w:tcPr>
            <w:tcW w:w="451"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25</w:t>
            </w:r>
          </w:p>
        </w:tc>
        <w:tc>
          <w:tcPr>
            <w:tcW w:w="324"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w:t>
            </w:r>
          </w:p>
        </w:tc>
        <w:tc>
          <w:tcPr>
            <w:tcW w:w="407"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16</w:t>
            </w:r>
          </w:p>
        </w:tc>
        <w:tc>
          <w:tcPr>
            <w:tcW w:w="310"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10</w:t>
            </w:r>
          </w:p>
        </w:tc>
        <w:tc>
          <w:tcPr>
            <w:tcW w:w="383"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w:t>
            </w:r>
          </w:p>
        </w:tc>
        <w:tc>
          <w:tcPr>
            <w:tcW w:w="377"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31</w:t>
            </w:r>
          </w:p>
        </w:tc>
        <w:tc>
          <w:tcPr>
            <w:tcW w:w="376"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8</w:t>
            </w:r>
          </w:p>
        </w:tc>
        <w:tc>
          <w:tcPr>
            <w:tcW w:w="487"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93</w:t>
            </w:r>
          </w:p>
        </w:tc>
      </w:tr>
      <w:tr w:rsidR="00D547FF" w:rsidRPr="00AA0A42" w:rsidTr="00785E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94" w:type="pct"/>
            <w:noWrap/>
            <w:hideMark/>
          </w:tcPr>
          <w:p w:rsidR="00D547FF" w:rsidRPr="00AA0A42" w:rsidRDefault="00D547FF" w:rsidP="00F2364C">
            <w:pPr>
              <w:spacing w:before="60" w:after="60"/>
              <w:rPr>
                <w:b w:val="0"/>
                <w:sz w:val="18"/>
                <w:szCs w:val="18"/>
              </w:rPr>
            </w:pPr>
            <w:r w:rsidRPr="00AA0A42">
              <w:rPr>
                <w:b w:val="0"/>
                <w:sz w:val="18"/>
                <w:szCs w:val="18"/>
              </w:rPr>
              <w:t>Basic</w:t>
            </w:r>
          </w:p>
        </w:tc>
        <w:tc>
          <w:tcPr>
            <w:tcW w:w="394"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18</w:t>
            </w:r>
          </w:p>
        </w:tc>
        <w:tc>
          <w:tcPr>
            <w:tcW w:w="451"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183</w:t>
            </w:r>
          </w:p>
        </w:tc>
        <w:tc>
          <w:tcPr>
            <w:tcW w:w="324"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8</w:t>
            </w:r>
          </w:p>
        </w:tc>
        <w:tc>
          <w:tcPr>
            <w:tcW w:w="407"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124</w:t>
            </w:r>
          </w:p>
        </w:tc>
        <w:tc>
          <w:tcPr>
            <w:tcW w:w="310"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36</w:t>
            </w:r>
          </w:p>
        </w:tc>
        <w:tc>
          <w:tcPr>
            <w:tcW w:w="383"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15</w:t>
            </w:r>
          </w:p>
        </w:tc>
        <w:tc>
          <w:tcPr>
            <w:tcW w:w="377"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130</w:t>
            </w:r>
          </w:p>
        </w:tc>
        <w:tc>
          <w:tcPr>
            <w:tcW w:w="376"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45</w:t>
            </w:r>
          </w:p>
        </w:tc>
        <w:tc>
          <w:tcPr>
            <w:tcW w:w="487"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sz w:val="18"/>
                <w:szCs w:val="18"/>
              </w:rPr>
            </w:pPr>
            <w:r w:rsidRPr="00AA0A42">
              <w:rPr>
                <w:sz w:val="18"/>
                <w:szCs w:val="18"/>
              </w:rPr>
              <w:t>559</w:t>
            </w:r>
          </w:p>
        </w:tc>
      </w:tr>
      <w:tr w:rsidR="00D547FF" w:rsidRPr="00AA0A42" w:rsidTr="00785E5A">
        <w:trPr>
          <w:trHeight w:val="255"/>
        </w:trPr>
        <w:tc>
          <w:tcPr>
            <w:cnfStyle w:val="001000000000" w:firstRow="0" w:lastRow="0" w:firstColumn="1" w:lastColumn="0" w:oddVBand="0" w:evenVBand="0" w:oddHBand="0" w:evenHBand="0" w:firstRowFirstColumn="0" w:firstRowLastColumn="0" w:lastRowFirstColumn="0" w:lastRowLastColumn="0"/>
            <w:tcW w:w="1494" w:type="pct"/>
            <w:noWrap/>
            <w:hideMark/>
          </w:tcPr>
          <w:p w:rsidR="00D547FF" w:rsidRPr="00AA0A42" w:rsidRDefault="00D547FF" w:rsidP="00F2364C">
            <w:pPr>
              <w:spacing w:before="60" w:after="60"/>
              <w:rPr>
                <w:b w:val="0"/>
                <w:sz w:val="18"/>
                <w:szCs w:val="18"/>
              </w:rPr>
            </w:pPr>
            <w:r w:rsidRPr="00AA0A42">
              <w:rPr>
                <w:b w:val="0"/>
                <w:sz w:val="18"/>
                <w:szCs w:val="18"/>
              </w:rPr>
              <w:t>Advanced</w:t>
            </w:r>
          </w:p>
        </w:tc>
        <w:tc>
          <w:tcPr>
            <w:tcW w:w="394"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2</w:t>
            </w:r>
          </w:p>
        </w:tc>
        <w:tc>
          <w:tcPr>
            <w:tcW w:w="451"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75</w:t>
            </w:r>
          </w:p>
        </w:tc>
        <w:tc>
          <w:tcPr>
            <w:tcW w:w="324"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1</w:t>
            </w:r>
          </w:p>
        </w:tc>
        <w:tc>
          <w:tcPr>
            <w:tcW w:w="407"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46</w:t>
            </w:r>
          </w:p>
        </w:tc>
        <w:tc>
          <w:tcPr>
            <w:tcW w:w="310"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8</w:t>
            </w:r>
          </w:p>
        </w:tc>
        <w:tc>
          <w:tcPr>
            <w:tcW w:w="383"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5</w:t>
            </w:r>
          </w:p>
        </w:tc>
        <w:tc>
          <w:tcPr>
            <w:tcW w:w="377"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55</w:t>
            </w:r>
          </w:p>
        </w:tc>
        <w:tc>
          <w:tcPr>
            <w:tcW w:w="376"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12</w:t>
            </w:r>
          </w:p>
        </w:tc>
        <w:tc>
          <w:tcPr>
            <w:tcW w:w="487" w:type="pct"/>
            <w:noWrap/>
            <w:hideMark/>
          </w:tcPr>
          <w:p w:rsidR="00D547FF" w:rsidRPr="00AA0A42" w:rsidRDefault="00D547FF" w:rsidP="00F2364C">
            <w:pPr>
              <w:spacing w:before="60" w:after="60"/>
              <w:jc w:val="right"/>
              <w:cnfStyle w:val="000000000000" w:firstRow="0" w:lastRow="0" w:firstColumn="0" w:lastColumn="0" w:oddVBand="0" w:evenVBand="0" w:oddHBand="0" w:evenHBand="0" w:firstRowFirstColumn="0" w:firstRowLastColumn="0" w:lastRowFirstColumn="0" w:lastRowLastColumn="0"/>
              <w:rPr>
                <w:sz w:val="18"/>
                <w:szCs w:val="18"/>
              </w:rPr>
            </w:pPr>
            <w:r w:rsidRPr="00AA0A42">
              <w:rPr>
                <w:sz w:val="18"/>
                <w:szCs w:val="18"/>
              </w:rPr>
              <w:t>204</w:t>
            </w:r>
          </w:p>
        </w:tc>
      </w:tr>
      <w:tr w:rsidR="00D547FF" w:rsidRPr="00AA0A42" w:rsidTr="00785E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94" w:type="pct"/>
            <w:noWrap/>
            <w:hideMark/>
          </w:tcPr>
          <w:p w:rsidR="00D547FF" w:rsidRPr="00AA0A42" w:rsidRDefault="00D547FF" w:rsidP="00F2364C">
            <w:pPr>
              <w:spacing w:before="60" w:after="60"/>
              <w:rPr>
                <w:sz w:val="18"/>
                <w:szCs w:val="18"/>
              </w:rPr>
            </w:pPr>
            <w:r w:rsidRPr="00AA0A42">
              <w:rPr>
                <w:sz w:val="18"/>
                <w:szCs w:val="18"/>
              </w:rPr>
              <w:t>Total</w:t>
            </w:r>
          </w:p>
        </w:tc>
        <w:tc>
          <w:tcPr>
            <w:tcW w:w="394"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b/>
                <w:sz w:val="18"/>
                <w:szCs w:val="18"/>
              </w:rPr>
            </w:pPr>
            <w:r w:rsidRPr="00AA0A42">
              <w:rPr>
                <w:b/>
                <w:sz w:val="18"/>
                <w:szCs w:val="18"/>
              </w:rPr>
              <w:t>26</w:t>
            </w:r>
          </w:p>
        </w:tc>
        <w:tc>
          <w:tcPr>
            <w:tcW w:w="451"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b/>
                <w:sz w:val="18"/>
                <w:szCs w:val="18"/>
              </w:rPr>
            </w:pPr>
            <w:r w:rsidRPr="00AA0A42">
              <w:rPr>
                <w:b/>
                <w:sz w:val="18"/>
                <w:szCs w:val="18"/>
              </w:rPr>
              <w:t>346</w:t>
            </w:r>
          </w:p>
        </w:tc>
        <w:tc>
          <w:tcPr>
            <w:tcW w:w="324"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b/>
                <w:sz w:val="18"/>
                <w:szCs w:val="18"/>
              </w:rPr>
            </w:pPr>
            <w:r w:rsidRPr="00AA0A42">
              <w:rPr>
                <w:b/>
                <w:sz w:val="18"/>
                <w:szCs w:val="18"/>
              </w:rPr>
              <w:t>13</w:t>
            </w:r>
          </w:p>
        </w:tc>
        <w:tc>
          <w:tcPr>
            <w:tcW w:w="407"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b/>
                <w:sz w:val="18"/>
                <w:szCs w:val="18"/>
              </w:rPr>
            </w:pPr>
            <w:r w:rsidRPr="00AA0A42">
              <w:rPr>
                <w:b/>
                <w:sz w:val="18"/>
                <w:szCs w:val="18"/>
              </w:rPr>
              <w:t>234</w:t>
            </w:r>
          </w:p>
        </w:tc>
        <w:tc>
          <w:tcPr>
            <w:tcW w:w="310"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b/>
                <w:sz w:val="18"/>
                <w:szCs w:val="18"/>
              </w:rPr>
            </w:pPr>
            <w:r w:rsidRPr="00AA0A42">
              <w:rPr>
                <w:b/>
                <w:sz w:val="18"/>
                <w:szCs w:val="18"/>
              </w:rPr>
              <w:t>72</w:t>
            </w:r>
          </w:p>
        </w:tc>
        <w:tc>
          <w:tcPr>
            <w:tcW w:w="383"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b/>
                <w:sz w:val="18"/>
                <w:szCs w:val="18"/>
              </w:rPr>
            </w:pPr>
            <w:r w:rsidRPr="00AA0A42">
              <w:rPr>
                <w:b/>
                <w:sz w:val="18"/>
                <w:szCs w:val="18"/>
              </w:rPr>
              <w:t>24</w:t>
            </w:r>
          </w:p>
        </w:tc>
        <w:tc>
          <w:tcPr>
            <w:tcW w:w="377"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b/>
                <w:sz w:val="18"/>
                <w:szCs w:val="18"/>
              </w:rPr>
            </w:pPr>
            <w:r w:rsidRPr="00AA0A42">
              <w:rPr>
                <w:b/>
                <w:sz w:val="18"/>
                <w:szCs w:val="18"/>
              </w:rPr>
              <w:t>272</w:t>
            </w:r>
          </w:p>
        </w:tc>
        <w:tc>
          <w:tcPr>
            <w:tcW w:w="376"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b/>
                <w:sz w:val="18"/>
                <w:szCs w:val="18"/>
              </w:rPr>
            </w:pPr>
            <w:r w:rsidRPr="00AA0A42">
              <w:rPr>
                <w:b/>
                <w:sz w:val="18"/>
                <w:szCs w:val="18"/>
              </w:rPr>
              <w:t>85</w:t>
            </w:r>
          </w:p>
        </w:tc>
        <w:tc>
          <w:tcPr>
            <w:tcW w:w="487" w:type="pct"/>
            <w:noWrap/>
            <w:hideMark/>
          </w:tcPr>
          <w:p w:rsidR="00D547FF" w:rsidRPr="00AA0A42" w:rsidRDefault="00D547FF" w:rsidP="00F2364C">
            <w:pPr>
              <w:spacing w:before="60" w:after="60"/>
              <w:jc w:val="right"/>
              <w:cnfStyle w:val="000000100000" w:firstRow="0" w:lastRow="0" w:firstColumn="0" w:lastColumn="0" w:oddVBand="0" w:evenVBand="0" w:oddHBand="1" w:evenHBand="0" w:firstRowFirstColumn="0" w:firstRowLastColumn="0" w:lastRowFirstColumn="0" w:lastRowLastColumn="0"/>
              <w:rPr>
                <w:b/>
                <w:sz w:val="18"/>
                <w:szCs w:val="18"/>
              </w:rPr>
            </w:pPr>
            <w:r w:rsidRPr="00AA0A42">
              <w:rPr>
                <w:b/>
                <w:sz w:val="18"/>
                <w:szCs w:val="18"/>
              </w:rPr>
              <w:t>1,072</w:t>
            </w:r>
          </w:p>
        </w:tc>
      </w:tr>
    </w:tbl>
    <w:p w:rsidR="00D547FF" w:rsidRPr="0072306E" w:rsidRDefault="00D547FF" w:rsidP="00C64C65">
      <w:pPr>
        <w:spacing w:before="120"/>
        <w:rPr>
          <w:rFonts w:eastAsia="Calibri"/>
          <w:i/>
          <w:sz w:val="16"/>
          <w:szCs w:val="22"/>
        </w:rPr>
      </w:pPr>
      <w:r w:rsidRPr="0072306E">
        <w:rPr>
          <w:rFonts w:eastAsia="Calibri"/>
          <w:i/>
          <w:sz w:val="16"/>
          <w:szCs w:val="22"/>
        </w:rPr>
        <w:t xml:space="preserve">Source: </w:t>
      </w:r>
      <w:proofErr w:type="spellStart"/>
      <w:r w:rsidRPr="0072306E">
        <w:rPr>
          <w:rFonts w:eastAsia="Calibri"/>
          <w:i/>
          <w:sz w:val="16"/>
          <w:szCs w:val="22"/>
        </w:rPr>
        <w:t>RANZCP</w:t>
      </w:r>
      <w:proofErr w:type="spellEnd"/>
      <w:r w:rsidRPr="0072306E">
        <w:rPr>
          <w:rFonts w:eastAsia="Calibri"/>
          <w:i/>
          <w:sz w:val="16"/>
          <w:szCs w:val="22"/>
        </w:rPr>
        <w:t>, 2014. (Table does not include 215 Fellows completing advanced training certificates)</w:t>
      </w:r>
    </w:p>
    <w:p w:rsidR="0027604A" w:rsidRDefault="00D547FF" w:rsidP="00D547FF">
      <w:pPr>
        <w:spacing w:before="120" w:after="120"/>
        <w:rPr>
          <w:szCs w:val="22"/>
        </w:rPr>
      </w:pPr>
      <w:r w:rsidRPr="002E6CA0">
        <w:rPr>
          <w:szCs w:val="22"/>
        </w:rPr>
        <w:t xml:space="preserve">With the introduction of the new training program, there are a number of unknown factors in relation to the </w:t>
      </w:r>
      <w:r w:rsidR="001F41AC" w:rsidRPr="002E6CA0">
        <w:rPr>
          <w:szCs w:val="22"/>
        </w:rPr>
        <w:t>pipelin</w:t>
      </w:r>
      <w:r w:rsidR="001F41AC">
        <w:rPr>
          <w:szCs w:val="22"/>
        </w:rPr>
        <w:t>e</w:t>
      </w:r>
      <w:r w:rsidR="001F41AC" w:rsidRPr="002E6CA0">
        <w:rPr>
          <w:szCs w:val="22"/>
        </w:rPr>
        <w:t xml:space="preserve"> </w:t>
      </w:r>
      <w:r w:rsidRPr="002E6CA0">
        <w:rPr>
          <w:szCs w:val="22"/>
        </w:rPr>
        <w:t>and calculating transition rates through the training program. With the changes made to the training program</w:t>
      </w:r>
      <w:r w:rsidR="00F42F7B">
        <w:rPr>
          <w:szCs w:val="22"/>
        </w:rPr>
        <w:t>,</w:t>
      </w:r>
      <w:r w:rsidRPr="002E6CA0">
        <w:rPr>
          <w:szCs w:val="22"/>
        </w:rPr>
        <w:t xml:space="preserve"> there may be a number of trainees that opt out of training if they have been in the training program for more than 13 years</w:t>
      </w:r>
      <w:r w:rsidR="00F42F7B">
        <w:rPr>
          <w:szCs w:val="22"/>
        </w:rPr>
        <w:t xml:space="preserve"> – </w:t>
      </w:r>
      <w:r w:rsidRPr="002E6CA0">
        <w:rPr>
          <w:szCs w:val="22"/>
        </w:rPr>
        <w:t xml:space="preserve">after 13 years trainees need to show cause to continue training, regardless of where they are on the </w:t>
      </w:r>
      <w:r w:rsidRPr="00E97817">
        <w:rPr>
          <w:szCs w:val="22"/>
        </w:rPr>
        <w:t>trajectory</w:t>
      </w:r>
      <w:r w:rsidRPr="00E97817">
        <w:rPr>
          <w:vertAlign w:val="superscript"/>
        </w:rPr>
        <w:footnoteReference w:id="1"/>
      </w:r>
      <w:r w:rsidRPr="00E97817">
        <w:rPr>
          <w:szCs w:val="22"/>
        </w:rPr>
        <w:t xml:space="preserve">. </w:t>
      </w:r>
    </w:p>
    <w:p w:rsidR="00D547FF" w:rsidRPr="002E6CA0" w:rsidRDefault="00F51818" w:rsidP="00D547FF">
      <w:pPr>
        <w:spacing w:before="120" w:after="120"/>
        <w:rPr>
          <w:szCs w:val="22"/>
        </w:rPr>
      </w:pPr>
      <w:r w:rsidRPr="00E97817">
        <w:rPr>
          <w:szCs w:val="22"/>
        </w:rPr>
        <w:t xml:space="preserve">Whilst there is </w:t>
      </w:r>
      <w:r w:rsidR="00E97817" w:rsidRPr="00E97817">
        <w:rPr>
          <w:szCs w:val="22"/>
        </w:rPr>
        <w:t>limited data</w:t>
      </w:r>
      <w:r w:rsidR="00D547FF" w:rsidRPr="00E97817">
        <w:rPr>
          <w:szCs w:val="22"/>
        </w:rPr>
        <w:t xml:space="preserve"> to show how trainees will move through the training program</w:t>
      </w:r>
      <w:r w:rsidR="00F42F7B">
        <w:rPr>
          <w:szCs w:val="22"/>
        </w:rPr>
        <w:t>,</w:t>
      </w:r>
      <w:r w:rsidRPr="00E97817">
        <w:rPr>
          <w:szCs w:val="22"/>
        </w:rPr>
        <w:t xml:space="preserve"> the existing bottlenecks </w:t>
      </w:r>
      <w:r w:rsidR="00E97817" w:rsidRPr="00E97817">
        <w:rPr>
          <w:szCs w:val="22"/>
        </w:rPr>
        <w:t>in</w:t>
      </w:r>
      <w:r w:rsidRPr="00E97817">
        <w:rPr>
          <w:szCs w:val="22"/>
        </w:rPr>
        <w:t xml:space="preserve"> access</w:t>
      </w:r>
      <w:r w:rsidR="00E97817" w:rsidRPr="00E97817">
        <w:rPr>
          <w:szCs w:val="22"/>
        </w:rPr>
        <w:t>ing</w:t>
      </w:r>
      <w:r w:rsidRPr="00E97817">
        <w:rPr>
          <w:szCs w:val="22"/>
        </w:rPr>
        <w:t xml:space="preserve"> CAP and CL posts in Stage 2 and for the completion of advanced certificates in Stage 3 are already known and are </w:t>
      </w:r>
      <w:r w:rsidR="00F42F7B" w:rsidRPr="00E97817">
        <w:rPr>
          <w:szCs w:val="22"/>
        </w:rPr>
        <w:t xml:space="preserve">currently </w:t>
      </w:r>
      <w:r w:rsidRPr="00E97817">
        <w:rPr>
          <w:szCs w:val="22"/>
        </w:rPr>
        <w:t>restricting intake into programs.</w:t>
      </w:r>
      <w:r w:rsidR="00D547FF" w:rsidRPr="00E97817">
        <w:rPr>
          <w:szCs w:val="22"/>
        </w:rPr>
        <w:t xml:space="preserve"> </w:t>
      </w:r>
      <w:r w:rsidR="00E97817" w:rsidRPr="00E97817">
        <w:t>The lack of advanced training posts are not just limited to</w:t>
      </w:r>
      <w:r w:rsidR="00E97817">
        <w:t xml:space="preserve"> CAP and CL but are also found in Psychiatry of Old Age and Addiction Psychiatry</w:t>
      </w:r>
      <w:r w:rsidR="00F42F7B">
        <w:t>,</w:t>
      </w:r>
      <w:r w:rsidR="00E97817">
        <w:t xml:space="preserve"> which are experiencing bottlenecks and could potentially restrict the intake of trainees in some training zones</w:t>
      </w:r>
      <w:r w:rsidR="0026241A">
        <w:t>/</w:t>
      </w:r>
      <w:r w:rsidR="00E97817">
        <w:t>locations.</w:t>
      </w:r>
    </w:p>
    <w:p w:rsidR="00D547FF" w:rsidRPr="004E10A8" w:rsidRDefault="00D547FF" w:rsidP="00B831A8">
      <w:pPr>
        <w:pStyle w:val="Heading3"/>
      </w:pPr>
      <w:bookmarkStart w:id="24" w:name="_Toc445986946"/>
      <w:r w:rsidRPr="004E10A8">
        <w:t>Advanced Training Certificate</w:t>
      </w:r>
      <w:bookmarkEnd w:id="24"/>
      <w:r w:rsidRPr="004E10A8">
        <w:t xml:space="preserve"> </w:t>
      </w:r>
    </w:p>
    <w:p w:rsidR="00BA5C5A" w:rsidRPr="002E6CA0" w:rsidRDefault="00D547FF" w:rsidP="001340F6">
      <w:pPr>
        <w:spacing w:before="120" w:after="120"/>
        <w:rPr>
          <w:szCs w:val="22"/>
        </w:rPr>
      </w:pPr>
      <w:r w:rsidRPr="002E6CA0">
        <w:rPr>
          <w:szCs w:val="22"/>
        </w:rPr>
        <w:t xml:space="preserve">In addition to general training, </w:t>
      </w:r>
      <w:proofErr w:type="spellStart"/>
      <w:r w:rsidRPr="002E6CA0">
        <w:rPr>
          <w:szCs w:val="22"/>
        </w:rPr>
        <w:t>RANZCP</w:t>
      </w:r>
      <w:proofErr w:type="spellEnd"/>
      <w:r w:rsidRPr="002E6CA0">
        <w:rPr>
          <w:szCs w:val="22"/>
        </w:rPr>
        <w:t xml:space="preserve"> offers a wide range of training programs in specialist areas of psychiatry which are available to trainees. These include</w:t>
      </w:r>
      <w:r w:rsidR="00F42F7B">
        <w:rPr>
          <w:szCs w:val="22"/>
        </w:rPr>
        <w:t>:</w:t>
      </w:r>
      <w:r w:rsidRPr="002E6CA0">
        <w:rPr>
          <w:szCs w:val="22"/>
        </w:rPr>
        <w:t xml:space="preserve"> Addiction</w:t>
      </w:r>
      <w:r w:rsidR="00F42F7B">
        <w:rPr>
          <w:szCs w:val="22"/>
        </w:rPr>
        <w:t>;</w:t>
      </w:r>
      <w:r w:rsidRPr="002E6CA0">
        <w:rPr>
          <w:szCs w:val="22"/>
        </w:rPr>
        <w:t xml:space="preserve"> Adult</w:t>
      </w:r>
      <w:r w:rsidR="00F42F7B">
        <w:rPr>
          <w:szCs w:val="22"/>
        </w:rPr>
        <w:t>;</w:t>
      </w:r>
      <w:r w:rsidRPr="002E6CA0">
        <w:rPr>
          <w:szCs w:val="22"/>
        </w:rPr>
        <w:t xml:space="preserve"> Child and </w:t>
      </w:r>
      <w:r w:rsidR="00892201">
        <w:rPr>
          <w:szCs w:val="22"/>
        </w:rPr>
        <w:t>A</w:t>
      </w:r>
      <w:r w:rsidRPr="002E6CA0">
        <w:rPr>
          <w:szCs w:val="22"/>
        </w:rPr>
        <w:t>dolescent</w:t>
      </w:r>
      <w:r w:rsidR="00F42F7B">
        <w:rPr>
          <w:szCs w:val="22"/>
        </w:rPr>
        <w:t>;</w:t>
      </w:r>
      <w:r w:rsidRPr="002E6CA0">
        <w:rPr>
          <w:szCs w:val="22"/>
        </w:rPr>
        <w:t xml:space="preserve"> Consultation </w:t>
      </w:r>
      <w:r w:rsidR="00892201">
        <w:rPr>
          <w:szCs w:val="22"/>
        </w:rPr>
        <w:t>L</w:t>
      </w:r>
      <w:r w:rsidRPr="002E6CA0">
        <w:rPr>
          <w:szCs w:val="22"/>
        </w:rPr>
        <w:t>iaison</w:t>
      </w:r>
      <w:r w:rsidR="00F42F7B">
        <w:rPr>
          <w:szCs w:val="22"/>
        </w:rPr>
        <w:t>;</w:t>
      </w:r>
      <w:r w:rsidRPr="002E6CA0">
        <w:rPr>
          <w:szCs w:val="22"/>
        </w:rPr>
        <w:t xml:space="preserve"> Forensic</w:t>
      </w:r>
      <w:r w:rsidR="00F42F7B">
        <w:rPr>
          <w:szCs w:val="22"/>
        </w:rPr>
        <w:t>;</w:t>
      </w:r>
      <w:r w:rsidRPr="002E6CA0">
        <w:rPr>
          <w:szCs w:val="22"/>
        </w:rPr>
        <w:t xml:space="preserve"> </w:t>
      </w:r>
      <w:r w:rsidR="00892201">
        <w:rPr>
          <w:szCs w:val="22"/>
        </w:rPr>
        <w:t xml:space="preserve">Psychiatry of </w:t>
      </w:r>
      <w:r w:rsidRPr="002E6CA0">
        <w:rPr>
          <w:szCs w:val="22"/>
        </w:rPr>
        <w:t xml:space="preserve">Old </w:t>
      </w:r>
      <w:r w:rsidR="00892201">
        <w:rPr>
          <w:szCs w:val="22"/>
        </w:rPr>
        <w:t>A</w:t>
      </w:r>
      <w:r w:rsidRPr="002E6CA0">
        <w:rPr>
          <w:szCs w:val="22"/>
        </w:rPr>
        <w:t>ge</w:t>
      </w:r>
      <w:r w:rsidR="00F42F7B">
        <w:rPr>
          <w:szCs w:val="22"/>
        </w:rPr>
        <w:t>;</w:t>
      </w:r>
      <w:r w:rsidRPr="002E6CA0">
        <w:rPr>
          <w:szCs w:val="22"/>
        </w:rPr>
        <w:t xml:space="preserve"> </w:t>
      </w:r>
      <w:r w:rsidR="00892201">
        <w:rPr>
          <w:szCs w:val="22"/>
        </w:rPr>
        <w:t xml:space="preserve">and </w:t>
      </w:r>
      <w:r w:rsidRPr="002E6CA0">
        <w:rPr>
          <w:szCs w:val="22"/>
        </w:rPr>
        <w:t xml:space="preserve">Psychotherapies. The table below </w:t>
      </w:r>
      <w:r w:rsidR="00F42F7B" w:rsidRPr="002E6CA0">
        <w:rPr>
          <w:szCs w:val="22"/>
        </w:rPr>
        <w:t>indicate</w:t>
      </w:r>
      <w:r w:rsidR="00F42F7B">
        <w:rPr>
          <w:szCs w:val="22"/>
        </w:rPr>
        <w:t>s</w:t>
      </w:r>
      <w:r w:rsidR="00F42F7B" w:rsidRPr="002E6CA0">
        <w:rPr>
          <w:szCs w:val="22"/>
        </w:rPr>
        <w:t xml:space="preserve"> </w:t>
      </w:r>
      <w:r w:rsidRPr="002E6CA0">
        <w:rPr>
          <w:szCs w:val="22"/>
        </w:rPr>
        <w:t xml:space="preserve">the number of trainees by subspecialty and their location in 2014. </w:t>
      </w:r>
    </w:p>
    <w:p w:rsidR="0027604A" w:rsidRDefault="0027604A">
      <w:pPr>
        <w:jc w:val="left"/>
        <w:rPr>
          <w:b/>
          <w:bCs/>
          <w:sz w:val="20"/>
          <w:szCs w:val="18"/>
        </w:rPr>
      </w:pPr>
      <w:r>
        <w:rPr>
          <w:szCs w:val="18"/>
        </w:rPr>
        <w:br w:type="page"/>
      </w:r>
    </w:p>
    <w:p w:rsidR="00D547FF" w:rsidRPr="004E10A8" w:rsidRDefault="00D547FF" w:rsidP="00D84538">
      <w:pPr>
        <w:pStyle w:val="Heading4"/>
        <w:spacing w:after="120"/>
        <w:jc w:val="left"/>
      </w:pPr>
      <w:r w:rsidRPr="004E10A8">
        <w:lastRenderedPageBreak/>
        <w:t xml:space="preserve">Table </w:t>
      </w:r>
      <w:r w:rsidR="00227D87" w:rsidRPr="004E10A8">
        <w:t>4</w:t>
      </w:r>
      <w:r w:rsidRPr="004E10A8">
        <w:t>– Advanced training numbers by subspecialty and geographic distribution, 2014</w:t>
      </w:r>
    </w:p>
    <w:tbl>
      <w:tblPr>
        <w:tblStyle w:val="MediumShading2-Accent2"/>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Advanced training numbers by subspecialty and geographic distribution"/>
        <w:tblDescription w:val="Table 4 shows the training numbers by advanced subspecialty and by state and territory in 2014:                                                                                     There are a total of 91 advanced training numbers: 2 in SA, 28 in NSW, 0 in NT, 28 in QLD, 6 in SA, 2 in TAS, 17 in VIC and 8 in WA.                                         Per subspecialty:                                                                                        Addiction psychiatry: 8 in total with 3 in NSW, 4 in QLD, 1 in TAS;                      Adult psychiatry: 4 in total with 1 in each ACT, NSW, QLD and SA;                           Child and adolescent: 28 in total with 1 in ACT, 8 in NSW, 5 in QLD, 2 in SA, 9 in VIC and 3 in WA;                                                                          Consultation liaison: 14 in total with 3 in NSW, 7 in QLD, 1 in SA, 2 in VIC and 1 in WA;                                                                                                      Forensic psychiatry: 9 in total with 2 in NSW, 2 in QLD, 1 in SA, 3 in VIC and 1 in WA;                                                                                                 Psychiatry of old age: 15 in total with 4 in NSW, 6 in QLD, 1 in TAS, 2 in VIC and 2 in WA;                                                                                                   Psychotherapies: 13 in total with 7 in NSW, 3 in QLD, 1 in SA, 1 in VIC and 1 in WA.              "/>
      </w:tblPr>
      <w:tblGrid>
        <w:gridCol w:w="2797"/>
        <w:gridCol w:w="720"/>
        <w:gridCol w:w="824"/>
        <w:gridCol w:w="592"/>
        <w:gridCol w:w="747"/>
        <w:gridCol w:w="572"/>
        <w:gridCol w:w="703"/>
        <w:gridCol w:w="652"/>
        <w:gridCol w:w="689"/>
        <w:gridCol w:w="839"/>
      </w:tblGrid>
      <w:tr w:rsidR="00D547FF" w:rsidRPr="00AA0A42" w:rsidTr="00227D87">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1531" w:type="pct"/>
            <w:noWrap/>
            <w:hideMark/>
          </w:tcPr>
          <w:p w:rsidR="00D547FF" w:rsidRPr="00AA0A42" w:rsidRDefault="00D547FF" w:rsidP="00F2364C">
            <w:pPr>
              <w:rPr>
                <w:b/>
                <w:sz w:val="18"/>
                <w:szCs w:val="18"/>
                <w:lang w:eastAsia="en-AU"/>
              </w:rPr>
            </w:pPr>
            <w:r w:rsidRPr="00AA0A42">
              <w:rPr>
                <w:b/>
                <w:iCs/>
                <w:sz w:val="18"/>
                <w:szCs w:val="18"/>
                <w:lang w:eastAsia="en-AU"/>
              </w:rPr>
              <w:t>Advanced Subspecialties</w:t>
            </w:r>
          </w:p>
        </w:tc>
        <w:tc>
          <w:tcPr>
            <w:tcW w:w="394" w:type="pct"/>
            <w:noWrap/>
            <w:hideMark/>
          </w:tcPr>
          <w:p w:rsidR="00D547FF" w:rsidRPr="00AA0A42" w:rsidRDefault="00D547FF" w:rsidP="002714F7">
            <w:pPr>
              <w:jc w:val="center"/>
              <w:cnfStyle w:val="100000000000" w:firstRow="1" w:lastRow="0" w:firstColumn="0" w:lastColumn="0" w:oddVBand="0" w:evenVBand="0" w:oddHBand="0" w:evenHBand="0" w:firstRowFirstColumn="0" w:firstRowLastColumn="0" w:lastRowFirstColumn="0" w:lastRowLastColumn="0"/>
              <w:rPr>
                <w:b/>
                <w:bCs w:val="0"/>
                <w:sz w:val="18"/>
                <w:szCs w:val="18"/>
                <w:lang w:eastAsia="en-AU"/>
              </w:rPr>
            </w:pPr>
            <w:r w:rsidRPr="00AA0A42">
              <w:rPr>
                <w:b/>
                <w:bCs w:val="0"/>
                <w:sz w:val="18"/>
                <w:szCs w:val="18"/>
                <w:lang w:eastAsia="en-AU"/>
              </w:rPr>
              <w:t>ACT</w:t>
            </w:r>
          </w:p>
        </w:tc>
        <w:tc>
          <w:tcPr>
            <w:tcW w:w="451" w:type="pct"/>
            <w:noWrap/>
            <w:hideMark/>
          </w:tcPr>
          <w:p w:rsidR="00D547FF" w:rsidRPr="00AA0A42" w:rsidRDefault="00D547FF" w:rsidP="002714F7">
            <w:pPr>
              <w:jc w:val="center"/>
              <w:cnfStyle w:val="100000000000" w:firstRow="1" w:lastRow="0" w:firstColumn="0" w:lastColumn="0" w:oddVBand="0" w:evenVBand="0" w:oddHBand="0" w:evenHBand="0" w:firstRowFirstColumn="0" w:firstRowLastColumn="0" w:lastRowFirstColumn="0" w:lastRowLastColumn="0"/>
              <w:rPr>
                <w:b/>
                <w:bCs w:val="0"/>
                <w:sz w:val="18"/>
                <w:szCs w:val="18"/>
                <w:lang w:eastAsia="en-AU"/>
              </w:rPr>
            </w:pPr>
            <w:r w:rsidRPr="00AA0A42">
              <w:rPr>
                <w:b/>
                <w:bCs w:val="0"/>
                <w:sz w:val="18"/>
                <w:szCs w:val="18"/>
                <w:lang w:eastAsia="en-AU"/>
              </w:rPr>
              <w:t>NSW</w:t>
            </w:r>
          </w:p>
        </w:tc>
        <w:tc>
          <w:tcPr>
            <w:tcW w:w="324" w:type="pct"/>
            <w:noWrap/>
            <w:hideMark/>
          </w:tcPr>
          <w:p w:rsidR="00D547FF" w:rsidRPr="00AA0A42" w:rsidRDefault="00D547FF" w:rsidP="002714F7">
            <w:pPr>
              <w:jc w:val="center"/>
              <w:cnfStyle w:val="100000000000" w:firstRow="1" w:lastRow="0" w:firstColumn="0" w:lastColumn="0" w:oddVBand="0" w:evenVBand="0" w:oddHBand="0" w:evenHBand="0" w:firstRowFirstColumn="0" w:firstRowLastColumn="0" w:lastRowFirstColumn="0" w:lastRowLastColumn="0"/>
              <w:rPr>
                <w:b/>
                <w:bCs w:val="0"/>
                <w:sz w:val="18"/>
                <w:szCs w:val="18"/>
                <w:lang w:eastAsia="en-AU"/>
              </w:rPr>
            </w:pPr>
            <w:r w:rsidRPr="00AA0A42">
              <w:rPr>
                <w:b/>
                <w:bCs w:val="0"/>
                <w:sz w:val="18"/>
                <w:szCs w:val="18"/>
                <w:lang w:eastAsia="en-AU"/>
              </w:rPr>
              <w:t>NT</w:t>
            </w:r>
          </w:p>
        </w:tc>
        <w:tc>
          <w:tcPr>
            <w:tcW w:w="409" w:type="pct"/>
            <w:noWrap/>
            <w:hideMark/>
          </w:tcPr>
          <w:p w:rsidR="00D547FF" w:rsidRPr="00AA0A42" w:rsidRDefault="00D547FF" w:rsidP="002714F7">
            <w:pPr>
              <w:jc w:val="center"/>
              <w:cnfStyle w:val="100000000000" w:firstRow="1" w:lastRow="0" w:firstColumn="0" w:lastColumn="0" w:oddVBand="0" w:evenVBand="0" w:oddHBand="0" w:evenHBand="0" w:firstRowFirstColumn="0" w:firstRowLastColumn="0" w:lastRowFirstColumn="0" w:lastRowLastColumn="0"/>
              <w:rPr>
                <w:b/>
                <w:bCs w:val="0"/>
                <w:sz w:val="18"/>
                <w:szCs w:val="18"/>
                <w:lang w:eastAsia="en-AU"/>
              </w:rPr>
            </w:pPr>
            <w:r w:rsidRPr="00AA0A42">
              <w:rPr>
                <w:b/>
                <w:bCs w:val="0"/>
                <w:sz w:val="18"/>
                <w:szCs w:val="18"/>
                <w:lang w:eastAsia="en-AU"/>
              </w:rPr>
              <w:t>QLD</w:t>
            </w:r>
          </w:p>
        </w:tc>
        <w:tc>
          <w:tcPr>
            <w:tcW w:w="313" w:type="pct"/>
            <w:noWrap/>
            <w:hideMark/>
          </w:tcPr>
          <w:p w:rsidR="00D547FF" w:rsidRPr="00AA0A42" w:rsidRDefault="00D547FF" w:rsidP="002714F7">
            <w:pPr>
              <w:jc w:val="center"/>
              <w:cnfStyle w:val="100000000000" w:firstRow="1" w:lastRow="0" w:firstColumn="0" w:lastColumn="0" w:oddVBand="0" w:evenVBand="0" w:oddHBand="0" w:evenHBand="0" w:firstRowFirstColumn="0" w:firstRowLastColumn="0" w:lastRowFirstColumn="0" w:lastRowLastColumn="0"/>
              <w:rPr>
                <w:b/>
                <w:bCs w:val="0"/>
                <w:sz w:val="18"/>
                <w:szCs w:val="18"/>
                <w:lang w:eastAsia="en-AU"/>
              </w:rPr>
            </w:pPr>
            <w:r w:rsidRPr="00AA0A42">
              <w:rPr>
                <w:b/>
                <w:bCs w:val="0"/>
                <w:sz w:val="18"/>
                <w:szCs w:val="18"/>
                <w:lang w:eastAsia="en-AU"/>
              </w:rPr>
              <w:t>SA</w:t>
            </w:r>
          </w:p>
        </w:tc>
        <w:tc>
          <w:tcPr>
            <w:tcW w:w="385" w:type="pct"/>
            <w:noWrap/>
            <w:hideMark/>
          </w:tcPr>
          <w:p w:rsidR="00D547FF" w:rsidRPr="00AA0A42" w:rsidRDefault="00D547FF" w:rsidP="002714F7">
            <w:pPr>
              <w:jc w:val="center"/>
              <w:cnfStyle w:val="100000000000" w:firstRow="1" w:lastRow="0" w:firstColumn="0" w:lastColumn="0" w:oddVBand="0" w:evenVBand="0" w:oddHBand="0" w:evenHBand="0" w:firstRowFirstColumn="0" w:firstRowLastColumn="0" w:lastRowFirstColumn="0" w:lastRowLastColumn="0"/>
              <w:rPr>
                <w:b/>
                <w:bCs w:val="0"/>
                <w:sz w:val="18"/>
                <w:szCs w:val="18"/>
                <w:lang w:eastAsia="en-AU"/>
              </w:rPr>
            </w:pPr>
            <w:r w:rsidRPr="00AA0A42">
              <w:rPr>
                <w:b/>
                <w:bCs w:val="0"/>
                <w:sz w:val="18"/>
                <w:szCs w:val="18"/>
                <w:lang w:eastAsia="en-AU"/>
              </w:rPr>
              <w:t>TAS</w:t>
            </w:r>
          </w:p>
        </w:tc>
        <w:tc>
          <w:tcPr>
            <w:tcW w:w="357" w:type="pct"/>
            <w:noWrap/>
            <w:hideMark/>
          </w:tcPr>
          <w:p w:rsidR="00D547FF" w:rsidRPr="00AA0A42" w:rsidRDefault="00D547FF" w:rsidP="002714F7">
            <w:pPr>
              <w:jc w:val="center"/>
              <w:cnfStyle w:val="100000000000" w:firstRow="1" w:lastRow="0" w:firstColumn="0" w:lastColumn="0" w:oddVBand="0" w:evenVBand="0" w:oddHBand="0" w:evenHBand="0" w:firstRowFirstColumn="0" w:firstRowLastColumn="0" w:lastRowFirstColumn="0" w:lastRowLastColumn="0"/>
              <w:rPr>
                <w:b/>
                <w:bCs w:val="0"/>
                <w:sz w:val="18"/>
                <w:szCs w:val="18"/>
                <w:lang w:eastAsia="en-AU"/>
              </w:rPr>
            </w:pPr>
            <w:r w:rsidRPr="00AA0A42">
              <w:rPr>
                <w:b/>
                <w:bCs w:val="0"/>
                <w:sz w:val="18"/>
                <w:szCs w:val="18"/>
                <w:lang w:eastAsia="en-AU"/>
              </w:rPr>
              <w:t>VIC</w:t>
            </w:r>
          </w:p>
        </w:tc>
        <w:tc>
          <w:tcPr>
            <w:tcW w:w="377" w:type="pct"/>
            <w:noWrap/>
            <w:hideMark/>
          </w:tcPr>
          <w:p w:rsidR="00D547FF" w:rsidRPr="00AA0A42" w:rsidRDefault="00D547FF" w:rsidP="002714F7">
            <w:pPr>
              <w:jc w:val="center"/>
              <w:cnfStyle w:val="100000000000" w:firstRow="1" w:lastRow="0" w:firstColumn="0" w:lastColumn="0" w:oddVBand="0" w:evenVBand="0" w:oddHBand="0" w:evenHBand="0" w:firstRowFirstColumn="0" w:firstRowLastColumn="0" w:lastRowFirstColumn="0" w:lastRowLastColumn="0"/>
              <w:rPr>
                <w:b/>
                <w:bCs w:val="0"/>
                <w:sz w:val="18"/>
                <w:szCs w:val="18"/>
                <w:lang w:eastAsia="en-AU"/>
              </w:rPr>
            </w:pPr>
            <w:r w:rsidRPr="00AA0A42">
              <w:rPr>
                <w:b/>
                <w:bCs w:val="0"/>
                <w:sz w:val="18"/>
                <w:szCs w:val="18"/>
                <w:lang w:eastAsia="en-AU"/>
              </w:rPr>
              <w:t>WA</w:t>
            </w:r>
          </w:p>
        </w:tc>
        <w:tc>
          <w:tcPr>
            <w:tcW w:w="459" w:type="pct"/>
            <w:noWrap/>
            <w:hideMark/>
          </w:tcPr>
          <w:p w:rsidR="00D547FF" w:rsidRPr="00AA0A42" w:rsidRDefault="00D547FF" w:rsidP="002714F7">
            <w:pPr>
              <w:jc w:val="center"/>
              <w:cnfStyle w:val="100000000000" w:firstRow="1" w:lastRow="0" w:firstColumn="0" w:lastColumn="0" w:oddVBand="0" w:evenVBand="0" w:oddHBand="0" w:evenHBand="0" w:firstRowFirstColumn="0" w:firstRowLastColumn="0" w:lastRowFirstColumn="0" w:lastRowLastColumn="0"/>
              <w:rPr>
                <w:b/>
                <w:bCs w:val="0"/>
                <w:sz w:val="18"/>
                <w:szCs w:val="18"/>
                <w:lang w:eastAsia="en-AU"/>
              </w:rPr>
            </w:pPr>
            <w:r w:rsidRPr="00AA0A42">
              <w:rPr>
                <w:b/>
                <w:bCs w:val="0"/>
                <w:sz w:val="18"/>
                <w:szCs w:val="18"/>
                <w:lang w:eastAsia="en-AU"/>
              </w:rPr>
              <w:t>Total</w:t>
            </w:r>
          </w:p>
        </w:tc>
      </w:tr>
      <w:tr w:rsidR="00D547FF" w:rsidRPr="00AA0A42" w:rsidTr="00227D8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31" w:type="pct"/>
            <w:noWrap/>
            <w:hideMark/>
          </w:tcPr>
          <w:p w:rsidR="00D547FF" w:rsidRPr="00AA0A42" w:rsidRDefault="00D547FF" w:rsidP="00F2364C">
            <w:pPr>
              <w:rPr>
                <w:b w:val="0"/>
                <w:sz w:val="18"/>
                <w:szCs w:val="18"/>
                <w:lang w:eastAsia="en-AU"/>
              </w:rPr>
            </w:pPr>
            <w:r w:rsidRPr="00AA0A42">
              <w:rPr>
                <w:b w:val="0"/>
                <w:sz w:val="18"/>
                <w:szCs w:val="18"/>
                <w:lang w:eastAsia="en-AU"/>
              </w:rPr>
              <w:t>Addiction Psychiatry</w:t>
            </w:r>
          </w:p>
        </w:tc>
        <w:tc>
          <w:tcPr>
            <w:tcW w:w="394"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51"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324"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09"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4</w:t>
            </w:r>
          </w:p>
        </w:tc>
        <w:tc>
          <w:tcPr>
            <w:tcW w:w="313"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385"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357"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377"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59"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8</w:t>
            </w:r>
          </w:p>
        </w:tc>
      </w:tr>
      <w:tr w:rsidR="00D547FF" w:rsidRPr="00AA0A42" w:rsidTr="00227D87">
        <w:trPr>
          <w:trHeight w:val="285"/>
        </w:trPr>
        <w:tc>
          <w:tcPr>
            <w:cnfStyle w:val="001000000000" w:firstRow="0" w:lastRow="0" w:firstColumn="1" w:lastColumn="0" w:oddVBand="0" w:evenVBand="0" w:oddHBand="0" w:evenHBand="0" w:firstRowFirstColumn="0" w:firstRowLastColumn="0" w:lastRowFirstColumn="0" w:lastRowLastColumn="0"/>
            <w:tcW w:w="1531" w:type="pct"/>
            <w:noWrap/>
            <w:hideMark/>
          </w:tcPr>
          <w:p w:rsidR="00D547FF" w:rsidRPr="00AA0A42" w:rsidRDefault="00D547FF" w:rsidP="00F2364C">
            <w:pPr>
              <w:rPr>
                <w:b w:val="0"/>
                <w:sz w:val="18"/>
                <w:szCs w:val="18"/>
                <w:lang w:eastAsia="en-AU"/>
              </w:rPr>
            </w:pPr>
            <w:r w:rsidRPr="00AA0A42">
              <w:rPr>
                <w:b w:val="0"/>
                <w:sz w:val="18"/>
                <w:szCs w:val="18"/>
                <w:lang w:eastAsia="en-AU"/>
              </w:rPr>
              <w:t>Adult Psychiatry</w:t>
            </w:r>
          </w:p>
        </w:tc>
        <w:tc>
          <w:tcPr>
            <w:tcW w:w="394"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451"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324"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09"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313"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385"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357"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377"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59"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4</w:t>
            </w:r>
          </w:p>
        </w:tc>
      </w:tr>
      <w:tr w:rsidR="00D547FF" w:rsidRPr="00AA0A42" w:rsidTr="00227D8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31" w:type="pct"/>
            <w:noWrap/>
            <w:hideMark/>
          </w:tcPr>
          <w:p w:rsidR="00D547FF" w:rsidRPr="00AA0A42" w:rsidRDefault="00D547FF" w:rsidP="00F2364C">
            <w:pPr>
              <w:rPr>
                <w:b w:val="0"/>
                <w:sz w:val="18"/>
                <w:szCs w:val="18"/>
                <w:lang w:eastAsia="en-AU"/>
              </w:rPr>
            </w:pPr>
            <w:r w:rsidRPr="00AA0A42">
              <w:rPr>
                <w:b w:val="0"/>
                <w:sz w:val="18"/>
                <w:szCs w:val="18"/>
                <w:lang w:eastAsia="en-AU"/>
              </w:rPr>
              <w:t>Child and Adolescent</w:t>
            </w:r>
          </w:p>
        </w:tc>
        <w:tc>
          <w:tcPr>
            <w:tcW w:w="394"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451"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8</w:t>
            </w:r>
          </w:p>
        </w:tc>
        <w:tc>
          <w:tcPr>
            <w:tcW w:w="324"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09"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5</w:t>
            </w:r>
          </w:p>
        </w:tc>
        <w:tc>
          <w:tcPr>
            <w:tcW w:w="313"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385"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357"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9</w:t>
            </w:r>
          </w:p>
        </w:tc>
        <w:tc>
          <w:tcPr>
            <w:tcW w:w="377"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459"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28</w:t>
            </w:r>
          </w:p>
        </w:tc>
      </w:tr>
      <w:tr w:rsidR="00D547FF" w:rsidRPr="00AA0A42" w:rsidTr="00227D87">
        <w:trPr>
          <w:trHeight w:val="285"/>
        </w:trPr>
        <w:tc>
          <w:tcPr>
            <w:cnfStyle w:val="001000000000" w:firstRow="0" w:lastRow="0" w:firstColumn="1" w:lastColumn="0" w:oddVBand="0" w:evenVBand="0" w:oddHBand="0" w:evenHBand="0" w:firstRowFirstColumn="0" w:firstRowLastColumn="0" w:lastRowFirstColumn="0" w:lastRowLastColumn="0"/>
            <w:tcW w:w="1531" w:type="pct"/>
            <w:noWrap/>
            <w:hideMark/>
          </w:tcPr>
          <w:p w:rsidR="00D547FF" w:rsidRPr="00AA0A42" w:rsidRDefault="00D547FF" w:rsidP="00F2364C">
            <w:pPr>
              <w:rPr>
                <w:b w:val="0"/>
                <w:sz w:val="18"/>
                <w:szCs w:val="18"/>
                <w:lang w:eastAsia="en-AU"/>
              </w:rPr>
            </w:pPr>
            <w:r w:rsidRPr="00AA0A42">
              <w:rPr>
                <w:b w:val="0"/>
                <w:sz w:val="18"/>
                <w:szCs w:val="18"/>
                <w:lang w:eastAsia="en-AU"/>
              </w:rPr>
              <w:t>Consultation Liaison</w:t>
            </w:r>
          </w:p>
        </w:tc>
        <w:tc>
          <w:tcPr>
            <w:tcW w:w="394"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51"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324"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09"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7</w:t>
            </w:r>
          </w:p>
        </w:tc>
        <w:tc>
          <w:tcPr>
            <w:tcW w:w="313"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385"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357"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377"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459"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14</w:t>
            </w:r>
          </w:p>
        </w:tc>
      </w:tr>
      <w:tr w:rsidR="00D547FF" w:rsidRPr="00AA0A42" w:rsidTr="00227D8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31" w:type="pct"/>
            <w:noWrap/>
            <w:hideMark/>
          </w:tcPr>
          <w:p w:rsidR="00D547FF" w:rsidRPr="00AA0A42" w:rsidRDefault="00D547FF" w:rsidP="00F2364C">
            <w:pPr>
              <w:rPr>
                <w:b w:val="0"/>
                <w:sz w:val="18"/>
                <w:szCs w:val="18"/>
                <w:lang w:eastAsia="en-AU"/>
              </w:rPr>
            </w:pPr>
            <w:r w:rsidRPr="00AA0A42">
              <w:rPr>
                <w:b w:val="0"/>
                <w:sz w:val="18"/>
                <w:szCs w:val="18"/>
                <w:lang w:eastAsia="en-AU"/>
              </w:rPr>
              <w:t>Forensic Psychiatry</w:t>
            </w:r>
          </w:p>
        </w:tc>
        <w:tc>
          <w:tcPr>
            <w:tcW w:w="394"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51"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324"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09"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313"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385"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357"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377"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459"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9</w:t>
            </w:r>
          </w:p>
        </w:tc>
      </w:tr>
      <w:tr w:rsidR="00D547FF" w:rsidRPr="00AA0A42" w:rsidTr="00227D87">
        <w:trPr>
          <w:trHeight w:val="285"/>
        </w:trPr>
        <w:tc>
          <w:tcPr>
            <w:cnfStyle w:val="001000000000" w:firstRow="0" w:lastRow="0" w:firstColumn="1" w:lastColumn="0" w:oddVBand="0" w:evenVBand="0" w:oddHBand="0" w:evenHBand="0" w:firstRowFirstColumn="0" w:firstRowLastColumn="0" w:lastRowFirstColumn="0" w:lastRowLastColumn="0"/>
            <w:tcW w:w="1531" w:type="pct"/>
            <w:noWrap/>
            <w:hideMark/>
          </w:tcPr>
          <w:p w:rsidR="00D547FF" w:rsidRPr="00AA0A42" w:rsidRDefault="00D547FF" w:rsidP="00F2364C">
            <w:pPr>
              <w:rPr>
                <w:b w:val="0"/>
                <w:sz w:val="18"/>
                <w:szCs w:val="18"/>
                <w:lang w:eastAsia="en-AU"/>
              </w:rPr>
            </w:pPr>
            <w:r w:rsidRPr="00AA0A42">
              <w:rPr>
                <w:b w:val="0"/>
                <w:sz w:val="18"/>
                <w:szCs w:val="18"/>
                <w:lang w:eastAsia="en-AU"/>
              </w:rPr>
              <w:t>Psychiatry of Old Age</w:t>
            </w:r>
          </w:p>
        </w:tc>
        <w:tc>
          <w:tcPr>
            <w:tcW w:w="394"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51"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4</w:t>
            </w:r>
          </w:p>
        </w:tc>
        <w:tc>
          <w:tcPr>
            <w:tcW w:w="324"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09"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6</w:t>
            </w:r>
          </w:p>
        </w:tc>
        <w:tc>
          <w:tcPr>
            <w:tcW w:w="313"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p>
        </w:tc>
        <w:tc>
          <w:tcPr>
            <w:tcW w:w="385"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357"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377"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459"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15</w:t>
            </w:r>
          </w:p>
        </w:tc>
      </w:tr>
      <w:tr w:rsidR="00D547FF" w:rsidRPr="00AA0A42" w:rsidTr="00227D8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31" w:type="pct"/>
            <w:noWrap/>
            <w:hideMark/>
          </w:tcPr>
          <w:p w:rsidR="00D547FF" w:rsidRPr="00AA0A42" w:rsidRDefault="00D547FF" w:rsidP="00F2364C">
            <w:pPr>
              <w:rPr>
                <w:b w:val="0"/>
                <w:sz w:val="18"/>
                <w:szCs w:val="18"/>
                <w:lang w:eastAsia="en-AU"/>
              </w:rPr>
            </w:pPr>
            <w:r w:rsidRPr="00AA0A42">
              <w:rPr>
                <w:b w:val="0"/>
                <w:sz w:val="18"/>
                <w:szCs w:val="18"/>
                <w:lang w:eastAsia="en-AU"/>
              </w:rPr>
              <w:t>Psychotherapies</w:t>
            </w:r>
          </w:p>
        </w:tc>
        <w:tc>
          <w:tcPr>
            <w:tcW w:w="394"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51"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7</w:t>
            </w:r>
          </w:p>
        </w:tc>
        <w:tc>
          <w:tcPr>
            <w:tcW w:w="324"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409"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313"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385"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w:t>
            </w:r>
          </w:p>
        </w:tc>
        <w:tc>
          <w:tcPr>
            <w:tcW w:w="357"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377"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459" w:type="pct"/>
            <w:noWrap/>
            <w:hideMark/>
          </w:tcPr>
          <w:p w:rsidR="00D547FF" w:rsidRPr="00AA0A42" w:rsidRDefault="00D547FF"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13</w:t>
            </w:r>
          </w:p>
        </w:tc>
      </w:tr>
      <w:tr w:rsidR="00D547FF" w:rsidRPr="00AA0A42" w:rsidTr="00227D87">
        <w:trPr>
          <w:trHeight w:val="285"/>
        </w:trPr>
        <w:tc>
          <w:tcPr>
            <w:cnfStyle w:val="001000000000" w:firstRow="0" w:lastRow="0" w:firstColumn="1" w:lastColumn="0" w:oddVBand="0" w:evenVBand="0" w:oddHBand="0" w:evenHBand="0" w:firstRowFirstColumn="0" w:firstRowLastColumn="0" w:lastRowFirstColumn="0" w:lastRowLastColumn="0"/>
            <w:tcW w:w="1531" w:type="pct"/>
            <w:noWrap/>
            <w:hideMark/>
          </w:tcPr>
          <w:p w:rsidR="00D547FF" w:rsidRPr="00AA0A42" w:rsidRDefault="00D547FF" w:rsidP="00F2364C">
            <w:pPr>
              <w:rPr>
                <w:iCs/>
                <w:sz w:val="18"/>
                <w:szCs w:val="18"/>
                <w:lang w:eastAsia="en-AU"/>
              </w:rPr>
            </w:pPr>
            <w:r w:rsidRPr="00AA0A42">
              <w:rPr>
                <w:iCs/>
                <w:sz w:val="18"/>
                <w:szCs w:val="18"/>
                <w:lang w:eastAsia="en-AU"/>
              </w:rPr>
              <w:t>Total</w:t>
            </w:r>
          </w:p>
        </w:tc>
        <w:tc>
          <w:tcPr>
            <w:tcW w:w="394"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2</w:t>
            </w:r>
          </w:p>
        </w:tc>
        <w:tc>
          <w:tcPr>
            <w:tcW w:w="451"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28</w:t>
            </w:r>
          </w:p>
        </w:tc>
        <w:tc>
          <w:tcPr>
            <w:tcW w:w="324"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w:t>
            </w:r>
          </w:p>
        </w:tc>
        <w:tc>
          <w:tcPr>
            <w:tcW w:w="409"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28</w:t>
            </w:r>
          </w:p>
        </w:tc>
        <w:tc>
          <w:tcPr>
            <w:tcW w:w="313"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6</w:t>
            </w:r>
          </w:p>
        </w:tc>
        <w:tc>
          <w:tcPr>
            <w:tcW w:w="385"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2</w:t>
            </w:r>
          </w:p>
        </w:tc>
        <w:tc>
          <w:tcPr>
            <w:tcW w:w="357"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17</w:t>
            </w:r>
          </w:p>
        </w:tc>
        <w:tc>
          <w:tcPr>
            <w:tcW w:w="377"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8</w:t>
            </w:r>
          </w:p>
        </w:tc>
        <w:tc>
          <w:tcPr>
            <w:tcW w:w="459" w:type="pct"/>
            <w:noWrap/>
            <w:hideMark/>
          </w:tcPr>
          <w:p w:rsidR="00D547FF" w:rsidRPr="00AA0A42" w:rsidRDefault="00D547FF"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91</w:t>
            </w:r>
          </w:p>
        </w:tc>
      </w:tr>
    </w:tbl>
    <w:p w:rsidR="00D547FF" w:rsidRPr="00EA1436" w:rsidRDefault="00D547FF" w:rsidP="00C64C65">
      <w:pPr>
        <w:spacing w:before="120"/>
        <w:rPr>
          <w:rFonts w:eastAsia="Calibri"/>
          <w:i/>
          <w:sz w:val="16"/>
          <w:szCs w:val="16"/>
        </w:rPr>
      </w:pPr>
      <w:r w:rsidRPr="00EA1436">
        <w:rPr>
          <w:rFonts w:eastAsia="Calibri"/>
          <w:i/>
          <w:sz w:val="16"/>
          <w:szCs w:val="16"/>
        </w:rPr>
        <w:t xml:space="preserve">Source: </w:t>
      </w:r>
      <w:proofErr w:type="spellStart"/>
      <w:r w:rsidRPr="00EA1436">
        <w:rPr>
          <w:rFonts w:eastAsia="Calibri"/>
          <w:i/>
          <w:sz w:val="16"/>
          <w:szCs w:val="16"/>
        </w:rPr>
        <w:t>RANZCP</w:t>
      </w:r>
      <w:proofErr w:type="spellEnd"/>
      <w:r w:rsidRPr="00EA1436">
        <w:rPr>
          <w:rFonts w:eastAsia="Calibri"/>
          <w:i/>
          <w:sz w:val="16"/>
          <w:szCs w:val="16"/>
        </w:rPr>
        <w:t>, 2014</w:t>
      </w:r>
    </w:p>
    <w:p w:rsidR="00D547FF" w:rsidRPr="002E4DE9" w:rsidRDefault="00D547FF" w:rsidP="00D547FF">
      <w:pPr>
        <w:spacing w:before="120" w:after="120"/>
        <w:rPr>
          <w:szCs w:val="22"/>
        </w:rPr>
      </w:pPr>
      <w:r w:rsidRPr="002E6CA0">
        <w:rPr>
          <w:szCs w:val="22"/>
        </w:rPr>
        <w:t xml:space="preserve">To do the </w:t>
      </w:r>
      <w:r w:rsidR="00892201" w:rsidRPr="002E6CA0">
        <w:rPr>
          <w:szCs w:val="22"/>
        </w:rPr>
        <w:t xml:space="preserve">Advanced Training </w:t>
      </w:r>
      <w:r w:rsidRPr="002E6CA0">
        <w:rPr>
          <w:szCs w:val="22"/>
        </w:rPr>
        <w:t>certificate</w:t>
      </w:r>
      <w:r w:rsidR="00F42F7B">
        <w:rPr>
          <w:szCs w:val="22"/>
        </w:rPr>
        <w:t>,</w:t>
      </w:r>
      <w:r w:rsidRPr="002E6CA0">
        <w:rPr>
          <w:szCs w:val="22"/>
        </w:rPr>
        <w:t xml:space="preserve"> a minimum of 36 months of training needs to have been completed before being able to commence. These can be completed concurrently with the final 2 years of training or in addition to the training program</w:t>
      </w:r>
      <w:r w:rsidR="00892201">
        <w:rPr>
          <w:szCs w:val="22"/>
        </w:rPr>
        <w:t xml:space="preserve"> (i.e., after attaining Fellowship)</w:t>
      </w:r>
      <w:r w:rsidRPr="002E6CA0">
        <w:rPr>
          <w:szCs w:val="22"/>
        </w:rPr>
        <w:t xml:space="preserve">. </w:t>
      </w:r>
      <w:r w:rsidR="00F42F7B">
        <w:rPr>
          <w:szCs w:val="22"/>
        </w:rPr>
        <w:t xml:space="preserve">It </w:t>
      </w:r>
      <w:r w:rsidRPr="002E6CA0">
        <w:rPr>
          <w:szCs w:val="22"/>
        </w:rPr>
        <w:t xml:space="preserve">should be noted that the training pipeline in the table below may </w:t>
      </w:r>
      <w:r w:rsidR="00F42F7B">
        <w:rPr>
          <w:szCs w:val="22"/>
        </w:rPr>
        <w:t>include</w:t>
      </w:r>
      <w:r w:rsidR="00F42F7B" w:rsidRPr="002E6CA0">
        <w:rPr>
          <w:szCs w:val="22"/>
        </w:rPr>
        <w:t xml:space="preserve"> </w:t>
      </w:r>
      <w:r w:rsidRPr="002E6CA0">
        <w:rPr>
          <w:szCs w:val="22"/>
        </w:rPr>
        <w:t xml:space="preserve">some </w:t>
      </w:r>
      <w:r w:rsidR="00892201">
        <w:rPr>
          <w:szCs w:val="22"/>
        </w:rPr>
        <w:t>F</w:t>
      </w:r>
      <w:r w:rsidRPr="002E6CA0">
        <w:rPr>
          <w:szCs w:val="22"/>
        </w:rPr>
        <w:t xml:space="preserve">ellows/trainees completing </w:t>
      </w:r>
      <w:r w:rsidR="00892201" w:rsidRPr="002E6CA0">
        <w:rPr>
          <w:szCs w:val="22"/>
        </w:rPr>
        <w:t xml:space="preserve">Advanced Training </w:t>
      </w:r>
      <w:r w:rsidRPr="002E6CA0">
        <w:rPr>
          <w:szCs w:val="22"/>
        </w:rPr>
        <w:t xml:space="preserve">certificates </w:t>
      </w:r>
      <w:r w:rsidR="00F42F7B">
        <w:rPr>
          <w:szCs w:val="22"/>
        </w:rPr>
        <w:t>who</w:t>
      </w:r>
      <w:r w:rsidR="00F42F7B" w:rsidRPr="002E6CA0">
        <w:rPr>
          <w:szCs w:val="22"/>
        </w:rPr>
        <w:t xml:space="preserve"> </w:t>
      </w:r>
      <w:r w:rsidRPr="002E6CA0">
        <w:rPr>
          <w:szCs w:val="22"/>
        </w:rPr>
        <w:t>may have been counted in the trainee numbers</w:t>
      </w:r>
      <w:r w:rsidR="00892201">
        <w:rPr>
          <w:szCs w:val="22"/>
        </w:rPr>
        <w:t xml:space="preserve"> in early data collections</w:t>
      </w:r>
      <w:r w:rsidRPr="002E6CA0">
        <w:rPr>
          <w:szCs w:val="22"/>
        </w:rPr>
        <w:t xml:space="preserve"> </w:t>
      </w:r>
      <w:r w:rsidR="00F42F7B">
        <w:rPr>
          <w:szCs w:val="22"/>
        </w:rPr>
        <w:t>and who</w:t>
      </w:r>
      <w:r w:rsidR="00F42F7B" w:rsidRPr="002E6CA0">
        <w:rPr>
          <w:szCs w:val="22"/>
        </w:rPr>
        <w:t xml:space="preserve"> </w:t>
      </w:r>
      <w:r w:rsidRPr="002E6CA0">
        <w:rPr>
          <w:szCs w:val="22"/>
        </w:rPr>
        <w:t xml:space="preserve">are not actually part of the general training program. The data from the </w:t>
      </w:r>
      <w:proofErr w:type="spellStart"/>
      <w:r w:rsidRPr="002E6CA0">
        <w:rPr>
          <w:szCs w:val="22"/>
        </w:rPr>
        <w:t>RANZCP</w:t>
      </w:r>
      <w:proofErr w:type="spellEnd"/>
      <w:r w:rsidRPr="002E6CA0">
        <w:rPr>
          <w:szCs w:val="22"/>
        </w:rPr>
        <w:t xml:space="preserve"> (Table 3) excludes 215 </w:t>
      </w:r>
      <w:r w:rsidR="00892201">
        <w:rPr>
          <w:szCs w:val="22"/>
        </w:rPr>
        <w:t>F</w:t>
      </w:r>
      <w:r w:rsidRPr="002E6CA0">
        <w:rPr>
          <w:szCs w:val="22"/>
        </w:rPr>
        <w:t xml:space="preserve">ellows completing a Certificate of Advanced Training in sub-specialities. These are being completed post </w:t>
      </w:r>
      <w:r w:rsidR="00892201">
        <w:rPr>
          <w:szCs w:val="22"/>
        </w:rPr>
        <w:t>F</w:t>
      </w:r>
      <w:r w:rsidRPr="002E6CA0">
        <w:rPr>
          <w:szCs w:val="22"/>
        </w:rPr>
        <w:t>ellowship.</w:t>
      </w:r>
    </w:p>
    <w:p w:rsidR="00D547FF" w:rsidRPr="0090788F" w:rsidRDefault="00D547FF" w:rsidP="00B831A8">
      <w:pPr>
        <w:pStyle w:val="Heading3"/>
      </w:pPr>
      <w:bookmarkStart w:id="25" w:name="_Toc445986947"/>
      <w:r w:rsidRPr="0090788F">
        <w:t>Trainee demographics</w:t>
      </w:r>
      <w:bookmarkEnd w:id="25"/>
    </w:p>
    <w:p w:rsidR="00D547FF" w:rsidRPr="002714F7" w:rsidRDefault="00C12768" w:rsidP="002714F7">
      <w:pPr>
        <w:spacing w:before="120" w:after="120"/>
        <w:rPr>
          <w:szCs w:val="22"/>
        </w:rPr>
      </w:pPr>
      <w:r>
        <w:rPr>
          <w:szCs w:val="22"/>
        </w:rPr>
        <w:t xml:space="preserve">Table 5 and 6 </w:t>
      </w:r>
      <w:r w:rsidR="00D547FF" w:rsidRPr="002E6CA0">
        <w:rPr>
          <w:szCs w:val="22"/>
        </w:rPr>
        <w:t>below outlines the trainees in 2013</w:t>
      </w:r>
      <w:r>
        <w:rPr>
          <w:szCs w:val="22"/>
        </w:rPr>
        <w:t xml:space="preserve"> and 2014</w:t>
      </w:r>
      <w:r w:rsidR="00D547FF" w:rsidRPr="002E6CA0">
        <w:rPr>
          <w:szCs w:val="22"/>
        </w:rPr>
        <w:t xml:space="preserve"> by age, gender and year of training provided by the </w:t>
      </w:r>
      <w:proofErr w:type="spellStart"/>
      <w:r w:rsidR="00D547FF" w:rsidRPr="002E6CA0">
        <w:rPr>
          <w:szCs w:val="22"/>
        </w:rPr>
        <w:t>RANZCP</w:t>
      </w:r>
      <w:proofErr w:type="spellEnd"/>
      <w:r w:rsidR="00D547FF" w:rsidRPr="002E6CA0">
        <w:rPr>
          <w:szCs w:val="22"/>
        </w:rPr>
        <w:t xml:space="preserve"> to the Medical Training Review Panel Report (</w:t>
      </w:r>
      <w:proofErr w:type="spellStart"/>
      <w:r w:rsidR="00D547FF" w:rsidRPr="002E6CA0">
        <w:rPr>
          <w:szCs w:val="22"/>
        </w:rPr>
        <w:t>MTRP</w:t>
      </w:r>
      <w:proofErr w:type="spellEnd"/>
      <w:r w:rsidR="00D547FF" w:rsidRPr="002E6CA0">
        <w:rPr>
          <w:szCs w:val="22"/>
        </w:rPr>
        <w:t xml:space="preserve">). The 2013 data has been presented here as the modelling is based on a starting year of 2013. The table includes both full-time (FT) and part-time (PT) trainees. </w:t>
      </w:r>
      <w:bookmarkStart w:id="26" w:name="_Ref413938300"/>
    </w:p>
    <w:p w:rsidR="00D547FF" w:rsidRPr="004E10A8" w:rsidRDefault="00D547FF" w:rsidP="00D84538">
      <w:pPr>
        <w:pStyle w:val="Heading4"/>
        <w:spacing w:after="120"/>
        <w:jc w:val="left"/>
      </w:pPr>
      <w:r w:rsidRPr="004E10A8">
        <w:t xml:space="preserve">Table </w:t>
      </w:r>
      <w:bookmarkEnd w:id="26"/>
      <w:r w:rsidR="00227D87" w:rsidRPr="004E10A8">
        <w:t>5</w:t>
      </w:r>
      <w:r w:rsidRPr="004E10A8">
        <w:t xml:space="preserve"> – Trainees by training level, age group and gender, from </w:t>
      </w:r>
      <w:proofErr w:type="spellStart"/>
      <w:r w:rsidRPr="004E10A8">
        <w:t>RANZCP</w:t>
      </w:r>
      <w:proofErr w:type="spellEnd"/>
      <w:r w:rsidRPr="004E10A8">
        <w:t xml:space="preserve"> 2013</w:t>
      </w:r>
    </w:p>
    <w:tbl>
      <w:tblPr>
        <w:tblStyle w:val="MediumShading2-Accent2"/>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Trainees by training level, age group and gender 2013"/>
        <w:tblDescription w:val="Table 5 shows the numbers of trainees by gender, age group, and year of training in 2013. There were a total of 1250 trainees, of which 567 females and 683 males. "/>
      </w:tblPr>
      <w:tblGrid>
        <w:gridCol w:w="1128"/>
        <w:gridCol w:w="881"/>
        <w:gridCol w:w="883"/>
        <w:gridCol w:w="884"/>
        <w:gridCol w:w="882"/>
        <w:gridCol w:w="884"/>
        <w:gridCol w:w="884"/>
        <w:gridCol w:w="882"/>
        <w:gridCol w:w="884"/>
        <w:gridCol w:w="880"/>
      </w:tblGrid>
      <w:tr w:rsidR="002A3619" w:rsidRPr="00AA0A42" w:rsidTr="00342341">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100" w:firstRow="0" w:lastRow="0" w:firstColumn="1" w:lastColumn="0" w:oddVBand="0" w:evenVBand="0" w:oddHBand="0" w:evenHBand="0" w:firstRowFirstColumn="1" w:firstRowLastColumn="0" w:lastRowFirstColumn="0" w:lastRowLastColumn="0"/>
            <w:tcW w:w="622" w:type="pct"/>
            <w:noWrap/>
            <w:vAlign w:val="center"/>
            <w:hideMark/>
          </w:tcPr>
          <w:p w:rsidR="002A3619" w:rsidRPr="00AA0A42" w:rsidRDefault="002A3619" w:rsidP="00F2364C">
            <w:pPr>
              <w:jc w:val="center"/>
              <w:rPr>
                <w:b/>
                <w:color w:val="FFFFFF"/>
                <w:sz w:val="18"/>
                <w:szCs w:val="18"/>
                <w:lang w:eastAsia="en-AU"/>
              </w:rPr>
            </w:pPr>
            <w:r w:rsidRPr="00AA0A42">
              <w:rPr>
                <w:b/>
                <w:color w:val="FFFFFF"/>
                <w:sz w:val="18"/>
                <w:szCs w:val="18"/>
                <w:lang w:eastAsia="en-AU"/>
              </w:rPr>
              <w:t>Year of Training</w:t>
            </w:r>
          </w:p>
        </w:tc>
        <w:tc>
          <w:tcPr>
            <w:tcW w:w="486" w:type="pct"/>
            <w:vAlign w:val="center"/>
            <w:hideMark/>
          </w:tcPr>
          <w:p w:rsidR="002A3619" w:rsidRPr="00AA0A42" w:rsidRDefault="002A3619" w:rsidP="00F2364C">
            <w:pPr>
              <w:jc w:val="center"/>
              <w:cnfStyle w:val="100000000000" w:firstRow="1" w:lastRow="0" w:firstColumn="0" w:lastColumn="0" w:oddVBand="0" w:evenVBand="0" w:oddHBand="0" w:evenHBand="0" w:firstRowFirstColumn="0" w:firstRowLastColumn="0" w:lastRowFirstColumn="0" w:lastRowLastColumn="0"/>
              <w:rPr>
                <w:b/>
                <w:color w:val="FFFFFF"/>
                <w:sz w:val="18"/>
                <w:szCs w:val="18"/>
                <w:lang w:eastAsia="en-AU"/>
              </w:rPr>
            </w:pPr>
            <w:r w:rsidRPr="00AA0A42">
              <w:rPr>
                <w:b/>
                <w:color w:val="FFFFFF"/>
                <w:sz w:val="18"/>
                <w:szCs w:val="18"/>
                <w:lang w:eastAsia="en-AU"/>
              </w:rPr>
              <w:t>1st</w:t>
            </w:r>
          </w:p>
        </w:tc>
        <w:tc>
          <w:tcPr>
            <w:tcW w:w="487" w:type="pct"/>
            <w:vAlign w:val="center"/>
            <w:hideMark/>
          </w:tcPr>
          <w:p w:rsidR="002A3619" w:rsidRPr="00AA0A42" w:rsidRDefault="002A3619" w:rsidP="00F2364C">
            <w:pPr>
              <w:jc w:val="center"/>
              <w:cnfStyle w:val="100000000000" w:firstRow="1" w:lastRow="0" w:firstColumn="0" w:lastColumn="0" w:oddVBand="0" w:evenVBand="0" w:oddHBand="0" w:evenHBand="0" w:firstRowFirstColumn="0" w:firstRowLastColumn="0" w:lastRowFirstColumn="0" w:lastRowLastColumn="0"/>
              <w:rPr>
                <w:b/>
                <w:color w:val="FFFFFF"/>
                <w:sz w:val="18"/>
                <w:szCs w:val="18"/>
                <w:lang w:eastAsia="en-AU"/>
              </w:rPr>
            </w:pPr>
            <w:r w:rsidRPr="00AA0A42">
              <w:rPr>
                <w:b/>
                <w:color w:val="FFFFFF"/>
                <w:sz w:val="18"/>
                <w:szCs w:val="18"/>
                <w:lang w:eastAsia="en-AU"/>
              </w:rPr>
              <w:t>2nd</w:t>
            </w:r>
          </w:p>
        </w:tc>
        <w:tc>
          <w:tcPr>
            <w:tcW w:w="487" w:type="pct"/>
            <w:vAlign w:val="center"/>
            <w:hideMark/>
          </w:tcPr>
          <w:p w:rsidR="002A3619" w:rsidRPr="00AA0A42" w:rsidRDefault="002A3619" w:rsidP="00F2364C">
            <w:pPr>
              <w:jc w:val="center"/>
              <w:cnfStyle w:val="100000000000" w:firstRow="1" w:lastRow="0" w:firstColumn="0" w:lastColumn="0" w:oddVBand="0" w:evenVBand="0" w:oddHBand="0" w:evenHBand="0" w:firstRowFirstColumn="0" w:firstRowLastColumn="0" w:lastRowFirstColumn="0" w:lastRowLastColumn="0"/>
              <w:rPr>
                <w:b/>
                <w:color w:val="FFFFFF"/>
                <w:sz w:val="18"/>
                <w:szCs w:val="18"/>
                <w:lang w:eastAsia="en-AU"/>
              </w:rPr>
            </w:pPr>
            <w:r w:rsidRPr="00AA0A42">
              <w:rPr>
                <w:b/>
                <w:color w:val="FFFFFF"/>
                <w:sz w:val="18"/>
                <w:szCs w:val="18"/>
                <w:lang w:eastAsia="en-AU"/>
              </w:rPr>
              <w:t>3rd</w:t>
            </w:r>
          </w:p>
        </w:tc>
        <w:tc>
          <w:tcPr>
            <w:tcW w:w="486" w:type="pct"/>
            <w:vAlign w:val="center"/>
            <w:hideMark/>
          </w:tcPr>
          <w:p w:rsidR="002A3619" w:rsidRPr="00AA0A42" w:rsidRDefault="002A3619" w:rsidP="00F2364C">
            <w:pPr>
              <w:jc w:val="center"/>
              <w:cnfStyle w:val="100000000000" w:firstRow="1" w:lastRow="0" w:firstColumn="0" w:lastColumn="0" w:oddVBand="0" w:evenVBand="0" w:oddHBand="0" w:evenHBand="0" w:firstRowFirstColumn="0" w:firstRowLastColumn="0" w:lastRowFirstColumn="0" w:lastRowLastColumn="0"/>
              <w:rPr>
                <w:b/>
                <w:color w:val="FFFFFF"/>
                <w:sz w:val="18"/>
                <w:szCs w:val="18"/>
                <w:lang w:eastAsia="en-AU"/>
              </w:rPr>
            </w:pPr>
            <w:r w:rsidRPr="00AA0A42">
              <w:rPr>
                <w:b/>
                <w:color w:val="FFFFFF"/>
                <w:sz w:val="18"/>
                <w:szCs w:val="18"/>
                <w:lang w:eastAsia="en-AU"/>
              </w:rPr>
              <w:t>4th</w:t>
            </w:r>
          </w:p>
        </w:tc>
        <w:tc>
          <w:tcPr>
            <w:tcW w:w="487" w:type="pct"/>
            <w:vAlign w:val="center"/>
            <w:hideMark/>
          </w:tcPr>
          <w:p w:rsidR="002A3619" w:rsidRPr="00AA0A42" w:rsidRDefault="002A3619" w:rsidP="00F2364C">
            <w:pPr>
              <w:jc w:val="center"/>
              <w:cnfStyle w:val="100000000000" w:firstRow="1" w:lastRow="0" w:firstColumn="0" w:lastColumn="0" w:oddVBand="0" w:evenVBand="0" w:oddHBand="0" w:evenHBand="0" w:firstRowFirstColumn="0" w:firstRowLastColumn="0" w:lastRowFirstColumn="0" w:lastRowLastColumn="0"/>
              <w:rPr>
                <w:b/>
                <w:color w:val="FFFFFF"/>
                <w:sz w:val="18"/>
                <w:szCs w:val="18"/>
                <w:lang w:eastAsia="en-AU"/>
              </w:rPr>
            </w:pPr>
            <w:r w:rsidRPr="00AA0A42">
              <w:rPr>
                <w:b/>
                <w:color w:val="FFFFFF"/>
                <w:sz w:val="18"/>
                <w:szCs w:val="18"/>
                <w:lang w:eastAsia="en-AU"/>
              </w:rPr>
              <w:t>5th</w:t>
            </w:r>
          </w:p>
        </w:tc>
        <w:tc>
          <w:tcPr>
            <w:tcW w:w="487" w:type="pct"/>
            <w:vAlign w:val="center"/>
            <w:hideMark/>
          </w:tcPr>
          <w:p w:rsidR="002A3619" w:rsidRPr="00AA0A42" w:rsidRDefault="002A3619" w:rsidP="00F2364C">
            <w:pPr>
              <w:jc w:val="center"/>
              <w:cnfStyle w:val="100000000000" w:firstRow="1" w:lastRow="0" w:firstColumn="0" w:lastColumn="0" w:oddVBand="0" w:evenVBand="0" w:oddHBand="0" w:evenHBand="0" w:firstRowFirstColumn="0" w:firstRowLastColumn="0" w:lastRowFirstColumn="0" w:lastRowLastColumn="0"/>
              <w:rPr>
                <w:b/>
                <w:color w:val="FFFFFF"/>
                <w:sz w:val="18"/>
                <w:szCs w:val="18"/>
                <w:lang w:eastAsia="en-AU"/>
              </w:rPr>
            </w:pPr>
            <w:r w:rsidRPr="00AA0A42">
              <w:rPr>
                <w:b/>
                <w:color w:val="FFFFFF"/>
                <w:sz w:val="18"/>
                <w:szCs w:val="18"/>
                <w:lang w:eastAsia="en-AU"/>
              </w:rPr>
              <w:t>6th</w:t>
            </w:r>
          </w:p>
        </w:tc>
        <w:tc>
          <w:tcPr>
            <w:tcW w:w="486" w:type="pct"/>
            <w:vAlign w:val="center"/>
            <w:hideMark/>
          </w:tcPr>
          <w:p w:rsidR="002A3619" w:rsidRPr="00AA0A42" w:rsidRDefault="002A3619" w:rsidP="00F2364C">
            <w:pPr>
              <w:jc w:val="center"/>
              <w:cnfStyle w:val="100000000000" w:firstRow="1" w:lastRow="0" w:firstColumn="0" w:lastColumn="0" w:oddVBand="0" w:evenVBand="0" w:oddHBand="0" w:evenHBand="0" w:firstRowFirstColumn="0" w:firstRowLastColumn="0" w:lastRowFirstColumn="0" w:lastRowLastColumn="0"/>
              <w:rPr>
                <w:b/>
                <w:color w:val="FFFFFF"/>
                <w:sz w:val="18"/>
                <w:szCs w:val="18"/>
                <w:lang w:eastAsia="en-AU"/>
              </w:rPr>
            </w:pPr>
            <w:r w:rsidRPr="00AA0A42">
              <w:rPr>
                <w:b/>
                <w:color w:val="FFFFFF"/>
                <w:sz w:val="18"/>
                <w:szCs w:val="18"/>
                <w:lang w:eastAsia="en-AU"/>
              </w:rPr>
              <w:t>7th</w:t>
            </w:r>
          </w:p>
        </w:tc>
        <w:tc>
          <w:tcPr>
            <w:tcW w:w="487" w:type="pct"/>
            <w:vAlign w:val="center"/>
            <w:hideMark/>
          </w:tcPr>
          <w:p w:rsidR="002A3619" w:rsidRDefault="002A3619" w:rsidP="00F2364C">
            <w:pPr>
              <w:jc w:val="center"/>
              <w:cnfStyle w:val="100000000000" w:firstRow="1" w:lastRow="0" w:firstColumn="0" w:lastColumn="0" w:oddVBand="0" w:evenVBand="0" w:oddHBand="0" w:evenHBand="0" w:firstRowFirstColumn="0" w:firstRowLastColumn="0" w:lastRowFirstColumn="0" w:lastRowLastColumn="0"/>
              <w:rPr>
                <w:b/>
                <w:color w:val="FFFFFF"/>
                <w:sz w:val="18"/>
                <w:szCs w:val="18"/>
                <w:lang w:eastAsia="en-AU"/>
              </w:rPr>
            </w:pPr>
            <w:proofErr w:type="spellStart"/>
            <w:r w:rsidRPr="00AA0A42">
              <w:rPr>
                <w:b/>
                <w:color w:val="FFFFFF"/>
                <w:sz w:val="18"/>
                <w:szCs w:val="18"/>
                <w:lang w:eastAsia="en-AU"/>
              </w:rPr>
              <w:t>Interrup</w:t>
            </w:r>
            <w:proofErr w:type="spellEnd"/>
          </w:p>
          <w:p w:rsidR="002A3619" w:rsidRPr="00AA0A42" w:rsidRDefault="002A3619" w:rsidP="00F2364C">
            <w:pPr>
              <w:jc w:val="center"/>
              <w:cnfStyle w:val="100000000000" w:firstRow="1" w:lastRow="0" w:firstColumn="0" w:lastColumn="0" w:oddVBand="0" w:evenVBand="0" w:oddHBand="0" w:evenHBand="0" w:firstRowFirstColumn="0" w:firstRowLastColumn="0" w:lastRowFirstColumn="0" w:lastRowLastColumn="0"/>
              <w:rPr>
                <w:b/>
                <w:bCs w:val="0"/>
                <w:color w:val="FFFFFF"/>
                <w:sz w:val="18"/>
                <w:szCs w:val="18"/>
                <w:lang w:eastAsia="en-AU"/>
              </w:rPr>
            </w:pPr>
            <w:r w:rsidRPr="00AA0A42">
              <w:rPr>
                <w:b/>
                <w:color w:val="FFFFFF"/>
                <w:sz w:val="18"/>
                <w:szCs w:val="18"/>
                <w:lang w:eastAsia="en-AU"/>
              </w:rPr>
              <w:t>ted</w:t>
            </w:r>
          </w:p>
        </w:tc>
        <w:tc>
          <w:tcPr>
            <w:tcW w:w="487" w:type="pct"/>
            <w:noWrap/>
            <w:vAlign w:val="center"/>
            <w:hideMark/>
          </w:tcPr>
          <w:p w:rsidR="002A3619" w:rsidRPr="00AA0A42" w:rsidRDefault="002A3619" w:rsidP="00F2364C">
            <w:pPr>
              <w:jc w:val="center"/>
              <w:cnfStyle w:val="100000000000" w:firstRow="1" w:lastRow="0" w:firstColumn="0" w:lastColumn="0" w:oddVBand="0" w:evenVBand="0" w:oddHBand="0" w:evenHBand="0" w:firstRowFirstColumn="0" w:firstRowLastColumn="0" w:lastRowFirstColumn="0" w:lastRowLastColumn="0"/>
              <w:rPr>
                <w:b/>
                <w:color w:val="FFFFFF"/>
                <w:sz w:val="18"/>
                <w:szCs w:val="18"/>
                <w:lang w:eastAsia="en-AU"/>
              </w:rPr>
            </w:pPr>
            <w:r w:rsidRPr="00AA0A42">
              <w:rPr>
                <w:b/>
                <w:color w:val="FFFFFF"/>
                <w:sz w:val="18"/>
                <w:szCs w:val="18"/>
                <w:lang w:eastAsia="en-AU"/>
              </w:rPr>
              <w:t>Total</w:t>
            </w:r>
          </w:p>
        </w:tc>
      </w:tr>
      <w:tr w:rsidR="002A3619" w:rsidRPr="00AA0A42" w:rsidTr="003423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25-29</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25</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10</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0</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0</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0</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b/>
                <w:color w:val="000000"/>
                <w:sz w:val="18"/>
                <w:szCs w:val="18"/>
                <w:lang w:eastAsia="en-AU"/>
              </w:rPr>
            </w:pPr>
            <w:r w:rsidRPr="00AA0A42">
              <w:rPr>
                <w:b/>
                <w:color w:val="000000"/>
                <w:sz w:val="18"/>
                <w:szCs w:val="18"/>
                <w:lang w:eastAsia="en-AU"/>
              </w:rPr>
              <w:t>39</w:t>
            </w:r>
          </w:p>
        </w:tc>
      </w:tr>
      <w:tr w:rsidR="002A3619" w:rsidRPr="00AA0A42" w:rsidTr="00342341">
        <w:trPr>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30-34</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55</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38</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22</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25</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10</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6</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162</w:t>
            </w:r>
          </w:p>
        </w:tc>
      </w:tr>
      <w:tr w:rsidR="002A3619" w:rsidRPr="00AA0A42" w:rsidTr="003423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35-39</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21</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36</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26</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18</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13</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10</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13</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8</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b/>
                <w:color w:val="000000"/>
                <w:sz w:val="18"/>
                <w:szCs w:val="18"/>
                <w:lang w:eastAsia="en-AU"/>
              </w:rPr>
            </w:pPr>
            <w:r w:rsidRPr="00AA0A42">
              <w:rPr>
                <w:b/>
                <w:color w:val="000000"/>
                <w:sz w:val="18"/>
                <w:szCs w:val="18"/>
                <w:lang w:eastAsia="en-AU"/>
              </w:rPr>
              <w:t>145</w:t>
            </w:r>
          </w:p>
        </w:tc>
      </w:tr>
      <w:tr w:rsidR="002A3619" w:rsidRPr="00AA0A42" w:rsidTr="00342341">
        <w:trPr>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40-44</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22</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15</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14</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14</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12</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5</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19</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103</w:t>
            </w:r>
          </w:p>
        </w:tc>
      </w:tr>
      <w:tr w:rsidR="002A3619" w:rsidRPr="00AA0A42" w:rsidTr="003423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45-49</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11</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9</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6</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4</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4</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18</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b/>
                <w:color w:val="000000"/>
                <w:sz w:val="18"/>
                <w:szCs w:val="18"/>
                <w:lang w:eastAsia="en-AU"/>
              </w:rPr>
            </w:pPr>
            <w:r w:rsidRPr="00AA0A42">
              <w:rPr>
                <w:b/>
                <w:color w:val="000000"/>
                <w:sz w:val="18"/>
                <w:szCs w:val="18"/>
                <w:lang w:eastAsia="en-AU"/>
              </w:rPr>
              <w:t>57</w:t>
            </w:r>
          </w:p>
        </w:tc>
      </w:tr>
      <w:tr w:rsidR="002A3619" w:rsidRPr="00AA0A42" w:rsidTr="00342341">
        <w:trPr>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50+</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6</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4</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4</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5</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34</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61</w:t>
            </w:r>
          </w:p>
        </w:tc>
      </w:tr>
      <w:tr w:rsidR="002A3619" w:rsidRPr="00AA0A42" w:rsidTr="003423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sz w:val="18"/>
                <w:szCs w:val="18"/>
                <w:lang w:eastAsia="en-AU"/>
              </w:rPr>
            </w:pPr>
            <w:r w:rsidRPr="00AA0A42">
              <w:rPr>
                <w:sz w:val="18"/>
                <w:szCs w:val="18"/>
                <w:lang w:eastAsia="en-AU"/>
              </w:rPr>
              <w:t>Total</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137</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114</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69</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69</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43</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30</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87</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18</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567</w:t>
            </w:r>
          </w:p>
        </w:tc>
      </w:tr>
      <w:tr w:rsidR="002A3619" w:rsidRPr="00AA0A42" w:rsidTr="00342341">
        <w:trPr>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25-29</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36</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20</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13</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0</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0</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73</w:t>
            </w:r>
          </w:p>
        </w:tc>
      </w:tr>
      <w:tr w:rsidR="002A3619" w:rsidRPr="00AA0A42" w:rsidTr="003423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30-34</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46</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40</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37</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41</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21</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5</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b/>
                <w:color w:val="000000"/>
                <w:sz w:val="18"/>
                <w:szCs w:val="18"/>
                <w:lang w:eastAsia="en-AU"/>
              </w:rPr>
            </w:pPr>
            <w:r w:rsidRPr="00AA0A42">
              <w:rPr>
                <w:b/>
                <w:color w:val="000000"/>
                <w:sz w:val="18"/>
                <w:szCs w:val="18"/>
                <w:lang w:eastAsia="en-AU"/>
              </w:rPr>
              <w:t>195</w:t>
            </w:r>
          </w:p>
        </w:tc>
      </w:tr>
      <w:tr w:rsidR="002A3619" w:rsidRPr="00AA0A42" w:rsidTr="00342341">
        <w:trPr>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35-39</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41</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35</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33</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24</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23</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10</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22</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11</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199</w:t>
            </w:r>
          </w:p>
        </w:tc>
      </w:tr>
      <w:tr w:rsidR="002A3619" w:rsidRPr="00AA0A42" w:rsidTr="003423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40-44</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17</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16</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11</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5</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9</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6</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9</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4</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b/>
                <w:color w:val="000000"/>
                <w:sz w:val="18"/>
                <w:szCs w:val="18"/>
                <w:lang w:eastAsia="en-AU"/>
              </w:rPr>
            </w:pPr>
            <w:r w:rsidRPr="00AA0A42">
              <w:rPr>
                <w:b/>
                <w:color w:val="000000"/>
                <w:sz w:val="18"/>
                <w:szCs w:val="18"/>
                <w:lang w:eastAsia="en-AU"/>
              </w:rPr>
              <w:t>77</w:t>
            </w:r>
          </w:p>
        </w:tc>
      </w:tr>
      <w:tr w:rsidR="002A3619" w:rsidRPr="00AA0A42" w:rsidTr="00342341">
        <w:trPr>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45-49</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10</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11</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9</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7</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2</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6</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19</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color w:val="000000"/>
                <w:sz w:val="18"/>
                <w:szCs w:val="18"/>
                <w:lang w:eastAsia="en-AU"/>
              </w:rPr>
            </w:pPr>
            <w:r w:rsidRPr="00AA0A42">
              <w:rPr>
                <w:color w:val="000000"/>
                <w:sz w:val="18"/>
                <w:szCs w:val="18"/>
                <w:lang w:eastAsia="en-AU"/>
              </w:rPr>
              <w:t>1</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b/>
                <w:color w:val="000000"/>
                <w:sz w:val="18"/>
                <w:szCs w:val="18"/>
                <w:lang w:eastAsia="en-AU"/>
              </w:rPr>
            </w:pPr>
            <w:r w:rsidRPr="00AA0A42">
              <w:rPr>
                <w:b/>
                <w:color w:val="000000"/>
                <w:sz w:val="18"/>
                <w:szCs w:val="18"/>
                <w:lang w:eastAsia="en-AU"/>
              </w:rPr>
              <w:t>65</w:t>
            </w:r>
          </w:p>
        </w:tc>
      </w:tr>
      <w:tr w:rsidR="002A3619" w:rsidRPr="00AA0A42" w:rsidTr="003423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b w:val="0"/>
                <w:sz w:val="18"/>
                <w:szCs w:val="18"/>
                <w:lang w:eastAsia="en-AU"/>
              </w:rPr>
            </w:pPr>
            <w:r w:rsidRPr="00AA0A42">
              <w:rPr>
                <w:b w:val="0"/>
                <w:sz w:val="18"/>
                <w:szCs w:val="18"/>
                <w:lang w:eastAsia="en-AU"/>
              </w:rPr>
              <w:t>50+</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13</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9</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6</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6</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4</w:t>
            </w:r>
          </w:p>
        </w:tc>
        <w:tc>
          <w:tcPr>
            <w:tcW w:w="487"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10</w:t>
            </w:r>
          </w:p>
        </w:tc>
        <w:tc>
          <w:tcPr>
            <w:tcW w:w="486" w:type="pct"/>
            <w:noWrap/>
            <w:vAlign w:val="center"/>
            <w:hideMark/>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23</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en-AU"/>
              </w:rPr>
            </w:pPr>
            <w:r w:rsidRPr="00AA0A42">
              <w:rPr>
                <w:color w:val="000000"/>
                <w:sz w:val="18"/>
                <w:szCs w:val="18"/>
                <w:lang w:eastAsia="en-AU"/>
              </w:rPr>
              <w:t>3</w:t>
            </w:r>
          </w:p>
        </w:tc>
        <w:tc>
          <w:tcPr>
            <w:tcW w:w="487" w:type="pct"/>
            <w:noWrap/>
            <w:vAlign w:val="center"/>
            <w:hideMark/>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b/>
                <w:color w:val="000000"/>
                <w:sz w:val="18"/>
                <w:szCs w:val="18"/>
                <w:lang w:eastAsia="en-AU"/>
              </w:rPr>
            </w:pPr>
            <w:r w:rsidRPr="00AA0A42">
              <w:rPr>
                <w:b/>
                <w:color w:val="000000"/>
                <w:sz w:val="18"/>
                <w:szCs w:val="18"/>
                <w:lang w:eastAsia="en-AU"/>
              </w:rPr>
              <w:t>74</w:t>
            </w:r>
          </w:p>
        </w:tc>
      </w:tr>
      <w:tr w:rsidR="002A3619" w:rsidRPr="00AA0A42" w:rsidTr="00342341">
        <w:trPr>
          <w:trHeight w:val="283"/>
        </w:trPr>
        <w:tc>
          <w:tcPr>
            <w:cnfStyle w:val="001000000000" w:firstRow="0" w:lastRow="0" w:firstColumn="1" w:lastColumn="0" w:oddVBand="0" w:evenVBand="0" w:oddHBand="0" w:evenHBand="0" w:firstRowFirstColumn="0" w:firstRowLastColumn="0" w:lastRowFirstColumn="0" w:lastRowLastColumn="0"/>
            <w:tcW w:w="622" w:type="pct"/>
            <w:noWrap/>
            <w:hideMark/>
          </w:tcPr>
          <w:p w:rsidR="002A3619" w:rsidRPr="00AA0A42" w:rsidRDefault="002A3619" w:rsidP="00F2364C">
            <w:pPr>
              <w:rPr>
                <w:sz w:val="18"/>
                <w:szCs w:val="18"/>
                <w:lang w:eastAsia="en-AU"/>
              </w:rPr>
            </w:pPr>
            <w:r w:rsidRPr="00AA0A42">
              <w:rPr>
                <w:sz w:val="18"/>
                <w:szCs w:val="18"/>
                <w:lang w:eastAsia="en-AU"/>
              </w:rPr>
              <w:t>Total</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163</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131</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109</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84</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59</w:t>
            </w:r>
          </w:p>
        </w:tc>
        <w:tc>
          <w:tcPr>
            <w:tcW w:w="487"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37</w:t>
            </w:r>
          </w:p>
        </w:tc>
        <w:tc>
          <w:tcPr>
            <w:tcW w:w="486" w:type="pct"/>
            <w:noWrap/>
            <w:vAlign w:val="center"/>
            <w:hideMark/>
          </w:tcPr>
          <w:p w:rsidR="002A3619" w:rsidRPr="00AA0A42" w:rsidRDefault="002A3619" w:rsidP="00F2364C">
            <w:pPr>
              <w:jc w:val="right"/>
              <w:cnfStyle w:val="000000000000" w:firstRow="0" w:lastRow="0" w:firstColumn="0" w:lastColumn="0" w:oddVBand="0" w:evenVBand="0" w:oddHBand="0"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76</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24</w:t>
            </w:r>
          </w:p>
        </w:tc>
        <w:tc>
          <w:tcPr>
            <w:tcW w:w="487" w:type="pct"/>
            <w:noWrap/>
            <w:vAlign w:val="center"/>
            <w:hideMark/>
          </w:tcPr>
          <w:p w:rsidR="002A3619" w:rsidRPr="00AA0A42" w:rsidRDefault="002A3619" w:rsidP="002714F7">
            <w:pPr>
              <w:jc w:val="center"/>
              <w:cnfStyle w:val="000000000000" w:firstRow="0" w:lastRow="0" w:firstColumn="0" w:lastColumn="0" w:oddVBand="0" w:evenVBand="0" w:oddHBand="0"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683</w:t>
            </w:r>
          </w:p>
        </w:tc>
      </w:tr>
      <w:tr w:rsidR="002A3619" w:rsidRPr="00AA0A42" w:rsidTr="0034234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22" w:type="pct"/>
            <w:noWrap/>
          </w:tcPr>
          <w:p w:rsidR="002A3619" w:rsidRPr="00AA0A42" w:rsidRDefault="002A3619" w:rsidP="00F2364C">
            <w:pPr>
              <w:rPr>
                <w:bCs w:val="0"/>
                <w:sz w:val="18"/>
                <w:szCs w:val="18"/>
                <w:lang w:eastAsia="en-AU"/>
              </w:rPr>
            </w:pPr>
            <w:r w:rsidRPr="00AA0A42">
              <w:rPr>
                <w:bCs w:val="0"/>
                <w:sz w:val="18"/>
                <w:szCs w:val="18"/>
                <w:lang w:eastAsia="en-AU"/>
              </w:rPr>
              <w:t xml:space="preserve">Grand total </w:t>
            </w:r>
          </w:p>
        </w:tc>
        <w:tc>
          <w:tcPr>
            <w:tcW w:w="486" w:type="pct"/>
            <w:noWrap/>
            <w:vAlign w:val="center"/>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300</w:t>
            </w:r>
          </w:p>
        </w:tc>
        <w:tc>
          <w:tcPr>
            <w:tcW w:w="487" w:type="pct"/>
            <w:noWrap/>
            <w:vAlign w:val="center"/>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245</w:t>
            </w:r>
          </w:p>
        </w:tc>
        <w:tc>
          <w:tcPr>
            <w:tcW w:w="487" w:type="pct"/>
            <w:noWrap/>
            <w:vAlign w:val="center"/>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178</w:t>
            </w:r>
          </w:p>
        </w:tc>
        <w:tc>
          <w:tcPr>
            <w:tcW w:w="486" w:type="pct"/>
            <w:noWrap/>
            <w:vAlign w:val="center"/>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153</w:t>
            </w:r>
          </w:p>
        </w:tc>
        <w:tc>
          <w:tcPr>
            <w:tcW w:w="487" w:type="pct"/>
            <w:noWrap/>
            <w:vAlign w:val="center"/>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102</w:t>
            </w:r>
          </w:p>
        </w:tc>
        <w:tc>
          <w:tcPr>
            <w:tcW w:w="487" w:type="pct"/>
            <w:noWrap/>
            <w:vAlign w:val="center"/>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67</w:t>
            </w:r>
          </w:p>
        </w:tc>
        <w:tc>
          <w:tcPr>
            <w:tcW w:w="486" w:type="pct"/>
            <w:noWrap/>
            <w:vAlign w:val="center"/>
          </w:tcPr>
          <w:p w:rsidR="002A3619" w:rsidRPr="00AA0A42" w:rsidRDefault="002A3619" w:rsidP="00F2364C">
            <w:pPr>
              <w:jc w:val="right"/>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163</w:t>
            </w:r>
          </w:p>
        </w:tc>
        <w:tc>
          <w:tcPr>
            <w:tcW w:w="487" w:type="pct"/>
            <w:noWrap/>
            <w:vAlign w:val="center"/>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rFonts w:ascii="Arial" w:hAnsi="Arial"/>
                <w:b/>
                <w:color w:val="000000"/>
                <w:sz w:val="18"/>
                <w:szCs w:val="18"/>
                <w:lang w:eastAsia="en-AU"/>
              </w:rPr>
            </w:pPr>
            <w:r w:rsidRPr="00AA0A42">
              <w:rPr>
                <w:b/>
                <w:bCs/>
                <w:color w:val="000000"/>
                <w:sz w:val="18"/>
                <w:szCs w:val="18"/>
                <w:lang w:eastAsia="en-AU"/>
              </w:rPr>
              <w:t>42</w:t>
            </w:r>
          </w:p>
        </w:tc>
        <w:tc>
          <w:tcPr>
            <w:tcW w:w="487" w:type="pct"/>
            <w:noWrap/>
            <w:vAlign w:val="center"/>
          </w:tcPr>
          <w:p w:rsidR="002A3619" w:rsidRPr="00AA0A42" w:rsidRDefault="002A3619" w:rsidP="002714F7">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lang w:eastAsia="en-AU"/>
              </w:rPr>
            </w:pPr>
            <w:r w:rsidRPr="00AA0A42">
              <w:rPr>
                <w:b/>
                <w:bCs/>
                <w:color w:val="000000"/>
                <w:sz w:val="18"/>
                <w:szCs w:val="18"/>
                <w:lang w:eastAsia="en-AU"/>
              </w:rPr>
              <w:t>1,250</w:t>
            </w:r>
          </w:p>
        </w:tc>
      </w:tr>
    </w:tbl>
    <w:p w:rsidR="00D547FF" w:rsidRPr="002E2FB6" w:rsidRDefault="00D547FF" w:rsidP="00C64C65">
      <w:pPr>
        <w:spacing w:before="120"/>
        <w:rPr>
          <w:i/>
          <w:sz w:val="16"/>
          <w:szCs w:val="22"/>
        </w:rPr>
      </w:pPr>
      <w:r w:rsidRPr="002E2FB6">
        <w:rPr>
          <w:i/>
          <w:sz w:val="16"/>
          <w:szCs w:val="22"/>
        </w:rPr>
        <w:t xml:space="preserve">Source: Medical Training Review Panel Seventeenth Report </w:t>
      </w:r>
    </w:p>
    <w:p w:rsidR="00C64C65" w:rsidRDefault="00C64C65">
      <w:pPr>
        <w:jc w:val="left"/>
        <w:rPr>
          <w:szCs w:val="22"/>
        </w:rPr>
      </w:pPr>
      <w:r>
        <w:rPr>
          <w:szCs w:val="22"/>
        </w:rPr>
        <w:br w:type="page"/>
      </w:r>
    </w:p>
    <w:p w:rsidR="00C53DBD" w:rsidRPr="002714F7" w:rsidRDefault="00C12768" w:rsidP="00C53DBD">
      <w:pPr>
        <w:spacing w:before="120" w:after="120"/>
        <w:rPr>
          <w:szCs w:val="22"/>
        </w:rPr>
      </w:pPr>
      <w:r>
        <w:rPr>
          <w:szCs w:val="22"/>
        </w:rPr>
        <w:lastRenderedPageBreak/>
        <w:t xml:space="preserve">Table 6 is the latest available data from the </w:t>
      </w:r>
      <w:proofErr w:type="spellStart"/>
      <w:r>
        <w:rPr>
          <w:szCs w:val="22"/>
        </w:rPr>
        <w:t>MTRP</w:t>
      </w:r>
      <w:proofErr w:type="spellEnd"/>
      <w:r>
        <w:rPr>
          <w:szCs w:val="22"/>
        </w:rPr>
        <w:t xml:space="preserve"> report. </w:t>
      </w:r>
      <w:r w:rsidR="00C53DBD">
        <w:rPr>
          <w:szCs w:val="22"/>
        </w:rPr>
        <w:t>Similarly the</w:t>
      </w:r>
      <w:r w:rsidR="00C53DBD" w:rsidRPr="002E6CA0">
        <w:rPr>
          <w:szCs w:val="22"/>
        </w:rPr>
        <w:t xml:space="preserve"> table includes both FT and PT trainees. The ‘year of training’ </w:t>
      </w:r>
      <w:r w:rsidR="00C53DBD">
        <w:rPr>
          <w:szCs w:val="22"/>
        </w:rPr>
        <w:t xml:space="preserve">in both instances </w:t>
      </w:r>
      <w:r w:rsidR="00C53DBD" w:rsidRPr="002E6CA0">
        <w:rPr>
          <w:szCs w:val="22"/>
        </w:rPr>
        <w:t xml:space="preserve">is the year in training and not years of training as the </w:t>
      </w:r>
      <w:proofErr w:type="spellStart"/>
      <w:r w:rsidR="00C53DBD" w:rsidRPr="002E6CA0">
        <w:rPr>
          <w:szCs w:val="22"/>
        </w:rPr>
        <w:t>RANZCP</w:t>
      </w:r>
      <w:proofErr w:type="spellEnd"/>
      <w:r w:rsidR="00C53DBD" w:rsidRPr="002E6CA0">
        <w:rPr>
          <w:szCs w:val="22"/>
        </w:rPr>
        <w:t xml:space="preserve"> does not have determined transition points between each year. </w:t>
      </w:r>
    </w:p>
    <w:p w:rsidR="002E2FB6" w:rsidRPr="004E10A8" w:rsidRDefault="002E2FB6" w:rsidP="00D84538">
      <w:pPr>
        <w:pStyle w:val="Heading4"/>
        <w:spacing w:after="120"/>
      </w:pPr>
      <w:r w:rsidRPr="004E10A8">
        <w:t xml:space="preserve">Table </w:t>
      </w:r>
      <w:fldSimple w:instr=" SEQ Table \* ARABIC ">
        <w:r w:rsidR="00A34F47" w:rsidRPr="004E10A8">
          <w:rPr>
            <w:noProof/>
          </w:rPr>
          <w:t>6</w:t>
        </w:r>
      </w:fldSimple>
      <w:r w:rsidRPr="004E10A8">
        <w:t xml:space="preserve"> - Trainees by training level, age group and gender, from </w:t>
      </w:r>
      <w:proofErr w:type="spellStart"/>
      <w:r w:rsidRPr="004E10A8">
        <w:t>RANZCP</w:t>
      </w:r>
      <w:proofErr w:type="spellEnd"/>
      <w:r w:rsidRPr="004E10A8">
        <w:t xml:space="preserve"> 2014</w:t>
      </w:r>
    </w:p>
    <w:tbl>
      <w:tblPr>
        <w:tblW w:w="9149" w:type="dxa"/>
        <w:tblInd w:w="93" w:type="dxa"/>
        <w:tblLook w:val="04A0" w:firstRow="1" w:lastRow="0" w:firstColumn="1" w:lastColumn="0" w:noHBand="0" w:noVBand="1"/>
        <w:tblCaption w:val="Table 6: Trainees by training level, age groups and gender 2014"/>
        <w:tblDescription w:val="Table 6 shows that of the total 1256 trainees in 2014. Of the 528 male trainees  33.9% were in the first year of training, 17.6% in year 2, 8.9% in year 3 and also in year 4, 9.8% in year 5, 4.2 in year 6 and 16.6% in the final year.                                                                                      56.4% of the total male trainees were in the age groups 30-34 and 35 to 39 years.                                                                                                   Of the 728 female trainees, 31.7 are in the first year, 15.1 in year 2, 12.8% in year 3, 9.5% in year 4, 8.9% in eyar 5, 5.2% in year 6 and 16.8% in their final year.                                                                                     The majority (53.9%) of the female trainees were in the age groups 30 to 34 and 35 to 39, with an additional 15.9% in the 25 to 29 age group."/>
      </w:tblPr>
      <w:tblGrid>
        <w:gridCol w:w="1858"/>
        <w:gridCol w:w="585"/>
        <w:gridCol w:w="958"/>
        <w:gridCol w:w="958"/>
        <w:gridCol w:w="958"/>
        <w:gridCol w:w="958"/>
        <w:gridCol w:w="958"/>
        <w:gridCol w:w="958"/>
        <w:gridCol w:w="958"/>
      </w:tblGrid>
      <w:tr w:rsidR="002E2FB6" w:rsidRPr="002E2FB6" w:rsidTr="00C53DBD">
        <w:trPr>
          <w:trHeight w:val="283"/>
        </w:trPr>
        <w:tc>
          <w:tcPr>
            <w:tcW w:w="1858" w:type="dxa"/>
            <w:tcBorders>
              <w:top w:val="single" w:sz="8" w:space="0" w:color="auto"/>
              <w:left w:val="single" w:sz="4" w:space="0" w:color="auto"/>
              <w:bottom w:val="nil"/>
              <w:right w:val="nil"/>
            </w:tcBorders>
            <w:shd w:val="clear" w:color="000000" w:fill="000080"/>
            <w:noWrap/>
            <w:vAlign w:val="center"/>
            <w:hideMark/>
          </w:tcPr>
          <w:p w:rsidR="002E2FB6" w:rsidRPr="002E2FB6" w:rsidRDefault="002E2FB6" w:rsidP="002E2FB6">
            <w:pPr>
              <w:jc w:val="center"/>
              <w:rPr>
                <w:b/>
                <w:bCs/>
                <w:color w:val="FFFFFF"/>
                <w:sz w:val="18"/>
                <w:szCs w:val="18"/>
                <w:lang w:eastAsia="en-AU"/>
              </w:rPr>
            </w:pPr>
            <w:r w:rsidRPr="002E2FB6">
              <w:rPr>
                <w:b/>
                <w:bCs/>
                <w:color w:val="FFFFFF"/>
                <w:sz w:val="18"/>
                <w:szCs w:val="18"/>
                <w:lang w:eastAsia="en-AU"/>
              </w:rPr>
              <w:t>Year of Training</w:t>
            </w:r>
          </w:p>
        </w:tc>
        <w:tc>
          <w:tcPr>
            <w:tcW w:w="585" w:type="dxa"/>
            <w:tcBorders>
              <w:top w:val="single" w:sz="8" w:space="0" w:color="auto"/>
              <w:left w:val="nil"/>
              <w:bottom w:val="nil"/>
              <w:right w:val="nil"/>
            </w:tcBorders>
            <w:shd w:val="clear" w:color="000000" w:fill="000080"/>
            <w:vAlign w:val="center"/>
            <w:hideMark/>
          </w:tcPr>
          <w:p w:rsidR="002E2FB6" w:rsidRPr="002E2FB6" w:rsidRDefault="002E2FB6" w:rsidP="002E2FB6">
            <w:pPr>
              <w:jc w:val="center"/>
              <w:rPr>
                <w:b/>
                <w:bCs/>
                <w:color w:val="FFFFFF"/>
                <w:sz w:val="18"/>
                <w:szCs w:val="18"/>
                <w:lang w:eastAsia="en-AU"/>
              </w:rPr>
            </w:pPr>
            <w:r w:rsidRPr="002E2FB6">
              <w:rPr>
                <w:b/>
                <w:bCs/>
                <w:color w:val="FFFFFF"/>
                <w:sz w:val="18"/>
                <w:szCs w:val="18"/>
                <w:lang w:eastAsia="en-AU"/>
              </w:rPr>
              <w:t>1st</w:t>
            </w:r>
          </w:p>
        </w:tc>
        <w:tc>
          <w:tcPr>
            <w:tcW w:w="958" w:type="dxa"/>
            <w:tcBorders>
              <w:top w:val="single" w:sz="8" w:space="0" w:color="auto"/>
              <w:left w:val="nil"/>
              <w:bottom w:val="nil"/>
              <w:right w:val="nil"/>
            </w:tcBorders>
            <w:shd w:val="clear" w:color="000000" w:fill="000080"/>
            <w:vAlign w:val="center"/>
            <w:hideMark/>
          </w:tcPr>
          <w:p w:rsidR="002E2FB6" w:rsidRPr="002E2FB6" w:rsidRDefault="002E2FB6" w:rsidP="002E2FB6">
            <w:pPr>
              <w:jc w:val="center"/>
              <w:rPr>
                <w:b/>
                <w:bCs/>
                <w:color w:val="FFFFFF"/>
                <w:sz w:val="18"/>
                <w:szCs w:val="18"/>
                <w:lang w:eastAsia="en-AU"/>
              </w:rPr>
            </w:pPr>
            <w:r w:rsidRPr="002E2FB6">
              <w:rPr>
                <w:b/>
                <w:bCs/>
                <w:color w:val="FFFFFF"/>
                <w:sz w:val="18"/>
                <w:szCs w:val="18"/>
                <w:lang w:eastAsia="en-AU"/>
              </w:rPr>
              <w:t>2nd</w:t>
            </w:r>
          </w:p>
        </w:tc>
        <w:tc>
          <w:tcPr>
            <w:tcW w:w="958" w:type="dxa"/>
            <w:tcBorders>
              <w:top w:val="single" w:sz="8" w:space="0" w:color="auto"/>
              <w:left w:val="nil"/>
              <w:bottom w:val="nil"/>
              <w:right w:val="nil"/>
            </w:tcBorders>
            <w:shd w:val="clear" w:color="000000" w:fill="000080"/>
            <w:vAlign w:val="center"/>
            <w:hideMark/>
          </w:tcPr>
          <w:p w:rsidR="002E2FB6" w:rsidRPr="002E2FB6" w:rsidRDefault="002E2FB6" w:rsidP="002E2FB6">
            <w:pPr>
              <w:jc w:val="center"/>
              <w:rPr>
                <w:b/>
                <w:bCs/>
                <w:color w:val="FFFFFF"/>
                <w:sz w:val="18"/>
                <w:szCs w:val="18"/>
                <w:lang w:eastAsia="en-AU"/>
              </w:rPr>
            </w:pPr>
            <w:r w:rsidRPr="002E2FB6">
              <w:rPr>
                <w:b/>
                <w:bCs/>
                <w:color w:val="FFFFFF"/>
                <w:sz w:val="18"/>
                <w:szCs w:val="18"/>
                <w:lang w:eastAsia="en-AU"/>
              </w:rPr>
              <w:t>3rd</w:t>
            </w:r>
          </w:p>
        </w:tc>
        <w:tc>
          <w:tcPr>
            <w:tcW w:w="958" w:type="dxa"/>
            <w:tcBorders>
              <w:top w:val="single" w:sz="8" w:space="0" w:color="auto"/>
              <w:left w:val="nil"/>
              <w:bottom w:val="nil"/>
              <w:right w:val="nil"/>
            </w:tcBorders>
            <w:shd w:val="clear" w:color="000000" w:fill="000080"/>
            <w:vAlign w:val="center"/>
            <w:hideMark/>
          </w:tcPr>
          <w:p w:rsidR="002E2FB6" w:rsidRPr="002E2FB6" w:rsidRDefault="002E2FB6" w:rsidP="002E2FB6">
            <w:pPr>
              <w:jc w:val="center"/>
              <w:rPr>
                <w:b/>
                <w:bCs/>
                <w:color w:val="FFFFFF"/>
                <w:sz w:val="18"/>
                <w:szCs w:val="18"/>
                <w:lang w:eastAsia="en-AU"/>
              </w:rPr>
            </w:pPr>
            <w:r w:rsidRPr="002E2FB6">
              <w:rPr>
                <w:b/>
                <w:bCs/>
                <w:color w:val="FFFFFF"/>
                <w:sz w:val="18"/>
                <w:szCs w:val="18"/>
                <w:lang w:eastAsia="en-AU"/>
              </w:rPr>
              <w:t>4th</w:t>
            </w:r>
          </w:p>
        </w:tc>
        <w:tc>
          <w:tcPr>
            <w:tcW w:w="958" w:type="dxa"/>
            <w:tcBorders>
              <w:top w:val="single" w:sz="8" w:space="0" w:color="auto"/>
              <w:left w:val="nil"/>
              <w:bottom w:val="nil"/>
              <w:right w:val="nil"/>
            </w:tcBorders>
            <w:shd w:val="clear" w:color="000000" w:fill="000080"/>
            <w:vAlign w:val="center"/>
            <w:hideMark/>
          </w:tcPr>
          <w:p w:rsidR="002E2FB6" w:rsidRPr="002E2FB6" w:rsidRDefault="002E2FB6" w:rsidP="002E2FB6">
            <w:pPr>
              <w:jc w:val="center"/>
              <w:rPr>
                <w:b/>
                <w:bCs/>
                <w:color w:val="FFFFFF"/>
                <w:sz w:val="18"/>
                <w:szCs w:val="18"/>
                <w:lang w:eastAsia="en-AU"/>
              </w:rPr>
            </w:pPr>
            <w:r w:rsidRPr="002E2FB6">
              <w:rPr>
                <w:b/>
                <w:bCs/>
                <w:color w:val="FFFFFF"/>
                <w:sz w:val="18"/>
                <w:szCs w:val="18"/>
                <w:lang w:eastAsia="en-AU"/>
              </w:rPr>
              <w:t>5th</w:t>
            </w:r>
          </w:p>
        </w:tc>
        <w:tc>
          <w:tcPr>
            <w:tcW w:w="958" w:type="dxa"/>
            <w:tcBorders>
              <w:top w:val="single" w:sz="8" w:space="0" w:color="auto"/>
              <w:left w:val="nil"/>
              <w:bottom w:val="nil"/>
              <w:right w:val="nil"/>
            </w:tcBorders>
            <w:shd w:val="clear" w:color="000000" w:fill="000080"/>
            <w:vAlign w:val="center"/>
            <w:hideMark/>
          </w:tcPr>
          <w:p w:rsidR="002E2FB6" w:rsidRPr="002E2FB6" w:rsidRDefault="002E2FB6" w:rsidP="002E2FB6">
            <w:pPr>
              <w:jc w:val="center"/>
              <w:rPr>
                <w:b/>
                <w:bCs/>
                <w:color w:val="FFFFFF"/>
                <w:sz w:val="18"/>
                <w:szCs w:val="18"/>
                <w:lang w:eastAsia="en-AU"/>
              </w:rPr>
            </w:pPr>
            <w:r w:rsidRPr="002E2FB6">
              <w:rPr>
                <w:b/>
                <w:bCs/>
                <w:color w:val="FFFFFF"/>
                <w:sz w:val="18"/>
                <w:szCs w:val="18"/>
                <w:lang w:eastAsia="en-AU"/>
              </w:rPr>
              <w:t>6th</w:t>
            </w:r>
          </w:p>
        </w:tc>
        <w:tc>
          <w:tcPr>
            <w:tcW w:w="958" w:type="dxa"/>
            <w:tcBorders>
              <w:top w:val="single" w:sz="8" w:space="0" w:color="auto"/>
              <w:left w:val="nil"/>
              <w:bottom w:val="nil"/>
              <w:right w:val="nil"/>
            </w:tcBorders>
            <w:shd w:val="clear" w:color="000000" w:fill="000080"/>
            <w:vAlign w:val="center"/>
            <w:hideMark/>
          </w:tcPr>
          <w:p w:rsidR="002E2FB6" w:rsidRPr="002E2FB6" w:rsidRDefault="002E2FB6" w:rsidP="002E2FB6">
            <w:pPr>
              <w:jc w:val="center"/>
              <w:rPr>
                <w:b/>
                <w:bCs/>
                <w:color w:val="FFFFFF"/>
                <w:sz w:val="18"/>
                <w:szCs w:val="18"/>
                <w:lang w:eastAsia="en-AU"/>
              </w:rPr>
            </w:pPr>
            <w:r w:rsidRPr="002E2FB6">
              <w:rPr>
                <w:b/>
                <w:bCs/>
                <w:color w:val="FFFFFF"/>
                <w:sz w:val="18"/>
                <w:szCs w:val="18"/>
                <w:lang w:eastAsia="en-AU"/>
              </w:rPr>
              <w:t>7th</w:t>
            </w:r>
          </w:p>
        </w:tc>
        <w:tc>
          <w:tcPr>
            <w:tcW w:w="958" w:type="dxa"/>
            <w:tcBorders>
              <w:top w:val="single" w:sz="8" w:space="0" w:color="auto"/>
              <w:left w:val="nil"/>
              <w:bottom w:val="nil"/>
              <w:right w:val="single" w:sz="4" w:space="0" w:color="auto"/>
            </w:tcBorders>
            <w:shd w:val="clear" w:color="000000" w:fill="000080"/>
            <w:noWrap/>
            <w:vAlign w:val="center"/>
            <w:hideMark/>
          </w:tcPr>
          <w:p w:rsidR="002E2FB6" w:rsidRPr="002E2FB6" w:rsidRDefault="002E2FB6" w:rsidP="002E2FB6">
            <w:pPr>
              <w:jc w:val="center"/>
              <w:rPr>
                <w:b/>
                <w:bCs/>
                <w:color w:val="FFFFFF"/>
                <w:sz w:val="18"/>
                <w:szCs w:val="18"/>
                <w:lang w:eastAsia="en-AU"/>
              </w:rPr>
            </w:pPr>
            <w:r w:rsidRPr="002E2FB6">
              <w:rPr>
                <w:b/>
                <w:bCs/>
                <w:color w:val="FFFFFF"/>
                <w:sz w:val="18"/>
                <w:szCs w:val="18"/>
                <w:lang w:eastAsia="en-AU"/>
              </w:rPr>
              <w:t>Total</w:t>
            </w:r>
          </w:p>
        </w:tc>
      </w:tr>
      <w:tr w:rsidR="002E2FB6" w:rsidRPr="002E2FB6" w:rsidTr="00C53DBD">
        <w:trPr>
          <w:trHeight w:val="283"/>
        </w:trPr>
        <w:tc>
          <w:tcPr>
            <w:tcW w:w="9149" w:type="dxa"/>
            <w:gridSpan w:val="9"/>
            <w:tcBorders>
              <w:top w:val="nil"/>
              <w:left w:val="single" w:sz="4" w:space="0" w:color="auto"/>
              <w:bottom w:val="single" w:sz="12" w:space="0" w:color="auto"/>
              <w:right w:val="single" w:sz="4" w:space="0" w:color="000000"/>
            </w:tcBorders>
            <w:shd w:val="clear" w:color="000000" w:fill="000080"/>
            <w:vAlign w:val="center"/>
            <w:hideMark/>
          </w:tcPr>
          <w:p w:rsidR="002E2FB6" w:rsidRPr="002E2FB6" w:rsidRDefault="002E2FB6" w:rsidP="002E2FB6">
            <w:pPr>
              <w:jc w:val="center"/>
              <w:rPr>
                <w:b/>
                <w:bCs/>
                <w:color w:val="FFFFFF"/>
                <w:sz w:val="18"/>
                <w:szCs w:val="18"/>
                <w:lang w:eastAsia="en-AU"/>
              </w:rPr>
            </w:pPr>
            <w:r w:rsidRPr="002E2FB6">
              <w:rPr>
                <w:b/>
                <w:bCs/>
                <w:color w:val="FFFFFF"/>
                <w:sz w:val="18"/>
                <w:szCs w:val="18"/>
                <w:lang w:eastAsia="en-AU"/>
              </w:rPr>
              <w:t>Male</w:t>
            </w:r>
          </w:p>
        </w:tc>
      </w:tr>
      <w:tr w:rsidR="002E2FB6"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25-29</w:t>
            </w:r>
          </w:p>
        </w:tc>
        <w:tc>
          <w:tcPr>
            <w:tcW w:w="585"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48</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17</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0</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0</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0</w:t>
            </w:r>
          </w:p>
        </w:tc>
        <w:tc>
          <w:tcPr>
            <w:tcW w:w="958" w:type="dxa"/>
            <w:tcBorders>
              <w:top w:val="nil"/>
              <w:left w:val="nil"/>
              <w:bottom w:val="nil"/>
              <w:right w:val="single" w:sz="4" w:space="0" w:color="auto"/>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69</w:t>
            </w:r>
          </w:p>
        </w:tc>
      </w:tr>
      <w:tr w:rsidR="00C53DBD"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30-34</w:t>
            </w:r>
          </w:p>
        </w:tc>
        <w:tc>
          <w:tcPr>
            <w:tcW w:w="585"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73</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41</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20</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19</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14</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6</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5</w:t>
            </w:r>
          </w:p>
        </w:tc>
        <w:tc>
          <w:tcPr>
            <w:tcW w:w="958" w:type="dxa"/>
            <w:tcBorders>
              <w:top w:val="nil"/>
              <w:left w:val="nil"/>
              <w:bottom w:val="nil"/>
              <w:right w:val="single" w:sz="4" w:space="0" w:color="auto"/>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178</w:t>
            </w:r>
          </w:p>
        </w:tc>
      </w:tr>
      <w:tr w:rsidR="002E2FB6"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35-39</w:t>
            </w:r>
          </w:p>
        </w:tc>
        <w:tc>
          <w:tcPr>
            <w:tcW w:w="585"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34</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15</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14</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14</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17</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7</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19</w:t>
            </w:r>
          </w:p>
        </w:tc>
        <w:tc>
          <w:tcPr>
            <w:tcW w:w="958" w:type="dxa"/>
            <w:tcBorders>
              <w:top w:val="nil"/>
              <w:left w:val="nil"/>
              <w:bottom w:val="nil"/>
              <w:right w:val="single" w:sz="4" w:space="0" w:color="auto"/>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120</w:t>
            </w:r>
          </w:p>
        </w:tc>
      </w:tr>
      <w:tr w:rsidR="00C53DBD"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40-44</w:t>
            </w:r>
          </w:p>
        </w:tc>
        <w:tc>
          <w:tcPr>
            <w:tcW w:w="585"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11</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7</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6</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9</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12</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13</w:t>
            </w:r>
          </w:p>
        </w:tc>
        <w:tc>
          <w:tcPr>
            <w:tcW w:w="958" w:type="dxa"/>
            <w:tcBorders>
              <w:top w:val="nil"/>
              <w:left w:val="nil"/>
              <w:bottom w:val="nil"/>
              <w:right w:val="single" w:sz="4" w:space="0" w:color="auto"/>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61</w:t>
            </w:r>
          </w:p>
        </w:tc>
      </w:tr>
      <w:tr w:rsidR="002E2FB6"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45-49</w:t>
            </w:r>
          </w:p>
        </w:tc>
        <w:tc>
          <w:tcPr>
            <w:tcW w:w="585"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5</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8</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5</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14</w:t>
            </w:r>
          </w:p>
        </w:tc>
        <w:tc>
          <w:tcPr>
            <w:tcW w:w="958" w:type="dxa"/>
            <w:tcBorders>
              <w:top w:val="nil"/>
              <w:left w:val="nil"/>
              <w:bottom w:val="nil"/>
              <w:right w:val="single" w:sz="4" w:space="0" w:color="auto"/>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41</w:t>
            </w:r>
          </w:p>
        </w:tc>
      </w:tr>
      <w:tr w:rsidR="00C53DBD"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50+</w:t>
            </w:r>
          </w:p>
        </w:tc>
        <w:tc>
          <w:tcPr>
            <w:tcW w:w="585"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8</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5</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4</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37</w:t>
            </w:r>
          </w:p>
        </w:tc>
        <w:tc>
          <w:tcPr>
            <w:tcW w:w="958" w:type="dxa"/>
            <w:tcBorders>
              <w:top w:val="nil"/>
              <w:left w:val="nil"/>
              <w:bottom w:val="nil"/>
              <w:right w:val="single" w:sz="4" w:space="0" w:color="auto"/>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59</w:t>
            </w:r>
          </w:p>
        </w:tc>
      </w:tr>
      <w:tr w:rsidR="002E2FB6"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b/>
                <w:bCs/>
                <w:color w:val="FFFFFF"/>
                <w:sz w:val="18"/>
                <w:szCs w:val="18"/>
                <w:lang w:eastAsia="en-AU"/>
              </w:rPr>
            </w:pPr>
            <w:r w:rsidRPr="002E2FB6">
              <w:rPr>
                <w:b/>
                <w:bCs/>
                <w:color w:val="FFFFFF" w:themeColor="background1"/>
                <w:sz w:val="18"/>
                <w:szCs w:val="18"/>
                <w:lang w:eastAsia="en-AU"/>
              </w:rPr>
              <w:t>Total</w:t>
            </w:r>
          </w:p>
        </w:tc>
        <w:tc>
          <w:tcPr>
            <w:tcW w:w="585"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179</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93</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47</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47</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52</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22</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88</w:t>
            </w:r>
          </w:p>
        </w:tc>
        <w:tc>
          <w:tcPr>
            <w:tcW w:w="958" w:type="dxa"/>
            <w:tcBorders>
              <w:top w:val="nil"/>
              <w:left w:val="nil"/>
              <w:bottom w:val="nil"/>
              <w:right w:val="single" w:sz="4" w:space="0" w:color="auto"/>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528</w:t>
            </w:r>
          </w:p>
        </w:tc>
      </w:tr>
      <w:tr w:rsidR="002E2FB6" w:rsidRPr="002E2FB6" w:rsidTr="00C53DBD">
        <w:trPr>
          <w:trHeight w:val="283"/>
        </w:trPr>
        <w:tc>
          <w:tcPr>
            <w:tcW w:w="9149" w:type="dxa"/>
            <w:gridSpan w:val="9"/>
            <w:tcBorders>
              <w:top w:val="nil"/>
              <w:left w:val="single" w:sz="4" w:space="0" w:color="auto"/>
              <w:bottom w:val="nil"/>
              <w:right w:val="single" w:sz="4" w:space="0" w:color="000000"/>
            </w:tcBorders>
            <w:shd w:val="clear" w:color="000000" w:fill="000080"/>
            <w:noWrap/>
            <w:vAlign w:val="center"/>
            <w:hideMark/>
          </w:tcPr>
          <w:p w:rsidR="002E2FB6" w:rsidRPr="002E2FB6" w:rsidRDefault="002E2FB6" w:rsidP="002E2FB6">
            <w:pPr>
              <w:jc w:val="center"/>
              <w:rPr>
                <w:b/>
                <w:bCs/>
                <w:color w:val="FFFFFF"/>
                <w:sz w:val="18"/>
                <w:szCs w:val="18"/>
                <w:lang w:eastAsia="en-AU"/>
              </w:rPr>
            </w:pPr>
            <w:r w:rsidRPr="002E2FB6">
              <w:rPr>
                <w:b/>
                <w:bCs/>
                <w:color w:val="FFFFFF" w:themeColor="background1"/>
                <w:sz w:val="18"/>
                <w:szCs w:val="18"/>
                <w:lang w:eastAsia="en-AU"/>
              </w:rPr>
              <w:t>Female</w:t>
            </w:r>
          </w:p>
        </w:tc>
      </w:tr>
      <w:tr w:rsidR="002E2FB6"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25-29</w:t>
            </w:r>
          </w:p>
        </w:tc>
        <w:tc>
          <w:tcPr>
            <w:tcW w:w="585"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80</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16</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14</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0</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2</w:t>
            </w:r>
          </w:p>
        </w:tc>
        <w:tc>
          <w:tcPr>
            <w:tcW w:w="958" w:type="dxa"/>
            <w:tcBorders>
              <w:top w:val="nil"/>
              <w:left w:val="nil"/>
              <w:bottom w:val="nil"/>
              <w:right w:val="single" w:sz="4" w:space="0" w:color="auto"/>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116</w:t>
            </w:r>
          </w:p>
        </w:tc>
      </w:tr>
      <w:tr w:rsidR="002E2FB6"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30-34</w:t>
            </w:r>
          </w:p>
        </w:tc>
        <w:tc>
          <w:tcPr>
            <w:tcW w:w="585"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82</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35</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37</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30</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23</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15</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7</w:t>
            </w:r>
          </w:p>
        </w:tc>
        <w:tc>
          <w:tcPr>
            <w:tcW w:w="958" w:type="dxa"/>
            <w:tcBorders>
              <w:top w:val="nil"/>
              <w:left w:val="nil"/>
              <w:bottom w:val="nil"/>
              <w:right w:val="single" w:sz="4" w:space="0" w:color="auto"/>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229</w:t>
            </w:r>
          </w:p>
        </w:tc>
      </w:tr>
      <w:tr w:rsidR="002E2FB6"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35-39</w:t>
            </w:r>
          </w:p>
        </w:tc>
        <w:tc>
          <w:tcPr>
            <w:tcW w:w="585"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37</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28</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15</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11</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23</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15</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35</w:t>
            </w:r>
          </w:p>
        </w:tc>
        <w:tc>
          <w:tcPr>
            <w:tcW w:w="958" w:type="dxa"/>
            <w:tcBorders>
              <w:top w:val="nil"/>
              <w:left w:val="nil"/>
              <w:bottom w:val="nil"/>
              <w:right w:val="single" w:sz="4" w:space="0" w:color="auto"/>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164</w:t>
            </w:r>
          </w:p>
        </w:tc>
      </w:tr>
      <w:tr w:rsidR="002E2FB6"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40-44</w:t>
            </w:r>
          </w:p>
        </w:tc>
        <w:tc>
          <w:tcPr>
            <w:tcW w:w="585"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15</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7</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12</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13</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4</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4</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19</w:t>
            </w:r>
          </w:p>
        </w:tc>
        <w:tc>
          <w:tcPr>
            <w:tcW w:w="958" w:type="dxa"/>
            <w:tcBorders>
              <w:top w:val="nil"/>
              <w:left w:val="nil"/>
              <w:bottom w:val="nil"/>
              <w:right w:val="single" w:sz="4" w:space="0" w:color="auto"/>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74</w:t>
            </w:r>
          </w:p>
        </w:tc>
      </w:tr>
      <w:tr w:rsidR="002E2FB6"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45-49</w:t>
            </w:r>
          </w:p>
        </w:tc>
        <w:tc>
          <w:tcPr>
            <w:tcW w:w="585"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5</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4</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4</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6</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0</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20</w:t>
            </w:r>
          </w:p>
        </w:tc>
        <w:tc>
          <w:tcPr>
            <w:tcW w:w="958" w:type="dxa"/>
            <w:tcBorders>
              <w:top w:val="nil"/>
              <w:left w:val="nil"/>
              <w:bottom w:val="nil"/>
              <w:right w:val="single" w:sz="4" w:space="0" w:color="auto"/>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42</w:t>
            </w:r>
          </w:p>
        </w:tc>
      </w:tr>
      <w:tr w:rsidR="002E2FB6"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color w:val="FFFFFF"/>
                <w:sz w:val="18"/>
                <w:szCs w:val="18"/>
                <w:lang w:eastAsia="en-AU"/>
              </w:rPr>
            </w:pPr>
            <w:r w:rsidRPr="002E2FB6">
              <w:rPr>
                <w:color w:val="FFFFFF"/>
                <w:sz w:val="18"/>
                <w:szCs w:val="18"/>
                <w:lang w:eastAsia="en-AU"/>
              </w:rPr>
              <w:t>50+</w:t>
            </w:r>
          </w:p>
        </w:tc>
        <w:tc>
          <w:tcPr>
            <w:tcW w:w="585"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14</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19</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11</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8</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8</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4</w:t>
            </w:r>
          </w:p>
        </w:tc>
        <w:tc>
          <w:tcPr>
            <w:tcW w:w="958" w:type="dxa"/>
            <w:tcBorders>
              <w:top w:val="nil"/>
              <w:left w:val="nil"/>
              <w:bottom w:val="nil"/>
              <w:right w:val="nil"/>
            </w:tcBorders>
            <w:shd w:val="clear" w:color="000000" w:fill="D8D8D8"/>
            <w:noWrap/>
            <w:vAlign w:val="center"/>
            <w:hideMark/>
          </w:tcPr>
          <w:p w:rsidR="002E2FB6" w:rsidRPr="002E2FB6" w:rsidRDefault="002E2FB6" w:rsidP="002E2FB6">
            <w:pPr>
              <w:jc w:val="right"/>
              <w:rPr>
                <w:color w:val="000000"/>
                <w:sz w:val="18"/>
                <w:szCs w:val="18"/>
                <w:lang w:eastAsia="en-AU"/>
              </w:rPr>
            </w:pPr>
            <w:r w:rsidRPr="002E2FB6">
              <w:rPr>
                <w:color w:val="000000"/>
                <w:sz w:val="18"/>
                <w:szCs w:val="18"/>
                <w:lang w:eastAsia="en-AU"/>
              </w:rPr>
              <w:t>39</w:t>
            </w:r>
          </w:p>
        </w:tc>
        <w:tc>
          <w:tcPr>
            <w:tcW w:w="958" w:type="dxa"/>
            <w:tcBorders>
              <w:top w:val="nil"/>
              <w:left w:val="nil"/>
              <w:bottom w:val="nil"/>
              <w:right w:val="single" w:sz="4" w:space="0" w:color="auto"/>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103</w:t>
            </w:r>
          </w:p>
        </w:tc>
      </w:tr>
      <w:tr w:rsidR="002E2FB6" w:rsidRPr="002E2FB6" w:rsidTr="00C53DBD">
        <w:trPr>
          <w:trHeight w:val="283"/>
        </w:trPr>
        <w:tc>
          <w:tcPr>
            <w:tcW w:w="1858" w:type="dxa"/>
            <w:tcBorders>
              <w:top w:val="nil"/>
              <w:left w:val="single" w:sz="4" w:space="0" w:color="auto"/>
              <w:bottom w:val="nil"/>
              <w:right w:val="nil"/>
            </w:tcBorders>
            <w:shd w:val="clear" w:color="000000" w:fill="000080"/>
            <w:noWrap/>
            <w:vAlign w:val="center"/>
            <w:hideMark/>
          </w:tcPr>
          <w:p w:rsidR="002E2FB6" w:rsidRPr="002E2FB6" w:rsidRDefault="002E2FB6" w:rsidP="002E2FB6">
            <w:pPr>
              <w:rPr>
                <w:b/>
                <w:bCs/>
                <w:color w:val="FFFFFF"/>
                <w:sz w:val="18"/>
                <w:szCs w:val="18"/>
                <w:lang w:eastAsia="en-AU"/>
              </w:rPr>
            </w:pPr>
            <w:r w:rsidRPr="002E2FB6">
              <w:rPr>
                <w:b/>
                <w:bCs/>
                <w:color w:val="FFFFFF" w:themeColor="background1"/>
                <w:sz w:val="18"/>
                <w:szCs w:val="18"/>
                <w:lang w:eastAsia="en-AU"/>
              </w:rPr>
              <w:t>Total</w:t>
            </w:r>
          </w:p>
        </w:tc>
        <w:tc>
          <w:tcPr>
            <w:tcW w:w="585"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231</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110</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93</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69</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65</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38</w:t>
            </w:r>
          </w:p>
        </w:tc>
        <w:tc>
          <w:tcPr>
            <w:tcW w:w="958" w:type="dxa"/>
            <w:tcBorders>
              <w:top w:val="nil"/>
              <w:left w:val="nil"/>
              <w:bottom w:val="nil"/>
              <w:right w:val="nil"/>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122</w:t>
            </w:r>
          </w:p>
        </w:tc>
        <w:tc>
          <w:tcPr>
            <w:tcW w:w="958" w:type="dxa"/>
            <w:tcBorders>
              <w:top w:val="nil"/>
              <w:left w:val="nil"/>
              <w:bottom w:val="nil"/>
              <w:right w:val="single" w:sz="4" w:space="0" w:color="auto"/>
            </w:tcBorders>
            <w:shd w:val="clear" w:color="auto" w:fill="auto"/>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728</w:t>
            </w:r>
          </w:p>
        </w:tc>
      </w:tr>
      <w:tr w:rsidR="002E2FB6" w:rsidRPr="002E2FB6" w:rsidTr="00C53DBD">
        <w:trPr>
          <w:trHeight w:val="283"/>
        </w:trPr>
        <w:tc>
          <w:tcPr>
            <w:tcW w:w="1858" w:type="dxa"/>
            <w:tcBorders>
              <w:top w:val="nil"/>
              <w:left w:val="single" w:sz="4" w:space="0" w:color="auto"/>
              <w:bottom w:val="single" w:sz="4" w:space="0" w:color="auto"/>
              <w:right w:val="nil"/>
            </w:tcBorders>
            <w:shd w:val="clear" w:color="000000" w:fill="000080"/>
            <w:noWrap/>
            <w:vAlign w:val="center"/>
            <w:hideMark/>
          </w:tcPr>
          <w:p w:rsidR="002E2FB6" w:rsidRPr="002E2FB6" w:rsidRDefault="002E2FB6" w:rsidP="002E2FB6">
            <w:pPr>
              <w:rPr>
                <w:b/>
                <w:bCs/>
                <w:color w:val="FFFFFF"/>
                <w:sz w:val="18"/>
                <w:szCs w:val="18"/>
                <w:lang w:eastAsia="en-AU"/>
              </w:rPr>
            </w:pPr>
            <w:r w:rsidRPr="002E2FB6">
              <w:rPr>
                <w:b/>
                <w:bCs/>
                <w:color w:val="FFFFFF" w:themeColor="background1"/>
                <w:sz w:val="18"/>
                <w:szCs w:val="18"/>
                <w:lang w:eastAsia="en-AU"/>
              </w:rPr>
              <w:t xml:space="preserve">Grand total </w:t>
            </w:r>
          </w:p>
        </w:tc>
        <w:tc>
          <w:tcPr>
            <w:tcW w:w="585" w:type="dxa"/>
            <w:tcBorders>
              <w:top w:val="nil"/>
              <w:left w:val="nil"/>
              <w:bottom w:val="single" w:sz="4" w:space="0" w:color="auto"/>
              <w:right w:val="nil"/>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410</w:t>
            </w:r>
          </w:p>
        </w:tc>
        <w:tc>
          <w:tcPr>
            <w:tcW w:w="958" w:type="dxa"/>
            <w:tcBorders>
              <w:top w:val="nil"/>
              <w:left w:val="nil"/>
              <w:bottom w:val="single" w:sz="4" w:space="0" w:color="auto"/>
              <w:right w:val="nil"/>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203</w:t>
            </w:r>
          </w:p>
        </w:tc>
        <w:tc>
          <w:tcPr>
            <w:tcW w:w="958" w:type="dxa"/>
            <w:tcBorders>
              <w:top w:val="nil"/>
              <w:left w:val="nil"/>
              <w:bottom w:val="single" w:sz="4" w:space="0" w:color="auto"/>
              <w:right w:val="nil"/>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140</w:t>
            </w:r>
          </w:p>
        </w:tc>
        <w:tc>
          <w:tcPr>
            <w:tcW w:w="958" w:type="dxa"/>
            <w:tcBorders>
              <w:top w:val="nil"/>
              <w:left w:val="nil"/>
              <w:bottom w:val="single" w:sz="4" w:space="0" w:color="auto"/>
              <w:right w:val="nil"/>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116</w:t>
            </w:r>
          </w:p>
        </w:tc>
        <w:tc>
          <w:tcPr>
            <w:tcW w:w="958" w:type="dxa"/>
            <w:tcBorders>
              <w:top w:val="nil"/>
              <w:left w:val="nil"/>
              <w:bottom w:val="single" w:sz="4" w:space="0" w:color="auto"/>
              <w:right w:val="nil"/>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117</w:t>
            </w:r>
          </w:p>
        </w:tc>
        <w:tc>
          <w:tcPr>
            <w:tcW w:w="958" w:type="dxa"/>
            <w:tcBorders>
              <w:top w:val="nil"/>
              <w:left w:val="nil"/>
              <w:bottom w:val="single" w:sz="4" w:space="0" w:color="auto"/>
              <w:right w:val="nil"/>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60</w:t>
            </w:r>
          </w:p>
        </w:tc>
        <w:tc>
          <w:tcPr>
            <w:tcW w:w="958" w:type="dxa"/>
            <w:tcBorders>
              <w:top w:val="nil"/>
              <w:left w:val="nil"/>
              <w:bottom w:val="single" w:sz="4" w:space="0" w:color="auto"/>
              <w:right w:val="nil"/>
            </w:tcBorders>
            <w:shd w:val="clear" w:color="000000" w:fill="D8D8D8"/>
            <w:noWrap/>
            <w:vAlign w:val="center"/>
            <w:hideMark/>
          </w:tcPr>
          <w:p w:rsidR="002E2FB6" w:rsidRPr="002E2FB6" w:rsidRDefault="002E2FB6" w:rsidP="002E2FB6">
            <w:pPr>
              <w:jc w:val="right"/>
              <w:rPr>
                <w:b/>
                <w:bCs/>
                <w:color w:val="000000"/>
                <w:sz w:val="18"/>
                <w:szCs w:val="18"/>
                <w:lang w:eastAsia="en-AU"/>
              </w:rPr>
            </w:pPr>
            <w:r w:rsidRPr="002E2FB6">
              <w:rPr>
                <w:b/>
                <w:bCs/>
                <w:color w:val="000000"/>
                <w:sz w:val="18"/>
                <w:szCs w:val="18"/>
                <w:lang w:eastAsia="en-AU"/>
              </w:rPr>
              <w:t>210</w:t>
            </w:r>
          </w:p>
        </w:tc>
        <w:tc>
          <w:tcPr>
            <w:tcW w:w="958" w:type="dxa"/>
            <w:tcBorders>
              <w:top w:val="nil"/>
              <w:left w:val="nil"/>
              <w:bottom w:val="single" w:sz="4" w:space="0" w:color="auto"/>
              <w:right w:val="single" w:sz="4" w:space="0" w:color="auto"/>
            </w:tcBorders>
            <w:shd w:val="clear" w:color="000000" w:fill="D8D8D8"/>
            <w:noWrap/>
            <w:vAlign w:val="center"/>
            <w:hideMark/>
          </w:tcPr>
          <w:p w:rsidR="002E2FB6" w:rsidRPr="002E2FB6" w:rsidRDefault="006146D2" w:rsidP="006146D2">
            <w:pPr>
              <w:jc w:val="right"/>
              <w:rPr>
                <w:b/>
                <w:bCs/>
                <w:color w:val="000000"/>
                <w:sz w:val="18"/>
                <w:szCs w:val="18"/>
                <w:lang w:eastAsia="en-AU"/>
              </w:rPr>
            </w:pPr>
            <w:r>
              <w:rPr>
                <w:b/>
                <w:bCs/>
                <w:color w:val="000000"/>
                <w:sz w:val="18"/>
                <w:szCs w:val="18"/>
                <w:lang w:eastAsia="en-AU"/>
              </w:rPr>
              <w:t>1256</w:t>
            </w:r>
          </w:p>
        </w:tc>
      </w:tr>
    </w:tbl>
    <w:p w:rsidR="002E2FB6" w:rsidRPr="002E2FB6" w:rsidRDefault="002E2FB6" w:rsidP="00C64C65">
      <w:pPr>
        <w:spacing w:before="120"/>
        <w:rPr>
          <w:i/>
          <w:sz w:val="16"/>
          <w:szCs w:val="22"/>
        </w:rPr>
      </w:pPr>
      <w:r w:rsidRPr="002E2FB6">
        <w:rPr>
          <w:i/>
          <w:sz w:val="16"/>
          <w:szCs w:val="22"/>
        </w:rPr>
        <w:t xml:space="preserve">Source: Medical Training Review Panel </w:t>
      </w:r>
      <w:r>
        <w:rPr>
          <w:i/>
          <w:sz w:val="16"/>
          <w:szCs w:val="22"/>
        </w:rPr>
        <w:t>Eighteenth</w:t>
      </w:r>
      <w:r w:rsidRPr="002E2FB6">
        <w:rPr>
          <w:i/>
          <w:sz w:val="16"/>
          <w:szCs w:val="22"/>
        </w:rPr>
        <w:t xml:space="preserve"> Report </w:t>
      </w:r>
    </w:p>
    <w:p w:rsidR="00D547FF" w:rsidRPr="002E6CA0" w:rsidRDefault="00D547FF" w:rsidP="00D547FF">
      <w:pPr>
        <w:spacing w:before="120" w:after="120"/>
        <w:rPr>
          <w:szCs w:val="22"/>
        </w:rPr>
      </w:pPr>
      <w:r w:rsidRPr="002E6CA0">
        <w:rPr>
          <w:szCs w:val="22"/>
        </w:rPr>
        <w:t xml:space="preserve">The following diagram gives a visual overview of where the psychiatry trainees are distributed throughout Australia. It should be noted that some locations are not necessarily their work location, but are most likely </w:t>
      </w:r>
      <w:r w:rsidR="00F42F7B">
        <w:rPr>
          <w:szCs w:val="22"/>
        </w:rPr>
        <w:t xml:space="preserve">the trainee’s </w:t>
      </w:r>
      <w:r w:rsidRPr="002E6CA0">
        <w:rPr>
          <w:szCs w:val="22"/>
        </w:rPr>
        <w:t>home location</w:t>
      </w:r>
      <w:r w:rsidR="00F42F7B">
        <w:rPr>
          <w:szCs w:val="22"/>
        </w:rPr>
        <w:t>. It should also be noted that</w:t>
      </w:r>
      <w:r w:rsidRPr="002E6CA0">
        <w:rPr>
          <w:szCs w:val="22"/>
        </w:rPr>
        <w:t xml:space="preserve"> there are trainees </w:t>
      </w:r>
      <w:r w:rsidR="00F42F7B">
        <w:rPr>
          <w:szCs w:val="22"/>
        </w:rPr>
        <w:t>who</w:t>
      </w:r>
      <w:r w:rsidR="00F42F7B" w:rsidRPr="002E6CA0">
        <w:rPr>
          <w:szCs w:val="22"/>
        </w:rPr>
        <w:t xml:space="preserve"> </w:t>
      </w:r>
      <w:r w:rsidRPr="002E6CA0">
        <w:rPr>
          <w:szCs w:val="22"/>
        </w:rPr>
        <w:t xml:space="preserve">can be at more than one location (there is only a discrepancy of 30 between table 5 and this data which is more detailed than the state and territory </w:t>
      </w:r>
      <w:r w:rsidR="00F42F7B">
        <w:rPr>
          <w:szCs w:val="22"/>
        </w:rPr>
        <w:t xml:space="preserve">in which </w:t>
      </w:r>
      <w:r w:rsidRPr="002E6CA0">
        <w:rPr>
          <w:szCs w:val="22"/>
        </w:rPr>
        <w:t xml:space="preserve">a trainee is based). On this map it appears that most of the psychiatry trainees are located along the eastern sea borders, with the bulk of trainees based in New South Wales (32 per cent), Victoria (26 per cent) and Queensland (22 per cent). The </w:t>
      </w:r>
      <w:r w:rsidR="00892201">
        <w:rPr>
          <w:szCs w:val="22"/>
        </w:rPr>
        <w:t>B</w:t>
      </w:r>
      <w:r w:rsidRPr="002E6CA0">
        <w:rPr>
          <w:szCs w:val="22"/>
        </w:rPr>
        <w:t xml:space="preserve">asic and </w:t>
      </w:r>
      <w:r w:rsidR="00892201">
        <w:rPr>
          <w:szCs w:val="22"/>
        </w:rPr>
        <w:t>S</w:t>
      </w:r>
      <w:r w:rsidRPr="002E6CA0">
        <w:rPr>
          <w:szCs w:val="22"/>
        </w:rPr>
        <w:t>tage 1 trainees make up the largest proportion of trainees, accounting for 73 per cent of all trainees.</w:t>
      </w:r>
    </w:p>
    <w:p w:rsidR="00D547FF" w:rsidRPr="004E10A8" w:rsidRDefault="00D547FF" w:rsidP="003C642E">
      <w:pPr>
        <w:pStyle w:val="Heading4"/>
        <w:jc w:val="left"/>
      </w:pPr>
      <w:r w:rsidRPr="004E10A8">
        <w:lastRenderedPageBreak/>
        <w:t xml:space="preserve">Figure </w:t>
      </w:r>
      <w:r w:rsidR="00214BBC">
        <w:t>10</w:t>
      </w:r>
      <w:r w:rsidRPr="004E10A8">
        <w:t xml:space="preserve"> – Map of psychiatry trainees, by training stage and location</w:t>
      </w:r>
    </w:p>
    <w:p w:rsidR="0072306E" w:rsidRDefault="0072306E" w:rsidP="00D547FF">
      <w:pPr>
        <w:tabs>
          <w:tab w:val="left" w:pos="567"/>
        </w:tabs>
        <w:spacing w:before="120" w:after="120"/>
        <w:jc w:val="center"/>
        <w:rPr>
          <w:rFonts w:ascii="Arial" w:eastAsia="Calibri" w:hAnsi="Arial" w:cs="Arial"/>
          <w:noProof/>
          <w:szCs w:val="22"/>
          <w:lang w:eastAsia="en-AU"/>
        </w:rPr>
      </w:pPr>
      <w:r w:rsidRPr="00FB358E">
        <w:rPr>
          <w:noProof/>
          <w:bdr w:val="single" w:sz="8" w:space="0" w:color="000080"/>
          <w:lang w:eastAsia="en-AU"/>
        </w:rPr>
        <w:drawing>
          <wp:inline distT="0" distB="0" distL="0" distR="0" wp14:anchorId="6C03E0AA" wp14:editId="6BCEC6ED">
            <wp:extent cx="5057774" cy="2886075"/>
            <wp:effectExtent l="0" t="0" r="0" b="0"/>
            <wp:docPr id="3" name="Picture 3" descr="Most of the psychiatry trainees are located along the eastern sea border, with the bulk of trainees based in NSW, VIC and QLD. The Basic and Stage 1 trainees make up the largest proportion of trainees." title="Figure 10 is a map of Australia showing psychiatry trainees by training stage and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aitmi\AppData\Local\Microsoft\Windows\Temporary Internet Files\Content.Word\Psychiatrist trainees - training stagev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57774" cy="2886075"/>
                    </a:xfrm>
                    <a:prstGeom prst="rect">
                      <a:avLst/>
                    </a:prstGeom>
                    <a:noFill/>
                    <a:ln>
                      <a:noFill/>
                    </a:ln>
                  </pic:spPr>
                </pic:pic>
              </a:graphicData>
            </a:graphic>
          </wp:inline>
        </w:drawing>
      </w:r>
    </w:p>
    <w:p w:rsidR="00D547FF" w:rsidRPr="006B2C04" w:rsidRDefault="00985EBD" w:rsidP="00FE7551">
      <w:pPr>
        <w:tabs>
          <w:tab w:val="left" w:pos="567"/>
        </w:tabs>
        <w:spacing w:before="120" w:after="120"/>
        <w:jc w:val="left"/>
        <w:rPr>
          <w:rFonts w:eastAsia="Calibri"/>
          <w:szCs w:val="22"/>
        </w:rPr>
      </w:pPr>
      <w:r>
        <w:rPr>
          <w:i/>
          <w:sz w:val="14"/>
          <w:szCs w:val="22"/>
        </w:rPr>
        <w:tab/>
      </w:r>
      <w:r w:rsidR="00D547FF" w:rsidRPr="006B2C04">
        <w:rPr>
          <w:i/>
          <w:sz w:val="14"/>
          <w:szCs w:val="22"/>
        </w:rPr>
        <w:t xml:space="preserve">Source: </w:t>
      </w:r>
      <w:proofErr w:type="spellStart"/>
      <w:r w:rsidR="00D547FF" w:rsidRPr="006B2C04">
        <w:rPr>
          <w:i/>
          <w:sz w:val="14"/>
          <w:szCs w:val="22"/>
        </w:rPr>
        <w:t>RANZCP</w:t>
      </w:r>
      <w:proofErr w:type="spellEnd"/>
      <w:r w:rsidR="00D547FF" w:rsidRPr="006B2C04">
        <w:rPr>
          <w:i/>
          <w:sz w:val="14"/>
          <w:szCs w:val="22"/>
        </w:rPr>
        <w:t>, 2014</w:t>
      </w:r>
    </w:p>
    <w:p w:rsidR="00315386" w:rsidRDefault="00D547FF" w:rsidP="00D547FF">
      <w:pPr>
        <w:spacing w:before="120" w:after="120"/>
        <w:rPr>
          <w:szCs w:val="22"/>
        </w:rPr>
      </w:pPr>
      <w:r w:rsidRPr="002E6CA0">
        <w:rPr>
          <w:szCs w:val="22"/>
        </w:rPr>
        <w:t xml:space="preserve">For the purpose of modelling, the Department </w:t>
      </w:r>
      <w:r w:rsidR="00F42F7B">
        <w:rPr>
          <w:szCs w:val="22"/>
        </w:rPr>
        <w:t>has used</w:t>
      </w:r>
      <w:r w:rsidR="00F42F7B" w:rsidRPr="002E6CA0">
        <w:rPr>
          <w:szCs w:val="22"/>
        </w:rPr>
        <w:t xml:space="preserve"> </w:t>
      </w:r>
      <w:r w:rsidRPr="002E6CA0">
        <w:rPr>
          <w:szCs w:val="22"/>
        </w:rPr>
        <w:t xml:space="preserve">a combination of data from </w:t>
      </w:r>
      <w:proofErr w:type="spellStart"/>
      <w:r w:rsidR="00315386">
        <w:rPr>
          <w:szCs w:val="22"/>
        </w:rPr>
        <w:t>MTRP</w:t>
      </w:r>
      <w:proofErr w:type="spellEnd"/>
      <w:r w:rsidR="009A1B4C">
        <w:rPr>
          <w:szCs w:val="22"/>
        </w:rPr>
        <w:t xml:space="preserve"> reports, </w:t>
      </w:r>
      <w:r w:rsidRPr="002E6CA0">
        <w:rPr>
          <w:szCs w:val="22"/>
        </w:rPr>
        <w:t xml:space="preserve">the </w:t>
      </w:r>
      <w:proofErr w:type="spellStart"/>
      <w:r w:rsidR="00C53DBD">
        <w:rPr>
          <w:szCs w:val="22"/>
        </w:rPr>
        <w:t>RANZCP</w:t>
      </w:r>
      <w:proofErr w:type="spellEnd"/>
      <w:r w:rsidRPr="002E6CA0">
        <w:rPr>
          <w:szCs w:val="22"/>
        </w:rPr>
        <w:t xml:space="preserve"> and the </w:t>
      </w:r>
      <w:r w:rsidR="00F42F7B">
        <w:rPr>
          <w:szCs w:val="22"/>
        </w:rPr>
        <w:t>National Health Workforce Data Set (</w:t>
      </w:r>
      <w:proofErr w:type="spellStart"/>
      <w:r w:rsidRPr="002E6CA0">
        <w:rPr>
          <w:szCs w:val="22"/>
        </w:rPr>
        <w:t>NHWDS</w:t>
      </w:r>
      <w:proofErr w:type="spellEnd"/>
      <w:r w:rsidR="00F42F7B">
        <w:rPr>
          <w:szCs w:val="22"/>
        </w:rPr>
        <w:t>)</w:t>
      </w:r>
      <w:r w:rsidRPr="002E6CA0">
        <w:rPr>
          <w:szCs w:val="22"/>
        </w:rPr>
        <w:t>, medical practitioner 2013</w:t>
      </w:r>
      <w:r w:rsidR="009A1B4C">
        <w:rPr>
          <w:szCs w:val="22"/>
        </w:rPr>
        <w:t xml:space="preserve"> survey</w:t>
      </w:r>
      <w:r w:rsidRPr="002E6CA0">
        <w:rPr>
          <w:szCs w:val="22"/>
        </w:rPr>
        <w:t xml:space="preserve">, noting that there are variances between </w:t>
      </w:r>
      <w:r w:rsidR="00C53DBD">
        <w:rPr>
          <w:szCs w:val="22"/>
        </w:rPr>
        <w:t xml:space="preserve">all </w:t>
      </w:r>
      <w:r w:rsidRPr="002E6CA0">
        <w:rPr>
          <w:szCs w:val="22"/>
        </w:rPr>
        <w:t>these data sources. This is largely due to the self-report</w:t>
      </w:r>
      <w:r w:rsidR="00F42F7B">
        <w:rPr>
          <w:szCs w:val="22"/>
        </w:rPr>
        <w:t>ed</w:t>
      </w:r>
      <w:r w:rsidRPr="002E6CA0">
        <w:rPr>
          <w:szCs w:val="22"/>
        </w:rPr>
        <w:t xml:space="preserve"> nature of the medical workforce survey data. In comparison to the above data</w:t>
      </w:r>
      <w:r w:rsidR="00F42F7B">
        <w:rPr>
          <w:szCs w:val="22"/>
        </w:rPr>
        <w:t>,</w:t>
      </w:r>
      <w:r w:rsidRPr="002E6CA0">
        <w:rPr>
          <w:szCs w:val="22"/>
        </w:rPr>
        <w:t xml:space="preserve"> the 2013 medical workforce survey data reported a slightly lower (27 per cent) number of psychiatry trainees. There are a number of factors for this lower figure</w:t>
      </w:r>
      <w:r w:rsidR="00F42F7B">
        <w:rPr>
          <w:szCs w:val="22"/>
        </w:rPr>
        <w:t>, including that</w:t>
      </w:r>
      <w:r w:rsidRPr="002E6CA0">
        <w:rPr>
          <w:szCs w:val="22"/>
        </w:rPr>
        <w:t xml:space="preserve"> not everyone fills out the survey and each data set has a different collection time point/cut-off</w:t>
      </w:r>
      <w:r w:rsidR="00F42F7B">
        <w:rPr>
          <w:szCs w:val="22"/>
        </w:rPr>
        <w:t xml:space="preserve">, </w:t>
      </w:r>
      <w:r w:rsidRPr="002E6CA0">
        <w:rPr>
          <w:szCs w:val="22"/>
        </w:rPr>
        <w:t xml:space="preserve">which will affect the number of trainees entering and exiting the training program in a given year. </w:t>
      </w:r>
    </w:p>
    <w:p w:rsidR="00D547FF" w:rsidRDefault="00D547FF" w:rsidP="00D547FF">
      <w:pPr>
        <w:spacing w:before="120" w:after="120"/>
        <w:rPr>
          <w:szCs w:val="22"/>
        </w:rPr>
      </w:pPr>
      <w:r w:rsidRPr="002E6CA0">
        <w:rPr>
          <w:szCs w:val="22"/>
        </w:rPr>
        <w:t>According to the 2013 medical workforce survey, there were 910 psychiatry trainees in Australia, with the following characteristics:</w:t>
      </w:r>
    </w:p>
    <w:p w:rsidR="00732969" w:rsidRPr="00114D56" w:rsidRDefault="00732969" w:rsidP="00D510F1">
      <w:pPr>
        <w:pStyle w:val="ListParagraph"/>
        <w:numPr>
          <w:ilvl w:val="0"/>
          <w:numId w:val="14"/>
        </w:numPr>
        <w:spacing w:before="120" w:after="120"/>
        <w:ind w:left="426" w:hanging="426"/>
        <w:rPr>
          <w:color w:val="000000" w:themeColor="text1"/>
          <w:szCs w:val="22"/>
        </w:rPr>
      </w:pPr>
      <w:r w:rsidRPr="00114D56">
        <w:rPr>
          <w:color w:val="000000" w:themeColor="text1"/>
          <w:szCs w:val="22"/>
        </w:rPr>
        <w:t>49% of all trainees were aged between 20 – 34 years.</w:t>
      </w:r>
    </w:p>
    <w:p w:rsidR="00732969" w:rsidRPr="00114D56" w:rsidRDefault="00732969" w:rsidP="00D510F1">
      <w:pPr>
        <w:pStyle w:val="ListParagraph"/>
        <w:numPr>
          <w:ilvl w:val="0"/>
          <w:numId w:val="14"/>
        </w:numPr>
        <w:spacing w:before="120" w:after="120"/>
        <w:ind w:left="426" w:hanging="426"/>
        <w:rPr>
          <w:color w:val="000000" w:themeColor="text1"/>
          <w:szCs w:val="22"/>
        </w:rPr>
      </w:pPr>
      <w:r w:rsidRPr="00114D56">
        <w:rPr>
          <w:color w:val="000000" w:themeColor="text1"/>
          <w:szCs w:val="22"/>
        </w:rPr>
        <w:t>Females accounted for more than half (55%) of psychiatry trainees.</w:t>
      </w:r>
    </w:p>
    <w:p w:rsidR="00732969" w:rsidRPr="00114D56" w:rsidRDefault="00732969" w:rsidP="00D510F1">
      <w:pPr>
        <w:pStyle w:val="ListParagraph"/>
        <w:numPr>
          <w:ilvl w:val="0"/>
          <w:numId w:val="14"/>
        </w:numPr>
        <w:spacing w:before="120" w:after="120"/>
        <w:ind w:left="426" w:hanging="426"/>
        <w:rPr>
          <w:color w:val="000000" w:themeColor="text1"/>
          <w:szCs w:val="22"/>
        </w:rPr>
      </w:pPr>
      <w:r w:rsidRPr="00114D56">
        <w:rPr>
          <w:color w:val="000000" w:themeColor="text1"/>
          <w:szCs w:val="22"/>
        </w:rPr>
        <w:t>79% were located in NSW, VIC and QLD with the majority (88%) working in major cities.</w:t>
      </w:r>
    </w:p>
    <w:p w:rsidR="00732969" w:rsidRPr="00114D56" w:rsidRDefault="00732969" w:rsidP="00D510F1">
      <w:pPr>
        <w:pStyle w:val="ListParagraph"/>
        <w:numPr>
          <w:ilvl w:val="0"/>
          <w:numId w:val="14"/>
        </w:numPr>
        <w:spacing w:before="120" w:after="120"/>
        <w:ind w:left="426" w:hanging="426"/>
        <w:rPr>
          <w:color w:val="000000" w:themeColor="text1"/>
          <w:szCs w:val="22"/>
        </w:rPr>
      </w:pPr>
      <w:r w:rsidRPr="00114D56">
        <w:rPr>
          <w:color w:val="000000" w:themeColor="text1"/>
          <w:szCs w:val="22"/>
        </w:rPr>
        <w:t>The public sector accounted for 95% of the FTE for clinical hours for psychiatry trainees.</w:t>
      </w:r>
    </w:p>
    <w:p w:rsidR="00CD01E6" w:rsidRPr="00114D56" w:rsidRDefault="00D547FF" w:rsidP="00732969">
      <w:pPr>
        <w:rPr>
          <w:i/>
          <w:color w:val="000000" w:themeColor="text1"/>
          <w:sz w:val="16"/>
          <w:szCs w:val="22"/>
        </w:rPr>
      </w:pPr>
      <w:r w:rsidRPr="00114D56">
        <w:rPr>
          <w:i/>
          <w:color w:val="000000" w:themeColor="text1"/>
          <w:sz w:val="16"/>
          <w:szCs w:val="22"/>
        </w:rPr>
        <w:t xml:space="preserve">Source: </w:t>
      </w:r>
      <w:proofErr w:type="spellStart"/>
      <w:r w:rsidRPr="00114D56">
        <w:rPr>
          <w:i/>
          <w:color w:val="000000" w:themeColor="text1"/>
          <w:sz w:val="16"/>
          <w:szCs w:val="22"/>
        </w:rPr>
        <w:t>NHWDS</w:t>
      </w:r>
      <w:proofErr w:type="spellEnd"/>
      <w:r w:rsidRPr="00114D56">
        <w:rPr>
          <w:i/>
          <w:color w:val="000000" w:themeColor="text1"/>
          <w:sz w:val="16"/>
          <w:szCs w:val="22"/>
        </w:rPr>
        <w:t>, Medical Practitioner 201</w:t>
      </w:r>
      <w:r w:rsidR="00CD01E6" w:rsidRPr="00114D56">
        <w:rPr>
          <w:i/>
          <w:color w:val="000000" w:themeColor="text1"/>
          <w:sz w:val="16"/>
          <w:szCs w:val="22"/>
        </w:rPr>
        <w:t>3</w:t>
      </w:r>
    </w:p>
    <w:p w:rsidR="00D547FF" w:rsidRPr="0036336D" w:rsidRDefault="00D547FF" w:rsidP="0036336D">
      <w:pPr>
        <w:spacing w:before="120" w:after="120"/>
        <w:rPr>
          <w:szCs w:val="22"/>
        </w:rPr>
      </w:pPr>
      <w:r w:rsidRPr="002E6CA0">
        <w:rPr>
          <w:szCs w:val="22"/>
        </w:rPr>
        <w:t xml:space="preserve">The following outlines </w:t>
      </w:r>
      <w:r w:rsidR="00315386">
        <w:rPr>
          <w:szCs w:val="22"/>
        </w:rPr>
        <w:t xml:space="preserve">the </w:t>
      </w:r>
      <w:r w:rsidR="0036336D">
        <w:rPr>
          <w:szCs w:val="22"/>
        </w:rPr>
        <w:t>demographics</w:t>
      </w:r>
      <w:r w:rsidRPr="002E6CA0">
        <w:rPr>
          <w:szCs w:val="22"/>
        </w:rPr>
        <w:t xml:space="preserve"> of trainees who self-identified in the 2013 medical workforce survey by year of training. As previously mention</w:t>
      </w:r>
      <w:r w:rsidR="0082472C">
        <w:rPr>
          <w:szCs w:val="22"/>
        </w:rPr>
        <w:t>ed</w:t>
      </w:r>
      <w:r w:rsidRPr="002E6CA0">
        <w:rPr>
          <w:szCs w:val="22"/>
        </w:rPr>
        <w:t xml:space="preserve"> these trainees are lower than the number of trainees reported through the </w:t>
      </w:r>
      <w:proofErr w:type="spellStart"/>
      <w:r w:rsidRPr="002E6CA0">
        <w:rPr>
          <w:szCs w:val="22"/>
        </w:rPr>
        <w:t>RANZCP</w:t>
      </w:r>
      <w:proofErr w:type="spellEnd"/>
      <w:r w:rsidR="00315386">
        <w:rPr>
          <w:szCs w:val="22"/>
        </w:rPr>
        <w:t>.</w:t>
      </w:r>
    </w:p>
    <w:p w:rsidR="00D547FF" w:rsidRPr="0036336D" w:rsidRDefault="0036336D" w:rsidP="0036336D">
      <w:pPr>
        <w:spacing w:before="120" w:after="120"/>
        <w:rPr>
          <w:szCs w:val="22"/>
        </w:rPr>
      </w:pPr>
      <w:r>
        <w:rPr>
          <w:szCs w:val="22"/>
        </w:rPr>
        <w:t xml:space="preserve">Figure 11 shows </w:t>
      </w:r>
      <w:r w:rsidR="00315386">
        <w:rPr>
          <w:szCs w:val="22"/>
        </w:rPr>
        <w:t>that the</w:t>
      </w:r>
      <w:r w:rsidR="00D547FF" w:rsidRPr="002E6CA0">
        <w:rPr>
          <w:szCs w:val="22"/>
        </w:rPr>
        <w:t xml:space="preserve"> vast majority (88 per cent)</w:t>
      </w:r>
      <w:r w:rsidR="00315386">
        <w:rPr>
          <w:szCs w:val="22"/>
        </w:rPr>
        <w:t xml:space="preserve"> of trainees </w:t>
      </w:r>
      <w:r w:rsidR="00F42F7B">
        <w:rPr>
          <w:szCs w:val="22"/>
        </w:rPr>
        <w:t>were</w:t>
      </w:r>
      <w:r w:rsidR="00F42F7B" w:rsidRPr="002E6CA0">
        <w:rPr>
          <w:szCs w:val="22"/>
        </w:rPr>
        <w:t xml:space="preserve"> </w:t>
      </w:r>
      <w:r w:rsidR="00D547FF" w:rsidRPr="002E6CA0">
        <w:rPr>
          <w:szCs w:val="22"/>
        </w:rPr>
        <w:t xml:space="preserve">located in major cities across all states and territories, with the exception of Tasmania and Northern Territory which had trainees largely in inner regional (86 per cent) and outer regional (86 per cent) respectively. </w:t>
      </w:r>
    </w:p>
    <w:p w:rsidR="00D547FF" w:rsidRPr="004E10A8" w:rsidRDefault="00D547FF" w:rsidP="00D84538">
      <w:pPr>
        <w:pStyle w:val="Heading4"/>
        <w:spacing w:after="120"/>
        <w:jc w:val="left"/>
      </w:pPr>
      <w:r w:rsidRPr="004E10A8">
        <w:lastRenderedPageBreak/>
        <w:t xml:space="preserve">Figure </w:t>
      </w:r>
      <w:r w:rsidR="00227D87" w:rsidRPr="004E10A8">
        <w:t>11</w:t>
      </w:r>
      <w:r w:rsidRPr="004E10A8">
        <w:t xml:space="preserve"> – Trainees by geographic distribution (states and territories and remoteness area)</w:t>
      </w:r>
    </w:p>
    <w:p w:rsidR="00D547FF" w:rsidRPr="00DC0BBE" w:rsidRDefault="00D547FF" w:rsidP="00D547FF">
      <w:pPr>
        <w:rPr>
          <w:rFonts w:ascii="Arial" w:hAnsi="Arial" w:cs="Arial"/>
        </w:rPr>
      </w:pPr>
      <w:r w:rsidRPr="00FB358E">
        <w:rPr>
          <w:rFonts w:ascii="Arial" w:hAnsi="Arial" w:cs="Arial"/>
          <w:noProof/>
          <w:bdr w:val="single" w:sz="8" w:space="0" w:color="000080"/>
          <w:lang w:eastAsia="en-AU"/>
        </w:rPr>
        <w:drawing>
          <wp:inline distT="0" distB="0" distL="0" distR="0" wp14:anchorId="76B264F6" wp14:editId="34D81CBE">
            <wp:extent cx="5731098" cy="2434107"/>
            <wp:effectExtent l="0" t="0" r="3175" b="4445"/>
            <wp:docPr id="34" name="Chart 34" descr="The figure shows the number of trainees in 2013 by state and territory and remoteness area. &#10;In the ACT the 22 trainees are in major cities;                          in the NT 6 are in outer regional and 1 a remote area;             in TAS of the 21 trainees 18 are in inner regional and 2 in outer regional areas;                                                                           in WA of the 68 tainees 63 are in major ciites, 2 in inner regional, 1 in outer regional and 1 in remote areas;                  in SA of the 69 trainees 68 are in nmajor cities and 1 in inner regional areas;                                                                           in QLD of the 195 trainees 147 are in major cities, 21 in inner regional and 26 in outer regiona areas;                                    in VIC of the 247 trainees 236 are in major cities and 10 in inner regional areas;                                                              and in NSW of the 281 trainees 261 are in major cities and 19 in inner regional areas. Where the total numbers do not add up the remoteness area is not provided." title="Figure 11: Trainees by geographic distribu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547FF" w:rsidRPr="006B2C04" w:rsidRDefault="00D547FF" w:rsidP="00C64C65">
      <w:pPr>
        <w:spacing w:before="120"/>
        <w:rPr>
          <w:i/>
          <w:sz w:val="16"/>
          <w:szCs w:val="22"/>
        </w:rPr>
      </w:pPr>
      <w:r w:rsidRPr="006B2C04">
        <w:rPr>
          <w:i/>
          <w:sz w:val="16"/>
          <w:szCs w:val="22"/>
        </w:rPr>
        <w:t xml:space="preserve">Source: </w:t>
      </w:r>
      <w:proofErr w:type="spellStart"/>
      <w:r w:rsidRPr="006B2C04">
        <w:rPr>
          <w:i/>
          <w:sz w:val="16"/>
          <w:szCs w:val="22"/>
        </w:rPr>
        <w:t>NHWDS</w:t>
      </w:r>
      <w:proofErr w:type="spellEnd"/>
      <w:r w:rsidRPr="006B2C04">
        <w:rPr>
          <w:i/>
          <w:sz w:val="16"/>
          <w:szCs w:val="22"/>
        </w:rPr>
        <w:t>, Medical Practitioner 2013</w:t>
      </w:r>
    </w:p>
    <w:p w:rsidR="0011591F" w:rsidRPr="007C3173" w:rsidRDefault="00D547FF" w:rsidP="007C3173">
      <w:pPr>
        <w:spacing w:before="120" w:after="120"/>
        <w:rPr>
          <w:szCs w:val="22"/>
        </w:rPr>
      </w:pPr>
      <w:r w:rsidRPr="002E6CA0">
        <w:rPr>
          <w:szCs w:val="22"/>
        </w:rPr>
        <w:t>The analysis of trainees further identifies which setting trainees spent most of their total hours training (FTE) by year of current training and state and territory</w:t>
      </w:r>
      <w:r w:rsidR="00F42F7B">
        <w:rPr>
          <w:szCs w:val="22"/>
        </w:rPr>
        <w:t>. T</w:t>
      </w:r>
      <w:r w:rsidRPr="002E6CA0">
        <w:rPr>
          <w:szCs w:val="22"/>
        </w:rPr>
        <w:t>he vast majority were in the public sector</w:t>
      </w:r>
      <w:r w:rsidR="00315386">
        <w:rPr>
          <w:szCs w:val="22"/>
        </w:rPr>
        <w:t xml:space="preserve"> (</w:t>
      </w:r>
      <w:r w:rsidRPr="002E6CA0">
        <w:rPr>
          <w:szCs w:val="22"/>
        </w:rPr>
        <w:t>93 per cent</w:t>
      </w:r>
      <w:r w:rsidR="00315386">
        <w:rPr>
          <w:szCs w:val="22"/>
        </w:rPr>
        <w:t>)</w:t>
      </w:r>
      <w:r w:rsidRPr="002E6CA0">
        <w:rPr>
          <w:szCs w:val="22"/>
        </w:rPr>
        <w:t xml:space="preserve"> and </w:t>
      </w:r>
      <w:r w:rsidR="0027604A" w:rsidRPr="002E6CA0">
        <w:rPr>
          <w:szCs w:val="22"/>
        </w:rPr>
        <w:t>very small proportions were</w:t>
      </w:r>
      <w:r w:rsidR="00F42F7B">
        <w:rPr>
          <w:szCs w:val="22"/>
        </w:rPr>
        <w:t xml:space="preserve"> </w:t>
      </w:r>
      <w:r w:rsidRPr="002E6CA0">
        <w:rPr>
          <w:szCs w:val="22"/>
        </w:rPr>
        <w:t xml:space="preserve">working in private and/or both </w:t>
      </w:r>
      <w:r w:rsidR="00315386">
        <w:rPr>
          <w:szCs w:val="22"/>
        </w:rPr>
        <w:t>(</w:t>
      </w:r>
      <w:r w:rsidRPr="002E6CA0">
        <w:rPr>
          <w:szCs w:val="22"/>
        </w:rPr>
        <w:t>4 per cent respectively</w:t>
      </w:r>
      <w:r w:rsidR="00315386">
        <w:rPr>
          <w:szCs w:val="22"/>
        </w:rPr>
        <w:t>)</w:t>
      </w:r>
      <w:r w:rsidRPr="002E6CA0">
        <w:rPr>
          <w:szCs w:val="22"/>
        </w:rPr>
        <w:t>.</w:t>
      </w:r>
      <w:r w:rsidR="0079780A" w:rsidRPr="007C3173">
        <w:rPr>
          <w:szCs w:val="22"/>
        </w:rPr>
        <w:t xml:space="preserve"> </w:t>
      </w:r>
    </w:p>
    <w:p w:rsidR="0079780A" w:rsidRDefault="0079780A">
      <w:pPr>
        <w:jc w:val="left"/>
        <w:rPr>
          <w:bCs/>
          <w:color w:val="000080"/>
          <w:sz w:val="20"/>
          <w:szCs w:val="20"/>
        </w:rPr>
      </w:pPr>
      <w:r>
        <w:rPr>
          <w:sz w:val="20"/>
          <w:szCs w:val="20"/>
        </w:rPr>
        <w:br w:type="page"/>
      </w:r>
    </w:p>
    <w:p w:rsidR="00D547FF" w:rsidRPr="004E10A8" w:rsidRDefault="00D547FF" w:rsidP="00D84538">
      <w:pPr>
        <w:pStyle w:val="Heading4"/>
        <w:spacing w:after="120"/>
      </w:pPr>
      <w:r w:rsidRPr="004E10A8">
        <w:lastRenderedPageBreak/>
        <w:t xml:space="preserve">Table </w:t>
      </w:r>
      <w:fldSimple w:instr=" SEQ Table \* ARABIC ">
        <w:r w:rsidR="00A34F47" w:rsidRPr="004E10A8">
          <w:rPr>
            <w:noProof/>
          </w:rPr>
          <w:t>7</w:t>
        </w:r>
      </w:fldSimple>
      <w:r w:rsidRPr="004E10A8">
        <w:t xml:space="preserve"> – Trainees (FTE) by location, current year of training program and sector</w:t>
      </w:r>
    </w:p>
    <w:tbl>
      <w:tblPr>
        <w:tblStyle w:val="MediumShading2-Accent2"/>
        <w:tblW w:w="9240" w:type="dxa"/>
        <w:tblLook w:val="04A0" w:firstRow="1" w:lastRow="0" w:firstColumn="1" w:lastColumn="0" w:noHBand="0" w:noVBand="1"/>
        <w:tblCaption w:val="Table 7 shows the number of trainees (FTE) by location, current year of training program and sector"/>
        <w:tblDescription w:val="NSW Public - total 288.9, majority in 4th year (66.9); Private - total 8.1, majority in 5th year (4.5); Both - total 11.5, majority in 5th year (7.1).  VIC Public - total 251.7, majority in 2nd year (40.5); Private - total 13.1, majority in 4th year (4.3); Both - total 9.5, majority in 4th year (3.8).  QLD Public - total 192.8, majority in 3rd year (39.0); Private - total 7.9, majority in 4th year (2.1); Both - total 10.1, majority in 4th year (5.0).  SA Public - total 74.5, majority in 1st year (18.3); Both - total 1.1, all in 4th year.  WA Public - total 65.1, majority in 2nd year (20.4); Private - total 4.5, majority in 5th year (1.9); Both - total 4.4, majority in 1st &amp; 3rd years (both 1.2).  TAS Public - total 19.6, majority in 2nd year (7.0); Both - total 1.3, all in 3rd year.  NT Public - total 5.5, majority in 2nd year (2.8); Private - total 2.0, 1.0 in 2nd &amp; 3rd years.  ACT Public - total 21.9, majoirty in 2nd year (8.2); Private - total 2.0, 1.0 in 2nd &amp; 3rd years.  Australia %Public - total 93%, majority in 1st &amp; 2nd year (both 97%); %Private - 4%, majoirty in 5th year (8%); %Both - 4%, majority in 4th &amp; 5th year (both 7%)."/>
      </w:tblPr>
      <w:tblGrid>
        <w:gridCol w:w="975"/>
        <w:gridCol w:w="976"/>
        <w:gridCol w:w="728"/>
        <w:gridCol w:w="729"/>
        <w:gridCol w:w="729"/>
        <w:gridCol w:w="729"/>
        <w:gridCol w:w="729"/>
        <w:gridCol w:w="729"/>
        <w:gridCol w:w="729"/>
        <w:gridCol w:w="729"/>
        <w:gridCol w:w="729"/>
        <w:gridCol w:w="729"/>
      </w:tblGrid>
      <w:tr w:rsidR="007C66B7" w:rsidRPr="00B53CCE" w:rsidTr="00227D8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5" w:type="dxa"/>
          </w:tcPr>
          <w:p w:rsidR="00296E67" w:rsidRPr="00B53CCE" w:rsidRDefault="00296E67" w:rsidP="0009727D">
            <w:pPr>
              <w:jc w:val="left"/>
              <w:rPr>
                <w:rFonts w:ascii="Times New Roman" w:hAnsi="Times New Roman"/>
                <w:b/>
                <w:sz w:val="18"/>
                <w:szCs w:val="18"/>
              </w:rPr>
            </w:pPr>
            <w:r w:rsidRPr="00B53CCE">
              <w:rPr>
                <w:rFonts w:ascii="Times New Roman" w:hAnsi="Times New Roman"/>
                <w:b/>
                <w:sz w:val="18"/>
                <w:szCs w:val="18"/>
              </w:rPr>
              <w:t>Location</w:t>
            </w:r>
          </w:p>
        </w:tc>
        <w:tc>
          <w:tcPr>
            <w:tcW w:w="976" w:type="dxa"/>
          </w:tcPr>
          <w:p w:rsidR="00296E67" w:rsidRPr="00B53CCE" w:rsidRDefault="00296E67" w:rsidP="00B53CCE">
            <w:pPr>
              <w:ind w:left="-2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18"/>
                <w:szCs w:val="18"/>
              </w:rPr>
            </w:pPr>
            <w:r w:rsidRPr="00B53CCE">
              <w:rPr>
                <w:rFonts w:ascii="Times New Roman" w:hAnsi="Times New Roman"/>
                <w:b/>
                <w:sz w:val="18"/>
                <w:szCs w:val="18"/>
              </w:rPr>
              <w:t>Setting</w:t>
            </w:r>
          </w:p>
        </w:tc>
        <w:tc>
          <w:tcPr>
            <w:tcW w:w="728" w:type="dxa"/>
          </w:tcPr>
          <w:p w:rsidR="00296E67" w:rsidRPr="00B53CCE" w:rsidRDefault="00296E67" w:rsidP="000972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18"/>
                <w:szCs w:val="18"/>
              </w:rPr>
            </w:pPr>
            <w:r w:rsidRPr="00B53CCE">
              <w:rPr>
                <w:rFonts w:ascii="Times New Roman" w:hAnsi="Times New Roman"/>
                <w:b/>
                <w:sz w:val="18"/>
                <w:szCs w:val="18"/>
              </w:rPr>
              <w:t>1st</w:t>
            </w:r>
          </w:p>
        </w:tc>
        <w:tc>
          <w:tcPr>
            <w:tcW w:w="729" w:type="dxa"/>
          </w:tcPr>
          <w:p w:rsidR="00296E67" w:rsidRPr="00B53CCE" w:rsidRDefault="00296E67" w:rsidP="000972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18"/>
                <w:szCs w:val="18"/>
              </w:rPr>
            </w:pPr>
            <w:r w:rsidRPr="00B53CCE">
              <w:rPr>
                <w:rFonts w:ascii="Times New Roman" w:hAnsi="Times New Roman"/>
                <w:b/>
                <w:sz w:val="18"/>
                <w:szCs w:val="18"/>
              </w:rPr>
              <w:t>2nd</w:t>
            </w:r>
          </w:p>
        </w:tc>
        <w:tc>
          <w:tcPr>
            <w:tcW w:w="729" w:type="dxa"/>
          </w:tcPr>
          <w:p w:rsidR="00296E67" w:rsidRPr="00B53CCE" w:rsidRDefault="00296E67" w:rsidP="000972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18"/>
                <w:szCs w:val="18"/>
              </w:rPr>
            </w:pPr>
            <w:r w:rsidRPr="00B53CCE">
              <w:rPr>
                <w:rFonts w:ascii="Times New Roman" w:hAnsi="Times New Roman"/>
                <w:b/>
                <w:sz w:val="18"/>
                <w:szCs w:val="18"/>
              </w:rPr>
              <w:t>3rd</w:t>
            </w:r>
          </w:p>
        </w:tc>
        <w:tc>
          <w:tcPr>
            <w:tcW w:w="729" w:type="dxa"/>
          </w:tcPr>
          <w:p w:rsidR="00296E67" w:rsidRPr="00B53CCE" w:rsidRDefault="00296E67" w:rsidP="000972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18"/>
                <w:szCs w:val="18"/>
              </w:rPr>
            </w:pPr>
            <w:r w:rsidRPr="00B53CCE">
              <w:rPr>
                <w:rFonts w:ascii="Times New Roman" w:hAnsi="Times New Roman"/>
                <w:b/>
                <w:sz w:val="18"/>
                <w:szCs w:val="18"/>
              </w:rPr>
              <w:t>4th</w:t>
            </w:r>
          </w:p>
        </w:tc>
        <w:tc>
          <w:tcPr>
            <w:tcW w:w="729" w:type="dxa"/>
          </w:tcPr>
          <w:p w:rsidR="00296E67" w:rsidRPr="00B53CCE" w:rsidRDefault="00296E67" w:rsidP="000972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18"/>
                <w:szCs w:val="18"/>
              </w:rPr>
            </w:pPr>
            <w:r w:rsidRPr="00B53CCE">
              <w:rPr>
                <w:rFonts w:ascii="Times New Roman" w:hAnsi="Times New Roman"/>
                <w:b/>
                <w:sz w:val="18"/>
                <w:szCs w:val="18"/>
              </w:rPr>
              <w:t>5th</w:t>
            </w:r>
          </w:p>
        </w:tc>
        <w:tc>
          <w:tcPr>
            <w:tcW w:w="729" w:type="dxa"/>
          </w:tcPr>
          <w:p w:rsidR="00296E67" w:rsidRPr="00B53CCE" w:rsidRDefault="00296E67" w:rsidP="000972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18"/>
                <w:szCs w:val="18"/>
              </w:rPr>
            </w:pPr>
            <w:r w:rsidRPr="00B53CCE">
              <w:rPr>
                <w:rFonts w:ascii="Times New Roman" w:hAnsi="Times New Roman"/>
                <w:b/>
                <w:sz w:val="18"/>
                <w:szCs w:val="18"/>
              </w:rPr>
              <w:t>6th</w:t>
            </w:r>
          </w:p>
        </w:tc>
        <w:tc>
          <w:tcPr>
            <w:tcW w:w="729" w:type="dxa"/>
          </w:tcPr>
          <w:p w:rsidR="00296E67" w:rsidRPr="00B53CCE" w:rsidRDefault="00296E67" w:rsidP="000972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18"/>
                <w:szCs w:val="18"/>
              </w:rPr>
            </w:pPr>
            <w:r w:rsidRPr="00B53CCE">
              <w:rPr>
                <w:rFonts w:ascii="Times New Roman" w:hAnsi="Times New Roman"/>
                <w:b/>
                <w:sz w:val="18"/>
                <w:szCs w:val="18"/>
              </w:rPr>
              <w:t>7th</w:t>
            </w:r>
          </w:p>
        </w:tc>
        <w:tc>
          <w:tcPr>
            <w:tcW w:w="729" w:type="dxa"/>
          </w:tcPr>
          <w:p w:rsidR="00296E67" w:rsidRPr="00B53CCE" w:rsidRDefault="00296E67" w:rsidP="000972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18"/>
                <w:szCs w:val="18"/>
              </w:rPr>
            </w:pPr>
            <w:r w:rsidRPr="00B53CCE">
              <w:rPr>
                <w:rFonts w:ascii="Times New Roman" w:hAnsi="Times New Roman"/>
                <w:b/>
                <w:sz w:val="18"/>
                <w:szCs w:val="18"/>
              </w:rPr>
              <w:t>8th</w:t>
            </w:r>
          </w:p>
        </w:tc>
        <w:tc>
          <w:tcPr>
            <w:tcW w:w="729" w:type="dxa"/>
          </w:tcPr>
          <w:p w:rsidR="00296E67" w:rsidRPr="00B53CCE" w:rsidRDefault="00296E67" w:rsidP="000972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18"/>
                <w:szCs w:val="18"/>
              </w:rPr>
            </w:pPr>
            <w:r w:rsidRPr="00B53CCE">
              <w:rPr>
                <w:rFonts w:ascii="Times New Roman" w:hAnsi="Times New Roman"/>
                <w:b/>
                <w:sz w:val="18"/>
                <w:szCs w:val="18"/>
              </w:rPr>
              <w:t>Not stated</w:t>
            </w:r>
          </w:p>
        </w:tc>
        <w:tc>
          <w:tcPr>
            <w:tcW w:w="729" w:type="dxa"/>
          </w:tcPr>
          <w:p w:rsidR="00296E67" w:rsidRPr="00B53CCE" w:rsidRDefault="00296E67" w:rsidP="000972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18"/>
                <w:szCs w:val="18"/>
              </w:rPr>
            </w:pPr>
            <w:r w:rsidRPr="00B53CCE">
              <w:rPr>
                <w:rFonts w:ascii="Times New Roman" w:hAnsi="Times New Roman"/>
                <w:b/>
                <w:sz w:val="18"/>
                <w:szCs w:val="18"/>
              </w:rPr>
              <w:t>Total</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09727D" w:rsidP="00296E67">
            <w:pPr>
              <w:rPr>
                <w:rFonts w:ascii="Times New Roman" w:hAnsi="Times New Roman"/>
                <w:b w:val="0"/>
                <w:sz w:val="18"/>
                <w:szCs w:val="18"/>
              </w:rPr>
            </w:pPr>
            <w:r w:rsidRPr="00B53CCE">
              <w:rPr>
                <w:rFonts w:ascii="Times New Roman" w:hAnsi="Times New Roman"/>
                <w:b w:val="0"/>
                <w:sz w:val="18"/>
                <w:szCs w:val="18"/>
              </w:rPr>
              <w:t>NSW</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 xml:space="preserve">Public </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51.3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41.4</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46.6</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66.9</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47.3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6.5</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7.1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288.9</w:t>
            </w:r>
          </w:p>
        </w:tc>
      </w:tr>
      <w:tr w:rsidR="007C66B7" w:rsidRPr="00B53CCE" w:rsidTr="007B6132">
        <w:tc>
          <w:tcPr>
            <w:cnfStyle w:val="001000000000" w:firstRow="0" w:lastRow="0" w:firstColumn="1" w:lastColumn="0" w:oddVBand="0" w:evenVBand="0" w:oddHBand="0" w:evenHBand="0" w:firstRowFirstColumn="0" w:firstRowLastColumn="0" w:lastRowFirstColumn="0" w:lastRowLastColumn="0"/>
            <w:tcW w:w="975" w:type="dxa"/>
          </w:tcPr>
          <w:p w:rsidR="0009727D" w:rsidRPr="007B6132" w:rsidRDefault="007C66B7" w:rsidP="00296E67">
            <w:pPr>
              <w:rPr>
                <w:rFonts w:ascii="Times New Roman" w:hAnsi="Times New Roman"/>
                <w:b w:val="0"/>
                <w:color w:val="17365D" w:themeColor="text2" w:themeShade="BF"/>
                <w:sz w:val="18"/>
                <w:szCs w:val="18"/>
              </w:rPr>
            </w:pPr>
            <w:r w:rsidRPr="007B6132">
              <w:rPr>
                <w:rFonts w:ascii="Times New Roman" w:hAnsi="Times New Roman"/>
                <w:b w:val="0"/>
                <w:color w:val="17365D" w:themeColor="text2" w:themeShade="BF"/>
                <w:sz w:val="18"/>
                <w:szCs w:val="18"/>
              </w:rPr>
              <w:t>NSW</w:t>
            </w:r>
          </w:p>
        </w:tc>
        <w:tc>
          <w:tcPr>
            <w:tcW w:w="976" w:type="dxa"/>
          </w:tcPr>
          <w:p w:rsidR="0009727D" w:rsidRPr="00B53CCE" w:rsidRDefault="0009727D" w:rsidP="00B53CCE">
            <w:pPr>
              <w:ind w:left="-25"/>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Private</w:t>
            </w:r>
          </w:p>
        </w:tc>
        <w:tc>
          <w:tcPr>
            <w:tcW w:w="728"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0.8</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1.6</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4.5</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1.3</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8.1</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7B6132" w:rsidRDefault="007C66B7" w:rsidP="00296E67">
            <w:pPr>
              <w:rPr>
                <w:rFonts w:ascii="Times New Roman" w:hAnsi="Times New Roman"/>
                <w:b w:val="0"/>
                <w:color w:val="17365D" w:themeColor="text2" w:themeShade="BF"/>
                <w:sz w:val="18"/>
                <w:szCs w:val="18"/>
              </w:rPr>
            </w:pPr>
            <w:r w:rsidRPr="007B6132">
              <w:rPr>
                <w:rFonts w:ascii="Times New Roman" w:hAnsi="Times New Roman"/>
                <w:b w:val="0"/>
                <w:color w:val="17365D" w:themeColor="text2" w:themeShade="BF"/>
                <w:sz w:val="18"/>
                <w:szCs w:val="18"/>
              </w:rPr>
              <w:t>NSW</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Both</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0.8</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7.1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11.5</w:t>
            </w:r>
          </w:p>
        </w:tc>
      </w:tr>
      <w:tr w:rsidR="007C66B7" w:rsidRPr="00B53CCE" w:rsidTr="007B6132">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09727D" w:rsidP="00296E67">
            <w:pPr>
              <w:rPr>
                <w:rFonts w:ascii="Times New Roman" w:hAnsi="Times New Roman"/>
                <w:b w:val="0"/>
                <w:sz w:val="18"/>
                <w:szCs w:val="18"/>
              </w:rPr>
            </w:pPr>
            <w:r w:rsidRPr="00B53CCE">
              <w:rPr>
                <w:rFonts w:ascii="Times New Roman" w:hAnsi="Times New Roman"/>
                <w:b w:val="0"/>
                <w:sz w:val="18"/>
                <w:szCs w:val="18"/>
              </w:rPr>
              <w:t>VIC</w:t>
            </w:r>
          </w:p>
        </w:tc>
        <w:tc>
          <w:tcPr>
            <w:tcW w:w="976" w:type="dxa"/>
          </w:tcPr>
          <w:p w:rsidR="0009727D" w:rsidRPr="00B53CCE" w:rsidRDefault="0009727D" w:rsidP="00B53CCE">
            <w:pPr>
              <w:ind w:left="-25"/>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 xml:space="preserve">Public </w:t>
            </w:r>
          </w:p>
        </w:tc>
        <w:tc>
          <w:tcPr>
            <w:tcW w:w="728"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56.2</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40.5</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37.9</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27.8</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40.3</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20.1</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11.6</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8.7</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8.6</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251.7</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7B6132" w:rsidRDefault="007C66B7" w:rsidP="00296E67">
            <w:pPr>
              <w:rPr>
                <w:rFonts w:ascii="Times New Roman" w:hAnsi="Times New Roman"/>
                <w:b w:val="0"/>
                <w:color w:val="17365D" w:themeColor="text2" w:themeShade="BF"/>
                <w:sz w:val="18"/>
                <w:szCs w:val="18"/>
              </w:rPr>
            </w:pPr>
            <w:r w:rsidRPr="007B6132">
              <w:rPr>
                <w:rFonts w:ascii="Times New Roman" w:hAnsi="Times New Roman"/>
                <w:b w:val="0"/>
                <w:color w:val="17365D" w:themeColor="text2" w:themeShade="BF"/>
                <w:sz w:val="18"/>
                <w:szCs w:val="18"/>
              </w:rPr>
              <w:t>VIC</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Private</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2.2</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4.3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3.3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13.1</w:t>
            </w:r>
          </w:p>
        </w:tc>
      </w:tr>
      <w:tr w:rsidR="007C66B7" w:rsidRPr="00B53CCE" w:rsidTr="007B6132">
        <w:tc>
          <w:tcPr>
            <w:cnfStyle w:val="001000000000" w:firstRow="0" w:lastRow="0" w:firstColumn="1" w:lastColumn="0" w:oddVBand="0" w:evenVBand="0" w:oddHBand="0" w:evenHBand="0" w:firstRowFirstColumn="0" w:firstRowLastColumn="0" w:lastRowFirstColumn="0" w:lastRowLastColumn="0"/>
            <w:tcW w:w="975" w:type="dxa"/>
          </w:tcPr>
          <w:p w:rsidR="0009727D" w:rsidRPr="007B6132" w:rsidRDefault="007C66B7" w:rsidP="00296E67">
            <w:pPr>
              <w:rPr>
                <w:rFonts w:ascii="Times New Roman" w:hAnsi="Times New Roman"/>
                <w:b w:val="0"/>
                <w:color w:val="17365D" w:themeColor="text2" w:themeShade="BF"/>
                <w:sz w:val="18"/>
                <w:szCs w:val="18"/>
              </w:rPr>
            </w:pPr>
            <w:r w:rsidRPr="007B6132">
              <w:rPr>
                <w:rFonts w:ascii="Times New Roman" w:hAnsi="Times New Roman"/>
                <w:b w:val="0"/>
                <w:color w:val="17365D" w:themeColor="text2" w:themeShade="BF"/>
                <w:sz w:val="18"/>
                <w:szCs w:val="18"/>
              </w:rPr>
              <w:t>VIC</w:t>
            </w:r>
          </w:p>
        </w:tc>
        <w:tc>
          <w:tcPr>
            <w:tcW w:w="976" w:type="dxa"/>
          </w:tcPr>
          <w:p w:rsidR="0009727D" w:rsidRPr="00B53CCE" w:rsidRDefault="0009727D" w:rsidP="00B53CCE">
            <w:pPr>
              <w:ind w:left="-25"/>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Both</w:t>
            </w:r>
          </w:p>
        </w:tc>
        <w:tc>
          <w:tcPr>
            <w:tcW w:w="728"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1.2</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3.8</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2.1</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2.4</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9.5</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09727D" w:rsidP="00296E67">
            <w:pPr>
              <w:rPr>
                <w:rFonts w:ascii="Times New Roman" w:hAnsi="Times New Roman"/>
                <w:b w:val="0"/>
                <w:sz w:val="18"/>
                <w:szCs w:val="18"/>
              </w:rPr>
            </w:pPr>
            <w:r w:rsidRPr="00B53CCE">
              <w:rPr>
                <w:rFonts w:ascii="Times New Roman" w:hAnsi="Times New Roman"/>
                <w:b w:val="0"/>
                <w:sz w:val="18"/>
                <w:szCs w:val="18"/>
              </w:rPr>
              <w:t>QLD</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 xml:space="preserve">Public </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33.4</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38.2</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39.0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37.3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16.9</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6.2</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8.2</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11.6</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2.4</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192.8</w:t>
            </w:r>
          </w:p>
        </w:tc>
      </w:tr>
      <w:tr w:rsidR="007C66B7" w:rsidRPr="00B53CCE" w:rsidTr="007B6132">
        <w:tc>
          <w:tcPr>
            <w:cnfStyle w:val="001000000000" w:firstRow="0" w:lastRow="0" w:firstColumn="1" w:lastColumn="0" w:oddVBand="0" w:evenVBand="0" w:oddHBand="0" w:evenHBand="0" w:firstRowFirstColumn="0" w:firstRowLastColumn="0" w:lastRowFirstColumn="0" w:lastRowLastColumn="0"/>
            <w:tcW w:w="975" w:type="dxa"/>
          </w:tcPr>
          <w:p w:rsidR="0009727D" w:rsidRPr="007B6132" w:rsidRDefault="007C66B7" w:rsidP="00296E67">
            <w:pPr>
              <w:rPr>
                <w:rFonts w:ascii="Times New Roman" w:hAnsi="Times New Roman"/>
                <w:b w:val="0"/>
                <w:color w:val="17365D" w:themeColor="text2" w:themeShade="BF"/>
                <w:sz w:val="18"/>
                <w:szCs w:val="18"/>
              </w:rPr>
            </w:pPr>
            <w:r w:rsidRPr="007B6132">
              <w:rPr>
                <w:rFonts w:ascii="Times New Roman" w:hAnsi="Times New Roman"/>
                <w:b w:val="0"/>
                <w:color w:val="17365D" w:themeColor="text2" w:themeShade="BF"/>
                <w:sz w:val="18"/>
                <w:szCs w:val="18"/>
              </w:rPr>
              <w:t>QLD</w:t>
            </w:r>
          </w:p>
        </w:tc>
        <w:tc>
          <w:tcPr>
            <w:tcW w:w="976" w:type="dxa"/>
          </w:tcPr>
          <w:p w:rsidR="0009727D" w:rsidRPr="00B53CCE" w:rsidRDefault="0009727D" w:rsidP="00B53CCE">
            <w:pPr>
              <w:ind w:left="-25"/>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Private</w:t>
            </w:r>
          </w:p>
        </w:tc>
        <w:tc>
          <w:tcPr>
            <w:tcW w:w="728"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1.7</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2.1</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1.9</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1.1</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7.9</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7B6132" w:rsidRDefault="007C66B7" w:rsidP="00296E67">
            <w:pPr>
              <w:rPr>
                <w:rFonts w:ascii="Times New Roman" w:hAnsi="Times New Roman"/>
                <w:b w:val="0"/>
                <w:color w:val="17365D" w:themeColor="text2" w:themeShade="BF"/>
                <w:sz w:val="18"/>
                <w:szCs w:val="18"/>
              </w:rPr>
            </w:pPr>
            <w:r w:rsidRPr="007B6132">
              <w:rPr>
                <w:rFonts w:ascii="Times New Roman" w:hAnsi="Times New Roman"/>
                <w:b w:val="0"/>
                <w:color w:val="17365D" w:themeColor="text2" w:themeShade="BF"/>
                <w:sz w:val="18"/>
                <w:szCs w:val="18"/>
              </w:rPr>
              <w:t>QLD</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Both</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1.2</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5.0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1.9</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10.1</w:t>
            </w:r>
          </w:p>
        </w:tc>
      </w:tr>
      <w:tr w:rsidR="007C66B7" w:rsidRPr="00B53CCE" w:rsidTr="007B6132">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09727D" w:rsidP="00296E67">
            <w:pPr>
              <w:rPr>
                <w:rFonts w:ascii="Times New Roman" w:hAnsi="Times New Roman"/>
                <w:b w:val="0"/>
                <w:sz w:val="18"/>
                <w:szCs w:val="18"/>
              </w:rPr>
            </w:pPr>
            <w:r w:rsidRPr="00B53CCE">
              <w:rPr>
                <w:rFonts w:ascii="Times New Roman" w:hAnsi="Times New Roman"/>
                <w:b w:val="0"/>
                <w:sz w:val="18"/>
                <w:szCs w:val="18"/>
              </w:rPr>
              <w:t>SA</w:t>
            </w:r>
          </w:p>
        </w:tc>
        <w:tc>
          <w:tcPr>
            <w:tcW w:w="976" w:type="dxa"/>
          </w:tcPr>
          <w:p w:rsidR="0009727D" w:rsidRPr="00B53CCE" w:rsidRDefault="0009727D" w:rsidP="00B53CCE">
            <w:pPr>
              <w:ind w:left="-25"/>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 xml:space="preserve">Public </w:t>
            </w:r>
          </w:p>
        </w:tc>
        <w:tc>
          <w:tcPr>
            <w:tcW w:w="728"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18.3</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13.5</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14.5</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4.9</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14.9</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3.3</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3.3</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2.0</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74.5</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7C66B7" w:rsidP="00296E67">
            <w:pPr>
              <w:rPr>
                <w:rFonts w:ascii="Times New Roman" w:hAnsi="Times New Roman"/>
                <w:b w:val="0"/>
                <w:sz w:val="18"/>
                <w:szCs w:val="18"/>
              </w:rPr>
            </w:pPr>
            <w:r w:rsidRPr="007B6132">
              <w:rPr>
                <w:rFonts w:ascii="Times New Roman" w:hAnsi="Times New Roman"/>
                <w:b w:val="0"/>
                <w:color w:val="17365D" w:themeColor="text2" w:themeShade="BF"/>
                <w:sz w:val="18"/>
                <w:szCs w:val="18"/>
              </w:rPr>
              <w:t>SA</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Both</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w:t>
            </w:r>
          </w:p>
        </w:tc>
      </w:tr>
      <w:tr w:rsidR="007C66B7" w:rsidRPr="00B53CCE" w:rsidTr="007B6132">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09727D" w:rsidP="00296E67">
            <w:pPr>
              <w:rPr>
                <w:rFonts w:ascii="Times New Roman" w:hAnsi="Times New Roman"/>
                <w:b w:val="0"/>
                <w:sz w:val="18"/>
                <w:szCs w:val="18"/>
              </w:rPr>
            </w:pPr>
            <w:r w:rsidRPr="00B53CCE">
              <w:rPr>
                <w:rFonts w:ascii="Times New Roman" w:hAnsi="Times New Roman"/>
                <w:b w:val="0"/>
                <w:sz w:val="18"/>
                <w:szCs w:val="18"/>
              </w:rPr>
              <w:t>WA</w:t>
            </w:r>
          </w:p>
        </w:tc>
        <w:tc>
          <w:tcPr>
            <w:tcW w:w="976" w:type="dxa"/>
          </w:tcPr>
          <w:p w:rsidR="0009727D" w:rsidRPr="00B53CCE" w:rsidRDefault="0009727D" w:rsidP="00B53CCE">
            <w:pPr>
              <w:ind w:left="-25"/>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 xml:space="preserve">Public </w:t>
            </w:r>
          </w:p>
        </w:tc>
        <w:tc>
          <w:tcPr>
            <w:tcW w:w="728"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11.7</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20.4</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11.0</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7.2</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8.0</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1.5</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3.5</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2.0</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65.1</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7B6132" w:rsidRDefault="007C66B7" w:rsidP="00296E67">
            <w:pPr>
              <w:rPr>
                <w:rFonts w:ascii="Times New Roman" w:hAnsi="Times New Roman"/>
                <w:b w:val="0"/>
                <w:color w:val="17365D" w:themeColor="text2" w:themeShade="BF"/>
                <w:sz w:val="18"/>
                <w:szCs w:val="18"/>
              </w:rPr>
            </w:pPr>
            <w:r w:rsidRPr="007B6132">
              <w:rPr>
                <w:rFonts w:ascii="Times New Roman" w:hAnsi="Times New Roman"/>
                <w:b w:val="0"/>
                <w:color w:val="17365D" w:themeColor="text2" w:themeShade="BF"/>
                <w:sz w:val="18"/>
                <w:szCs w:val="18"/>
              </w:rPr>
              <w:t>WA</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Private</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1.9</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0.6</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4.5</w:t>
            </w:r>
          </w:p>
        </w:tc>
      </w:tr>
      <w:tr w:rsidR="007C66B7" w:rsidRPr="00B53CCE" w:rsidTr="007B6132">
        <w:tc>
          <w:tcPr>
            <w:cnfStyle w:val="001000000000" w:firstRow="0" w:lastRow="0" w:firstColumn="1" w:lastColumn="0" w:oddVBand="0" w:evenVBand="0" w:oddHBand="0" w:evenHBand="0" w:firstRowFirstColumn="0" w:firstRowLastColumn="0" w:lastRowFirstColumn="0" w:lastRowLastColumn="0"/>
            <w:tcW w:w="975" w:type="dxa"/>
          </w:tcPr>
          <w:p w:rsidR="0009727D" w:rsidRPr="007B6132" w:rsidRDefault="007C66B7" w:rsidP="00296E67">
            <w:pPr>
              <w:rPr>
                <w:rFonts w:ascii="Times New Roman" w:hAnsi="Times New Roman"/>
                <w:b w:val="0"/>
                <w:color w:val="17365D" w:themeColor="text2" w:themeShade="BF"/>
                <w:sz w:val="18"/>
                <w:szCs w:val="18"/>
              </w:rPr>
            </w:pPr>
            <w:r w:rsidRPr="007B6132">
              <w:rPr>
                <w:rFonts w:ascii="Times New Roman" w:hAnsi="Times New Roman"/>
                <w:b w:val="0"/>
                <w:color w:val="17365D" w:themeColor="text2" w:themeShade="BF"/>
                <w:sz w:val="18"/>
                <w:szCs w:val="18"/>
              </w:rPr>
              <w:t>WA</w:t>
            </w:r>
          </w:p>
        </w:tc>
        <w:tc>
          <w:tcPr>
            <w:tcW w:w="976" w:type="dxa"/>
          </w:tcPr>
          <w:p w:rsidR="0009727D" w:rsidRPr="00B53CCE" w:rsidRDefault="0009727D" w:rsidP="00B53CCE">
            <w:pPr>
              <w:ind w:left="-25"/>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Both</w:t>
            </w:r>
          </w:p>
        </w:tc>
        <w:tc>
          <w:tcPr>
            <w:tcW w:w="728"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1.2</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1.2</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4.4</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09727D" w:rsidP="00296E67">
            <w:pPr>
              <w:rPr>
                <w:rFonts w:ascii="Times New Roman" w:hAnsi="Times New Roman"/>
                <w:b w:val="0"/>
                <w:sz w:val="18"/>
                <w:szCs w:val="18"/>
              </w:rPr>
            </w:pPr>
            <w:r w:rsidRPr="00B53CCE">
              <w:rPr>
                <w:rFonts w:ascii="Times New Roman" w:hAnsi="Times New Roman"/>
                <w:b w:val="0"/>
                <w:sz w:val="18"/>
                <w:szCs w:val="18"/>
              </w:rPr>
              <w:t>TAS</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 xml:space="preserve">Public </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7.0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4.7</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3.8</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0.9</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19.6</w:t>
            </w:r>
          </w:p>
        </w:tc>
      </w:tr>
      <w:tr w:rsidR="007C66B7" w:rsidRPr="00B53CCE" w:rsidTr="007B6132">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7C66B7" w:rsidP="00296E67">
            <w:pPr>
              <w:rPr>
                <w:rFonts w:ascii="Times New Roman" w:hAnsi="Times New Roman"/>
                <w:b w:val="0"/>
                <w:sz w:val="18"/>
                <w:szCs w:val="18"/>
              </w:rPr>
            </w:pPr>
            <w:r w:rsidRPr="007B6132">
              <w:rPr>
                <w:rFonts w:ascii="Times New Roman" w:hAnsi="Times New Roman"/>
                <w:b w:val="0"/>
                <w:color w:val="17365D" w:themeColor="text2" w:themeShade="BF"/>
                <w:sz w:val="18"/>
                <w:szCs w:val="18"/>
              </w:rPr>
              <w:t>TAS</w:t>
            </w:r>
          </w:p>
        </w:tc>
        <w:tc>
          <w:tcPr>
            <w:tcW w:w="976" w:type="dxa"/>
          </w:tcPr>
          <w:p w:rsidR="0009727D" w:rsidRPr="00B53CCE" w:rsidRDefault="0009727D" w:rsidP="00B53CCE">
            <w:pPr>
              <w:ind w:left="-25"/>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Both</w:t>
            </w:r>
          </w:p>
        </w:tc>
        <w:tc>
          <w:tcPr>
            <w:tcW w:w="728"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1.3</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1.3</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09727D" w:rsidP="00296E67">
            <w:pPr>
              <w:rPr>
                <w:rFonts w:ascii="Times New Roman" w:hAnsi="Times New Roman"/>
                <w:b w:val="0"/>
                <w:sz w:val="18"/>
                <w:szCs w:val="18"/>
              </w:rPr>
            </w:pPr>
            <w:r w:rsidRPr="00B53CCE">
              <w:rPr>
                <w:rFonts w:ascii="Times New Roman" w:hAnsi="Times New Roman"/>
                <w:b w:val="0"/>
                <w:sz w:val="18"/>
                <w:szCs w:val="18"/>
              </w:rPr>
              <w:t>NT</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 xml:space="preserve">Public </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2.8</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1.8</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5.5</w:t>
            </w:r>
          </w:p>
        </w:tc>
      </w:tr>
      <w:tr w:rsidR="007C66B7" w:rsidRPr="00B53CCE" w:rsidTr="007B6132">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7C66B7" w:rsidP="00296E67">
            <w:pPr>
              <w:rPr>
                <w:rFonts w:ascii="Times New Roman" w:hAnsi="Times New Roman"/>
                <w:b w:val="0"/>
                <w:sz w:val="18"/>
                <w:szCs w:val="18"/>
              </w:rPr>
            </w:pPr>
            <w:r w:rsidRPr="007B6132">
              <w:rPr>
                <w:rFonts w:ascii="Times New Roman" w:hAnsi="Times New Roman"/>
                <w:b w:val="0"/>
                <w:color w:val="17365D" w:themeColor="text2" w:themeShade="BF"/>
                <w:sz w:val="18"/>
                <w:szCs w:val="18"/>
              </w:rPr>
              <w:t>NT</w:t>
            </w:r>
          </w:p>
        </w:tc>
        <w:tc>
          <w:tcPr>
            <w:tcW w:w="976" w:type="dxa"/>
          </w:tcPr>
          <w:p w:rsidR="0009727D" w:rsidRPr="00B53CCE" w:rsidRDefault="0009727D" w:rsidP="00B53CCE">
            <w:pPr>
              <w:ind w:left="-25"/>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Private</w:t>
            </w:r>
          </w:p>
        </w:tc>
        <w:tc>
          <w:tcPr>
            <w:tcW w:w="728"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1.0</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09727D" w:rsidP="00296E67">
            <w:pPr>
              <w:rPr>
                <w:rFonts w:ascii="Times New Roman" w:hAnsi="Times New Roman"/>
                <w:b w:val="0"/>
                <w:sz w:val="18"/>
                <w:szCs w:val="18"/>
              </w:rPr>
            </w:pPr>
            <w:r w:rsidRPr="00B53CCE">
              <w:rPr>
                <w:rFonts w:ascii="Times New Roman" w:hAnsi="Times New Roman"/>
                <w:b w:val="0"/>
                <w:sz w:val="18"/>
                <w:szCs w:val="18"/>
              </w:rPr>
              <w:t>ACT</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 xml:space="preserve">Public </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5.1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8.2</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3.3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2.2</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21.9</w:t>
            </w:r>
          </w:p>
        </w:tc>
      </w:tr>
      <w:tr w:rsidR="007C66B7" w:rsidRPr="00B53CCE" w:rsidTr="007B6132">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7C66B7" w:rsidP="00296E67">
            <w:pPr>
              <w:rPr>
                <w:rFonts w:ascii="Times New Roman" w:hAnsi="Times New Roman"/>
                <w:b w:val="0"/>
                <w:sz w:val="18"/>
                <w:szCs w:val="18"/>
              </w:rPr>
            </w:pPr>
            <w:r w:rsidRPr="007B6132">
              <w:rPr>
                <w:rFonts w:ascii="Times New Roman" w:hAnsi="Times New Roman"/>
                <w:b w:val="0"/>
                <w:color w:val="17365D" w:themeColor="text2" w:themeShade="BF"/>
                <w:sz w:val="18"/>
                <w:szCs w:val="18"/>
              </w:rPr>
              <w:t>ACT</w:t>
            </w:r>
          </w:p>
        </w:tc>
        <w:tc>
          <w:tcPr>
            <w:tcW w:w="976" w:type="dxa"/>
          </w:tcPr>
          <w:p w:rsidR="0009727D" w:rsidRPr="00B53CCE" w:rsidRDefault="0009727D" w:rsidP="00B53CCE">
            <w:pPr>
              <w:ind w:left="-25"/>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Private</w:t>
            </w:r>
          </w:p>
        </w:tc>
        <w:tc>
          <w:tcPr>
            <w:tcW w:w="728"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1.0</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2.0</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B53CCE" w:rsidRDefault="0009727D" w:rsidP="00296E67">
            <w:pPr>
              <w:rPr>
                <w:rFonts w:ascii="Times New Roman" w:hAnsi="Times New Roman"/>
                <w:b w:val="0"/>
                <w:sz w:val="18"/>
                <w:szCs w:val="18"/>
              </w:rPr>
            </w:pPr>
            <w:r w:rsidRPr="00B53CCE">
              <w:rPr>
                <w:rFonts w:ascii="Times New Roman" w:hAnsi="Times New Roman"/>
                <w:b w:val="0"/>
                <w:sz w:val="18"/>
                <w:szCs w:val="18"/>
              </w:rPr>
              <w:t>Australia</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 xml:space="preserve">% Public </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97%</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97%</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95%</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88%</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85%</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88%</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91%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93%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95%</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93%</w:t>
            </w:r>
          </w:p>
        </w:tc>
      </w:tr>
      <w:tr w:rsidR="007C66B7" w:rsidRPr="00B53CCE" w:rsidTr="007B6132">
        <w:tc>
          <w:tcPr>
            <w:cnfStyle w:val="001000000000" w:firstRow="0" w:lastRow="0" w:firstColumn="1" w:lastColumn="0" w:oddVBand="0" w:evenVBand="0" w:oddHBand="0" w:evenHBand="0" w:firstRowFirstColumn="0" w:firstRowLastColumn="0" w:lastRowFirstColumn="0" w:lastRowLastColumn="0"/>
            <w:tcW w:w="975" w:type="dxa"/>
          </w:tcPr>
          <w:p w:rsidR="0009727D" w:rsidRPr="007B6132" w:rsidRDefault="007C66B7" w:rsidP="00296E67">
            <w:pPr>
              <w:rPr>
                <w:rFonts w:ascii="Times New Roman" w:hAnsi="Times New Roman"/>
                <w:b w:val="0"/>
                <w:color w:val="17365D" w:themeColor="text2" w:themeShade="BF"/>
                <w:sz w:val="18"/>
                <w:szCs w:val="18"/>
              </w:rPr>
            </w:pPr>
            <w:r w:rsidRPr="007B6132">
              <w:rPr>
                <w:rFonts w:ascii="Times New Roman" w:hAnsi="Times New Roman"/>
                <w:b w:val="0"/>
                <w:color w:val="17365D" w:themeColor="text2" w:themeShade="BF"/>
                <w:sz w:val="18"/>
                <w:szCs w:val="18"/>
              </w:rPr>
              <w:t>Australia</w:t>
            </w:r>
          </w:p>
        </w:tc>
        <w:tc>
          <w:tcPr>
            <w:tcW w:w="976" w:type="dxa"/>
          </w:tcPr>
          <w:p w:rsidR="0009727D" w:rsidRPr="00B53CCE" w:rsidRDefault="0009727D" w:rsidP="00B53CCE">
            <w:pPr>
              <w:ind w:left="-25"/>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 Private</w:t>
            </w:r>
          </w:p>
        </w:tc>
        <w:tc>
          <w:tcPr>
            <w:tcW w:w="728"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2%</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5%</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8%</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6%</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5%</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3%</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5%</w:t>
            </w:r>
          </w:p>
        </w:tc>
        <w:tc>
          <w:tcPr>
            <w:tcW w:w="729" w:type="dxa"/>
          </w:tcPr>
          <w:p w:rsidR="0009727D" w:rsidRPr="00B53CCE" w:rsidRDefault="0009727D" w:rsidP="0009727D">
            <w:pPr>
              <w:jc w:val="right"/>
              <w:cnfStyle w:val="000000000000" w:firstRow="0" w:lastRow="0" w:firstColumn="0" w:lastColumn="0" w:oddVBand="0" w:evenVBand="0" w:oddHBand="0" w:evenHBand="0" w:firstRowFirstColumn="0" w:firstRowLastColumn="0" w:lastRowFirstColumn="0" w:lastRowLastColumn="0"/>
              <w:rPr>
                <w:sz w:val="18"/>
                <w:szCs w:val="18"/>
              </w:rPr>
            </w:pPr>
            <w:r w:rsidRPr="00B53CCE">
              <w:rPr>
                <w:sz w:val="18"/>
                <w:szCs w:val="18"/>
              </w:rPr>
              <w:t>4%</w:t>
            </w:r>
          </w:p>
        </w:tc>
      </w:tr>
      <w:tr w:rsidR="007B6132" w:rsidRPr="00B53CCE" w:rsidTr="007B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rsidR="0009727D" w:rsidRPr="007B6132" w:rsidRDefault="007C66B7" w:rsidP="00296E67">
            <w:pPr>
              <w:rPr>
                <w:rFonts w:ascii="Times New Roman" w:hAnsi="Times New Roman"/>
                <w:b w:val="0"/>
                <w:color w:val="17365D" w:themeColor="text2" w:themeShade="BF"/>
                <w:sz w:val="18"/>
                <w:szCs w:val="18"/>
              </w:rPr>
            </w:pPr>
            <w:r w:rsidRPr="007B6132">
              <w:rPr>
                <w:rFonts w:ascii="Times New Roman" w:hAnsi="Times New Roman"/>
                <w:b w:val="0"/>
                <w:color w:val="17365D" w:themeColor="text2" w:themeShade="BF"/>
                <w:sz w:val="18"/>
                <w:szCs w:val="18"/>
              </w:rPr>
              <w:t>Australia</w:t>
            </w:r>
          </w:p>
        </w:tc>
        <w:tc>
          <w:tcPr>
            <w:tcW w:w="976" w:type="dxa"/>
          </w:tcPr>
          <w:p w:rsidR="0009727D" w:rsidRPr="00B53CCE" w:rsidRDefault="0009727D" w:rsidP="00B53CCE">
            <w:pPr>
              <w:ind w:left="-25"/>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 Both</w:t>
            </w:r>
          </w:p>
        </w:tc>
        <w:tc>
          <w:tcPr>
            <w:tcW w:w="728"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1%</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7%</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7%</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5%</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4%</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3%</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0%</w:t>
            </w:r>
          </w:p>
        </w:tc>
        <w:tc>
          <w:tcPr>
            <w:tcW w:w="729" w:type="dxa"/>
          </w:tcPr>
          <w:p w:rsidR="0009727D" w:rsidRPr="00B53CCE" w:rsidRDefault="0009727D" w:rsidP="0009727D">
            <w:pPr>
              <w:jc w:val="right"/>
              <w:cnfStyle w:val="000000100000" w:firstRow="0" w:lastRow="0" w:firstColumn="0" w:lastColumn="0" w:oddVBand="0" w:evenVBand="0" w:oddHBand="1" w:evenHBand="0" w:firstRowFirstColumn="0" w:firstRowLastColumn="0" w:lastRowFirstColumn="0" w:lastRowLastColumn="0"/>
              <w:rPr>
                <w:sz w:val="18"/>
                <w:szCs w:val="18"/>
              </w:rPr>
            </w:pPr>
            <w:r w:rsidRPr="00B53CCE">
              <w:rPr>
                <w:sz w:val="18"/>
                <w:szCs w:val="18"/>
              </w:rPr>
              <w:t>4%</w:t>
            </w:r>
          </w:p>
        </w:tc>
      </w:tr>
    </w:tbl>
    <w:p w:rsidR="00296E67" w:rsidRDefault="0009727D" w:rsidP="00C64C65">
      <w:pPr>
        <w:spacing w:before="120"/>
        <w:rPr>
          <w:i/>
          <w:sz w:val="16"/>
          <w:szCs w:val="22"/>
        </w:rPr>
      </w:pPr>
      <w:r w:rsidRPr="006B2C04">
        <w:rPr>
          <w:i/>
          <w:sz w:val="16"/>
          <w:szCs w:val="22"/>
        </w:rPr>
        <w:t xml:space="preserve">Source: </w:t>
      </w:r>
      <w:proofErr w:type="spellStart"/>
      <w:r w:rsidRPr="006B2C04">
        <w:rPr>
          <w:i/>
          <w:sz w:val="16"/>
          <w:szCs w:val="22"/>
        </w:rPr>
        <w:t>NHWDS</w:t>
      </w:r>
      <w:proofErr w:type="spellEnd"/>
      <w:r w:rsidRPr="006B2C04">
        <w:rPr>
          <w:i/>
          <w:sz w:val="16"/>
          <w:szCs w:val="22"/>
        </w:rPr>
        <w:t>, Medical Practitioner 2013</w:t>
      </w:r>
    </w:p>
    <w:p w:rsidR="00D547FF" w:rsidRPr="000D1E02" w:rsidRDefault="00D547FF" w:rsidP="00D547FF">
      <w:pPr>
        <w:spacing w:before="120" w:after="120"/>
        <w:rPr>
          <w:szCs w:val="22"/>
        </w:rPr>
      </w:pPr>
      <w:r w:rsidRPr="002E6CA0">
        <w:rPr>
          <w:szCs w:val="22"/>
        </w:rPr>
        <w:t xml:space="preserve">The majority of the trainees are located in the public sector throughout all remoteness areas, </w:t>
      </w:r>
      <w:r w:rsidR="00F42F7B">
        <w:rPr>
          <w:szCs w:val="22"/>
        </w:rPr>
        <w:t>noting</w:t>
      </w:r>
      <w:r w:rsidR="00F42F7B" w:rsidRPr="002E6CA0">
        <w:rPr>
          <w:szCs w:val="22"/>
        </w:rPr>
        <w:t xml:space="preserve"> </w:t>
      </w:r>
      <w:r w:rsidRPr="002E6CA0">
        <w:rPr>
          <w:szCs w:val="22"/>
        </w:rPr>
        <w:t xml:space="preserve">that in remote </w:t>
      </w:r>
      <w:proofErr w:type="gramStart"/>
      <w:r w:rsidR="0027604A" w:rsidRPr="002E6CA0">
        <w:rPr>
          <w:szCs w:val="22"/>
        </w:rPr>
        <w:t>area</w:t>
      </w:r>
      <w:r w:rsidR="0027604A">
        <w:rPr>
          <w:szCs w:val="22"/>
        </w:rPr>
        <w:t>s,</w:t>
      </w:r>
      <w:proofErr w:type="gramEnd"/>
      <w:r w:rsidRPr="002E6CA0">
        <w:rPr>
          <w:szCs w:val="22"/>
        </w:rPr>
        <w:t xml:space="preserve"> almost equal numbers of trainees are located in the public (51.9 per cent) and private (48.1 per cent) sector. In the major cities and inner regional areas</w:t>
      </w:r>
      <w:r w:rsidR="00F42F7B">
        <w:rPr>
          <w:szCs w:val="22"/>
        </w:rPr>
        <w:t>,</w:t>
      </w:r>
      <w:r w:rsidRPr="002E6CA0">
        <w:rPr>
          <w:szCs w:val="22"/>
        </w:rPr>
        <w:t xml:space="preserve"> there </w:t>
      </w:r>
      <w:r w:rsidR="00F42F7B">
        <w:rPr>
          <w:szCs w:val="22"/>
        </w:rPr>
        <w:t>were</w:t>
      </w:r>
      <w:r w:rsidR="00F42F7B" w:rsidRPr="002E6CA0">
        <w:rPr>
          <w:szCs w:val="22"/>
        </w:rPr>
        <w:t xml:space="preserve"> </w:t>
      </w:r>
      <w:r w:rsidR="0036336D" w:rsidRPr="002E6CA0">
        <w:rPr>
          <w:szCs w:val="22"/>
        </w:rPr>
        <w:t>small percentages</w:t>
      </w:r>
      <w:r w:rsidR="00F42F7B">
        <w:rPr>
          <w:szCs w:val="22"/>
        </w:rPr>
        <w:t xml:space="preserve"> of trainees who</w:t>
      </w:r>
      <w:r w:rsidR="0036336D" w:rsidRPr="002E6CA0">
        <w:rPr>
          <w:szCs w:val="22"/>
        </w:rPr>
        <w:t xml:space="preserve"> were</w:t>
      </w:r>
      <w:r w:rsidRPr="002E6CA0">
        <w:rPr>
          <w:szCs w:val="22"/>
        </w:rPr>
        <w:t xml:space="preserve"> training in both the public and private sector. In major cities</w:t>
      </w:r>
      <w:r w:rsidR="00F42F7B">
        <w:rPr>
          <w:szCs w:val="22"/>
        </w:rPr>
        <w:t>,</w:t>
      </w:r>
      <w:r w:rsidRPr="002E6CA0">
        <w:rPr>
          <w:szCs w:val="22"/>
        </w:rPr>
        <w:t xml:space="preserve"> this percentage </w:t>
      </w:r>
      <w:r w:rsidR="00F42F7B">
        <w:rPr>
          <w:szCs w:val="22"/>
        </w:rPr>
        <w:t>was</w:t>
      </w:r>
      <w:r w:rsidR="00F42F7B" w:rsidRPr="002E6CA0">
        <w:rPr>
          <w:szCs w:val="22"/>
        </w:rPr>
        <w:t xml:space="preserve"> </w:t>
      </w:r>
      <w:r w:rsidRPr="002E6CA0">
        <w:rPr>
          <w:szCs w:val="22"/>
        </w:rPr>
        <w:t xml:space="preserve">the same as the private sector only trainees (4 per cent), while in inner regional </w:t>
      </w:r>
      <w:r w:rsidR="00F42F7B">
        <w:rPr>
          <w:szCs w:val="22"/>
        </w:rPr>
        <w:t xml:space="preserve">areas </w:t>
      </w:r>
      <w:r w:rsidRPr="002E6CA0">
        <w:rPr>
          <w:szCs w:val="22"/>
        </w:rPr>
        <w:t xml:space="preserve">those that </w:t>
      </w:r>
      <w:r w:rsidR="00F42F7B">
        <w:rPr>
          <w:szCs w:val="22"/>
        </w:rPr>
        <w:t>were</w:t>
      </w:r>
      <w:r w:rsidR="00F42F7B" w:rsidRPr="002E6CA0">
        <w:rPr>
          <w:szCs w:val="22"/>
        </w:rPr>
        <w:t xml:space="preserve"> </w:t>
      </w:r>
      <w:r w:rsidRPr="002E6CA0">
        <w:rPr>
          <w:szCs w:val="22"/>
        </w:rPr>
        <w:t xml:space="preserve">training in both </w:t>
      </w:r>
      <w:r w:rsidR="00F42F7B">
        <w:rPr>
          <w:szCs w:val="22"/>
        </w:rPr>
        <w:t xml:space="preserve">the public and private sector was </w:t>
      </w:r>
      <w:r w:rsidRPr="002E6CA0">
        <w:rPr>
          <w:szCs w:val="22"/>
        </w:rPr>
        <w:t xml:space="preserve">double those that </w:t>
      </w:r>
      <w:r w:rsidR="00F42F7B">
        <w:rPr>
          <w:szCs w:val="22"/>
        </w:rPr>
        <w:t>were</w:t>
      </w:r>
      <w:r w:rsidR="00F42F7B" w:rsidRPr="002E6CA0">
        <w:rPr>
          <w:szCs w:val="22"/>
        </w:rPr>
        <w:t xml:space="preserve"> </w:t>
      </w:r>
      <w:r w:rsidRPr="002E6CA0">
        <w:rPr>
          <w:szCs w:val="22"/>
        </w:rPr>
        <w:t xml:space="preserve">training </w:t>
      </w:r>
      <w:r w:rsidR="00F42F7B">
        <w:rPr>
          <w:szCs w:val="22"/>
        </w:rPr>
        <w:t xml:space="preserve">in the </w:t>
      </w:r>
      <w:r w:rsidRPr="002E6CA0">
        <w:rPr>
          <w:szCs w:val="22"/>
        </w:rPr>
        <w:t xml:space="preserve">private </w:t>
      </w:r>
      <w:r w:rsidR="00F42F7B">
        <w:rPr>
          <w:szCs w:val="22"/>
        </w:rPr>
        <w:t xml:space="preserve">sector </w:t>
      </w:r>
      <w:r w:rsidRPr="002E6CA0">
        <w:rPr>
          <w:szCs w:val="22"/>
        </w:rPr>
        <w:t xml:space="preserve">only. </w:t>
      </w:r>
    </w:p>
    <w:p w:rsidR="00D547FF" w:rsidRPr="004E10A8" w:rsidRDefault="00D547FF" w:rsidP="003C642E">
      <w:pPr>
        <w:pStyle w:val="Heading4"/>
        <w:jc w:val="left"/>
      </w:pPr>
      <w:r w:rsidRPr="004E10A8">
        <w:t xml:space="preserve">Figure </w:t>
      </w:r>
      <w:r w:rsidR="00227D87" w:rsidRPr="004E10A8">
        <w:t>12</w:t>
      </w:r>
      <w:r w:rsidRPr="004E10A8">
        <w:t xml:space="preserve"> – Proportion of trainees by geographic distribution (remoteness area) and sector</w:t>
      </w:r>
    </w:p>
    <w:p w:rsidR="00D547FF" w:rsidRPr="00DC0BBE" w:rsidRDefault="00D547FF" w:rsidP="00D84538">
      <w:pPr>
        <w:spacing w:before="120"/>
        <w:rPr>
          <w:rFonts w:ascii="Arial" w:hAnsi="Arial" w:cs="Arial"/>
          <w:b/>
          <w:szCs w:val="22"/>
        </w:rPr>
      </w:pPr>
      <w:r w:rsidRPr="00DC0BBE">
        <w:rPr>
          <w:rFonts w:ascii="Arial" w:hAnsi="Arial" w:cs="Arial"/>
          <w:noProof/>
          <w:lang w:eastAsia="en-AU"/>
        </w:rPr>
        <w:drawing>
          <wp:inline distT="0" distB="0" distL="0" distR="0" wp14:anchorId="61D363BD" wp14:editId="05A624C7">
            <wp:extent cx="5731099" cy="1906073"/>
            <wp:effectExtent l="0" t="0" r="22225" b="18415"/>
            <wp:docPr id="35" name="Chart 35" descr="In major cities 92.1% work in the public sector, 4 % in private and 4% work across both sectors.&#10;In the inner regional areas 95.8% work in the public sector 1.3 in private and 2.9% work across both sectors.&#10;In the outer region 100% work in the public sector&#10;In the remote region 51.9% work in the public sector and 48.1% in the private sector.&#10;&#10; " title="Figure 12 – Proportion of trainees by geographic distribution (remoteness area) and secto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547FF" w:rsidRPr="00DD21A6" w:rsidRDefault="00D547FF" w:rsidP="00C64C65">
      <w:pPr>
        <w:spacing w:before="120"/>
        <w:rPr>
          <w:i/>
          <w:sz w:val="16"/>
          <w:szCs w:val="22"/>
        </w:rPr>
      </w:pPr>
      <w:r w:rsidRPr="00DD21A6">
        <w:rPr>
          <w:i/>
          <w:sz w:val="16"/>
          <w:szCs w:val="22"/>
        </w:rPr>
        <w:t xml:space="preserve">Source: </w:t>
      </w:r>
      <w:proofErr w:type="spellStart"/>
      <w:r w:rsidRPr="00DD21A6">
        <w:rPr>
          <w:i/>
          <w:sz w:val="16"/>
          <w:szCs w:val="22"/>
        </w:rPr>
        <w:t>NHWDS</w:t>
      </w:r>
      <w:proofErr w:type="spellEnd"/>
      <w:r w:rsidRPr="00DD21A6">
        <w:rPr>
          <w:i/>
          <w:sz w:val="16"/>
          <w:szCs w:val="22"/>
        </w:rPr>
        <w:t>, Medical Practitioner 2013</w:t>
      </w:r>
    </w:p>
    <w:p w:rsidR="00CD01E6" w:rsidRPr="00AA0A42" w:rsidRDefault="00DD21A6" w:rsidP="00B831A8">
      <w:pPr>
        <w:pStyle w:val="Heading3"/>
      </w:pPr>
      <w:r>
        <w:br w:type="page"/>
      </w:r>
      <w:bookmarkStart w:id="27" w:name="_Toc445986948"/>
      <w:r w:rsidR="00CD01E6" w:rsidRPr="00AA0A42">
        <w:lastRenderedPageBreak/>
        <w:t>Pre-vocational intentions</w:t>
      </w:r>
      <w:bookmarkEnd w:id="27"/>
    </w:p>
    <w:p w:rsidR="00CD01E6" w:rsidRDefault="00CD01E6" w:rsidP="007C3173">
      <w:pPr>
        <w:spacing w:before="120" w:after="120"/>
        <w:rPr>
          <w:szCs w:val="22"/>
        </w:rPr>
      </w:pPr>
      <w:r w:rsidRPr="0090788F">
        <w:rPr>
          <w:szCs w:val="22"/>
        </w:rPr>
        <w:t xml:space="preserve">For the first time in 2013, the medical practitioner workforce survey asked </w:t>
      </w:r>
      <w:r w:rsidR="0082472C">
        <w:rPr>
          <w:szCs w:val="22"/>
        </w:rPr>
        <w:t xml:space="preserve">a </w:t>
      </w:r>
      <w:r w:rsidRPr="0090788F">
        <w:rPr>
          <w:szCs w:val="22"/>
        </w:rPr>
        <w:t xml:space="preserve">question pertaining to their workforce intentions, </w:t>
      </w:r>
      <w:r w:rsidR="006A498A">
        <w:rPr>
          <w:szCs w:val="22"/>
        </w:rPr>
        <w:t>with</w:t>
      </w:r>
      <w:r w:rsidR="006A498A" w:rsidRPr="0090788F">
        <w:rPr>
          <w:szCs w:val="22"/>
        </w:rPr>
        <w:t xml:space="preserve"> </w:t>
      </w:r>
      <w:r w:rsidRPr="0090788F">
        <w:rPr>
          <w:szCs w:val="22"/>
        </w:rPr>
        <w:t xml:space="preserve">162 </w:t>
      </w:r>
      <w:r w:rsidR="00D843AB">
        <w:rPr>
          <w:szCs w:val="22"/>
        </w:rPr>
        <w:t>H</w:t>
      </w:r>
      <w:r w:rsidRPr="0090788F">
        <w:rPr>
          <w:szCs w:val="22"/>
        </w:rPr>
        <w:t xml:space="preserve">ospital </w:t>
      </w:r>
      <w:r w:rsidR="00D843AB">
        <w:rPr>
          <w:szCs w:val="22"/>
        </w:rPr>
        <w:t>N</w:t>
      </w:r>
      <w:r w:rsidRPr="0090788F">
        <w:rPr>
          <w:szCs w:val="22"/>
        </w:rPr>
        <w:t>on-</w:t>
      </w:r>
      <w:r w:rsidR="00D843AB">
        <w:rPr>
          <w:szCs w:val="22"/>
        </w:rPr>
        <w:t>S</w:t>
      </w:r>
      <w:r w:rsidRPr="0090788F">
        <w:rPr>
          <w:szCs w:val="22"/>
        </w:rPr>
        <w:t>pecialists (</w:t>
      </w:r>
      <w:proofErr w:type="spellStart"/>
      <w:r w:rsidRPr="0090788F">
        <w:rPr>
          <w:szCs w:val="22"/>
        </w:rPr>
        <w:t>HNS</w:t>
      </w:r>
      <w:proofErr w:type="spellEnd"/>
      <w:r w:rsidRPr="0090788F">
        <w:rPr>
          <w:szCs w:val="22"/>
        </w:rPr>
        <w:t xml:space="preserve">) </w:t>
      </w:r>
      <w:r w:rsidR="006A498A">
        <w:rPr>
          <w:szCs w:val="22"/>
        </w:rPr>
        <w:t>intending</w:t>
      </w:r>
      <w:r w:rsidR="006A498A" w:rsidRPr="0090788F">
        <w:rPr>
          <w:szCs w:val="22"/>
        </w:rPr>
        <w:t xml:space="preserve"> </w:t>
      </w:r>
      <w:r w:rsidRPr="0090788F">
        <w:rPr>
          <w:szCs w:val="22"/>
        </w:rPr>
        <w:t>to undertake specialist psychiatry training, with the following characteristics:</w:t>
      </w:r>
    </w:p>
    <w:p w:rsidR="00D75DE7" w:rsidRPr="00114D56" w:rsidRDefault="00D75DE7" w:rsidP="00D510F1">
      <w:pPr>
        <w:pStyle w:val="ListParagraph"/>
        <w:numPr>
          <w:ilvl w:val="0"/>
          <w:numId w:val="15"/>
        </w:numPr>
        <w:spacing w:before="120" w:after="120"/>
        <w:ind w:left="426" w:hanging="426"/>
        <w:rPr>
          <w:szCs w:val="22"/>
        </w:rPr>
      </w:pPr>
      <w:r w:rsidRPr="00114D56">
        <w:rPr>
          <w:szCs w:val="22"/>
        </w:rPr>
        <w:t xml:space="preserve">65% of the </w:t>
      </w:r>
      <w:proofErr w:type="spellStart"/>
      <w:r w:rsidRPr="00114D56">
        <w:rPr>
          <w:szCs w:val="22"/>
        </w:rPr>
        <w:t>HNS</w:t>
      </w:r>
      <w:proofErr w:type="spellEnd"/>
      <w:r w:rsidRPr="00114D56">
        <w:rPr>
          <w:szCs w:val="22"/>
        </w:rPr>
        <w:t xml:space="preserve"> who intended to undertake specialist psychiatry training were aged between 25 – 34 years of age.</w:t>
      </w:r>
    </w:p>
    <w:p w:rsidR="00D75DE7" w:rsidRPr="00114D56" w:rsidRDefault="00D75DE7" w:rsidP="00D510F1">
      <w:pPr>
        <w:pStyle w:val="ListParagraph"/>
        <w:numPr>
          <w:ilvl w:val="0"/>
          <w:numId w:val="15"/>
        </w:numPr>
        <w:spacing w:before="120" w:after="120"/>
        <w:ind w:left="426" w:hanging="426"/>
        <w:rPr>
          <w:szCs w:val="22"/>
        </w:rPr>
      </w:pPr>
      <w:r w:rsidRPr="00114D56">
        <w:rPr>
          <w:szCs w:val="22"/>
        </w:rPr>
        <w:t>Just over half (52%) of hospital non-specialists intending to undertake specialist psychiatry training were female.</w:t>
      </w:r>
    </w:p>
    <w:p w:rsidR="00D75DE7" w:rsidRPr="00114D56" w:rsidRDefault="00D75DE7" w:rsidP="00D510F1">
      <w:pPr>
        <w:pStyle w:val="ListParagraph"/>
        <w:numPr>
          <w:ilvl w:val="0"/>
          <w:numId w:val="15"/>
        </w:numPr>
        <w:spacing w:before="120" w:after="120"/>
        <w:ind w:left="426" w:hanging="426"/>
        <w:rPr>
          <w:szCs w:val="22"/>
        </w:rPr>
      </w:pPr>
      <w:r w:rsidRPr="00114D56">
        <w:rPr>
          <w:szCs w:val="22"/>
        </w:rPr>
        <w:t xml:space="preserve">75% of </w:t>
      </w:r>
      <w:proofErr w:type="spellStart"/>
      <w:r w:rsidRPr="00114D56">
        <w:rPr>
          <w:szCs w:val="22"/>
        </w:rPr>
        <w:t>HNS</w:t>
      </w:r>
      <w:proofErr w:type="spellEnd"/>
      <w:r w:rsidRPr="00114D56">
        <w:rPr>
          <w:szCs w:val="22"/>
        </w:rPr>
        <w:t xml:space="preserve"> intending to undertake specialist psychiatry training were located in major cities and 60% were located in the highly populated states of NSW and VIC.</w:t>
      </w:r>
    </w:p>
    <w:p w:rsidR="00D75DE7" w:rsidRPr="00114D56" w:rsidRDefault="00D75DE7" w:rsidP="00D510F1">
      <w:pPr>
        <w:pStyle w:val="ListParagraph"/>
        <w:numPr>
          <w:ilvl w:val="0"/>
          <w:numId w:val="15"/>
        </w:numPr>
        <w:spacing w:before="120" w:after="120"/>
        <w:ind w:left="426" w:hanging="426"/>
        <w:rPr>
          <w:szCs w:val="22"/>
        </w:rPr>
      </w:pPr>
      <w:r w:rsidRPr="00114D56">
        <w:rPr>
          <w:szCs w:val="22"/>
        </w:rPr>
        <w:t>41% of hospital non-specialists who intended to undertake specialist psychiatry training were working as Resident Medical Officers (</w:t>
      </w:r>
      <w:proofErr w:type="spellStart"/>
      <w:r w:rsidRPr="00114D56">
        <w:rPr>
          <w:szCs w:val="22"/>
        </w:rPr>
        <w:t>RMOs</w:t>
      </w:r>
      <w:proofErr w:type="spellEnd"/>
      <w:r w:rsidRPr="00114D56">
        <w:rPr>
          <w:szCs w:val="22"/>
        </w:rPr>
        <w:t>).</w:t>
      </w:r>
    </w:p>
    <w:p w:rsidR="00CD01E6" w:rsidRPr="00114D56" w:rsidRDefault="00CD01E6" w:rsidP="00D75DE7">
      <w:pPr>
        <w:rPr>
          <w:i/>
          <w:sz w:val="16"/>
          <w:szCs w:val="18"/>
        </w:rPr>
      </w:pPr>
      <w:r w:rsidRPr="00114D56">
        <w:rPr>
          <w:i/>
          <w:sz w:val="16"/>
          <w:szCs w:val="18"/>
        </w:rPr>
        <w:t xml:space="preserve">Source: </w:t>
      </w:r>
      <w:proofErr w:type="spellStart"/>
      <w:r w:rsidRPr="00114D56">
        <w:rPr>
          <w:i/>
          <w:sz w:val="16"/>
          <w:szCs w:val="18"/>
        </w:rPr>
        <w:t>NHWDS</w:t>
      </w:r>
      <w:proofErr w:type="spellEnd"/>
      <w:r w:rsidRPr="00114D56">
        <w:rPr>
          <w:i/>
          <w:sz w:val="16"/>
          <w:szCs w:val="18"/>
        </w:rPr>
        <w:t>, Medical Practitioner 2013</w:t>
      </w:r>
    </w:p>
    <w:p w:rsidR="00CD01E6" w:rsidRPr="005E1E76" w:rsidRDefault="00CD01E6" w:rsidP="00CD01E6">
      <w:pPr>
        <w:spacing w:before="120" w:after="120"/>
        <w:rPr>
          <w:szCs w:val="22"/>
        </w:rPr>
      </w:pPr>
      <w:r w:rsidRPr="0090788F">
        <w:rPr>
          <w:szCs w:val="22"/>
        </w:rPr>
        <w:t xml:space="preserve">The majority (41 per cent) of </w:t>
      </w:r>
      <w:proofErr w:type="spellStart"/>
      <w:r w:rsidRPr="0090788F">
        <w:rPr>
          <w:szCs w:val="22"/>
        </w:rPr>
        <w:t>HNS</w:t>
      </w:r>
      <w:proofErr w:type="spellEnd"/>
      <w:r w:rsidRPr="0090788F">
        <w:rPr>
          <w:szCs w:val="22"/>
        </w:rPr>
        <w:t xml:space="preserve"> intending to undertake psychiatry training were in a vocation of </w:t>
      </w:r>
      <w:proofErr w:type="spellStart"/>
      <w:r w:rsidRPr="0090788F">
        <w:rPr>
          <w:szCs w:val="22"/>
        </w:rPr>
        <w:t>RMO</w:t>
      </w:r>
      <w:proofErr w:type="spellEnd"/>
      <w:r w:rsidRPr="0090788F">
        <w:rPr>
          <w:szCs w:val="22"/>
        </w:rPr>
        <w:t xml:space="preserve">, as shown in Figure </w:t>
      </w:r>
      <w:r w:rsidR="00A16DEC">
        <w:rPr>
          <w:szCs w:val="22"/>
        </w:rPr>
        <w:t>13</w:t>
      </w:r>
      <w:r w:rsidRPr="0090788F">
        <w:rPr>
          <w:szCs w:val="22"/>
        </w:rPr>
        <w:t xml:space="preserve"> below, followed by Hospital Medical Officers </w:t>
      </w:r>
      <w:r w:rsidR="006A498A">
        <w:rPr>
          <w:szCs w:val="22"/>
        </w:rPr>
        <w:br/>
      </w:r>
      <w:r w:rsidRPr="0090788F">
        <w:rPr>
          <w:szCs w:val="22"/>
        </w:rPr>
        <w:t xml:space="preserve">(21 per cent) and Registrars (18 per cent). </w:t>
      </w:r>
    </w:p>
    <w:p w:rsidR="00CD01E6" w:rsidRPr="0079780A" w:rsidRDefault="00CD01E6" w:rsidP="003C642E">
      <w:pPr>
        <w:pStyle w:val="Heading4"/>
      </w:pPr>
      <w:bookmarkStart w:id="28" w:name="_Ref414437871"/>
      <w:r w:rsidRPr="0079780A">
        <w:t xml:space="preserve">Figure </w:t>
      </w:r>
      <w:bookmarkEnd w:id="28"/>
      <w:r w:rsidR="004878FC">
        <w:t>13</w:t>
      </w:r>
      <w:r w:rsidRPr="0079780A">
        <w:t xml:space="preserve"> – </w:t>
      </w:r>
      <w:proofErr w:type="spellStart"/>
      <w:r w:rsidRPr="0079780A">
        <w:t>HNS</w:t>
      </w:r>
      <w:proofErr w:type="spellEnd"/>
      <w:r w:rsidRPr="0079780A">
        <w:t xml:space="preserve"> wh</w:t>
      </w:r>
      <w:r w:rsidR="00137333">
        <w:t>o intend to undertake</w:t>
      </w:r>
      <w:r w:rsidRPr="0079780A">
        <w:t xml:space="preserve"> psychiatry training by vocation</w:t>
      </w:r>
    </w:p>
    <w:p w:rsidR="00CD01E6" w:rsidRPr="00DC0BBE" w:rsidRDefault="00CD01E6" w:rsidP="00D84538">
      <w:pPr>
        <w:spacing w:before="120"/>
        <w:rPr>
          <w:rFonts w:ascii="Arial" w:hAnsi="Arial" w:cs="Arial"/>
          <w:sz w:val="18"/>
          <w:szCs w:val="22"/>
        </w:rPr>
      </w:pPr>
      <w:r w:rsidRPr="00DC0BBE">
        <w:rPr>
          <w:rFonts w:ascii="Arial" w:hAnsi="Arial" w:cs="Arial"/>
          <w:noProof/>
          <w:lang w:eastAsia="en-AU"/>
        </w:rPr>
        <w:drawing>
          <wp:inline distT="0" distB="0" distL="0" distR="0" wp14:anchorId="51DD94F9" wp14:editId="3CA8F484">
            <wp:extent cx="5731099" cy="2588653"/>
            <wp:effectExtent l="0" t="0" r="22225" b="21590"/>
            <wp:docPr id="38" name="Chart 38" descr="Off the 162 Hospital Non-Specialist who intend to undertake psychiarty training.&#10;41% are currently working as Resident Medical Officers&#10;21% are Hospital Medical Officers&#10;9% are Career Medical Officers&#10;5% Principal House Offices&#10;18% Registrars&#10;6% Other&#10;" title="Figure 13 – HNS who intend to undertake specialist psychiatry training by vo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D01E6" w:rsidRPr="00DD21A6" w:rsidRDefault="00CD01E6" w:rsidP="00C64C65">
      <w:pPr>
        <w:spacing w:before="120"/>
        <w:rPr>
          <w:szCs w:val="22"/>
        </w:rPr>
      </w:pPr>
      <w:r w:rsidRPr="00DD21A6">
        <w:rPr>
          <w:i/>
          <w:sz w:val="16"/>
          <w:szCs w:val="18"/>
        </w:rPr>
        <w:t xml:space="preserve">Source: </w:t>
      </w:r>
      <w:proofErr w:type="spellStart"/>
      <w:r w:rsidRPr="00DD21A6">
        <w:rPr>
          <w:i/>
          <w:sz w:val="16"/>
          <w:szCs w:val="18"/>
        </w:rPr>
        <w:t>NHWDS</w:t>
      </w:r>
      <w:proofErr w:type="spellEnd"/>
      <w:r w:rsidRPr="00DD21A6">
        <w:rPr>
          <w:i/>
          <w:sz w:val="16"/>
          <w:szCs w:val="18"/>
        </w:rPr>
        <w:t>, Medical Practitioner 2013</w:t>
      </w:r>
    </w:p>
    <w:p w:rsidR="00CD01E6" w:rsidRPr="0090788F" w:rsidRDefault="00CD01E6" w:rsidP="00CD01E6">
      <w:pPr>
        <w:spacing w:before="120" w:after="120"/>
        <w:rPr>
          <w:szCs w:val="22"/>
        </w:rPr>
      </w:pPr>
      <w:r w:rsidRPr="0090788F">
        <w:rPr>
          <w:szCs w:val="22"/>
        </w:rPr>
        <w:t>Figure 1</w:t>
      </w:r>
      <w:r w:rsidR="00A16DEC">
        <w:rPr>
          <w:szCs w:val="22"/>
        </w:rPr>
        <w:t>4</w:t>
      </w:r>
      <w:r w:rsidRPr="0090788F">
        <w:rPr>
          <w:szCs w:val="22"/>
        </w:rPr>
        <w:t xml:space="preserve"> </w:t>
      </w:r>
      <w:r w:rsidR="00B80454">
        <w:rPr>
          <w:szCs w:val="22"/>
        </w:rPr>
        <w:t>provides an a</w:t>
      </w:r>
      <w:r w:rsidR="009309E3">
        <w:rPr>
          <w:szCs w:val="22"/>
        </w:rPr>
        <w:t>nalysis of the</w:t>
      </w:r>
      <w:r w:rsidRPr="0090788F">
        <w:rPr>
          <w:szCs w:val="22"/>
        </w:rPr>
        <w:t xml:space="preserve"> </w:t>
      </w:r>
      <w:proofErr w:type="spellStart"/>
      <w:r w:rsidRPr="0090788F">
        <w:rPr>
          <w:szCs w:val="22"/>
        </w:rPr>
        <w:t>HNS</w:t>
      </w:r>
      <w:proofErr w:type="spellEnd"/>
      <w:r w:rsidR="00DD21A6">
        <w:rPr>
          <w:szCs w:val="22"/>
        </w:rPr>
        <w:t xml:space="preserve"> who indicate their intentions </w:t>
      </w:r>
      <w:r w:rsidRPr="0090788F">
        <w:rPr>
          <w:szCs w:val="22"/>
        </w:rPr>
        <w:t>to undertake psychiatry training</w:t>
      </w:r>
      <w:r w:rsidR="009309E3">
        <w:rPr>
          <w:szCs w:val="22"/>
        </w:rPr>
        <w:t xml:space="preserve"> against the current vocational trainees</w:t>
      </w:r>
      <w:r w:rsidR="006A498A">
        <w:rPr>
          <w:szCs w:val="22"/>
        </w:rPr>
        <w:t>. This</w:t>
      </w:r>
      <w:r w:rsidR="009309E3">
        <w:rPr>
          <w:szCs w:val="22"/>
        </w:rPr>
        <w:t xml:space="preserve"> show</w:t>
      </w:r>
      <w:r w:rsidR="00DD21A6">
        <w:rPr>
          <w:szCs w:val="22"/>
        </w:rPr>
        <w:t>s</w:t>
      </w:r>
      <w:r w:rsidR="009309E3">
        <w:rPr>
          <w:szCs w:val="22"/>
        </w:rPr>
        <w:t xml:space="preserve"> that those intending to train</w:t>
      </w:r>
      <w:r w:rsidRPr="0090788F">
        <w:rPr>
          <w:szCs w:val="22"/>
        </w:rPr>
        <w:t xml:space="preserve"> are concentrated largely in the major cities of New South Wales and Victoria (60 per cent)</w:t>
      </w:r>
      <w:r w:rsidR="006A498A">
        <w:rPr>
          <w:szCs w:val="22"/>
        </w:rPr>
        <w:t>,</w:t>
      </w:r>
      <w:r w:rsidRPr="0090788F">
        <w:rPr>
          <w:szCs w:val="22"/>
        </w:rPr>
        <w:t xml:space="preserve"> more so than even the </w:t>
      </w:r>
      <w:r w:rsidR="009309E3">
        <w:rPr>
          <w:szCs w:val="22"/>
        </w:rPr>
        <w:t xml:space="preserve">vocational </w:t>
      </w:r>
      <w:r w:rsidRPr="0090788F">
        <w:rPr>
          <w:szCs w:val="22"/>
        </w:rPr>
        <w:t xml:space="preserve">trainees at 55 per cent. There </w:t>
      </w:r>
      <w:r w:rsidR="006A498A">
        <w:rPr>
          <w:szCs w:val="22"/>
        </w:rPr>
        <w:t>was</w:t>
      </w:r>
      <w:r w:rsidR="006A498A" w:rsidRPr="0090788F">
        <w:rPr>
          <w:szCs w:val="22"/>
        </w:rPr>
        <w:t xml:space="preserve"> </w:t>
      </w:r>
      <w:r w:rsidRPr="0090788F">
        <w:rPr>
          <w:szCs w:val="22"/>
        </w:rPr>
        <w:t xml:space="preserve">a small number of </w:t>
      </w:r>
      <w:proofErr w:type="spellStart"/>
      <w:r w:rsidRPr="0090788F">
        <w:rPr>
          <w:szCs w:val="22"/>
        </w:rPr>
        <w:t>HNS</w:t>
      </w:r>
      <w:proofErr w:type="spellEnd"/>
      <w:r w:rsidRPr="0090788F">
        <w:rPr>
          <w:szCs w:val="22"/>
        </w:rPr>
        <w:t xml:space="preserve"> intending to undertake psychiatry training in remoteness areas that </w:t>
      </w:r>
      <w:r w:rsidR="006A498A">
        <w:rPr>
          <w:szCs w:val="22"/>
        </w:rPr>
        <w:t>had</w:t>
      </w:r>
      <w:r w:rsidRPr="0090788F">
        <w:rPr>
          <w:szCs w:val="22"/>
        </w:rPr>
        <w:t xml:space="preserve"> no</w:t>
      </w:r>
      <w:r w:rsidR="009309E3">
        <w:rPr>
          <w:szCs w:val="22"/>
        </w:rPr>
        <w:t xml:space="preserve"> vo</w:t>
      </w:r>
      <w:r w:rsidR="00DD21A6">
        <w:rPr>
          <w:szCs w:val="22"/>
        </w:rPr>
        <w:t>c</w:t>
      </w:r>
      <w:r w:rsidR="009309E3">
        <w:rPr>
          <w:szCs w:val="22"/>
        </w:rPr>
        <w:t>ational</w:t>
      </w:r>
      <w:r w:rsidRPr="0090788F">
        <w:rPr>
          <w:szCs w:val="22"/>
        </w:rPr>
        <w:t xml:space="preserve"> trainees. These few exceptions include</w:t>
      </w:r>
      <w:r w:rsidR="006A498A">
        <w:rPr>
          <w:szCs w:val="22"/>
        </w:rPr>
        <w:t>d the</w:t>
      </w:r>
      <w:r w:rsidRPr="0090788F">
        <w:rPr>
          <w:szCs w:val="22"/>
        </w:rPr>
        <w:t xml:space="preserve"> New South Wales outer regional area</w:t>
      </w:r>
      <w:r w:rsidR="006A498A">
        <w:rPr>
          <w:szCs w:val="22"/>
        </w:rPr>
        <w:t>,</w:t>
      </w:r>
      <w:r w:rsidRPr="0090788F">
        <w:rPr>
          <w:szCs w:val="22"/>
        </w:rPr>
        <w:t xml:space="preserve"> which </w:t>
      </w:r>
      <w:r w:rsidR="006A498A">
        <w:rPr>
          <w:szCs w:val="22"/>
        </w:rPr>
        <w:t>had</w:t>
      </w:r>
      <w:r w:rsidR="006A498A" w:rsidRPr="0090788F">
        <w:rPr>
          <w:szCs w:val="22"/>
        </w:rPr>
        <w:t xml:space="preserve"> </w:t>
      </w:r>
      <w:r w:rsidRPr="0090788F">
        <w:rPr>
          <w:szCs w:val="22"/>
        </w:rPr>
        <w:t xml:space="preserve">two </w:t>
      </w:r>
      <w:proofErr w:type="spellStart"/>
      <w:r w:rsidRPr="0090788F">
        <w:rPr>
          <w:szCs w:val="22"/>
        </w:rPr>
        <w:t>HNS</w:t>
      </w:r>
      <w:proofErr w:type="spellEnd"/>
      <w:r w:rsidR="006A498A">
        <w:rPr>
          <w:szCs w:val="22"/>
        </w:rPr>
        <w:t>,</w:t>
      </w:r>
      <w:r w:rsidRPr="0090788F">
        <w:rPr>
          <w:szCs w:val="22"/>
        </w:rPr>
        <w:t xml:space="preserve"> and </w:t>
      </w:r>
      <w:r w:rsidR="006A498A">
        <w:rPr>
          <w:szCs w:val="22"/>
        </w:rPr>
        <w:t xml:space="preserve">the </w:t>
      </w:r>
      <w:r w:rsidRPr="0090788F">
        <w:rPr>
          <w:szCs w:val="22"/>
        </w:rPr>
        <w:t xml:space="preserve">Western Australia and Northern </w:t>
      </w:r>
      <w:r w:rsidR="006A498A" w:rsidRPr="0090788F">
        <w:rPr>
          <w:szCs w:val="22"/>
        </w:rPr>
        <w:t>Territor</w:t>
      </w:r>
      <w:r w:rsidR="006A498A">
        <w:rPr>
          <w:szCs w:val="22"/>
        </w:rPr>
        <w:t>y</w:t>
      </w:r>
      <w:r w:rsidR="006A498A" w:rsidRPr="0090788F">
        <w:rPr>
          <w:szCs w:val="22"/>
        </w:rPr>
        <w:t xml:space="preserve"> </w:t>
      </w:r>
      <w:r w:rsidRPr="0090788F">
        <w:rPr>
          <w:szCs w:val="22"/>
        </w:rPr>
        <w:t>remote areas</w:t>
      </w:r>
      <w:r w:rsidR="006A498A">
        <w:rPr>
          <w:szCs w:val="22"/>
        </w:rPr>
        <w:t>,</w:t>
      </w:r>
      <w:r w:rsidRPr="0090788F">
        <w:rPr>
          <w:szCs w:val="22"/>
        </w:rPr>
        <w:t xml:space="preserve"> which </w:t>
      </w:r>
      <w:r w:rsidR="006A498A">
        <w:rPr>
          <w:szCs w:val="22"/>
        </w:rPr>
        <w:t>were</w:t>
      </w:r>
      <w:r w:rsidR="006A498A" w:rsidRPr="0090788F">
        <w:rPr>
          <w:szCs w:val="22"/>
        </w:rPr>
        <w:t xml:space="preserve"> </w:t>
      </w:r>
      <w:r w:rsidRPr="0090788F">
        <w:rPr>
          <w:szCs w:val="22"/>
        </w:rPr>
        <w:t>double th</w:t>
      </w:r>
      <w:r w:rsidR="00DD21A6">
        <w:rPr>
          <w:szCs w:val="22"/>
        </w:rPr>
        <w:t>e current trainee numbers</w:t>
      </w:r>
      <w:r w:rsidRPr="0090788F">
        <w:rPr>
          <w:szCs w:val="22"/>
        </w:rPr>
        <w:t>.</w:t>
      </w:r>
    </w:p>
    <w:p w:rsidR="00CD01E6" w:rsidRPr="0090788F" w:rsidRDefault="00CD01E6" w:rsidP="00CD01E6">
      <w:pPr>
        <w:spacing w:before="120" w:after="120"/>
        <w:rPr>
          <w:szCs w:val="22"/>
        </w:rPr>
      </w:pPr>
      <w:r w:rsidRPr="0090788F">
        <w:rPr>
          <w:szCs w:val="22"/>
        </w:rPr>
        <w:t xml:space="preserve">As a percentage of the total number of </w:t>
      </w:r>
      <w:proofErr w:type="spellStart"/>
      <w:r w:rsidRPr="0090788F">
        <w:rPr>
          <w:szCs w:val="22"/>
        </w:rPr>
        <w:t>HNS</w:t>
      </w:r>
      <w:proofErr w:type="spellEnd"/>
      <w:r w:rsidRPr="0090788F">
        <w:rPr>
          <w:szCs w:val="22"/>
        </w:rPr>
        <w:t xml:space="preserve"> intending to undertake psychiatry training in outer regional areas</w:t>
      </w:r>
      <w:r w:rsidR="006A498A">
        <w:rPr>
          <w:szCs w:val="22"/>
        </w:rPr>
        <w:t>,</w:t>
      </w:r>
      <w:r w:rsidRPr="0090788F">
        <w:rPr>
          <w:szCs w:val="22"/>
        </w:rPr>
        <w:t xml:space="preserve"> there </w:t>
      </w:r>
      <w:r w:rsidR="006A498A">
        <w:rPr>
          <w:szCs w:val="22"/>
        </w:rPr>
        <w:t>were</w:t>
      </w:r>
      <w:r w:rsidR="006A498A" w:rsidRPr="0090788F">
        <w:rPr>
          <w:szCs w:val="22"/>
        </w:rPr>
        <w:t xml:space="preserve"> </w:t>
      </w:r>
      <w:r w:rsidRPr="0090788F">
        <w:rPr>
          <w:szCs w:val="22"/>
        </w:rPr>
        <w:t xml:space="preserve">more than double (18 per cent) of all </w:t>
      </w:r>
      <w:proofErr w:type="spellStart"/>
      <w:r w:rsidRPr="0090788F">
        <w:rPr>
          <w:szCs w:val="22"/>
        </w:rPr>
        <w:t>HNS</w:t>
      </w:r>
      <w:proofErr w:type="spellEnd"/>
      <w:r w:rsidRPr="0090788F">
        <w:rPr>
          <w:szCs w:val="22"/>
        </w:rPr>
        <w:t xml:space="preserve"> compared to</w:t>
      </w:r>
      <w:r w:rsidR="009309E3">
        <w:rPr>
          <w:szCs w:val="22"/>
        </w:rPr>
        <w:t xml:space="preserve"> vocational</w:t>
      </w:r>
      <w:r w:rsidRPr="0090788F">
        <w:rPr>
          <w:szCs w:val="22"/>
        </w:rPr>
        <w:t xml:space="preserve"> trainees in the same area (8 per cent). This </w:t>
      </w:r>
      <w:r w:rsidR="006A498A">
        <w:rPr>
          <w:szCs w:val="22"/>
        </w:rPr>
        <w:t>was</w:t>
      </w:r>
      <w:r w:rsidR="006A498A" w:rsidRPr="0090788F">
        <w:rPr>
          <w:szCs w:val="22"/>
        </w:rPr>
        <w:t xml:space="preserve"> </w:t>
      </w:r>
      <w:r w:rsidRPr="0090788F">
        <w:rPr>
          <w:szCs w:val="22"/>
        </w:rPr>
        <w:t xml:space="preserve">the same for remote areas, where </w:t>
      </w:r>
      <w:proofErr w:type="spellStart"/>
      <w:r w:rsidRPr="0090788F">
        <w:rPr>
          <w:szCs w:val="22"/>
        </w:rPr>
        <w:t>HNS</w:t>
      </w:r>
      <w:proofErr w:type="spellEnd"/>
      <w:r w:rsidRPr="0090788F">
        <w:rPr>
          <w:szCs w:val="22"/>
        </w:rPr>
        <w:t xml:space="preserve"> intending to undertake psychiatry training </w:t>
      </w:r>
      <w:r w:rsidR="006A498A">
        <w:rPr>
          <w:szCs w:val="22"/>
        </w:rPr>
        <w:t>was</w:t>
      </w:r>
      <w:r w:rsidR="006A498A" w:rsidRPr="0090788F">
        <w:rPr>
          <w:szCs w:val="22"/>
        </w:rPr>
        <w:t xml:space="preserve"> </w:t>
      </w:r>
      <w:r w:rsidRPr="0090788F">
        <w:rPr>
          <w:szCs w:val="22"/>
        </w:rPr>
        <w:t xml:space="preserve">2.5 per cent of the total </w:t>
      </w:r>
      <w:proofErr w:type="spellStart"/>
      <w:r w:rsidRPr="0090788F">
        <w:rPr>
          <w:szCs w:val="22"/>
        </w:rPr>
        <w:t>HNS</w:t>
      </w:r>
      <w:proofErr w:type="spellEnd"/>
      <w:r w:rsidRPr="0090788F">
        <w:rPr>
          <w:szCs w:val="22"/>
        </w:rPr>
        <w:t xml:space="preserve"> and </w:t>
      </w:r>
      <w:r w:rsidR="009309E3">
        <w:rPr>
          <w:szCs w:val="22"/>
        </w:rPr>
        <w:t xml:space="preserve">vocational </w:t>
      </w:r>
      <w:r w:rsidRPr="0090788F">
        <w:rPr>
          <w:szCs w:val="22"/>
        </w:rPr>
        <w:t>trainees account</w:t>
      </w:r>
      <w:r w:rsidR="006A498A">
        <w:rPr>
          <w:szCs w:val="22"/>
        </w:rPr>
        <w:t>ed</w:t>
      </w:r>
      <w:r w:rsidRPr="0090788F">
        <w:rPr>
          <w:szCs w:val="22"/>
        </w:rPr>
        <w:t xml:space="preserve"> for 0.2 per cent of all trainees. </w:t>
      </w:r>
      <w:r w:rsidR="006A498A">
        <w:rPr>
          <w:szCs w:val="22"/>
        </w:rPr>
        <w:t>The</w:t>
      </w:r>
      <w:r w:rsidRPr="0090788F">
        <w:rPr>
          <w:szCs w:val="22"/>
        </w:rPr>
        <w:t xml:space="preserve"> proportion </w:t>
      </w:r>
      <w:r w:rsidR="006A498A">
        <w:rPr>
          <w:szCs w:val="22"/>
        </w:rPr>
        <w:t xml:space="preserve">of </w:t>
      </w:r>
      <w:r w:rsidRPr="0090788F">
        <w:rPr>
          <w:szCs w:val="22"/>
        </w:rPr>
        <w:t xml:space="preserve">the number of </w:t>
      </w:r>
      <w:proofErr w:type="spellStart"/>
      <w:r w:rsidRPr="0090788F">
        <w:rPr>
          <w:szCs w:val="22"/>
        </w:rPr>
        <w:t>HNS</w:t>
      </w:r>
      <w:proofErr w:type="spellEnd"/>
      <w:r w:rsidRPr="0090788F">
        <w:rPr>
          <w:szCs w:val="22"/>
        </w:rPr>
        <w:t xml:space="preserve"> intending to undertake psychiatry training in outer regional </w:t>
      </w:r>
      <w:r w:rsidR="006A498A">
        <w:rPr>
          <w:szCs w:val="22"/>
        </w:rPr>
        <w:t>was</w:t>
      </w:r>
      <w:r w:rsidR="006A498A" w:rsidRPr="0090788F">
        <w:rPr>
          <w:szCs w:val="22"/>
        </w:rPr>
        <w:t xml:space="preserve"> </w:t>
      </w:r>
      <w:r w:rsidRPr="0090788F">
        <w:rPr>
          <w:szCs w:val="22"/>
        </w:rPr>
        <w:t xml:space="preserve">3.9 per cent. </w:t>
      </w:r>
      <w:r w:rsidR="006A498A">
        <w:rPr>
          <w:szCs w:val="22"/>
        </w:rPr>
        <w:t>T</w:t>
      </w:r>
      <w:r w:rsidRPr="0090788F">
        <w:rPr>
          <w:szCs w:val="22"/>
        </w:rPr>
        <w:t xml:space="preserve">here </w:t>
      </w:r>
      <w:r w:rsidR="006A498A">
        <w:rPr>
          <w:szCs w:val="22"/>
        </w:rPr>
        <w:t>were</w:t>
      </w:r>
      <w:r w:rsidR="006A498A" w:rsidRPr="0090788F">
        <w:rPr>
          <w:szCs w:val="22"/>
        </w:rPr>
        <w:t xml:space="preserve"> </w:t>
      </w:r>
      <w:r w:rsidRPr="0090788F">
        <w:rPr>
          <w:szCs w:val="22"/>
        </w:rPr>
        <w:t xml:space="preserve">no </w:t>
      </w:r>
      <w:r w:rsidR="009309E3">
        <w:rPr>
          <w:szCs w:val="22"/>
        </w:rPr>
        <w:t xml:space="preserve">vocational </w:t>
      </w:r>
      <w:r w:rsidRPr="0090788F">
        <w:rPr>
          <w:szCs w:val="22"/>
        </w:rPr>
        <w:t xml:space="preserve">trainees or </w:t>
      </w:r>
      <w:proofErr w:type="spellStart"/>
      <w:r w:rsidRPr="0090788F">
        <w:rPr>
          <w:szCs w:val="22"/>
        </w:rPr>
        <w:t>HNS</w:t>
      </w:r>
      <w:proofErr w:type="spellEnd"/>
      <w:r w:rsidRPr="0090788F">
        <w:rPr>
          <w:szCs w:val="22"/>
        </w:rPr>
        <w:t xml:space="preserve"> intending to undertake psychiatry training in the very </w:t>
      </w:r>
      <w:r w:rsidRPr="0090788F">
        <w:rPr>
          <w:szCs w:val="22"/>
        </w:rPr>
        <w:lastRenderedPageBreak/>
        <w:t>remote areas, as it would be difficult to provide adequate supervision, support, and continuing professional development opportunities in the very remote areas</w:t>
      </w:r>
      <w:r w:rsidR="0026241A">
        <w:rPr>
          <w:szCs w:val="22"/>
        </w:rPr>
        <w:t xml:space="preserve">. </w:t>
      </w:r>
      <w:r w:rsidR="006A498A">
        <w:rPr>
          <w:szCs w:val="22"/>
        </w:rPr>
        <w:t>However</w:t>
      </w:r>
      <w:r w:rsidR="0026241A">
        <w:rPr>
          <w:szCs w:val="22"/>
        </w:rPr>
        <w:t>, the</w:t>
      </w:r>
      <w:r w:rsidR="0026241A">
        <w:t xml:space="preserve"> use of tele-psychiatry facilities/technology </w:t>
      </w:r>
      <w:r w:rsidR="006A498A">
        <w:t xml:space="preserve">and fly in – fly out psychiatrists </w:t>
      </w:r>
      <w:r w:rsidR="0026241A">
        <w:t xml:space="preserve">are options for </w:t>
      </w:r>
      <w:r w:rsidR="006A498A">
        <w:t xml:space="preserve">supervision and support for </w:t>
      </w:r>
      <w:r w:rsidR="0026241A">
        <w:t xml:space="preserve">trainees in very remote areas. </w:t>
      </w:r>
      <w:r w:rsidRPr="0090788F">
        <w:rPr>
          <w:szCs w:val="22"/>
        </w:rPr>
        <w:t xml:space="preserve"> </w:t>
      </w:r>
    </w:p>
    <w:p w:rsidR="00CD01E6" w:rsidRPr="007C3173" w:rsidRDefault="006A498A" w:rsidP="007C3173">
      <w:pPr>
        <w:spacing w:before="120" w:after="120"/>
        <w:rPr>
          <w:szCs w:val="22"/>
        </w:rPr>
      </w:pPr>
      <w:r>
        <w:rPr>
          <w:szCs w:val="22"/>
        </w:rPr>
        <w:t>In 2013, o</w:t>
      </w:r>
      <w:r w:rsidR="00CD01E6" w:rsidRPr="0090788F">
        <w:rPr>
          <w:szCs w:val="22"/>
        </w:rPr>
        <w:t xml:space="preserve">f the 162 </w:t>
      </w:r>
      <w:proofErr w:type="spellStart"/>
      <w:r w:rsidR="00CD01E6" w:rsidRPr="0090788F">
        <w:rPr>
          <w:szCs w:val="22"/>
        </w:rPr>
        <w:t>HNS</w:t>
      </w:r>
      <w:proofErr w:type="spellEnd"/>
      <w:r w:rsidR="00CD01E6" w:rsidRPr="0090788F">
        <w:rPr>
          <w:szCs w:val="22"/>
        </w:rPr>
        <w:t xml:space="preserve"> intending to undertake psychiatry training, 16 per cent presented in the 2014 </w:t>
      </w:r>
      <w:proofErr w:type="spellStart"/>
      <w:r w:rsidR="00CD01E6" w:rsidRPr="0090788F">
        <w:rPr>
          <w:szCs w:val="22"/>
        </w:rPr>
        <w:t>RANZCP</w:t>
      </w:r>
      <w:proofErr w:type="spellEnd"/>
      <w:r w:rsidR="00CD01E6" w:rsidRPr="0090788F">
        <w:rPr>
          <w:szCs w:val="22"/>
        </w:rPr>
        <w:t xml:space="preserve"> data as either </w:t>
      </w:r>
      <w:r>
        <w:rPr>
          <w:szCs w:val="22"/>
        </w:rPr>
        <w:t>B</w:t>
      </w:r>
      <w:r w:rsidRPr="0090788F">
        <w:rPr>
          <w:szCs w:val="22"/>
        </w:rPr>
        <w:t xml:space="preserve">asic </w:t>
      </w:r>
      <w:r w:rsidR="00CD01E6" w:rsidRPr="0090788F">
        <w:rPr>
          <w:szCs w:val="22"/>
        </w:rPr>
        <w:t xml:space="preserve">or </w:t>
      </w:r>
      <w:r>
        <w:rPr>
          <w:szCs w:val="22"/>
        </w:rPr>
        <w:t>S</w:t>
      </w:r>
      <w:r w:rsidRPr="0090788F">
        <w:rPr>
          <w:szCs w:val="22"/>
        </w:rPr>
        <w:t xml:space="preserve">tage </w:t>
      </w:r>
      <w:r w:rsidR="00CD01E6" w:rsidRPr="0090788F">
        <w:rPr>
          <w:szCs w:val="22"/>
        </w:rPr>
        <w:t xml:space="preserve">1 trainee. </w:t>
      </w:r>
    </w:p>
    <w:p w:rsidR="00CD01E6" w:rsidRPr="00296E67" w:rsidRDefault="00CD01E6" w:rsidP="00D84538">
      <w:pPr>
        <w:pStyle w:val="Heading4"/>
        <w:jc w:val="left"/>
      </w:pPr>
      <w:r w:rsidRPr="00296E67">
        <w:t xml:space="preserve">Figure </w:t>
      </w:r>
      <w:r w:rsidR="004878FC">
        <w:t>14</w:t>
      </w:r>
      <w:r w:rsidRPr="00296E67">
        <w:t xml:space="preserve"> –Trainees and </w:t>
      </w:r>
      <w:proofErr w:type="spellStart"/>
      <w:r w:rsidRPr="00296E67">
        <w:t>HNS</w:t>
      </w:r>
      <w:proofErr w:type="spellEnd"/>
      <w:r w:rsidRPr="00296E67">
        <w:t xml:space="preserve"> w</w:t>
      </w:r>
      <w:r w:rsidR="00137333">
        <w:t>ho intend to undertake training by region</w:t>
      </w:r>
    </w:p>
    <w:p w:rsidR="00CD01E6" w:rsidRPr="00DC0BBE" w:rsidRDefault="00CD01E6" w:rsidP="00D84538">
      <w:pPr>
        <w:spacing w:before="120"/>
        <w:rPr>
          <w:rFonts w:ascii="Arial" w:hAnsi="Arial" w:cs="Arial"/>
          <w:sz w:val="18"/>
          <w:szCs w:val="22"/>
        </w:rPr>
      </w:pPr>
      <w:r w:rsidRPr="00DC0BBE">
        <w:rPr>
          <w:rFonts w:ascii="Arial" w:hAnsi="Arial" w:cs="Arial"/>
          <w:noProof/>
          <w:lang w:eastAsia="en-AU"/>
        </w:rPr>
        <w:drawing>
          <wp:inline distT="0" distB="0" distL="0" distR="0" wp14:anchorId="38B9408C" wp14:editId="35EE1779">
            <wp:extent cx="5743977" cy="2704563"/>
            <wp:effectExtent l="0" t="0" r="9525" b="19685"/>
            <wp:docPr id="39" name="Chart 39" descr="Figure 14 provides an analysis of the HNS who indicate their intentions to undertake psychiatry training against the current vocational trainees&#10;In NSW 23 % of HNS are in major cities compared to 29% of trainees, 7% of HNS are in Inner regional compared to 2% of trainnes, In outer regional there are 1% of HNS compared to zero trainees.&#10;In Vic 7% of HNS are in major cities compared to 16% of trainees, 2% of HNS are in Inner regional and 2% of trainnes, In outer regional ther are no HNS or trainees.&#10;In QLD 23 % of HNS are in major cities compared to 29% of trainees, 2% of HNS are in Inner regional as well as 2% of trainnes, In outer regional there are 1% of HNS compared to 3% of trainees.&#10;In SA 8 % of HNS and trainees are in major cities.&#10;In WA 14% of HNS are in major cities compared to 7% of trainees with 1% of HNS in remote compared to zero trainees.&#10;In TAS 1% og HNS are in inner regional compare to 2% of trainees, 1% of HNS working in outer regional compared to no trainees.&#10;In NT 1% of HNS work in outer regional with 1% of trainees also working there, 1% of HNS work in remote compared to zero trainees.&#10;ACT 1% of HNS work in major cities compared to 2% of trainees.&#10;" title="Figure 14 – Percentage of Trainees and HNS who intend to undertake psychiatry training by geographic region (state and territory by remoteness area"/>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DC0BBE">
        <w:rPr>
          <w:rFonts w:ascii="Arial" w:hAnsi="Arial" w:cs="Arial"/>
          <w:noProof/>
          <w:lang w:eastAsia="en-AU"/>
        </w:rPr>
        <w:t xml:space="preserve"> </w:t>
      </w:r>
    </w:p>
    <w:p w:rsidR="00CD01E6" w:rsidRPr="00C64C65" w:rsidRDefault="00CD01E6" w:rsidP="00C64C65">
      <w:pPr>
        <w:spacing w:before="120"/>
        <w:rPr>
          <w:i/>
          <w:sz w:val="16"/>
          <w:szCs w:val="18"/>
        </w:rPr>
      </w:pPr>
      <w:r w:rsidRPr="00C64C65">
        <w:rPr>
          <w:i/>
          <w:sz w:val="16"/>
          <w:szCs w:val="18"/>
        </w:rPr>
        <w:t xml:space="preserve">Source: </w:t>
      </w:r>
      <w:proofErr w:type="spellStart"/>
      <w:r w:rsidRPr="00C64C65">
        <w:rPr>
          <w:i/>
          <w:sz w:val="16"/>
          <w:szCs w:val="18"/>
        </w:rPr>
        <w:t>NHWDS</w:t>
      </w:r>
      <w:proofErr w:type="spellEnd"/>
      <w:r w:rsidRPr="00C64C65">
        <w:rPr>
          <w:i/>
          <w:sz w:val="16"/>
          <w:szCs w:val="18"/>
        </w:rPr>
        <w:t>, Medical Practitioner 2013</w:t>
      </w:r>
    </w:p>
    <w:p w:rsidR="00CD01E6" w:rsidRPr="0090788F" w:rsidRDefault="00CD01E6" w:rsidP="00CD01E6">
      <w:pPr>
        <w:spacing w:before="120" w:after="120"/>
        <w:rPr>
          <w:szCs w:val="22"/>
        </w:rPr>
      </w:pPr>
      <w:r w:rsidRPr="0090788F">
        <w:rPr>
          <w:szCs w:val="22"/>
        </w:rPr>
        <w:t>The table below provides a summary of the population</w:t>
      </w:r>
      <w:r w:rsidR="00551248">
        <w:rPr>
          <w:szCs w:val="22"/>
        </w:rPr>
        <w:t>,</w:t>
      </w:r>
      <w:r w:rsidRPr="0090788F">
        <w:rPr>
          <w:szCs w:val="22"/>
        </w:rPr>
        <w:t xml:space="preserve"> specialist ratio per 100,000 population in each state and territory</w:t>
      </w:r>
      <w:r w:rsidR="00551248">
        <w:rPr>
          <w:szCs w:val="22"/>
        </w:rPr>
        <w:t>,</w:t>
      </w:r>
      <w:r w:rsidRPr="0090788F">
        <w:rPr>
          <w:szCs w:val="22"/>
        </w:rPr>
        <w:t xml:space="preserve"> and the national average. </w:t>
      </w:r>
      <w:r w:rsidR="00551248">
        <w:rPr>
          <w:szCs w:val="22"/>
        </w:rPr>
        <w:t>It also provides t</w:t>
      </w:r>
      <w:r w:rsidRPr="0090788F">
        <w:rPr>
          <w:szCs w:val="22"/>
        </w:rPr>
        <w:t xml:space="preserve">he total average hours worked, trainees and </w:t>
      </w:r>
      <w:proofErr w:type="spellStart"/>
      <w:r w:rsidRPr="0090788F">
        <w:rPr>
          <w:szCs w:val="22"/>
        </w:rPr>
        <w:t>HNS</w:t>
      </w:r>
      <w:proofErr w:type="spellEnd"/>
      <w:r w:rsidRPr="0090788F">
        <w:rPr>
          <w:szCs w:val="22"/>
        </w:rPr>
        <w:t xml:space="preserve"> by geographic distribution (state and territory and remoteness). This table illustrates that </w:t>
      </w:r>
      <w:r w:rsidR="00551248">
        <w:rPr>
          <w:szCs w:val="22"/>
        </w:rPr>
        <w:t xml:space="preserve">in 2013 </w:t>
      </w:r>
      <w:r w:rsidRPr="0090788F">
        <w:rPr>
          <w:szCs w:val="22"/>
        </w:rPr>
        <w:t xml:space="preserve">the ratio </w:t>
      </w:r>
      <w:r w:rsidR="00551248">
        <w:rPr>
          <w:szCs w:val="22"/>
        </w:rPr>
        <w:t xml:space="preserve">of specialists </w:t>
      </w:r>
      <w:r w:rsidRPr="0090788F">
        <w:rPr>
          <w:szCs w:val="22"/>
        </w:rPr>
        <w:t xml:space="preserve">per 100,000 </w:t>
      </w:r>
      <w:proofErr w:type="gramStart"/>
      <w:r w:rsidRPr="0090788F">
        <w:rPr>
          <w:szCs w:val="22"/>
        </w:rPr>
        <w:t>population</w:t>
      </w:r>
      <w:proofErr w:type="gramEnd"/>
      <w:r w:rsidRPr="0090788F">
        <w:rPr>
          <w:szCs w:val="22"/>
        </w:rPr>
        <w:t xml:space="preserve"> </w:t>
      </w:r>
      <w:r w:rsidR="00551248">
        <w:rPr>
          <w:szCs w:val="22"/>
        </w:rPr>
        <w:t>was</w:t>
      </w:r>
      <w:r w:rsidR="00551248" w:rsidRPr="0090788F">
        <w:rPr>
          <w:szCs w:val="22"/>
        </w:rPr>
        <w:t xml:space="preserve"> </w:t>
      </w:r>
      <w:r w:rsidRPr="0090788F">
        <w:rPr>
          <w:szCs w:val="22"/>
        </w:rPr>
        <w:t xml:space="preserve">greater than the national average (12.1 per 100,000) in Victoria (14 per 100,000), South Australia (14.3 per 100,000) and </w:t>
      </w:r>
      <w:r w:rsidR="00551248">
        <w:rPr>
          <w:szCs w:val="22"/>
        </w:rPr>
        <w:t xml:space="preserve">the </w:t>
      </w:r>
      <w:r w:rsidRPr="0090788F">
        <w:rPr>
          <w:szCs w:val="22"/>
        </w:rPr>
        <w:t>Australian Capital Territory (12.6 per 100,000). South Australia ha</w:t>
      </w:r>
      <w:r w:rsidR="00551248">
        <w:rPr>
          <w:szCs w:val="22"/>
        </w:rPr>
        <w:t>d</w:t>
      </w:r>
      <w:r w:rsidRPr="0090788F">
        <w:rPr>
          <w:szCs w:val="22"/>
        </w:rPr>
        <w:t xml:space="preserve"> the highest rate of psychiatrists in major cities (19.1 per 100,000) followed by Victoria (16.9 per 100,000) and Queensland (15.6 per 100,000)</w:t>
      </w:r>
      <w:r w:rsidR="00551248">
        <w:rPr>
          <w:szCs w:val="22"/>
        </w:rPr>
        <w:t>,</w:t>
      </w:r>
      <w:r w:rsidRPr="0090788F">
        <w:rPr>
          <w:szCs w:val="22"/>
        </w:rPr>
        <w:t xml:space="preserve"> which </w:t>
      </w:r>
      <w:r w:rsidR="00551248">
        <w:rPr>
          <w:szCs w:val="22"/>
        </w:rPr>
        <w:t>were</w:t>
      </w:r>
      <w:r w:rsidR="00551248" w:rsidRPr="0090788F">
        <w:rPr>
          <w:szCs w:val="22"/>
        </w:rPr>
        <w:t xml:space="preserve"> </w:t>
      </w:r>
      <w:r w:rsidRPr="0090788F">
        <w:rPr>
          <w:szCs w:val="22"/>
        </w:rPr>
        <w:t xml:space="preserve">higher than the national average. </w:t>
      </w:r>
    </w:p>
    <w:p w:rsidR="00CD01E6" w:rsidRPr="0090788F" w:rsidRDefault="00CD01E6" w:rsidP="00CD01E6">
      <w:pPr>
        <w:spacing w:before="120" w:after="120"/>
        <w:rPr>
          <w:szCs w:val="22"/>
        </w:rPr>
      </w:pPr>
      <w:r w:rsidRPr="0090788F">
        <w:rPr>
          <w:szCs w:val="22"/>
        </w:rPr>
        <w:t>In very remote area</w:t>
      </w:r>
      <w:r w:rsidR="00551248">
        <w:rPr>
          <w:szCs w:val="22"/>
        </w:rPr>
        <w:t xml:space="preserve">s, </w:t>
      </w:r>
      <w:r w:rsidRPr="0090788F">
        <w:rPr>
          <w:szCs w:val="22"/>
        </w:rPr>
        <w:t>South Australia ha</w:t>
      </w:r>
      <w:r w:rsidR="00551248">
        <w:rPr>
          <w:szCs w:val="22"/>
        </w:rPr>
        <w:t>d</w:t>
      </w:r>
      <w:r w:rsidRPr="0090788F">
        <w:rPr>
          <w:szCs w:val="22"/>
        </w:rPr>
        <w:t xml:space="preserve"> the highest rate of psychiatrists at 6.7 per 100,000 </w:t>
      </w:r>
      <w:r w:rsidR="00551248">
        <w:rPr>
          <w:szCs w:val="22"/>
        </w:rPr>
        <w:t xml:space="preserve">populations, </w:t>
      </w:r>
      <w:r w:rsidRPr="0090788F">
        <w:rPr>
          <w:szCs w:val="22"/>
        </w:rPr>
        <w:t xml:space="preserve">compared to other states and territories that </w:t>
      </w:r>
      <w:r w:rsidR="00551248">
        <w:rPr>
          <w:szCs w:val="22"/>
        </w:rPr>
        <w:t>were</w:t>
      </w:r>
      <w:r w:rsidR="00551248" w:rsidRPr="0090788F">
        <w:rPr>
          <w:szCs w:val="22"/>
        </w:rPr>
        <w:t xml:space="preserve"> </w:t>
      </w:r>
      <w:r w:rsidRPr="0090788F">
        <w:rPr>
          <w:szCs w:val="22"/>
        </w:rPr>
        <w:t xml:space="preserve">on average 1.6 </w:t>
      </w:r>
      <w:r w:rsidR="00551248">
        <w:rPr>
          <w:szCs w:val="22"/>
        </w:rPr>
        <w:t xml:space="preserve">psychiatrists </w:t>
      </w:r>
      <w:r w:rsidRPr="0090788F">
        <w:rPr>
          <w:szCs w:val="22"/>
        </w:rPr>
        <w:t xml:space="preserve">per 100,000 </w:t>
      </w:r>
      <w:proofErr w:type="gramStart"/>
      <w:r w:rsidR="00B80454" w:rsidRPr="0090788F">
        <w:rPr>
          <w:szCs w:val="22"/>
        </w:rPr>
        <w:t>population</w:t>
      </w:r>
      <w:proofErr w:type="gramEnd"/>
      <w:r w:rsidRPr="0090788F">
        <w:rPr>
          <w:szCs w:val="22"/>
        </w:rPr>
        <w:t>.</w:t>
      </w:r>
    </w:p>
    <w:p w:rsidR="00CD01E6" w:rsidRPr="0090788F" w:rsidRDefault="00CD01E6" w:rsidP="00CD01E6">
      <w:pPr>
        <w:spacing w:before="120" w:after="120"/>
        <w:rPr>
          <w:szCs w:val="22"/>
        </w:rPr>
      </w:pPr>
      <w:r w:rsidRPr="0090788F">
        <w:rPr>
          <w:szCs w:val="22"/>
        </w:rPr>
        <w:t xml:space="preserve">The states and territories that have greater proportions of </w:t>
      </w:r>
      <w:r w:rsidR="00E428B7">
        <w:rPr>
          <w:szCs w:val="22"/>
        </w:rPr>
        <w:t xml:space="preserve">psychiatrists in </w:t>
      </w:r>
      <w:r w:rsidRPr="0090788F">
        <w:rPr>
          <w:szCs w:val="22"/>
        </w:rPr>
        <w:t>areas outside major cities tend</w:t>
      </w:r>
      <w:r w:rsidR="00551248">
        <w:rPr>
          <w:szCs w:val="22"/>
        </w:rPr>
        <w:t>ed</w:t>
      </w:r>
      <w:r w:rsidRPr="0090788F">
        <w:rPr>
          <w:szCs w:val="22"/>
        </w:rPr>
        <w:t xml:space="preserve"> to have greater average hours worked. </w:t>
      </w:r>
    </w:p>
    <w:p w:rsidR="002C4533" w:rsidRDefault="00E428B7" w:rsidP="00CD01E6">
      <w:pPr>
        <w:spacing w:before="120" w:after="120"/>
        <w:rPr>
          <w:szCs w:val="22"/>
        </w:rPr>
      </w:pPr>
      <w:r>
        <w:rPr>
          <w:szCs w:val="22"/>
        </w:rPr>
        <w:t>T</w:t>
      </w:r>
      <w:r w:rsidR="00CD01E6" w:rsidRPr="0090788F">
        <w:rPr>
          <w:szCs w:val="22"/>
        </w:rPr>
        <w:t xml:space="preserve">rainees </w:t>
      </w:r>
      <w:r>
        <w:rPr>
          <w:szCs w:val="22"/>
        </w:rPr>
        <w:t>were</w:t>
      </w:r>
      <w:r w:rsidRPr="0090788F">
        <w:rPr>
          <w:szCs w:val="22"/>
        </w:rPr>
        <w:t xml:space="preserve"> </w:t>
      </w:r>
      <w:r w:rsidR="00CD01E6" w:rsidRPr="0090788F">
        <w:rPr>
          <w:szCs w:val="22"/>
        </w:rPr>
        <w:t>largely located within the major cities of states and territories,</w:t>
      </w:r>
      <w:r>
        <w:rPr>
          <w:szCs w:val="22"/>
        </w:rPr>
        <w:t xml:space="preserve"> and</w:t>
      </w:r>
      <w:r w:rsidR="00CD01E6" w:rsidRPr="0090788F">
        <w:rPr>
          <w:szCs w:val="22"/>
        </w:rPr>
        <w:t xml:space="preserve"> the </w:t>
      </w:r>
      <w:proofErr w:type="spellStart"/>
      <w:r w:rsidR="00CD01E6" w:rsidRPr="0090788F">
        <w:rPr>
          <w:szCs w:val="22"/>
        </w:rPr>
        <w:t>HNS</w:t>
      </w:r>
      <w:proofErr w:type="spellEnd"/>
      <w:r w:rsidR="00CD01E6" w:rsidRPr="0090788F">
        <w:rPr>
          <w:szCs w:val="22"/>
        </w:rPr>
        <w:t xml:space="preserve"> </w:t>
      </w:r>
      <w:r>
        <w:rPr>
          <w:szCs w:val="22"/>
        </w:rPr>
        <w:t xml:space="preserve">generally </w:t>
      </w:r>
      <w:r w:rsidR="00CD01E6" w:rsidRPr="0090788F">
        <w:rPr>
          <w:szCs w:val="22"/>
        </w:rPr>
        <w:t>follow</w:t>
      </w:r>
      <w:r>
        <w:rPr>
          <w:szCs w:val="22"/>
        </w:rPr>
        <w:t>ed</w:t>
      </w:r>
      <w:r w:rsidR="00CD01E6" w:rsidRPr="0090788F">
        <w:rPr>
          <w:szCs w:val="22"/>
        </w:rPr>
        <w:t xml:space="preserve"> suit</w:t>
      </w:r>
      <w:r>
        <w:rPr>
          <w:szCs w:val="22"/>
        </w:rPr>
        <w:t>,</w:t>
      </w:r>
      <w:r w:rsidR="00CD01E6" w:rsidRPr="0090788F">
        <w:rPr>
          <w:szCs w:val="22"/>
        </w:rPr>
        <w:t xml:space="preserve"> but there </w:t>
      </w:r>
      <w:r>
        <w:rPr>
          <w:szCs w:val="22"/>
        </w:rPr>
        <w:t>were</w:t>
      </w:r>
      <w:r w:rsidRPr="0090788F">
        <w:rPr>
          <w:szCs w:val="22"/>
        </w:rPr>
        <w:t xml:space="preserve"> </w:t>
      </w:r>
      <w:r w:rsidR="00CD01E6" w:rsidRPr="0090788F">
        <w:rPr>
          <w:szCs w:val="22"/>
        </w:rPr>
        <w:t xml:space="preserve">a few </w:t>
      </w:r>
      <w:proofErr w:type="spellStart"/>
      <w:r>
        <w:rPr>
          <w:szCs w:val="22"/>
        </w:rPr>
        <w:t>HNS</w:t>
      </w:r>
      <w:proofErr w:type="spellEnd"/>
      <w:r>
        <w:rPr>
          <w:szCs w:val="22"/>
        </w:rPr>
        <w:t xml:space="preserve"> </w:t>
      </w:r>
      <w:r w:rsidR="00CD01E6" w:rsidRPr="0090788F">
        <w:rPr>
          <w:szCs w:val="22"/>
        </w:rPr>
        <w:t xml:space="preserve">that </w:t>
      </w:r>
      <w:r>
        <w:rPr>
          <w:szCs w:val="22"/>
        </w:rPr>
        <w:t>were</w:t>
      </w:r>
      <w:r w:rsidRPr="0090788F">
        <w:rPr>
          <w:szCs w:val="22"/>
        </w:rPr>
        <w:t xml:space="preserve"> </w:t>
      </w:r>
      <w:r w:rsidR="00CD01E6" w:rsidRPr="0090788F">
        <w:rPr>
          <w:szCs w:val="22"/>
        </w:rPr>
        <w:t xml:space="preserve">located where there </w:t>
      </w:r>
      <w:r>
        <w:rPr>
          <w:szCs w:val="22"/>
        </w:rPr>
        <w:t>were</w:t>
      </w:r>
      <w:r w:rsidRPr="0090788F">
        <w:rPr>
          <w:szCs w:val="22"/>
        </w:rPr>
        <w:t xml:space="preserve"> </w:t>
      </w:r>
      <w:r w:rsidR="00CD01E6" w:rsidRPr="0090788F">
        <w:rPr>
          <w:szCs w:val="22"/>
        </w:rPr>
        <w:t xml:space="preserve">very low numbers of trainees – this shows some potential to increase numbers of trainees in these areas. </w:t>
      </w:r>
      <w:r w:rsidR="002C4533">
        <w:rPr>
          <w:szCs w:val="22"/>
        </w:rPr>
        <w:br w:type="page"/>
      </w:r>
    </w:p>
    <w:p w:rsidR="00CD01E6" w:rsidRPr="00296E67" w:rsidRDefault="00CD01E6" w:rsidP="00D84538">
      <w:pPr>
        <w:pStyle w:val="Heading4"/>
        <w:jc w:val="left"/>
      </w:pPr>
      <w:bookmarkStart w:id="29" w:name="_Ref414447279"/>
      <w:r w:rsidRPr="00296E67">
        <w:lastRenderedPageBreak/>
        <w:t xml:space="preserve">Table </w:t>
      </w:r>
      <w:fldSimple w:instr=" SEQ Table \* ARABIC ">
        <w:r w:rsidR="00A34F47" w:rsidRPr="00296E67">
          <w:rPr>
            <w:noProof/>
          </w:rPr>
          <w:t>8</w:t>
        </w:r>
      </w:fldSimple>
      <w:bookmarkEnd w:id="29"/>
      <w:r w:rsidRPr="00296E67">
        <w:t xml:space="preserve"> - Population, Specialist, Hours, Trainees and </w:t>
      </w:r>
      <w:proofErr w:type="spellStart"/>
      <w:r w:rsidRPr="00296E67">
        <w:t>HNS</w:t>
      </w:r>
      <w:proofErr w:type="spellEnd"/>
      <w:r w:rsidRPr="00296E67">
        <w:t xml:space="preserve"> by geographic region</w:t>
      </w:r>
    </w:p>
    <w:tbl>
      <w:tblPr>
        <w:tblW w:w="4942" w:type="pct"/>
        <w:tblInd w:w="108" w:type="dxa"/>
        <w:tblLook w:val="04A0" w:firstRow="1" w:lastRow="0" w:firstColumn="1" w:lastColumn="0" w:noHBand="0" w:noVBand="1"/>
        <w:tblCaption w:val="Table 8 provides a summary of population, specialist, hours, trainees and HNS by geographic region"/>
        <w:tblDescription w:val="The summary of the data is described on page 22."/>
      </w:tblPr>
      <w:tblGrid>
        <w:gridCol w:w="1099"/>
        <w:gridCol w:w="1400"/>
        <w:gridCol w:w="1158"/>
        <w:gridCol w:w="1222"/>
        <w:gridCol w:w="1259"/>
        <w:gridCol w:w="1018"/>
        <w:gridCol w:w="901"/>
        <w:gridCol w:w="1078"/>
      </w:tblGrid>
      <w:tr w:rsidR="00CD01E6" w:rsidRPr="00AC2C3F" w:rsidTr="002C4533">
        <w:trPr>
          <w:trHeight w:val="597"/>
          <w:tblHeader/>
        </w:trPr>
        <w:tc>
          <w:tcPr>
            <w:tcW w:w="601" w:type="pct"/>
            <w:tcBorders>
              <w:top w:val="single" w:sz="4" w:space="0" w:color="auto"/>
              <w:left w:val="single" w:sz="4" w:space="0" w:color="auto"/>
              <w:bottom w:val="single" w:sz="12" w:space="0" w:color="auto"/>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State &amp; Territories</w:t>
            </w:r>
          </w:p>
        </w:tc>
        <w:tc>
          <w:tcPr>
            <w:tcW w:w="766" w:type="pct"/>
            <w:tcBorders>
              <w:top w:val="single" w:sz="4" w:space="0" w:color="auto"/>
              <w:left w:val="nil"/>
              <w:bottom w:val="single" w:sz="12" w:space="0" w:color="auto"/>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Remoteness Area</w:t>
            </w:r>
          </w:p>
        </w:tc>
        <w:tc>
          <w:tcPr>
            <w:tcW w:w="634" w:type="pct"/>
            <w:tcBorders>
              <w:top w:val="single" w:sz="4" w:space="0" w:color="auto"/>
              <w:left w:val="nil"/>
              <w:bottom w:val="single" w:sz="12" w:space="0" w:color="auto"/>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2013 Population</w:t>
            </w:r>
          </w:p>
        </w:tc>
        <w:tc>
          <w:tcPr>
            <w:tcW w:w="669" w:type="pct"/>
            <w:tcBorders>
              <w:top w:val="single" w:sz="4" w:space="0" w:color="auto"/>
              <w:left w:val="nil"/>
              <w:bottom w:val="single" w:sz="12" w:space="0" w:color="auto"/>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Psychiatrists</w:t>
            </w:r>
          </w:p>
        </w:tc>
        <w:tc>
          <w:tcPr>
            <w:tcW w:w="689" w:type="pct"/>
            <w:tcBorders>
              <w:top w:val="single" w:sz="4" w:space="0" w:color="auto"/>
              <w:left w:val="nil"/>
              <w:bottom w:val="single" w:sz="12" w:space="0" w:color="auto"/>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Per 100,000 population</w:t>
            </w:r>
          </w:p>
        </w:tc>
        <w:tc>
          <w:tcPr>
            <w:tcW w:w="557" w:type="pct"/>
            <w:tcBorders>
              <w:top w:val="single" w:sz="4" w:space="0" w:color="auto"/>
              <w:left w:val="nil"/>
              <w:bottom w:val="single" w:sz="12" w:space="0" w:color="auto"/>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Total average hours</w:t>
            </w:r>
          </w:p>
        </w:tc>
        <w:tc>
          <w:tcPr>
            <w:tcW w:w="493" w:type="pct"/>
            <w:tcBorders>
              <w:top w:val="single" w:sz="4" w:space="0" w:color="auto"/>
              <w:left w:val="nil"/>
              <w:bottom w:val="single" w:sz="12" w:space="0" w:color="auto"/>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Trainees</w:t>
            </w:r>
          </w:p>
        </w:tc>
        <w:tc>
          <w:tcPr>
            <w:tcW w:w="590" w:type="pct"/>
            <w:tcBorders>
              <w:top w:val="single" w:sz="4" w:space="0" w:color="auto"/>
              <w:left w:val="nil"/>
              <w:bottom w:val="single" w:sz="12" w:space="0" w:color="auto"/>
              <w:right w:val="single" w:sz="4" w:space="0" w:color="auto"/>
            </w:tcBorders>
            <w:shd w:val="clear" w:color="000000" w:fill="000080"/>
            <w:vAlign w:val="center"/>
            <w:hideMark/>
          </w:tcPr>
          <w:p w:rsidR="00CD01E6" w:rsidRPr="00AC2C3F" w:rsidRDefault="00CD01E6" w:rsidP="00F2364C">
            <w:pPr>
              <w:jc w:val="center"/>
              <w:rPr>
                <w:b/>
                <w:bCs/>
                <w:color w:val="FFFFFF"/>
                <w:sz w:val="18"/>
                <w:szCs w:val="18"/>
                <w:lang w:eastAsia="en-AU"/>
              </w:rPr>
            </w:pPr>
            <w:proofErr w:type="spellStart"/>
            <w:r w:rsidRPr="00AC2C3F">
              <w:rPr>
                <w:b/>
                <w:bCs/>
                <w:color w:val="FFFFFF"/>
                <w:sz w:val="18"/>
                <w:szCs w:val="18"/>
                <w:lang w:eastAsia="en-AU"/>
              </w:rPr>
              <w:t>HNS</w:t>
            </w:r>
            <w:proofErr w:type="spellEnd"/>
            <w:r w:rsidRPr="00AC2C3F">
              <w:rPr>
                <w:b/>
                <w:bCs/>
                <w:color w:val="FFFFFF"/>
                <w:sz w:val="18"/>
                <w:szCs w:val="18"/>
                <w:lang w:eastAsia="en-AU"/>
              </w:rPr>
              <w:t xml:space="preserve"> intentions</w:t>
            </w:r>
          </w:p>
        </w:tc>
      </w:tr>
      <w:tr w:rsidR="00CD01E6" w:rsidRPr="00AC2C3F" w:rsidTr="002C4533">
        <w:trPr>
          <w:trHeight w:val="315"/>
        </w:trPr>
        <w:tc>
          <w:tcPr>
            <w:tcW w:w="601" w:type="pct"/>
            <w:vMerge w:val="restart"/>
            <w:tcBorders>
              <w:top w:val="nil"/>
              <w:left w:val="single" w:sz="4" w:space="0" w:color="auto"/>
              <w:bottom w:val="single" w:sz="8" w:space="0" w:color="000000"/>
              <w:right w:val="nil"/>
            </w:tcBorders>
            <w:shd w:val="clear" w:color="000000" w:fill="000080"/>
            <w:noWrap/>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NSW</w:t>
            </w:r>
          </w:p>
        </w:tc>
        <w:tc>
          <w:tcPr>
            <w:tcW w:w="766" w:type="pct"/>
            <w:tcBorders>
              <w:top w:val="nil"/>
              <w:left w:val="nil"/>
              <w:bottom w:val="nil"/>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Major Cities</w:t>
            </w:r>
          </w:p>
        </w:tc>
        <w:tc>
          <w:tcPr>
            <w:tcW w:w="634"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5,496,578</w:t>
            </w:r>
          </w:p>
        </w:tc>
        <w:tc>
          <w:tcPr>
            <w:tcW w:w="669"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780</w:t>
            </w:r>
          </w:p>
        </w:tc>
        <w:tc>
          <w:tcPr>
            <w:tcW w:w="68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14.2</w:t>
            </w:r>
          </w:p>
        </w:tc>
        <w:tc>
          <w:tcPr>
            <w:tcW w:w="557"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38.4</w:t>
            </w:r>
          </w:p>
        </w:tc>
        <w:tc>
          <w:tcPr>
            <w:tcW w:w="493"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261</w:t>
            </w:r>
          </w:p>
        </w:tc>
        <w:tc>
          <w:tcPr>
            <w:tcW w:w="590" w:type="pct"/>
            <w:tcBorders>
              <w:top w:val="nil"/>
              <w:left w:val="nil"/>
              <w:bottom w:val="nil"/>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37</w:t>
            </w:r>
          </w:p>
        </w:tc>
      </w:tr>
      <w:tr w:rsidR="00CD01E6" w:rsidRPr="00AC2C3F" w:rsidTr="002C4533">
        <w:trPr>
          <w:trHeight w:val="300"/>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Inner Regional</w:t>
            </w:r>
          </w:p>
        </w:tc>
        <w:tc>
          <w:tcPr>
            <w:tcW w:w="634"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1,429,580</w:t>
            </w:r>
          </w:p>
        </w:tc>
        <w:tc>
          <w:tcPr>
            <w:tcW w:w="669"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81</w:t>
            </w:r>
          </w:p>
        </w:tc>
        <w:tc>
          <w:tcPr>
            <w:tcW w:w="68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5.7</w:t>
            </w:r>
          </w:p>
        </w:tc>
        <w:tc>
          <w:tcPr>
            <w:tcW w:w="557"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37.1</w:t>
            </w:r>
          </w:p>
        </w:tc>
        <w:tc>
          <w:tcPr>
            <w:tcW w:w="493"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19</w:t>
            </w:r>
          </w:p>
        </w:tc>
        <w:tc>
          <w:tcPr>
            <w:tcW w:w="590" w:type="pct"/>
            <w:tcBorders>
              <w:top w:val="nil"/>
              <w:left w:val="nil"/>
              <w:bottom w:val="nil"/>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12</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Outer Regional</w:t>
            </w:r>
          </w:p>
        </w:tc>
        <w:tc>
          <w:tcPr>
            <w:tcW w:w="634"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444,928</w:t>
            </w:r>
          </w:p>
        </w:tc>
        <w:tc>
          <w:tcPr>
            <w:tcW w:w="669"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10</w:t>
            </w:r>
          </w:p>
        </w:tc>
        <w:tc>
          <w:tcPr>
            <w:tcW w:w="689"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2.2</w:t>
            </w:r>
          </w:p>
        </w:tc>
        <w:tc>
          <w:tcPr>
            <w:tcW w:w="557"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43.2</w:t>
            </w:r>
          </w:p>
        </w:tc>
        <w:tc>
          <w:tcPr>
            <w:tcW w:w="493"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c>
          <w:tcPr>
            <w:tcW w:w="590" w:type="pct"/>
            <w:tcBorders>
              <w:top w:val="nil"/>
              <w:left w:val="nil"/>
              <w:bottom w:val="single" w:sz="8" w:space="0" w:color="auto"/>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auto" w:fill="auto"/>
            <w:vAlign w:val="center"/>
            <w:hideMark/>
          </w:tcPr>
          <w:p w:rsidR="00CD01E6" w:rsidRPr="00AC2C3F" w:rsidRDefault="00CD01E6" w:rsidP="00F2364C">
            <w:pPr>
              <w:rPr>
                <w:b/>
                <w:bCs/>
                <w:color w:val="000000"/>
                <w:sz w:val="18"/>
                <w:szCs w:val="18"/>
                <w:lang w:eastAsia="en-AU"/>
              </w:rPr>
            </w:pPr>
            <w:r w:rsidRPr="00AC2C3F">
              <w:rPr>
                <w:b/>
                <w:bCs/>
                <w:color w:val="000000"/>
                <w:sz w:val="18"/>
                <w:szCs w:val="18"/>
                <w:lang w:eastAsia="en-AU"/>
              </w:rPr>
              <w:t>Total</w:t>
            </w:r>
          </w:p>
        </w:tc>
        <w:tc>
          <w:tcPr>
            <w:tcW w:w="634"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7,410,399</w:t>
            </w:r>
          </w:p>
        </w:tc>
        <w:tc>
          <w:tcPr>
            <w:tcW w:w="669"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871</w:t>
            </w:r>
          </w:p>
        </w:tc>
        <w:tc>
          <w:tcPr>
            <w:tcW w:w="689"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11.8</w:t>
            </w:r>
          </w:p>
        </w:tc>
        <w:tc>
          <w:tcPr>
            <w:tcW w:w="557"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38.3</w:t>
            </w:r>
          </w:p>
        </w:tc>
        <w:tc>
          <w:tcPr>
            <w:tcW w:w="493"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280</w:t>
            </w:r>
          </w:p>
        </w:tc>
        <w:tc>
          <w:tcPr>
            <w:tcW w:w="590" w:type="pct"/>
            <w:tcBorders>
              <w:top w:val="nil"/>
              <w:left w:val="nil"/>
              <w:bottom w:val="single" w:sz="8" w:space="0" w:color="auto"/>
              <w:right w:val="single" w:sz="4" w:space="0" w:color="auto"/>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51</w:t>
            </w:r>
          </w:p>
        </w:tc>
      </w:tr>
      <w:tr w:rsidR="00CD01E6" w:rsidRPr="00AC2C3F" w:rsidTr="002C4533">
        <w:trPr>
          <w:trHeight w:val="300"/>
        </w:trPr>
        <w:tc>
          <w:tcPr>
            <w:tcW w:w="601" w:type="pct"/>
            <w:vMerge w:val="restart"/>
            <w:tcBorders>
              <w:top w:val="nil"/>
              <w:left w:val="single" w:sz="4" w:space="0" w:color="auto"/>
              <w:bottom w:val="single" w:sz="8" w:space="0" w:color="000000"/>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VIC</w:t>
            </w:r>
          </w:p>
        </w:tc>
        <w:tc>
          <w:tcPr>
            <w:tcW w:w="766" w:type="pct"/>
            <w:tcBorders>
              <w:top w:val="nil"/>
              <w:left w:val="nil"/>
              <w:bottom w:val="nil"/>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Major Cities</w:t>
            </w:r>
          </w:p>
        </w:tc>
        <w:tc>
          <w:tcPr>
            <w:tcW w:w="634"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4,393,319</w:t>
            </w:r>
          </w:p>
        </w:tc>
        <w:tc>
          <w:tcPr>
            <w:tcW w:w="669"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742</w:t>
            </w:r>
          </w:p>
        </w:tc>
        <w:tc>
          <w:tcPr>
            <w:tcW w:w="68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16.9</w:t>
            </w:r>
          </w:p>
        </w:tc>
        <w:tc>
          <w:tcPr>
            <w:tcW w:w="557"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36.7</w:t>
            </w:r>
          </w:p>
        </w:tc>
        <w:tc>
          <w:tcPr>
            <w:tcW w:w="493"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236</w:t>
            </w:r>
          </w:p>
        </w:tc>
        <w:tc>
          <w:tcPr>
            <w:tcW w:w="590" w:type="pct"/>
            <w:tcBorders>
              <w:top w:val="nil"/>
              <w:left w:val="nil"/>
              <w:bottom w:val="nil"/>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36</w:t>
            </w:r>
          </w:p>
        </w:tc>
      </w:tr>
      <w:tr w:rsidR="00CD01E6" w:rsidRPr="00AC2C3F" w:rsidTr="002C4533">
        <w:trPr>
          <w:trHeight w:val="300"/>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Inner Regional</w:t>
            </w:r>
          </w:p>
        </w:tc>
        <w:tc>
          <w:tcPr>
            <w:tcW w:w="634"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1,096,069</w:t>
            </w:r>
          </w:p>
        </w:tc>
        <w:tc>
          <w:tcPr>
            <w:tcW w:w="669"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56</w:t>
            </w:r>
          </w:p>
        </w:tc>
        <w:tc>
          <w:tcPr>
            <w:tcW w:w="68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5.1</w:t>
            </w:r>
          </w:p>
        </w:tc>
        <w:tc>
          <w:tcPr>
            <w:tcW w:w="557"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37.1</w:t>
            </w:r>
          </w:p>
        </w:tc>
        <w:tc>
          <w:tcPr>
            <w:tcW w:w="493"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10</w:t>
            </w:r>
          </w:p>
        </w:tc>
        <w:tc>
          <w:tcPr>
            <w:tcW w:w="590" w:type="pct"/>
            <w:tcBorders>
              <w:top w:val="nil"/>
              <w:left w:val="nil"/>
              <w:bottom w:val="nil"/>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11</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Outer Regional</w:t>
            </w:r>
          </w:p>
        </w:tc>
        <w:tc>
          <w:tcPr>
            <w:tcW w:w="634"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245,367</w:t>
            </w:r>
          </w:p>
        </w:tc>
        <w:tc>
          <w:tcPr>
            <w:tcW w:w="669"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w:t>
            </w:r>
          </w:p>
        </w:tc>
        <w:tc>
          <w:tcPr>
            <w:tcW w:w="689"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1.2</w:t>
            </w:r>
          </w:p>
        </w:tc>
        <w:tc>
          <w:tcPr>
            <w:tcW w:w="557"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34.3</w:t>
            </w:r>
          </w:p>
        </w:tc>
        <w:tc>
          <w:tcPr>
            <w:tcW w:w="493"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c>
          <w:tcPr>
            <w:tcW w:w="590" w:type="pct"/>
            <w:tcBorders>
              <w:top w:val="nil"/>
              <w:left w:val="nil"/>
              <w:bottom w:val="single" w:sz="8" w:space="0" w:color="auto"/>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auto" w:fill="auto"/>
            <w:vAlign w:val="center"/>
            <w:hideMark/>
          </w:tcPr>
          <w:p w:rsidR="00CD01E6" w:rsidRPr="00AC2C3F" w:rsidRDefault="00CD01E6" w:rsidP="00F2364C">
            <w:pPr>
              <w:rPr>
                <w:b/>
                <w:bCs/>
                <w:color w:val="000000"/>
                <w:sz w:val="18"/>
                <w:szCs w:val="18"/>
                <w:lang w:eastAsia="en-AU"/>
              </w:rPr>
            </w:pPr>
            <w:r w:rsidRPr="00AC2C3F">
              <w:rPr>
                <w:b/>
                <w:bCs/>
                <w:color w:val="000000"/>
                <w:sz w:val="18"/>
                <w:szCs w:val="18"/>
                <w:lang w:eastAsia="en-AU"/>
              </w:rPr>
              <w:t>Total</w:t>
            </w:r>
          </w:p>
        </w:tc>
        <w:tc>
          <w:tcPr>
            <w:tcW w:w="634"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5,739,341</w:t>
            </w:r>
          </w:p>
        </w:tc>
        <w:tc>
          <w:tcPr>
            <w:tcW w:w="669"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801</w:t>
            </w:r>
          </w:p>
        </w:tc>
        <w:tc>
          <w:tcPr>
            <w:tcW w:w="689"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14</w:t>
            </w:r>
          </w:p>
        </w:tc>
        <w:tc>
          <w:tcPr>
            <w:tcW w:w="557"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36.7</w:t>
            </w:r>
          </w:p>
        </w:tc>
        <w:tc>
          <w:tcPr>
            <w:tcW w:w="493"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246</w:t>
            </w:r>
          </w:p>
        </w:tc>
        <w:tc>
          <w:tcPr>
            <w:tcW w:w="590" w:type="pct"/>
            <w:tcBorders>
              <w:top w:val="nil"/>
              <w:left w:val="nil"/>
              <w:bottom w:val="single" w:sz="8" w:space="0" w:color="auto"/>
              <w:right w:val="single" w:sz="4" w:space="0" w:color="auto"/>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47</w:t>
            </w:r>
          </w:p>
        </w:tc>
      </w:tr>
      <w:tr w:rsidR="00CD01E6" w:rsidRPr="00AC2C3F" w:rsidTr="002C4533">
        <w:trPr>
          <w:trHeight w:val="300"/>
        </w:trPr>
        <w:tc>
          <w:tcPr>
            <w:tcW w:w="601" w:type="pct"/>
            <w:vMerge w:val="restart"/>
            <w:tcBorders>
              <w:top w:val="nil"/>
              <w:left w:val="single" w:sz="4" w:space="0" w:color="auto"/>
              <w:bottom w:val="single" w:sz="8" w:space="0" w:color="000000"/>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QLD</w:t>
            </w:r>
          </w:p>
        </w:tc>
        <w:tc>
          <w:tcPr>
            <w:tcW w:w="766" w:type="pct"/>
            <w:tcBorders>
              <w:top w:val="nil"/>
              <w:left w:val="nil"/>
              <w:bottom w:val="nil"/>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Major Cities</w:t>
            </w:r>
          </w:p>
        </w:tc>
        <w:tc>
          <w:tcPr>
            <w:tcW w:w="634"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2,888,985</w:t>
            </w:r>
          </w:p>
        </w:tc>
        <w:tc>
          <w:tcPr>
            <w:tcW w:w="669"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450</w:t>
            </w:r>
          </w:p>
        </w:tc>
        <w:tc>
          <w:tcPr>
            <w:tcW w:w="68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15.6</w:t>
            </w:r>
          </w:p>
        </w:tc>
        <w:tc>
          <w:tcPr>
            <w:tcW w:w="557"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40.4</w:t>
            </w:r>
          </w:p>
        </w:tc>
        <w:tc>
          <w:tcPr>
            <w:tcW w:w="493"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147</w:t>
            </w:r>
          </w:p>
        </w:tc>
        <w:tc>
          <w:tcPr>
            <w:tcW w:w="590" w:type="pct"/>
            <w:tcBorders>
              <w:top w:val="nil"/>
              <w:left w:val="nil"/>
              <w:bottom w:val="nil"/>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12</w:t>
            </w:r>
          </w:p>
        </w:tc>
      </w:tr>
      <w:tr w:rsidR="00CD01E6" w:rsidRPr="00AC2C3F" w:rsidTr="002C4533">
        <w:trPr>
          <w:trHeight w:val="300"/>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Inner Regional</w:t>
            </w:r>
          </w:p>
        </w:tc>
        <w:tc>
          <w:tcPr>
            <w:tcW w:w="634"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944,202</w:t>
            </w:r>
          </w:p>
        </w:tc>
        <w:tc>
          <w:tcPr>
            <w:tcW w:w="669"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49</w:t>
            </w:r>
          </w:p>
        </w:tc>
        <w:tc>
          <w:tcPr>
            <w:tcW w:w="68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5.2</w:t>
            </w:r>
          </w:p>
        </w:tc>
        <w:tc>
          <w:tcPr>
            <w:tcW w:w="557"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41.1</w:t>
            </w:r>
          </w:p>
        </w:tc>
        <w:tc>
          <w:tcPr>
            <w:tcW w:w="493"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21</w:t>
            </w:r>
          </w:p>
        </w:tc>
        <w:tc>
          <w:tcPr>
            <w:tcW w:w="590" w:type="pct"/>
            <w:tcBorders>
              <w:top w:val="nil"/>
              <w:left w:val="nil"/>
              <w:bottom w:val="nil"/>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w:t>
            </w:r>
          </w:p>
        </w:tc>
      </w:tr>
      <w:tr w:rsidR="00CD01E6" w:rsidRPr="00AC2C3F" w:rsidTr="002C4533">
        <w:trPr>
          <w:trHeight w:val="300"/>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Outer Regional</w:t>
            </w:r>
          </w:p>
        </w:tc>
        <w:tc>
          <w:tcPr>
            <w:tcW w:w="634"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684,568</w:t>
            </w:r>
          </w:p>
        </w:tc>
        <w:tc>
          <w:tcPr>
            <w:tcW w:w="669"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42</w:t>
            </w:r>
          </w:p>
        </w:tc>
        <w:tc>
          <w:tcPr>
            <w:tcW w:w="68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6.1</w:t>
            </w:r>
          </w:p>
        </w:tc>
        <w:tc>
          <w:tcPr>
            <w:tcW w:w="557"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40.8</w:t>
            </w:r>
          </w:p>
        </w:tc>
        <w:tc>
          <w:tcPr>
            <w:tcW w:w="493"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26</w:t>
            </w:r>
          </w:p>
        </w:tc>
        <w:tc>
          <w:tcPr>
            <w:tcW w:w="590" w:type="pct"/>
            <w:tcBorders>
              <w:top w:val="nil"/>
              <w:left w:val="nil"/>
              <w:bottom w:val="nil"/>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Very Remote</w:t>
            </w:r>
          </w:p>
        </w:tc>
        <w:tc>
          <w:tcPr>
            <w:tcW w:w="634"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59,207</w:t>
            </w:r>
          </w:p>
        </w:tc>
        <w:tc>
          <w:tcPr>
            <w:tcW w:w="669"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w:t>
            </w:r>
          </w:p>
        </w:tc>
        <w:tc>
          <w:tcPr>
            <w:tcW w:w="689"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1.7</w:t>
            </w:r>
          </w:p>
        </w:tc>
        <w:tc>
          <w:tcPr>
            <w:tcW w:w="557"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40</w:t>
            </w:r>
          </w:p>
        </w:tc>
        <w:tc>
          <w:tcPr>
            <w:tcW w:w="493"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c>
          <w:tcPr>
            <w:tcW w:w="590" w:type="pct"/>
            <w:tcBorders>
              <w:top w:val="nil"/>
              <w:left w:val="nil"/>
              <w:bottom w:val="single" w:sz="8" w:space="0" w:color="auto"/>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000000" w:fill="D8D8D8"/>
            <w:vAlign w:val="center"/>
            <w:hideMark/>
          </w:tcPr>
          <w:p w:rsidR="00CD01E6" w:rsidRPr="00AC2C3F" w:rsidRDefault="00CD01E6" w:rsidP="00F2364C">
            <w:pPr>
              <w:rPr>
                <w:b/>
                <w:bCs/>
                <w:color w:val="000000"/>
                <w:sz w:val="18"/>
                <w:szCs w:val="18"/>
                <w:lang w:eastAsia="en-AU"/>
              </w:rPr>
            </w:pPr>
            <w:r w:rsidRPr="00AC2C3F">
              <w:rPr>
                <w:b/>
                <w:bCs/>
                <w:color w:val="000000"/>
                <w:sz w:val="18"/>
                <w:szCs w:val="18"/>
                <w:lang w:eastAsia="en-AU"/>
              </w:rPr>
              <w:t>Total</w:t>
            </w:r>
          </w:p>
        </w:tc>
        <w:tc>
          <w:tcPr>
            <w:tcW w:w="634"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4,656,803</w:t>
            </w:r>
          </w:p>
        </w:tc>
        <w:tc>
          <w:tcPr>
            <w:tcW w:w="669"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542</w:t>
            </w:r>
          </w:p>
        </w:tc>
        <w:tc>
          <w:tcPr>
            <w:tcW w:w="689"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11.6</w:t>
            </w:r>
          </w:p>
        </w:tc>
        <w:tc>
          <w:tcPr>
            <w:tcW w:w="557"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40.4</w:t>
            </w:r>
          </w:p>
        </w:tc>
        <w:tc>
          <w:tcPr>
            <w:tcW w:w="493"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194</w:t>
            </w:r>
          </w:p>
        </w:tc>
        <w:tc>
          <w:tcPr>
            <w:tcW w:w="590" w:type="pct"/>
            <w:tcBorders>
              <w:top w:val="nil"/>
              <w:left w:val="nil"/>
              <w:bottom w:val="single" w:sz="8" w:space="0" w:color="auto"/>
              <w:right w:val="single" w:sz="4" w:space="0" w:color="auto"/>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18</w:t>
            </w:r>
          </w:p>
        </w:tc>
      </w:tr>
      <w:tr w:rsidR="00CD01E6" w:rsidRPr="00AC2C3F" w:rsidTr="002C4533">
        <w:trPr>
          <w:trHeight w:val="300"/>
        </w:trPr>
        <w:tc>
          <w:tcPr>
            <w:tcW w:w="601" w:type="pct"/>
            <w:vMerge w:val="restart"/>
            <w:tcBorders>
              <w:top w:val="nil"/>
              <w:left w:val="single" w:sz="4" w:space="0" w:color="auto"/>
              <w:bottom w:val="single" w:sz="8" w:space="0" w:color="000000"/>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SA</w:t>
            </w:r>
          </w:p>
        </w:tc>
        <w:tc>
          <w:tcPr>
            <w:tcW w:w="766" w:type="pct"/>
            <w:tcBorders>
              <w:top w:val="nil"/>
              <w:left w:val="nil"/>
              <w:bottom w:val="nil"/>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Major Cities</w:t>
            </w:r>
          </w:p>
        </w:tc>
        <w:tc>
          <w:tcPr>
            <w:tcW w:w="634"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1,226,770</w:t>
            </w:r>
          </w:p>
        </w:tc>
        <w:tc>
          <w:tcPr>
            <w:tcW w:w="669"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234</w:t>
            </w:r>
          </w:p>
        </w:tc>
        <w:tc>
          <w:tcPr>
            <w:tcW w:w="68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19.1</w:t>
            </w:r>
          </w:p>
        </w:tc>
        <w:tc>
          <w:tcPr>
            <w:tcW w:w="557"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37.7</w:t>
            </w:r>
          </w:p>
        </w:tc>
        <w:tc>
          <w:tcPr>
            <w:tcW w:w="493"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68</w:t>
            </w:r>
          </w:p>
        </w:tc>
        <w:tc>
          <w:tcPr>
            <w:tcW w:w="590" w:type="pct"/>
            <w:tcBorders>
              <w:top w:val="nil"/>
              <w:left w:val="nil"/>
              <w:bottom w:val="nil"/>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13</w:t>
            </w:r>
          </w:p>
        </w:tc>
      </w:tr>
      <w:tr w:rsidR="00CD01E6" w:rsidRPr="00AC2C3F" w:rsidTr="002C4533">
        <w:trPr>
          <w:trHeight w:val="300"/>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Inner Regional</w:t>
            </w:r>
          </w:p>
        </w:tc>
        <w:tc>
          <w:tcPr>
            <w:tcW w:w="634"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181,273</w:t>
            </w:r>
          </w:p>
        </w:tc>
        <w:tc>
          <w:tcPr>
            <w:tcW w:w="669"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w:t>
            </w:r>
          </w:p>
        </w:tc>
        <w:tc>
          <w:tcPr>
            <w:tcW w:w="68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0.6</w:t>
            </w:r>
          </w:p>
        </w:tc>
        <w:tc>
          <w:tcPr>
            <w:tcW w:w="557"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34</w:t>
            </w:r>
          </w:p>
        </w:tc>
        <w:tc>
          <w:tcPr>
            <w:tcW w:w="493"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w:t>
            </w:r>
          </w:p>
        </w:tc>
        <w:tc>
          <w:tcPr>
            <w:tcW w:w="590" w:type="pct"/>
            <w:tcBorders>
              <w:top w:val="nil"/>
              <w:left w:val="nil"/>
              <w:bottom w:val="nil"/>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r>
      <w:tr w:rsidR="00CD01E6" w:rsidRPr="00AC2C3F" w:rsidTr="002C4533">
        <w:trPr>
          <w:trHeight w:val="300"/>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Outer Regional</w:t>
            </w:r>
          </w:p>
        </w:tc>
        <w:tc>
          <w:tcPr>
            <w:tcW w:w="634"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202,204</w:t>
            </w:r>
          </w:p>
        </w:tc>
        <w:tc>
          <w:tcPr>
            <w:tcW w:w="669"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w:t>
            </w:r>
          </w:p>
        </w:tc>
        <w:tc>
          <w:tcPr>
            <w:tcW w:w="68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1.5</w:t>
            </w:r>
          </w:p>
        </w:tc>
        <w:tc>
          <w:tcPr>
            <w:tcW w:w="557"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34.7</w:t>
            </w:r>
          </w:p>
        </w:tc>
        <w:tc>
          <w:tcPr>
            <w:tcW w:w="493"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c>
          <w:tcPr>
            <w:tcW w:w="590" w:type="pct"/>
            <w:tcBorders>
              <w:top w:val="nil"/>
              <w:left w:val="nil"/>
              <w:bottom w:val="nil"/>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Very Remote</w:t>
            </w:r>
          </w:p>
        </w:tc>
        <w:tc>
          <w:tcPr>
            <w:tcW w:w="634"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14,886</w:t>
            </w:r>
          </w:p>
        </w:tc>
        <w:tc>
          <w:tcPr>
            <w:tcW w:w="669"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w:t>
            </w:r>
          </w:p>
        </w:tc>
        <w:tc>
          <w:tcPr>
            <w:tcW w:w="689"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6.7</w:t>
            </w:r>
          </w:p>
        </w:tc>
        <w:tc>
          <w:tcPr>
            <w:tcW w:w="557"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33</w:t>
            </w:r>
          </w:p>
        </w:tc>
        <w:tc>
          <w:tcPr>
            <w:tcW w:w="493"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c>
          <w:tcPr>
            <w:tcW w:w="590" w:type="pct"/>
            <w:tcBorders>
              <w:top w:val="nil"/>
              <w:left w:val="nil"/>
              <w:bottom w:val="single" w:sz="8" w:space="0" w:color="auto"/>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auto" w:fill="auto"/>
            <w:vAlign w:val="center"/>
            <w:hideMark/>
          </w:tcPr>
          <w:p w:rsidR="00CD01E6" w:rsidRPr="00AC2C3F" w:rsidRDefault="00CD01E6" w:rsidP="00F2364C">
            <w:pPr>
              <w:rPr>
                <w:b/>
                <w:bCs/>
                <w:color w:val="000000"/>
                <w:sz w:val="18"/>
                <w:szCs w:val="18"/>
                <w:lang w:eastAsia="en-AU"/>
              </w:rPr>
            </w:pPr>
            <w:r w:rsidRPr="00AC2C3F">
              <w:rPr>
                <w:b/>
                <w:bCs/>
                <w:color w:val="000000"/>
                <w:sz w:val="18"/>
                <w:szCs w:val="18"/>
                <w:lang w:eastAsia="en-AU"/>
              </w:rPr>
              <w:t>Total</w:t>
            </w:r>
          </w:p>
        </w:tc>
        <w:tc>
          <w:tcPr>
            <w:tcW w:w="634"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1,670,827</w:t>
            </w:r>
          </w:p>
        </w:tc>
        <w:tc>
          <w:tcPr>
            <w:tcW w:w="669"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239</w:t>
            </w:r>
          </w:p>
        </w:tc>
        <w:tc>
          <w:tcPr>
            <w:tcW w:w="689"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14.3</w:t>
            </w:r>
          </w:p>
        </w:tc>
        <w:tc>
          <w:tcPr>
            <w:tcW w:w="557"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37.6</w:t>
            </w:r>
          </w:p>
        </w:tc>
        <w:tc>
          <w:tcPr>
            <w:tcW w:w="493"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69</w:t>
            </w:r>
          </w:p>
        </w:tc>
        <w:tc>
          <w:tcPr>
            <w:tcW w:w="590" w:type="pct"/>
            <w:tcBorders>
              <w:top w:val="nil"/>
              <w:left w:val="nil"/>
              <w:bottom w:val="single" w:sz="8" w:space="0" w:color="auto"/>
              <w:right w:val="single" w:sz="4" w:space="0" w:color="auto"/>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13</w:t>
            </w:r>
          </w:p>
        </w:tc>
      </w:tr>
      <w:tr w:rsidR="00CD01E6" w:rsidRPr="00AC2C3F" w:rsidTr="002C4533">
        <w:trPr>
          <w:trHeight w:val="300"/>
        </w:trPr>
        <w:tc>
          <w:tcPr>
            <w:tcW w:w="601" w:type="pct"/>
            <w:vMerge w:val="restart"/>
            <w:tcBorders>
              <w:top w:val="nil"/>
              <w:left w:val="single" w:sz="4" w:space="0" w:color="auto"/>
              <w:bottom w:val="single" w:sz="8" w:space="0" w:color="000000"/>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WA</w:t>
            </w:r>
          </w:p>
        </w:tc>
        <w:tc>
          <w:tcPr>
            <w:tcW w:w="766" w:type="pct"/>
            <w:tcBorders>
              <w:top w:val="nil"/>
              <w:left w:val="nil"/>
              <w:bottom w:val="nil"/>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Major Cities</w:t>
            </w:r>
          </w:p>
        </w:tc>
        <w:tc>
          <w:tcPr>
            <w:tcW w:w="634"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1,932,792</w:t>
            </w:r>
          </w:p>
        </w:tc>
        <w:tc>
          <w:tcPr>
            <w:tcW w:w="669"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214</w:t>
            </w:r>
          </w:p>
        </w:tc>
        <w:tc>
          <w:tcPr>
            <w:tcW w:w="68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11.1</w:t>
            </w:r>
          </w:p>
        </w:tc>
        <w:tc>
          <w:tcPr>
            <w:tcW w:w="557"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39.5</w:t>
            </w:r>
          </w:p>
        </w:tc>
        <w:tc>
          <w:tcPr>
            <w:tcW w:w="493"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63</w:t>
            </w:r>
          </w:p>
        </w:tc>
        <w:tc>
          <w:tcPr>
            <w:tcW w:w="590" w:type="pct"/>
            <w:tcBorders>
              <w:top w:val="nil"/>
              <w:left w:val="nil"/>
              <w:bottom w:val="nil"/>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22</w:t>
            </w:r>
          </w:p>
        </w:tc>
      </w:tr>
      <w:tr w:rsidR="00CD01E6" w:rsidRPr="00AC2C3F" w:rsidTr="002C4533">
        <w:trPr>
          <w:trHeight w:val="300"/>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Inner Regional</w:t>
            </w:r>
          </w:p>
        </w:tc>
        <w:tc>
          <w:tcPr>
            <w:tcW w:w="634"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227,888</w:t>
            </w:r>
          </w:p>
        </w:tc>
        <w:tc>
          <w:tcPr>
            <w:tcW w:w="669"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10</w:t>
            </w:r>
          </w:p>
        </w:tc>
        <w:tc>
          <w:tcPr>
            <w:tcW w:w="68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4.4</w:t>
            </w:r>
          </w:p>
        </w:tc>
        <w:tc>
          <w:tcPr>
            <w:tcW w:w="557"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43.2</w:t>
            </w:r>
          </w:p>
        </w:tc>
        <w:tc>
          <w:tcPr>
            <w:tcW w:w="493"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w:t>
            </w:r>
          </w:p>
        </w:tc>
        <w:tc>
          <w:tcPr>
            <w:tcW w:w="590" w:type="pct"/>
            <w:tcBorders>
              <w:top w:val="nil"/>
              <w:left w:val="nil"/>
              <w:bottom w:val="nil"/>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r>
      <w:tr w:rsidR="00CD01E6" w:rsidRPr="00AC2C3F" w:rsidTr="002C4533">
        <w:trPr>
          <w:trHeight w:val="300"/>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Outer Regional</w:t>
            </w:r>
          </w:p>
        </w:tc>
        <w:tc>
          <w:tcPr>
            <w:tcW w:w="634"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187,967</w:t>
            </w:r>
          </w:p>
        </w:tc>
        <w:tc>
          <w:tcPr>
            <w:tcW w:w="669"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6</w:t>
            </w:r>
          </w:p>
        </w:tc>
        <w:tc>
          <w:tcPr>
            <w:tcW w:w="68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3.2</w:t>
            </w:r>
          </w:p>
        </w:tc>
        <w:tc>
          <w:tcPr>
            <w:tcW w:w="557"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42.2</w:t>
            </w:r>
          </w:p>
        </w:tc>
        <w:tc>
          <w:tcPr>
            <w:tcW w:w="493"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w:t>
            </w:r>
          </w:p>
        </w:tc>
        <w:tc>
          <w:tcPr>
            <w:tcW w:w="590" w:type="pct"/>
            <w:tcBorders>
              <w:top w:val="nil"/>
              <w:left w:val="nil"/>
              <w:bottom w:val="nil"/>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r>
      <w:tr w:rsidR="00CD01E6" w:rsidRPr="00AC2C3F" w:rsidTr="002C4533">
        <w:trPr>
          <w:trHeight w:val="300"/>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Remote</w:t>
            </w:r>
          </w:p>
        </w:tc>
        <w:tc>
          <w:tcPr>
            <w:tcW w:w="634"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103,881</w:t>
            </w:r>
          </w:p>
        </w:tc>
        <w:tc>
          <w:tcPr>
            <w:tcW w:w="669"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w:t>
            </w:r>
          </w:p>
        </w:tc>
        <w:tc>
          <w:tcPr>
            <w:tcW w:w="68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3.9</w:t>
            </w:r>
          </w:p>
        </w:tc>
        <w:tc>
          <w:tcPr>
            <w:tcW w:w="557"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46.3</w:t>
            </w:r>
          </w:p>
        </w:tc>
        <w:tc>
          <w:tcPr>
            <w:tcW w:w="493"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w:t>
            </w:r>
          </w:p>
        </w:tc>
        <w:tc>
          <w:tcPr>
            <w:tcW w:w="590" w:type="pct"/>
            <w:tcBorders>
              <w:top w:val="nil"/>
              <w:left w:val="nil"/>
              <w:bottom w:val="nil"/>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Very Remote</w:t>
            </w:r>
          </w:p>
        </w:tc>
        <w:tc>
          <w:tcPr>
            <w:tcW w:w="634"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66,793</w:t>
            </w:r>
          </w:p>
        </w:tc>
        <w:tc>
          <w:tcPr>
            <w:tcW w:w="669"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w:t>
            </w:r>
          </w:p>
        </w:tc>
        <w:tc>
          <w:tcPr>
            <w:tcW w:w="689"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1.5</w:t>
            </w:r>
          </w:p>
        </w:tc>
        <w:tc>
          <w:tcPr>
            <w:tcW w:w="557"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55</w:t>
            </w:r>
          </w:p>
        </w:tc>
        <w:tc>
          <w:tcPr>
            <w:tcW w:w="493"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c>
          <w:tcPr>
            <w:tcW w:w="590" w:type="pct"/>
            <w:tcBorders>
              <w:top w:val="nil"/>
              <w:left w:val="nil"/>
              <w:bottom w:val="single" w:sz="8" w:space="0" w:color="auto"/>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auto" w:fill="auto"/>
            <w:vAlign w:val="center"/>
            <w:hideMark/>
          </w:tcPr>
          <w:p w:rsidR="00CD01E6" w:rsidRPr="00AC2C3F" w:rsidRDefault="00CD01E6" w:rsidP="00F2364C">
            <w:pPr>
              <w:rPr>
                <w:b/>
                <w:bCs/>
                <w:color w:val="000000"/>
                <w:sz w:val="18"/>
                <w:szCs w:val="18"/>
                <w:lang w:eastAsia="en-AU"/>
              </w:rPr>
            </w:pPr>
            <w:r w:rsidRPr="00AC2C3F">
              <w:rPr>
                <w:b/>
                <w:bCs/>
                <w:color w:val="000000"/>
                <w:sz w:val="18"/>
                <w:szCs w:val="18"/>
                <w:lang w:eastAsia="en-AU"/>
              </w:rPr>
              <w:t>Total</w:t>
            </w:r>
          </w:p>
        </w:tc>
        <w:tc>
          <w:tcPr>
            <w:tcW w:w="634"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2,519,321</w:t>
            </w:r>
          </w:p>
        </w:tc>
        <w:tc>
          <w:tcPr>
            <w:tcW w:w="669"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235</w:t>
            </w:r>
          </w:p>
        </w:tc>
        <w:tc>
          <w:tcPr>
            <w:tcW w:w="689"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9.3</w:t>
            </w:r>
          </w:p>
        </w:tc>
        <w:tc>
          <w:tcPr>
            <w:tcW w:w="557"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39.9</w:t>
            </w:r>
          </w:p>
        </w:tc>
        <w:tc>
          <w:tcPr>
            <w:tcW w:w="493"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67</w:t>
            </w:r>
          </w:p>
        </w:tc>
        <w:tc>
          <w:tcPr>
            <w:tcW w:w="590" w:type="pct"/>
            <w:tcBorders>
              <w:top w:val="nil"/>
              <w:left w:val="nil"/>
              <w:bottom w:val="single" w:sz="8" w:space="0" w:color="auto"/>
              <w:right w:val="single" w:sz="4" w:space="0" w:color="auto"/>
            </w:tcBorders>
            <w:shd w:val="clear" w:color="auto" w:fill="auto"/>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24</w:t>
            </w:r>
          </w:p>
        </w:tc>
      </w:tr>
      <w:tr w:rsidR="00CD01E6" w:rsidRPr="00AC2C3F" w:rsidTr="002C4533">
        <w:trPr>
          <w:trHeight w:val="300"/>
        </w:trPr>
        <w:tc>
          <w:tcPr>
            <w:tcW w:w="601" w:type="pct"/>
            <w:vMerge w:val="restart"/>
            <w:tcBorders>
              <w:top w:val="nil"/>
              <w:left w:val="single" w:sz="4" w:space="0" w:color="auto"/>
              <w:bottom w:val="single" w:sz="8" w:space="0" w:color="000000"/>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TAS</w:t>
            </w:r>
          </w:p>
        </w:tc>
        <w:tc>
          <w:tcPr>
            <w:tcW w:w="766" w:type="pct"/>
            <w:tcBorders>
              <w:top w:val="nil"/>
              <w:left w:val="nil"/>
              <w:bottom w:val="nil"/>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Inner Regional</w:t>
            </w:r>
          </w:p>
        </w:tc>
        <w:tc>
          <w:tcPr>
            <w:tcW w:w="634"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336,869</w:t>
            </w:r>
          </w:p>
        </w:tc>
        <w:tc>
          <w:tcPr>
            <w:tcW w:w="669"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45</w:t>
            </w:r>
          </w:p>
        </w:tc>
        <w:tc>
          <w:tcPr>
            <w:tcW w:w="68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13.4</w:t>
            </w:r>
          </w:p>
        </w:tc>
        <w:tc>
          <w:tcPr>
            <w:tcW w:w="557"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32.4</w:t>
            </w:r>
          </w:p>
        </w:tc>
        <w:tc>
          <w:tcPr>
            <w:tcW w:w="493"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18</w:t>
            </w:r>
          </w:p>
        </w:tc>
        <w:tc>
          <w:tcPr>
            <w:tcW w:w="590" w:type="pct"/>
            <w:tcBorders>
              <w:top w:val="nil"/>
              <w:left w:val="nil"/>
              <w:bottom w:val="nil"/>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Outer Regional</w:t>
            </w:r>
          </w:p>
        </w:tc>
        <w:tc>
          <w:tcPr>
            <w:tcW w:w="634"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165,682</w:t>
            </w:r>
          </w:p>
        </w:tc>
        <w:tc>
          <w:tcPr>
            <w:tcW w:w="669"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6</w:t>
            </w:r>
          </w:p>
        </w:tc>
        <w:tc>
          <w:tcPr>
            <w:tcW w:w="689"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3.6</w:t>
            </w:r>
          </w:p>
        </w:tc>
        <w:tc>
          <w:tcPr>
            <w:tcW w:w="557"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37.2</w:t>
            </w:r>
          </w:p>
        </w:tc>
        <w:tc>
          <w:tcPr>
            <w:tcW w:w="493"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w:t>
            </w:r>
          </w:p>
        </w:tc>
        <w:tc>
          <w:tcPr>
            <w:tcW w:w="590" w:type="pct"/>
            <w:tcBorders>
              <w:top w:val="nil"/>
              <w:left w:val="nil"/>
              <w:bottom w:val="single" w:sz="8" w:space="0" w:color="auto"/>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000000" w:fill="D8D8D8"/>
            <w:vAlign w:val="center"/>
            <w:hideMark/>
          </w:tcPr>
          <w:p w:rsidR="00CD01E6" w:rsidRPr="00AC2C3F" w:rsidRDefault="00CD01E6" w:rsidP="00F2364C">
            <w:pPr>
              <w:rPr>
                <w:b/>
                <w:bCs/>
                <w:color w:val="000000"/>
                <w:sz w:val="18"/>
                <w:szCs w:val="18"/>
                <w:lang w:eastAsia="en-AU"/>
              </w:rPr>
            </w:pPr>
            <w:r w:rsidRPr="00AC2C3F">
              <w:rPr>
                <w:b/>
                <w:bCs/>
                <w:color w:val="000000"/>
                <w:sz w:val="18"/>
                <w:szCs w:val="18"/>
                <w:lang w:eastAsia="en-AU"/>
              </w:rPr>
              <w:t>Total</w:t>
            </w:r>
          </w:p>
        </w:tc>
        <w:tc>
          <w:tcPr>
            <w:tcW w:w="634"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513,159</w:t>
            </w:r>
          </w:p>
        </w:tc>
        <w:tc>
          <w:tcPr>
            <w:tcW w:w="669"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51</w:t>
            </w:r>
          </w:p>
        </w:tc>
        <w:tc>
          <w:tcPr>
            <w:tcW w:w="689"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9.9</w:t>
            </w:r>
          </w:p>
        </w:tc>
        <w:tc>
          <w:tcPr>
            <w:tcW w:w="557"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33</w:t>
            </w:r>
          </w:p>
        </w:tc>
        <w:tc>
          <w:tcPr>
            <w:tcW w:w="493"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20</w:t>
            </w:r>
          </w:p>
        </w:tc>
        <w:tc>
          <w:tcPr>
            <w:tcW w:w="590" w:type="pct"/>
            <w:tcBorders>
              <w:top w:val="nil"/>
              <w:left w:val="nil"/>
              <w:bottom w:val="single" w:sz="8" w:space="0" w:color="auto"/>
              <w:right w:val="single" w:sz="4" w:space="0" w:color="auto"/>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4</w:t>
            </w:r>
          </w:p>
        </w:tc>
      </w:tr>
      <w:tr w:rsidR="00CD01E6" w:rsidRPr="00AC2C3F" w:rsidTr="002C4533">
        <w:trPr>
          <w:trHeight w:val="300"/>
        </w:trPr>
        <w:tc>
          <w:tcPr>
            <w:tcW w:w="601" w:type="pct"/>
            <w:vMerge w:val="restart"/>
            <w:tcBorders>
              <w:top w:val="nil"/>
              <w:left w:val="single" w:sz="4" w:space="0" w:color="auto"/>
              <w:bottom w:val="single" w:sz="8" w:space="0" w:color="000000"/>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NT</w:t>
            </w:r>
          </w:p>
        </w:tc>
        <w:tc>
          <w:tcPr>
            <w:tcW w:w="766" w:type="pct"/>
            <w:tcBorders>
              <w:top w:val="nil"/>
              <w:left w:val="nil"/>
              <w:bottom w:val="nil"/>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Outer Regional</w:t>
            </w:r>
          </w:p>
        </w:tc>
        <w:tc>
          <w:tcPr>
            <w:tcW w:w="634"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136,245</w:t>
            </w:r>
          </w:p>
        </w:tc>
        <w:tc>
          <w:tcPr>
            <w:tcW w:w="669"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8</w:t>
            </w:r>
          </w:p>
        </w:tc>
        <w:tc>
          <w:tcPr>
            <w:tcW w:w="68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5.9</w:t>
            </w:r>
          </w:p>
        </w:tc>
        <w:tc>
          <w:tcPr>
            <w:tcW w:w="557" w:type="pct"/>
            <w:tcBorders>
              <w:top w:val="nil"/>
              <w:left w:val="nil"/>
              <w:bottom w:val="nil"/>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42.6</w:t>
            </w:r>
          </w:p>
        </w:tc>
        <w:tc>
          <w:tcPr>
            <w:tcW w:w="493"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6</w:t>
            </w:r>
          </w:p>
        </w:tc>
        <w:tc>
          <w:tcPr>
            <w:tcW w:w="590" w:type="pct"/>
            <w:tcBorders>
              <w:top w:val="nil"/>
              <w:left w:val="nil"/>
              <w:bottom w:val="nil"/>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w:t>
            </w:r>
          </w:p>
        </w:tc>
      </w:tr>
      <w:tr w:rsidR="00CD01E6" w:rsidRPr="00AC2C3F" w:rsidTr="002C4533">
        <w:trPr>
          <w:trHeight w:val="300"/>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Remote</w:t>
            </w:r>
          </w:p>
        </w:tc>
        <w:tc>
          <w:tcPr>
            <w:tcW w:w="634"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49,694</w:t>
            </w:r>
          </w:p>
        </w:tc>
        <w:tc>
          <w:tcPr>
            <w:tcW w:w="669"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w:t>
            </w:r>
          </w:p>
        </w:tc>
        <w:tc>
          <w:tcPr>
            <w:tcW w:w="68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10.1</w:t>
            </w:r>
          </w:p>
        </w:tc>
        <w:tc>
          <w:tcPr>
            <w:tcW w:w="557" w:type="pct"/>
            <w:tcBorders>
              <w:top w:val="nil"/>
              <w:left w:val="nil"/>
              <w:bottom w:val="nil"/>
              <w:right w:val="nil"/>
            </w:tcBorders>
            <w:shd w:val="clear" w:color="000000" w:fill="D8D8D8"/>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40.6</w:t>
            </w:r>
          </w:p>
        </w:tc>
        <w:tc>
          <w:tcPr>
            <w:tcW w:w="493"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w:t>
            </w:r>
          </w:p>
        </w:tc>
        <w:tc>
          <w:tcPr>
            <w:tcW w:w="590" w:type="pct"/>
            <w:tcBorders>
              <w:top w:val="nil"/>
              <w:left w:val="nil"/>
              <w:bottom w:val="nil"/>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Very Remote</w:t>
            </w:r>
          </w:p>
        </w:tc>
        <w:tc>
          <w:tcPr>
            <w:tcW w:w="634"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54,820</w:t>
            </w:r>
          </w:p>
        </w:tc>
        <w:tc>
          <w:tcPr>
            <w:tcW w:w="669"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w:t>
            </w:r>
          </w:p>
        </w:tc>
        <w:tc>
          <w:tcPr>
            <w:tcW w:w="689"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1.8</w:t>
            </w:r>
          </w:p>
        </w:tc>
        <w:tc>
          <w:tcPr>
            <w:tcW w:w="557"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40</w:t>
            </w:r>
          </w:p>
        </w:tc>
        <w:tc>
          <w:tcPr>
            <w:tcW w:w="493"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c>
          <w:tcPr>
            <w:tcW w:w="590" w:type="pct"/>
            <w:tcBorders>
              <w:top w:val="nil"/>
              <w:left w:val="nil"/>
              <w:bottom w:val="single" w:sz="8" w:space="0" w:color="auto"/>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000000" w:fill="D8D8D8"/>
            <w:noWrap/>
            <w:vAlign w:val="center"/>
            <w:hideMark/>
          </w:tcPr>
          <w:p w:rsidR="00CD01E6" w:rsidRPr="00AC2C3F" w:rsidRDefault="00CD01E6" w:rsidP="00F2364C">
            <w:pPr>
              <w:rPr>
                <w:b/>
                <w:bCs/>
                <w:color w:val="000000"/>
                <w:sz w:val="18"/>
                <w:szCs w:val="18"/>
                <w:lang w:eastAsia="en-AU"/>
              </w:rPr>
            </w:pPr>
            <w:r w:rsidRPr="00AC2C3F">
              <w:rPr>
                <w:b/>
                <w:bCs/>
                <w:color w:val="000000"/>
                <w:sz w:val="18"/>
                <w:szCs w:val="18"/>
                <w:lang w:eastAsia="en-AU"/>
              </w:rPr>
              <w:t>Total</w:t>
            </w:r>
          </w:p>
        </w:tc>
        <w:tc>
          <w:tcPr>
            <w:tcW w:w="634"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240,759</w:t>
            </w:r>
          </w:p>
        </w:tc>
        <w:tc>
          <w:tcPr>
            <w:tcW w:w="669"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14</w:t>
            </w:r>
          </w:p>
        </w:tc>
        <w:tc>
          <w:tcPr>
            <w:tcW w:w="689"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5.8</w:t>
            </w:r>
          </w:p>
        </w:tc>
        <w:tc>
          <w:tcPr>
            <w:tcW w:w="557" w:type="pct"/>
            <w:tcBorders>
              <w:top w:val="nil"/>
              <w:left w:val="nil"/>
              <w:bottom w:val="single" w:sz="8" w:space="0" w:color="auto"/>
              <w:right w:val="nil"/>
            </w:tcBorders>
            <w:shd w:val="clear" w:color="000000" w:fill="D8D8D8"/>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41.7</w:t>
            </w:r>
          </w:p>
        </w:tc>
        <w:tc>
          <w:tcPr>
            <w:tcW w:w="493"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7</w:t>
            </w:r>
          </w:p>
        </w:tc>
        <w:tc>
          <w:tcPr>
            <w:tcW w:w="590" w:type="pct"/>
            <w:tcBorders>
              <w:top w:val="nil"/>
              <w:left w:val="nil"/>
              <w:bottom w:val="single" w:sz="8" w:space="0" w:color="auto"/>
              <w:right w:val="single" w:sz="4" w:space="0" w:color="auto"/>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3</w:t>
            </w:r>
          </w:p>
        </w:tc>
      </w:tr>
      <w:tr w:rsidR="00CD01E6" w:rsidRPr="00AC2C3F" w:rsidTr="002C4533">
        <w:trPr>
          <w:trHeight w:val="315"/>
        </w:trPr>
        <w:tc>
          <w:tcPr>
            <w:tcW w:w="601" w:type="pct"/>
            <w:vMerge w:val="restart"/>
            <w:tcBorders>
              <w:top w:val="nil"/>
              <w:left w:val="single" w:sz="4" w:space="0" w:color="auto"/>
              <w:bottom w:val="single" w:sz="8" w:space="0" w:color="000000"/>
              <w:right w:val="nil"/>
            </w:tcBorders>
            <w:shd w:val="clear" w:color="000000" w:fill="000080"/>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ACT</w:t>
            </w:r>
          </w:p>
        </w:tc>
        <w:tc>
          <w:tcPr>
            <w:tcW w:w="766" w:type="pct"/>
            <w:tcBorders>
              <w:top w:val="nil"/>
              <w:left w:val="nil"/>
              <w:bottom w:val="single" w:sz="8" w:space="0" w:color="auto"/>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Major Cities</w:t>
            </w:r>
          </w:p>
        </w:tc>
        <w:tc>
          <w:tcPr>
            <w:tcW w:w="634"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380,700</w:t>
            </w:r>
          </w:p>
        </w:tc>
        <w:tc>
          <w:tcPr>
            <w:tcW w:w="669"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48</w:t>
            </w:r>
          </w:p>
        </w:tc>
        <w:tc>
          <w:tcPr>
            <w:tcW w:w="689"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12.6</w:t>
            </w:r>
          </w:p>
        </w:tc>
        <w:tc>
          <w:tcPr>
            <w:tcW w:w="557" w:type="pct"/>
            <w:tcBorders>
              <w:top w:val="nil"/>
              <w:left w:val="nil"/>
              <w:bottom w:val="single" w:sz="8" w:space="0" w:color="auto"/>
              <w:right w:val="nil"/>
            </w:tcBorders>
            <w:shd w:val="clear" w:color="auto" w:fill="auto"/>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40.6</w:t>
            </w:r>
          </w:p>
        </w:tc>
        <w:tc>
          <w:tcPr>
            <w:tcW w:w="493"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22</w:t>
            </w:r>
          </w:p>
        </w:tc>
        <w:tc>
          <w:tcPr>
            <w:tcW w:w="590" w:type="pct"/>
            <w:tcBorders>
              <w:top w:val="nil"/>
              <w:left w:val="nil"/>
              <w:bottom w:val="single" w:sz="8" w:space="0" w:color="auto"/>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w:t>
            </w:r>
          </w:p>
        </w:tc>
      </w:tr>
      <w:tr w:rsidR="00CD01E6" w:rsidRPr="00AC2C3F" w:rsidTr="002C4533">
        <w:trPr>
          <w:trHeight w:val="315"/>
        </w:trPr>
        <w:tc>
          <w:tcPr>
            <w:tcW w:w="601" w:type="pct"/>
            <w:vMerge/>
            <w:tcBorders>
              <w:top w:val="nil"/>
              <w:left w:val="single" w:sz="4" w:space="0" w:color="auto"/>
              <w:bottom w:val="single" w:sz="8"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000000" w:fill="D8D8D8"/>
            <w:vAlign w:val="center"/>
            <w:hideMark/>
          </w:tcPr>
          <w:p w:rsidR="00CD01E6" w:rsidRPr="00AC2C3F" w:rsidRDefault="00CD01E6" w:rsidP="00F2364C">
            <w:pPr>
              <w:rPr>
                <w:b/>
                <w:bCs/>
                <w:color w:val="000000"/>
                <w:sz w:val="18"/>
                <w:szCs w:val="18"/>
                <w:lang w:eastAsia="en-AU"/>
              </w:rPr>
            </w:pPr>
            <w:r w:rsidRPr="00AC2C3F">
              <w:rPr>
                <w:b/>
                <w:bCs/>
                <w:color w:val="000000"/>
                <w:sz w:val="18"/>
                <w:szCs w:val="18"/>
                <w:lang w:eastAsia="en-AU"/>
              </w:rPr>
              <w:t>Total</w:t>
            </w:r>
          </w:p>
        </w:tc>
        <w:tc>
          <w:tcPr>
            <w:tcW w:w="634"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381,488</w:t>
            </w:r>
          </w:p>
        </w:tc>
        <w:tc>
          <w:tcPr>
            <w:tcW w:w="669"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48</w:t>
            </w:r>
          </w:p>
        </w:tc>
        <w:tc>
          <w:tcPr>
            <w:tcW w:w="689"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12.6</w:t>
            </w:r>
          </w:p>
        </w:tc>
        <w:tc>
          <w:tcPr>
            <w:tcW w:w="557"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40.6</w:t>
            </w:r>
          </w:p>
        </w:tc>
        <w:tc>
          <w:tcPr>
            <w:tcW w:w="493" w:type="pct"/>
            <w:tcBorders>
              <w:top w:val="nil"/>
              <w:left w:val="nil"/>
              <w:bottom w:val="single" w:sz="8"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22</w:t>
            </w:r>
          </w:p>
        </w:tc>
        <w:tc>
          <w:tcPr>
            <w:tcW w:w="590" w:type="pct"/>
            <w:tcBorders>
              <w:top w:val="nil"/>
              <w:left w:val="nil"/>
              <w:bottom w:val="single" w:sz="8" w:space="0" w:color="auto"/>
              <w:right w:val="single" w:sz="4" w:space="0" w:color="auto"/>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w:t>
            </w:r>
          </w:p>
        </w:tc>
      </w:tr>
      <w:tr w:rsidR="00CD01E6" w:rsidRPr="00AC2C3F" w:rsidTr="002C4533">
        <w:trPr>
          <w:trHeight w:val="300"/>
        </w:trPr>
        <w:tc>
          <w:tcPr>
            <w:tcW w:w="601" w:type="pct"/>
            <w:vMerge w:val="restart"/>
            <w:tcBorders>
              <w:top w:val="nil"/>
              <w:left w:val="single" w:sz="4" w:space="0" w:color="auto"/>
              <w:bottom w:val="single" w:sz="12" w:space="0" w:color="000000"/>
              <w:right w:val="nil"/>
            </w:tcBorders>
            <w:shd w:val="clear" w:color="000000" w:fill="000080"/>
            <w:noWrap/>
            <w:vAlign w:val="center"/>
            <w:hideMark/>
          </w:tcPr>
          <w:p w:rsidR="00CD01E6" w:rsidRPr="00AC2C3F" w:rsidRDefault="00CD01E6" w:rsidP="00F2364C">
            <w:pPr>
              <w:jc w:val="center"/>
              <w:rPr>
                <w:b/>
                <w:bCs/>
                <w:color w:val="FFFFFF"/>
                <w:sz w:val="18"/>
                <w:szCs w:val="18"/>
                <w:lang w:eastAsia="en-AU"/>
              </w:rPr>
            </w:pPr>
            <w:r w:rsidRPr="00AC2C3F">
              <w:rPr>
                <w:b/>
                <w:bCs/>
                <w:color w:val="FFFFFF"/>
                <w:sz w:val="18"/>
                <w:szCs w:val="18"/>
                <w:lang w:eastAsia="en-AU"/>
              </w:rPr>
              <w:t>Australia</w:t>
            </w:r>
          </w:p>
        </w:tc>
        <w:tc>
          <w:tcPr>
            <w:tcW w:w="766" w:type="pct"/>
            <w:tcBorders>
              <w:top w:val="nil"/>
              <w:left w:val="nil"/>
              <w:bottom w:val="nil"/>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Major Cities</w:t>
            </w:r>
          </w:p>
        </w:tc>
        <w:tc>
          <w:tcPr>
            <w:tcW w:w="634"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16,319,144</w:t>
            </w:r>
          </w:p>
        </w:tc>
        <w:tc>
          <w:tcPr>
            <w:tcW w:w="66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2,468</w:t>
            </w:r>
          </w:p>
        </w:tc>
        <w:tc>
          <w:tcPr>
            <w:tcW w:w="68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15.1</w:t>
            </w:r>
          </w:p>
        </w:tc>
        <w:tc>
          <w:tcPr>
            <w:tcW w:w="557"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38.3</w:t>
            </w:r>
          </w:p>
        </w:tc>
        <w:tc>
          <w:tcPr>
            <w:tcW w:w="493"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797</w:t>
            </w:r>
          </w:p>
        </w:tc>
        <w:tc>
          <w:tcPr>
            <w:tcW w:w="590" w:type="pct"/>
            <w:tcBorders>
              <w:top w:val="nil"/>
              <w:left w:val="nil"/>
              <w:bottom w:val="nil"/>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122</w:t>
            </w:r>
          </w:p>
        </w:tc>
      </w:tr>
      <w:tr w:rsidR="00CD01E6" w:rsidRPr="00AC2C3F" w:rsidTr="002C4533">
        <w:trPr>
          <w:trHeight w:val="300"/>
        </w:trPr>
        <w:tc>
          <w:tcPr>
            <w:tcW w:w="601" w:type="pct"/>
            <w:vMerge/>
            <w:tcBorders>
              <w:top w:val="nil"/>
              <w:left w:val="single" w:sz="4" w:space="0" w:color="auto"/>
              <w:bottom w:val="single" w:sz="12"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Inner Regional</w:t>
            </w:r>
          </w:p>
        </w:tc>
        <w:tc>
          <w:tcPr>
            <w:tcW w:w="634"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4,217,079</w:t>
            </w:r>
          </w:p>
        </w:tc>
        <w:tc>
          <w:tcPr>
            <w:tcW w:w="66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242</w:t>
            </w:r>
          </w:p>
        </w:tc>
        <w:tc>
          <w:tcPr>
            <w:tcW w:w="68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5.7</w:t>
            </w:r>
          </w:p>
        </w:tc>
        <w:tc>
          <w:tcPr>
            <w:tcW w:w="557"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37.3</w:t>
            </w:r>
          </w:p>
        </w:tc>
        <w:tc>
          <w:tcPr>
            <w:tcW w:w="493"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71</w:t>
            </w:r>
          </w:p>
        </w:tc>
        <w:tc>
          <w:tcPr>
            <w:tcW w:w="590" w:type="pct"/>
            <w:tcBorders>
              <w:top w:val="nil"/>
              <w:left w:val="nil"/>
              <w:bottom w:val="nil"/>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29</w:t>
            </w:r>
          </w:p>
        </w:tc>
      </w:tr>
      <w:tr w:rsidR="00CD01E6" w:rsidRPr="00AC2C3F" w:rsidTr="002C4533">
        <w:trPr>
          <w:trHeight w:val="300"/>
        </w:trPr>
        <w:tc>
          <w:tcPr>
            <w:tcW w:w="601" w:type="pct"/>
            <w:vMerge/>
            <w:tcBorders>
              <w:top w:val="nil"/>
              <w:left w:val="single" w:sz="4" w:space="0" w:color="auto"/>
              <w:bottom w:val="single" w:sz="12"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Outer Regional</w:t>
            </w:r>
          </w:p>
        </w:tc>
        <w:tc>
          <w:tcPr>
            <w:tcW w:w="634"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2,066,961</w:t>
            </w:r>
          </w:p>
        </w:tc>
        <w:tc>
          <w:tcPr>
            <w:tcW w:w="66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78</w:t>
            </w:r>
          </w:p>
        </w:tc>
        <w:tc>
          <w:tcPr>
            <w:tcW w:w="689"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3.8</w:t>
            </w:r>
          </w:p>
        </w:tc>
        <w:tc>
          <w:tcPr>
            <w:tcW w:w="557"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40.6</w:t>
            </w:r>
          </w:p>
        </w:tc>
        <w:tc>
          <w:tcPr>
            <w:tcW w:w="493" w:type="pct"/>
            <w:tcBorders>
              <w:top w:val="nil"/>
              <w:left w:val="nil"/>
              <w:bottom w:val="nil"/>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35</w:t>
            </w:r>
          </w:p>
        </w:tc>
        <w:tc>
          <w:tcPr>
            <w:tcW w:w="590" w:type="pct"/>
            <w:tcBorders>
              <w:top w:val="nil"/>
              <w:left w:val="nil"/>
              <w:bottom w:val="nil"/>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5</w:t>
            </w:r>
          </w:p>
        </w:tc>
      </w:tr>
      <w:tr w:rsidR="00CD01E6" w:rsidRPr="00AC2C3F" w:rsidTr="002C4533">
        <w:trPr>
          <w:trHeight w:val="300"/>
        </w:trPr>
        <w:tc>
          <w:tcPr>
            <w:tcW w:w="601" w:type="pct"/>
            <w:vMerge/>
            <w:tcBorders>
              <w:top w:val="nil"/>
              <w:left w:val="single" w:sz="4" w:space="0" w:color="auto"/>
              <w:bottom w:val="single" w:sz="12"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nil"/>
              <w:right w:val="nil"/>
            </w:tcBorders>
            <w:shd w:val="clear" w:color="000000" w:fill="D8D8D8"/>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Remote</w:t>
            </w:r>
          </w:p>
        </w:tc>
        <w:tc>
          <w:tcPr>
            <w:tcW w:w="634"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322,749</w:t>
            </w:r>
          </w:p>
        </w:tc>
        <w:tc>
          <w:tcPr>
            <w:tcW w:w="66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9</w:t>
            </w:r>
          </w:p>
        </w:tc>
        <w:tc>
          <w:tcPr>
            <w:tcW w:w="689"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2.8</w:t>
            </w:r>
          </w:p>
        </w:tc>
        <w:tc>
          <w:tcPr>
            <w:tcW w:w="557"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43.1</w:t>
            </w:r>
          </w:p>
        </w:tc>
        <w:tc>
          <w:tcPr>
            <w:tcW w:w="493" w:type="pct"/>
            <w:tcBorders>
              <w:top w:val="nil"/>
              <w:left w:val="nil"/>
              <w:bottom w:val="nil"/>
              <w:right w:val="nil"/>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w:t>
            </w:r>
          </w:p>
        </w:tc>
        <w:tc>
          <w:tcPr>
            <w:tcW w:w="590" w:type="pct"/>
            <w:tcBorders>
              <w:top w:val="nil"/>
              <w:left w:val="nil"/>
              <w:bottom w:val="nil"/>
              <w:right w:val="single" w:sz="4" w:space="0" w:color="auto"/>
            </w:tcBorders>
            <w:shd w:val="clear" w:color="000000" w:fill="D8D8D8"/>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w:t>
            </w:r>
          </w:p>
        </w:tc>
      </w:tr>
      <w:tr w:rsidR="00CD01E6" w:rsidRPr="00AC2C3F" w:rsidTr="002C4533">
        <w:trPr>
          <w:trHeight w:val="315"/>
        </w:trPr>
        <w:tc>
          <w:tcPr>
            <w:tcW w:w="601" w:type="pct"/>
            <w:vMerge/>
            <w:tcBorders>
              <w:top w:val="nil"/>
              <w:left w:val="single" w:sz="4" w:space="0" w:color="auto"/>
              <w:bottom w:val="single" w:sz="12" w:space="0" w:color="000000"/>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8" w:space="0" w:color="auto"/>
              <w:right w:val="nil"/>
            </w:tcBorders>
            <w:shd w:val="clear" w:color="auto" w:fill="auto"/>
            <w:noWrap/>
            <w:vAlign w:val="center"/>
            <w:hideMark/>
          </w:tcPr>
          <w:p w:rsidR="00CD01E6" w:rsidRPr="00AC2C3F" w:rsidRDefault="00CD01E6" w:rsidP="00F2364C">
            <w:pPr>
              <w:rPr>
                <w:color w:val="000000"/>
                <w:sz w:val="18"/>
                <w:szCs w:val="18"/>
                <w:lang w:eastAsia="en-AU"/>
              </w:rPr>
            </w:pPr>
            <w:r w:rsidRPr="00AC2C3F">
              <w:rPr>
                <w:color w:val="000000"/>
                <w:sz w:val="18"/>
                <w:szCs w:val="18"/>
                <w:lang w:eastAsia="en-AU"/>
              </w:rPr>
              <w:t>Very Remote</w:t>
            </w:r>
          </w:p>
        </w:tc>
        <w:tc>
          <w:tcPr>
            <w:tcW w:w="634"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209,348</w:t>
            </w:r>
          </w:p>
        </w:tc>
        <w:tc>
          <w:tcPr>
            <w:tcW w:w="669"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w:t>
            </w:r>
          </w:p>
        </w:tc>
        <w:tc>
          <w:tcPr>
            <w:tcW w:w="689"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1.9</w:t>
            </w:r>
          </w:p>
        </w:tc>
        <w:tc>
          <w:tcPr>
            <w:tcW w:w="557"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42</w:t>
            </w:r>
          </w:p>
        </w:tc>
        <w:tc>
          <w:tcPr>
            <w:tcW w:w="493" w:type="pct"/>
            <w:tcBorders>
              <w:top w:val="nil"/>
              <w:left w:val="nil"/>
              <w:bottom w:val="single" w:sz="8" w:space="0" w:color="auto"/>
              <w:right w:val="nil"/>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c>
          <w:tcPr>
            <w:tcW w:w="590" w:type="pct"/>
            <w:tcBorders>
              <w:top w:val="nil"/>
              <w:left w:val="nil"/>
              <w:bottom w:val="single" w:sz="8" w:space="0" w:color="auto"/>
              <w:right w:val="single" w:sz="4" w:space="0" w:color="auto"/>
            </w:tcBorders>
            <w:shd w:val="clear" w:color="auto" w:fill="auto"/>
            <w:noWrap/>
            <w:vAlign w:val="center"/>
            <w:hideMark/>
          </w:tcPr>
          <w:p w:rsidR="00CD01E6" w:rsidRPr="00AC2C3F" w:rsidRDefault="00CD01E6" w:rsidP="007C3173">
            <w:pPr>
              <w:jc w:val="center"/>
              <w:rPr>
                <w:color w:val="000000"/>
                <w:sz w:val="18"/>
                <w:szCs w:val="18"/>
                <w:lang w:eastAsia="en-AU"/>
              </w:rPr>
            </w:pPr>
            <w:r w:rsidRPr="00AC2C3F">
              <w:rPr>
                <w:color w:val="000000"/>
                <w:sz w:val="18"/>
                <w:szCs w:val="18"/>
                <w:lang w:eastAsia="en-AU"/>
              </w:rPr>
              <w:t>-</w:t>
            </w:r>
          </w:p>
        </w:tc>
      </w:tr>
      <w:tr w:rsidR="00CD01E6" w:rsidRPr="00AC2C3F" w:rsidTr="002C4533">
        <w:trPr>
          <w:trHeight w:val="315"/>
        </w:trPr>
        <w:tc>
          <w:tcPr>
            <w:tcW w:w="601" w:type="pct"/>
            <w:vMerge/>
            <w:tcBorders>
              <w:top w:val="nil"/>
              <w:left w:val="single" w:sz="4" w:space="0" w:color="auto"/>
              <w:bottom w:val="single" w:sz="4" w:space="0" w:color="auto"/>
              <w:right w:val="nil"/>
            </w:tcBorders>
            <w:vAlign w:val="center"/>
            <w:hideMark/>
          </w:tcPr>
          <w:p w:rsidR="00CD01E6" w:rsidRPr="00AC2C3F" w:rsidRDefault="00CD01E6" w:rsidP="00F2364C">
            <w:pPr>
              <w:rPr>
                <w:b/>
                <w:bCs/>
                <w:color w:val="FFFFFF"/>
                <w:sz w:val="18"/>
                <w:szCs w:val="18"/>
                <w:lang w:eastAsia="en-AU"/>
              </w:rPr>
            </w:pPr>
          </w:p>
        </w:tc>
        <w:tc>
          <w:tcPr>
            <w:tcW w:w="766" w:type="pct"/>
            <w:tcBorders>
              <w:top w:val="nil"/>
              <w:left w:val="nil"/>
              <w:bottom w:val="single" w:sz="4" w:space="0" w:color="auto"/>
              <w:right w:val="nil"/>
            </w:tcBorders>
            <w:shd w:val="clear" w:color="000000" w:fill="D8D8D8"/>
            <w:noWrap/>
            <w:vAlign w:val="center"/>
            <w:hideMark/>
          </w:tcPr>
          <w:p w:rsidR="00CD01E6" w:rsidRPr="00AC2C3F" w:rsidRDefault="00CD01E6" w:rsidP="00F2364C">
            <w:pPr>
              <w:rPr>
                <w:b/>
                <w:bCs/>
                <w:color w:val="000000"/>
                <w:sz w:val="18"/>
                <w:szCs w:val="18"/>
                <w:lang w:eastAsia="en-AU"/>
              </w:rPr>
            </w:pPr>
            <w:r w:rsidRPr="00AC2C3F">
              <w:rPr>
                <w:b/>
                <w:bCs/>
                <w:color w:val="000000"/>
                <w:sz w:val="18"/>
                <w:szCs w:val="18"/>
                <w:lang w:eastAsia="en-AU"/>
              </w:rPr>
              <w:t> Total</w:t>
            </w:r>
          </w:p>
        </w:tc>
        <w:tc>
          <w:tcPr>
            <w:tcW w:w="634" w:type="pct"/>
            <w:tcBorders>
              <w:top w:val="nil"/>
              <w:left w:val="nil"/>
              <w:bottom w:val="single" w:sz="4"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23,135,281</w:t>
            </w:r>
          </w:p>
        </w:tc>
        <w:tc>
          <w:tcPr>
            <w:tcW w:w="669" w:type="pct"/>
            <w:tcBorders>
              <w:top w:val="nil"/>
              <w:left w:val="nil"/>
              <w:bottom w:val="single" w:sz="4"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2,801</w:t>
            </w:r>
          </w:p>
        </w:tc>
        <w:tc>
          <w:tcPr>
            <w:tcW w:w="689" w:type="pct"/>
            <w:tcBorders>
              <w:top w:val="nil"/>
              <w:left w:val="nil"/>
              <w:bottom w:val="single" w:sz="4"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12.1</w:t>
            </w:r>
          </w:p>
        </w:tc>
        <w:tc>
          <w:tcPr>
            <w:tcW w:w="557" w:type="pct"/>
            <w:tcBorders>
              <w:top w:val="nil"/>
              <w:left w:val="nil"/>
              <w:bottom w:val="single" w:sz="4"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38.3</w:t>
            </w:r>
          </w:p>
        </w:tc>
        <w:tc>
          <w:tcPr>
            <w:tcW w:w="493" w:type="pct"/>
            <w:tcBorders>
              <w:top w:val="nil"/>
              <w:left w:val="nil"/>
              <w:bottom w:val="single" w:sz="4" w:space="0" w:color="auto"/>
              <w:right w:val="nil"/>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905</w:t>
            </w:r>
          </w:p>
        </w:tc>
        <w:tc>
          <w:tcPr>
            <w:tcW w:w="590" w:type="pct"/>
            <w:tcBorders>
              <w:top w:val="nil"/>
              <w:left w:val="nil"/>
              <w:bottom w:val="single" w:sz="4" w:space="0" w:color="auto"/>
              <w:right w:val="single" w:sz="4" w:space="0" w:color="auto"/>
            </w:tcBorders>
            <w:shd w:val="clear" w:color="000000" w:fill="D8D8D8"/>
            <w:noWrap/>
            <w:vAlign w:val="center"/>
            <w:hideMark/>
          </w:tcPr>
          <w:p w:rsidR="00CD01E6" w:rsidRPr="00AC2C3F" w:rsidRDefault="00CD01E6" w:rsidP="007C3173">
            <w:pPr>
              <w:jc w:val="center"/>
              <w:rPr>
                <w:b/>
                <w:bCs/>
                <w:color w:val="000000"/>
                <w:sz w:val="18"/>
                <w:szCs w:val="18"/>
                <w:lang w:eastAsia="en-AU"/>
              </w:rPr>
            </w:pPr>
            <w:r w:rsidRPr="00AC2C3F">
              <w:rPr>
                <w:b/>
                <w:bCs/>
                <w:color w:val="000000"/>
                <w:sz w:val="18"/>
                <w:szCs w:val="18"/>
                <w:lang w:eastAsia="en-AU"/>
              </w:rPr>
              <w:t>162</w:t>
            </w:r>
          </w:p>
        </w:tc>
      </w:tr>
    </w:tbl>
    <w:p w:rsidR="00547D0A" w:rsidRPr="002C4533" w:rsidRDefault="00CD01E6" w:rsidP="00C64C65">
      <w:pPr>
        <w:spacing w:before="120"/>
        <w:rPr>
          <w:i/>
          <w:sz w:val="16"/>
          <w:szCs w:val="16"/>
        </w:rPr>
      </w:pPr>
      <w:r w:rsidRPr="002C4533">
        <w:rPr>
          <w:i/>
          <w:sz w:val="16"/>
          <w:szCs w:val="18"/>
        </w:rPr>
        <w:t xml:space="preserve">Source: </w:t>
      </w:r>
      <w:proofErr w:type="spellStart"/>
      <w:r w:rsidRPr="002C4533">
        <w:rPr>
          <w:i/>
          <w:sz w:val="16"/>
          <w:szCs w:val="18"/>
        </w:rPr>
        <w:t>NHWDS</w:t>
      </w:r>
      <w:proofErr w:type="spellEnd"/>
      <w:r w:rsidRPr="002C4533">
        <w:rPr>
          <w:i/>
          <w:sz w:val="16"/>
          <w:szCs w:val="18"/>
        </w:rPr>
        <w:t xml:space="preserve">, Medical Practitioner 2013 </w:t>
      </w:r>
      <w:r w:rsidRPr="002C4533">
        <w:rPr>
          <w:i/>
          <w:sz w:val="16"/>
          <w:szCs w:val="16"/>
        </w:rPr>
        <w:t xml:space="preserve">and ABS population projections </w:t>
      </w:r>
    </w:p>
    <w:p w:rsidR="009D024C" w:rsidRPr="008A7F68" w:rsidRDefault="00B80E49" w:rsidP="00B831A8">
      <w:pPr>
        <w:pStyle w:val="Heading2"/>
      </w:pPr>
      <w:bookmarkStart w:id="30" w:name="_Toc445986949"/>
      <w:r w:rsidRPr="008A7F68">
        <w:lastRenderedPageBreak/>
        <w:t>Current workforce projections</w:t>
      </w:r>
      <w:bookmarkEnd w:id="30"/>
    </w:p>
    <w:p w:rsidR="000D341F" w:rsidRPr="0090788F" w:rsidRDefault="000D341F" w:rsidP="00B831A8">
      <w:pPr>
        <w:pStyle w:val="Heading3"/>
      </w:pPr>
      <w:bookmarkStart w:id="31" w:name="_Toc445986950"/>
      <w:r w:rsidRPr="0090788F">
        <w:t>Supply</w:t>
      </w:r>
      <w:bookmarkEnd w:id="31"/>
    </w:p>
    <w:p w:rsidR="00790224" w:rsidRPr="002E6CA0" w:rsidRDefault="004706C3" w:rsidP="002E6CA0">
      <w:pPr>
        <w:spacing w:before="120" w:after="120"/>
        <w:rPr>
          <w:szCs w:val="22"/>
        </w:rPr>
      </w:pPr>
      <w:r w:rsidRPr="002E6CA0">
        <w:rPr>
          <w:szCs w:val="22"/>
        </w:rPr>
        <w:t xml:space="preserve">Health professionals </w:t>
      </w:r>
      <w:r w:rsidR="0000744A" w:rsidRPr="002E6CA0">
        <w:rPr>
          <w:szCs w:val="22"/>
        </w:rPr>
        <w:t xml:space="preserve">who are </w:t>
      </w:r>
      <w:r w:rsidRPr="002E6CA0">
        <w:rPr>
          <w:szCs w:val="22"/>
        </w:rPr>
        <w:t>registered</w:t>
      </w:r>
      <w:r w:rsidR="000D341F" w:rsidRPr="002E6CA0">
        <w:rPr>
          <w:szCs w:val="22"/>
        </w:rPr>
        <w:t xml:space="preserve"> as </w:t>
      </w:r>
      <w:r w:rsidR="0000744A" w:rsidRPr="002E6CA0">
        <w:rPr>
          <w:szCs w:val="22"/>
        </w:rPr>
        <w:t xml:space="preserve">a </w:t>
      </w:r>
      <w:r w:rsidR="000D341F" w:rsidRPr="002E6CA0">
        <w:rPr>
          <w:szCs w:val="22"/>
        </w:rPr>
        <w:t xml:space="preserve">psychiatrist </w:t>
      </w:r>
      <w:r w:rsidRPr="002E6CA0">
        <w:rPr>
          <w:szCs w:val="22"/>
        </w:rPr>
        <w:t>through</w:t>
      </w:r>
      <w:r w:rsidR="0000744A" w:rsidRPr="002E6CA0">
        <w:rPr>
          <w:szCs w:val="22"/>
        </w:rPr>
        <w:t xml:space="preserve"> </w:t>
      </w:r>
      <w:r w:rsidR="004D6A1A" w:rsidRPr="002E6CA0">
        <w:rPr>
          <w:szCs w:val="22"/>
        </w:rPr>
        <w:t xml:space="preserve">the </w:t>
      </w:r>
      <w:r w:rsidR="0000744A" w:rsidRPr="002E6CA0">
        <w:rPr>
          <w:szCs w:val="22"/>
        </w:rPr>
        <w:t>Australian Health Practitioner Regulation Agency</w:t>
      </w:r>
      <w:r w:rsidR="000D341F" w:rsidRPr="002E6CA0">
        <w:rPr>
          <w:szCs w:val="22"/>
        </w:rPr>
        <w:t xml:space="preserve"> </w:t>
      </w:r>
      <w:r w:rsidR="0000744A" w:rsidRPr="002E6CA0">
        <w:rPr>
          <w:szCs w:val="22"/>
        </w:rPr>
        <w:t>(</w:t>
      </w:r>
      <w:proofErr w:type="spellStart"/>
      <w:r w:rsidRPr="002E6CA0">
        <w:rPr>
          <w:szCs w:val="22"/>
        </w:rPr>
        <w:t>AHPRA</w:t>
      </w:r>
      <w:proofErr w:type="spellEnd"/>
      <w:r w:rsidR="0000744A" w:rsidRPr="002E6CA0">
        <w:rPr>
          <w:szCs w:val="22"/>
        </w:rPr>
        <w:t>)</w:t>
      </w:r>
      <w:r w:rsidRPr="002E6CA0">
        <w:rPr>
          <w:szCs w:val="22"/>
        </w:rPr>
        <w:t xml:space="preserve"> </w:t>
      </w:r>
      <w:r w:rsidR="0000744A" w:rsidRPr="002E6CA0">
        <w:rPr>
          <w:szCs w:val="22"/>
        </w:rPr>
        <w:t xml:space="preserve">have been identified </w:t>
      </w:r>
      <w:r w:rsidR="00790224" w:rsidRPr="002E6CA0">
        <w:rPr>
          <w:szCs w:val="22"/>
        </w:rPr>
        <w:t xml:space="preserve">using </w:t>
      </w:r>
      <w:r w:rsidR="0000744A" w:rsidRPr="002E6CA0">
        <w:rPr>
          <w:szCs w:val="22"/>
        </w:rPr>
        <w:t xml:space="preserve">the </w:t>
      </w:r>
      <w:r w:rsidR="000D341F" w:rsidRPr="002E6CA0">
        <w:rPr>
          <w:szCs w:val="22"/>
        </w:rPr>
        <w:t>National Health Workforce Data Set (</w:t>
      </w:r>
      <w:proofErr w:type="spellStart"/>
      <w:r w:rsidR="000D341F" w:rsidRPr="002E6CA0">
        <w:rPr>
          <w:szCs w:val="22"/>
        </w:rPr>
        <w:t>NHWDS</w:t>
      </w:r>
      <w:proofErr w:type="spellEnd"/>
      <w:r w:rsidR="000D341F" w:rsidRPr="002E6CA0">
        <w:rPr>
          <w:szCs w:val="22"/>
        </w:rPr>
        <w:t>)</w:t>
      </w:r>
      <w:r w:rsidR="0000744A" w:rsidRPr="002E6CA0">
        <w:rPr>
          <w:szCs w:val="22"/>
        </w:rPr>
        <w:t xml:space="preserve">, which includes </w:t>
      </w:r>
      <w:r w:rsidR="00790224" w:rsidRPr="002E6CA0">
        <w:rPr>
          <w:szCs w:val="22"/>
        </w:rPr>
        <w:t>registrant data and other characteristics obtained through the voluntary medical work</w:t>
      </w:r>
      <w:r w:rsidR="0000744A" w:rsidRPr="002E6CA0">
        <w:rPr>
          <w:szCs w:val="22"/>
        </w:rPr>
        <w:t>force survey</w:t>
      </w:r>
      <w:r w:rsidR="0011170C">
        <w:rPr>
          <w:szCs w:val="22"/>
        </w:rPr>
        <w:t xml:space="preserve"> as show</w:t>
      </w:r>
      <w:r w:rsidR="007E44F1">
        <w:rPr>
          <w:szCs w:val="22"/>
        </w:rPr>
        <w:t>n</w:t>
      </w:r>
      <w:r w:rsidR="0011170C">
        <w:rPr>
          <w:szCs w:val="22"/>
        </w:rPr>
        <w:t xml:space="preserve"> in the demographic data in section </w:t>
      </w:r>
      <w:r w:rsidR="003E7DFC" w:rsidRPr="003E7DFC">
        <w:rPr>
          <w:szCs w:val="22"/>
        </w:rPr>
        <w:t xml:space="preserve">1 </w:t>
      </w:r>
      <w:r w:rsidR="003E7DFC">
        <w:rPr>
          <w:szCs w:val="22"/>
        </w:rPr>
        <w:t>–</w:t>
      </w:r>
      <w:r w:rsidR="003E7DFC" w:rsidRPr="003E7DFC">
        <w:rPr>
          <w:szCs w:val="22"/>
        </w:rPr>
        <w:t xml:space="preserve"> 4</w:t>
      </w:r>
      <w:r w:rsidR="0000744A" w:rsidRPr="003E7DFC">
        <w:rPr>
          <w:szCs w:val="22"/>
        </w:rPr>
        <w:t>.</w:t>
      </w:r>
      <w:r w:rsidR="0000744A" w:rsidRPr="002E6CA0">
        <w:rPr>
          <w:szCs w:val="22"/>
        </w:rPr>
        <w:t xml:space="preserve"> </w:t>
      </w:r>
      <w:r w:rsidR="00790224" w:rsidRPr="002E6CA0">
        <w:rPr>
          <w:szCs w:val="22"/>
        </w:rPr>
        <w:t xml:space="preserve"> </w:t>
      </w:r>
    </w:p>
    <w:p w:rsidR="000D341F" w:rsidRPr="002E6CA0" w:rsidRDefault="0000744A" w:rsidP="002E6CA0">
      <w:pPr>
        <w:spacing w:before="120" w:after="120"/>
        <w:rPr>
          <w:szCs w:val="22"/>
        </w:rPr>
      </w:pPr>
      <w:r w:rsidRPr="002E6CA0">
        <w:rPr>
          <w:szCs w:val="22"/>
        </w:rPr>
        <w:t>In this analysis</w:t>
      </w:r>
      <w:r w:rsidR="007E44F1">
        <w:rPr>
          <w:szCs w:val="22"/>
        </w:rPr>
        <w:t>,</w:t>
      </w:r>
      <w:r w:rsidRPr="002E6CA0">
        <w:rPr>
          <w:szCs w:val="22"/>
        </w:rPr>
        <w:t xml:space="preserve"> o</w:t>
      </w:r>
      <w:r w:rsidR="000D341F" w:rsidRPr="002E6CA0">
        <w:rPr>
          <w:szCs w:val="22"/>
        </w:rPr>
        <w:t xml:space="preserve">nly those </w:t>
      </w:r>
      <w:r w:rsidR="00790224" w:rsidRPr="002E6CA0">
        <w:rPr>
          <w:szCs w:val="22"/>
        </w:rPr>
        <w:t>who</w:t>
      </w:r>
      <w:r w:rsidR="000D341F" w:rsidRPr="002E6CA0">
        <w:rPr>
          <w:szCs w:val="22"/>
        </w:rPr>
        <w:t xml:space="preserve"> </w:t>
      </w:r>
      <w:r w:rsidR="00790224" w:rsidRPr="002E6CA0">
        <w:rPr>
          <w:szCs w:val="22"/>
        </w:rPr>
        <w:t>were</w:t>
      </w:r>
      <w:r w:rsidR="000D341F" w:rsidRPr="002E6CA0">
        <w:rPr>
          <w:szCs w:val="22"/>
        </w:rPr>
        <w:t xml:space="preserve"> registered</w:t>
      </w:r>
      <w:r w:rsidR="00790224" w:rsidRPr="002E6CA0">
        <w:rPr>
          <w:szCs w:val="22"/>
        </w:rPr>
        <w:t>,</w:t>
      </w:r>
      <w:r w:rsidR="000D341F" w:rsidRPr="002E6CA0">
        <w:rPr>
          <w:szCs w:val="22"/>
        </w:rPr>
        <w:t xml:space="preserve"> employed</w:t>
      </w:r>
      <w:r w:rsidRPr="002E6CA0">
        <w:rPr>
          <w:szCs w:val="22"/>
        </w:rPr>
        <w:t xml:space="preserve"> clinicians </w:t>
      </w:r>
      <w:r w:rsidR="00790224" w:rsidRPr="002E6CA0">
        <w:rPr>
          <w:szCs w:val="22"/>
        </w:rPr>
        <w:t xml:space="preserve">in 2013 are included </w:t>
      </w:r>
      <w:r w:rsidRPr="002E6CA0">
        <w:rPr>
          <w:szCs w:val="22"/>
        </w:rPr>
        <w:t xml:space="preserve">(i.e. does not include </w:t>
      </w:r>
      <w:r w:rsidR="00790224" w:rsidRPr="002E6CA0">
        <w:rPr>
          <w:szCs w:val="22"/>
        </w:rPr>
        <w:t xml:space="preserve">those in the categories of </w:t>
      </w:r>
      <w:r w:rsidRPr="002E6CA0">
        <w:rPr>
          <w:szCs w:val="22"/>
        </w:rPr>
        <w:t xml:space="preserve">administration, teacher/educator, researcher and </w:t>
      </w:r>
      <w:r w:rsidR="00790224" w:rsidRPr="002E6CA0">
        <w:rPr>
          <w:szCs w:val="22"/>
        </w:rPr>
        <w:t>‘</w:t>
      </w:r>
      <w:r w:rsidRPr="002E6CA0">
        <w:rPr>
          <w:szCs w:val="22"/>
        </w:rPr>
        <w:t>others</w:t>
      </w:r>
      <w:r w:rsidR="00790224" w:rsidRPr="002E6CA0">
        <w:rPr>
          <w:szCs w:val="22"/>
        </w:rPr>
        <w:t>’</w:t>
      </w:r>
      <w:r w:rsidRPr="002E6CA0">
        <w:rPr>
          <w:szCs w:val="22"/>
        </w:rPr>
        <w:t xml:space="preserve">). </w:t>
      </w:r>
      <w:r w:rsidR="00790224" w:rsidRPr="002E6CA0">
        <w:rPr>
          <w:szCs w:val="22"/>
        </w:rPr>
        <w:t>H</w:t>
      </w:r>
      <w:r w:rsidR="000D341F" w:rsidRPr="002E6CA0">
        <w:rPr>
          <w:szCs w:val="22"/>
        </w:rPr>
        <w:t xml:space="preserve">ealth professionals </w:t>
      </w:r>
      <w:r w:rsidR="00790224" w:rsidRPr="002E6CA0">
        <w:rPr>
          <w:szCs w:val="22"/>
        </w:rPr>
        <w:t>who</w:t>
      </w:r>
      <w:r w:rsidR="000D341F" w:rsidRPr="002E6CA0">
        <w:rPr>
          <w:szCs w:val="22"/>
        </w:rPr>
        <w:t xml:space="preserve"> are hospital non-specialists</w:t>
      </w:r>
      <w:r w:rsidRPr="002E6CA0">
        <w:rPr>
          <w:szCs w:val="22"/>
        </w:rPr>
        <w:t xml:space="preserve"> (</w:t>
      </w:r>
      <w:proofErr w:type="spellStart"/>
      <w:r w:rsidRPr="002E6CA0">
        <w:rPr>
          <w:szCs w:val="22"/>
        </w:rPr>
        <w:t>HNS</w:t>
      </w:r>
      <w:proofErr w:type="spellEnd"/>
      <w:r w:rsidRPr="002E6CA0">
        <w:rPr>
          <w:szCs w:val="22"/>
        </w:rPr>
        <w:t>)</w:t>
      </w:r>
      <w:r w:rsidR="000D341F" w:rsidRPr="002E6CA0">
        <w:rPr>
          <w:szCs w:val="22"/>
        </w:rPr>
        <w:t xml:space="preserve"> or specialist</w:t>
      </w:r>
      <w:r w:rsidR="00790224" w:rsidRPr="002E6CA0">
        <w:rPr>
          <w:szCs w:val="22"/>
        </w:rPr>
        <w:t>s</w:t>
      </w:r>
      <w:r w:rsidR="000D341F" w:rsidRPr="002E6CA0">
        <w:rPr>
          <w:szCs w:val="22"/>
        </w:rPr>
        <w:t>-in-training</w:t>
      </w:r>
      <w:r w:rsidRPr="002E6CA0">
        <w:rPr>
          <w:szCs w:val="22"/>
        </w:rPr>
        <w:t xml:space="preserve"> (SIT) with intentions of enter</w:t>
      </w:r>
      <w:r w:rsidR="00790224" w:rsidRPr="002E6CA0">
        <w:rPr>
          <w:szCs w:val="22"/>
        </w:rPr>
        <w:t>ing</w:t>
      </w:r>
      <w:r w:rsidRPr="002E6CA0">
        <w:rPr>
          <w:szCs w:val="22"/>
        </w:rPr>
        <w:t xml:space="preserve"> psychiatry training</w:t>
      </w:r>
      <w:r w:rsidR="00790224" w:rsidRPr="002E6CA0">
        <w:rPr>
          <w:szCs w:val="22"/>
        </w:rPr>
        <w:t>,</w:t>
      </w:r>
      <w:r w:rsidRPr="002E6CA0">
        <w:rPr>
          <w:szCs w:val="22"/>
        </w:rPr>
        <w:t xml:space="preserve"> or working towards the specialisation</w:t>
      </w:r>
      <w:r w:rsidR="00790224" w:rsidRPr="002E6CA0">
        <w:rPr>
          <w:szCs w:val="22"/>
        </w:rPr>
        <w:t>,</w:t>
      </w:r>
      <w:r w:rsidRPr="002E6CA0">
        <w:rPr>
          <w:szCs w:val="22"/>
        </w:rPr>
        <w:t xml:space="preserve"> are excluded at this point of modelling. </w:t>
      </w:r>
    </w:p>
    <w:p w:rsidR="000D341F" w:rsidRPr="0090788F" w:rsidRDefault="000D341F" w:rsidP="00B831A8">
      <w:pPr>
        <w:pStyle w:val="Heading3"/>
      </w:pPr>
      <w:bookmarkStart w:id="32" w:name="_Toc445986951"/>
      <w:r w:rsidRPr="0090788F">
        <w:t>Demand</w:t>
      </w:r>
      <w:bookmarkEnd w:id="32"/>
    </w:p>
    <w:p w:rsidR="006B41AC" w:rsidRPr="002E6CA0" w:rsidRDefault="0000744A" w:rsidP="002E6CA0">
      <w:pPr>
        <w:spacing w:before="120" w:after="120"/>
        <w:rPr>
          <w:szCs w:val="22"/>
        </w:rPr>
      </w:pPr>
      <w:r w:rsidRPr="002E6CA0">
        <w:rPr>
          <w:szCs w:val="22"/>
        </w:rPr>
        <w:t xml:space="preserve">The demand forecasts </w:t>
      </w:r>
      <w:r w:rsidR="00D81176" w:rsidRPr="002E6CA0">
        <w:rPr>
          <w:szCs w:val="22"/>
        </w:rPr>
        <w:t>use a combination of acute hospital and Medicare Benefits Schedule (</w:t>
      </w:r>
      <w:proofErr w:type="spellStart"/>
      <w:r w:rsidR="00D81176" w:rsidRPr="002E6CA0">
        <w:rPr>
          <w:szCs w:val="22"/>
        </w:rPr>
        <w:t>MBS</w:t>
      </w:r>
      <w:proofErr w:type="spellEnd"/>
      <w:r w:rsidR="00D81176" w:rsidRPr="002E6CA0">
        <w:rPr>
          <w:szCs w:val="22"/>
        </w:rPr>
        <w:t>) data</w:t>
      </w:r>
      <w:r w:rsidR="007E44F1">
        <w:rPr>
          <w:szCs w:val="22"/>
        </w:rPr>
        <w:t>,</w:t>
      </w:r>
      <w:r w:rsidR="00790224" w:rsidRPr="002E6CA0">
        <w:rPr>
          <w:szCs w:val="22"/>
        </w:rPr>
        <w:t xml:space="preserve"> with the</w:t>
      </w:r>
      <w:r w:rsidR="00D81176" w:rsidRPr="002E6CA0">
        <w:rPr>
          <w:szCs w:val="22"/>
        </w:rPr>
        <w:t xml:space="preserve"> acute hospital </w:t>
      </w:r>
      <w:r w:rsidR="00BD69A1" w:rsidRPr="002E6CA0">
        <w:rPr>
          <w:szCs w:val="22"/>
        </w:rPr>
        <w:t xml:space="preserve">inpatient </w:t>
      </w:r>
      <w:r w:rsidR="00D81176" w:rsidRPr="002E6CA0">
        <w:rPr>
          <w:szCs w:val="22"/>
        </w:rPr>
        <w:t xml:space="preserve">data used to form the basis of the public component and </w:t>
      </w:r>
      <w:r w:rsidR="007E44F1">
        <w:rPr>
          <w:szCs w:val="22"/>
        </w:rPr>
        <w:t xml:space="preserve">the </w:t>
      </w:r>
      <w:proofErr w:type="spellStart"/>
      <w:r w:rsidR="00103733" w:rsidRPr="002E6CA0">
        <w:rPr>
          <w:szCs w:val="22"/>
        </w:rPr>
        <w:t>MBS</w:t>
      </w:r>
      <w:proofErr w:type="spellEnd"/>
      <w:r w:rsidR="00103733" w:rsidRPr="002E6CA0">
        <w:rPr>
          <w:szCs w:val="22"/>
        </w:rPr>
        <w:t xml:space="preserve"> data the private component.</w:t>
      </w:r>
      <w:r w:rsidR="009C7FBD" w:rsidRPr="002E6CA0">
        <w:rPr>
          <w:szCs w:val="22"/>
        </w:rPr>
        <w:t xml:space="preserve"> </w:t>
      </w:r>
      <w:r w:rsidR="00D81176" w:rsidRPr="002E6CA0">
        <w:rPr>
          <w:szCs w:val="22"/>
        </w:rPr>
        <w:t xml:space="preserve">This utilisation is assigned accordingly to the hours reported by the psychiatrists through the </w:t>
      </w:r>
      <w:r w:rsidR="00484304" w:rsidRPr="002E6CA0">
        <w:rPr>
          <w:szCs w:val="22"/>
        </w:rPr>
        <w:t>medical workforce</w:t>
      </w:r>
      <w:r w:rsidR="00D81176" w:rsidRPr="002E6CA0">
        <w:rPr>
          <w:szCs w:val="22"/>
        </w:rPr>
        <w:t xml:space="preserve"> survey. </w:t>
      </w:r>
      <w:r w:rsidR="00FF5313" w:rsidRPr="002E6CA0">
        <w:rPr>
          <w:szCs w:val="22"/>
        </w:rPr>
        <w:t>Projections</w:t>
      </w:r>
      <w:r w:rsidR="00D81176" w:rsidRPr="002E6CA0">
        <w:rPr>
          <w:szCs w:val="22"/>
        </w:rPr>
        <w:t xml:space="preserve"> of acute inpatient utilisation take into account population growth and ageing, as well as clinical trends, by projecting age</w:t>
      </w:r>
      <w:r w:rsidR="00FF5313" w:rsidRPr="002E6CA0">
        <w:rPr>
          <w:szCs w:val="22"/>
        </w:rPr>
        <w:t xml:space="preserve"> by </w:t>
      </w:r>
      <w:r w:rsidR="00D81176" w:rsidRPr="002E6CA0">
        <w:rPr>
          <w:szCs w:val="22"/>
        </w:rPr>
        <w:t xml:space="preserve">sex </w:t>
      </w:r>
      <w:r w:rsidR="00FF5313" w:rsidRPr="002E6CA0">
        <w:rPr>
          <w:szCs w:val="22"/>
        </w:rPr>
        <w:t xml:space="preserve">for </w:t>
      </w:r>
      <w:r w:rsidR="00D81176" w:rsidRPr="002E6CA0">
        <w:rPr>
          <w:szCs w:val="22"/>
        </w:rPr>
        <w:t>same day or overnight</w:t>
      </w:r>
      <w:r w:rsidR="00FF5313" w:rsidRPr="002E6CA0">
        <w:rPr>
          <w:szCs w:val="22"/>
        </w:rPr>
        <w:t xml:space="preserve"> stays,</w:t>
      </w:r>
      <w:r w:rsidR="00D81176" w:rsidRPr="002E6CA0">
        <w:rPr>
          <w:szCs w:val="22"/>
        </w:rPr>
        <w:t xml:space="preserve"> specialty-specific trends in admission </w:t>
      </w:r>
      <w:r w:rsidR="00FF5313" w:rsidRPr="002E6CA0">
        <w:rPr>
          <w:szCs w:val="22"/>
        </w:rPr>
        <w:t>rates</w:t>
      </w:r>
      <w:r w:rsidR="007E44F1">
        <w:rPr>
          <w:szCs w:val="22"/>
        </w:rPr>
        <w:t>,</w:t>
      </w:r>
      <w:r w:rsidR="00FF5313" w:rsidRPr="002E6CA0">
        <w:rPr>
          <w:szCs w:val="22"/>
        </w:rPr>
        <w:t xml:space="preserve"> and length of stay</w:t>
      </w:r>
      <w:r w:rsidR="00D81176" w:rsidRPr="002E6CA0">
        <w:rPr>
          <w:szCs w:val="22"/>
        </w:rPr>
        <w:t>.</w:t>
      </w:r>
      <w:r w:rsidR="009C7FBD" w:rsidRPr="002E6CA0">
        <w:rPr>
          <w:szCs w:val="22"/>
        </w:rPr>
        <w:t xml:space="preserve"> </w:t>
      </w:r>
      <w:r w:rsidR="00FF5313" w:rsidRPr="002E6CA0">
        <w:rPr>
          <w:szCs w:val="22"/>
        </w:rPr>
        <w:t>Similarly</w:t>
      </w:r>
      <w:r w:rsidR="007E44F1">
        <w:rPr>
          <w:szCs w:val="22"/>
        </w:rPr>
        <w:t>,</w:t>
      </w:r>
      <w:r w:rsidR="00FF5313" w:rsidRPr="002E6CA0">
        <w:rPr>
          <w:szCs w:val="22"/>
        </w:rPr>
        <w:t xml:space="preserve"> the historical </w:t>
      </w:r>
      <w:proofErr w:type="spellStart"/>
      <w:r w:rsidR="00FF5313" w:rsidRPr="002E6CA0">
        <w:rPr>
          <w:szCs w:val="22"/>
        </w:rPr>
        <w:t>MBS</w:t>
      </w:r>
      <w:proofErr w:type="spellEnd"/>
      <w:r w:rsidR="00FF5313" w:rsidRPr="002E6CA0">
        <w:rPr>
          <w:szCs w:val="22"/>
        </w:rPr>
        <w:t xml:space="preserve"> data uses the number of services </w:t>
      </w:r>
      <w:r w:rsidR="009C7FBD" w:rsidRPr="002E6CA0">
        <w:rPr>
          <w:szCs w:val="22"/>
        </w:rPr>
        <w:t xml:space="preserve">received </w:t>
      </w:r>
      <w:r w:rsidR="00FF5313" w:rsidRPr="002E6CA0">
        <w:rPr>
          <w:szCs w:val="22"/>
        </w:rPr>
        <w:t>by age</w:t>
      </w:r>
      <w:r w:rsidR="009C7FBD" w:rsidRPr="002E6CA0">
        <w:rPr>
          <w:szCs w:val="22"/>
        </w:rPr>
        <w:t xml:space="preserve"> of patient</w:t>
      </w:r>
      <w:r w:rsidR="00FF5313" w:rsidRPr="002E6CA0">
        <w:rPr>
          <w:szCs w:val="22"/>
        </w:rPr>
        <w:t xml:space="preserve"> captured as a quarterly time series and forecast</w:t>
      </w:r>
      <w:r w:rsidR="009C7FBD" w:rsidRPr="002E6CA0">
        <w:rPr>
          <w:szCs w:val="22"/>
        </w:rPr>
        <w:t>s</w:t>
      </w:r>
      <w:r w:rsidR="00FF5313" w:rsidRPr="002E6CA0">
        <w:rPr>
          <w:szCs w:val="22"/>
        </w:rPr>
        <w:t xml:space="preserve"> the resulting estimates multiplied by </w:t>
      </w:r>
      <w:r w:rsidR="009C7FBD" w:rsidRPr="002E6CA0">
        <w:rPr>
          <w:szCs w:val="22"/>
        </w:rPr>
        <w:t>the</w:t>
      </w:r>
      <w:r w:rsidR="00E135BA" w:rsidRPr="002E6CA0">
        <w:rPr>
          <w:szCs w:val="22"/>
        </w:rPr>
        <w:t xml:space="preserve"> </w:t>
      </w:r>
      <w:r w:rsidR="00FF5313" w:rsidRPr="002E6CA0">
        <w:rPr>
          <w:szCs w:val="22"/>
        </w:rPr>
        <w:t>estimated residential population</w:t>
      </w:r>
      <w:r w:rsidR="00FF5313" w:rsidRPr="00544448">
        <w:rPr>
          <w:szCs w:val="22"/>
          <w:vertAlign w:val="superscript"/>
        </w:rPr>
        <w:footnoteReference w:id="2"/>
      </w:r>
      <w:r w:rsidR="00FF5313" w:rsidRPr="002E6CA0">
        <w:rPr>
          <w:szCs w:val="22"/>
        </w:rPr>
        <w:t>.</w:t>
      </w:r>
    </w:p>
    <w:p w:rsidR="006B41AC" w:rsidRPr="00AC2C3F" w:rsidRDefault="006B41AC" w:rsidP="00B831A8">
      <w:pPr>
        <w:pStyle w:val="Heading3"/>
      </w:pPr>
      <w:bookmarkStart w:id="33" w:name="_Toc445986952"/>
      <w:r w:rsidRPr="00AC2C3F">
        <w:t>Projections</w:t>
      </w:r>
      <w:bookmarkEnd w:id="33"/>
    </w:p>
    <w:p w:rsidR="004027EA" w:rsidRPr="002E6CA0" w:rsidRDefault="006B41AC" w:rsidP="002E6CA0">
      <w:pPr>
        <w:spacing w:before="120" w:after="120"/>
        <w:rPr>
          <w:szCs w:val="22"/>
        </w:rPr>
      </w:pPr>
      <w:r w:rsidRPr="003E7DFC">
        <w:t>The updated workforce projection results for psychiatrists are shown in</w:t>
      </w:r>
      <w:r w:rsidR="003E7DFC">
        <w:t xml:space="preserve"> Table 9 </w:t>
      </w:r>
      <w:r w:rsidRPr="003E7DFC">
        <w:t>below.</w:t>
      </w:r>
      <w:r w:rsidR="00F60EC6" w:rsidRPr="003E7DFC">
        <w:t xml:space="preserve"> </w:t>
      </w:r>
      <w:r w:rsidR="009775F0" w:rsidRPr="003E7DFC">
        <w:t>The</w:t>
      </w:r>
      <w:r w:rsidR="009775F0" w:rsidRPr="002E6CA0">
        <w:rPr>
          <w:szCs w:val="22"/>
        </w:rPr>
        <w:t xml:space="preserve"> </w:t>
      </w:r>
      <w:r w:rsidR="00103733" w:rsidRPr="002E6CA0">
        <w:rPr>
          <w:szCs w:val="22"/>
        </w:rPr>
        <w:t xml:space="preserve">initial year for the </w:t>
      </w:r>
      <w:r w:rsidR="002E4DE9" w:rsidRPr="002E6CA0">
        <w:rPr>
          <w:szCs w:val="22"/>
        </w:rPr>
        <w:t>projections ha</w:t>
      </w:r>
      <w:r w:rsidR="007E44F1">
        <w:rPr>
          <w:szCs w:val="22"/>
        </w:rPr>
        <w:t>s</w:t>
      </w:r>
      <w:r w:rsidR="001C3CAC" w:rsidRPr="002E6CA0">
        <w:rPr>
          <w:szCs w:val="22"/>
        </w:rPr>
        <w:t xml:space="preserve"> been updated to start at </w:t>
      </w:r>
      <w:r w:rsidR="009775F0" w:rsidRPr="002E6CA0">
        <w:rPr>
          <w:szCs w:val="22"/>
        </w:rPr>
        <w:t>2013</w:t>
      </w:r>
      <w:r w:rsidR="007E44F1">
        <w:rPr>
          <w:szCs w:val="22"/>
        </w:rPr>
        <w:t>,</w:t>
      </w:r>
      <w:r w:rsidRPr="002E6CA0">
        <w:rPr>
          <w:szCs w:val="22"/>
        </w:rPr>
        <w:t xml:space="preserve"> and assume</w:t>
      </w:r>
      <w:r w:rsidR="007E44F1">
        <w:rPr>
          <w:szCs w:val="22"/>
        </w:rPr>
        <w:t>s</w:t>
      </w:r>
      <w:r w:rsidRPr="002E6CA0">
        <w:rPr>
          <w:szCs w:val="22"/>
        </w:rPr>
        <w:t xml:space="preserve"> that </w:t>
      </w:r>
      <w:r w:rsidR="007E44F1" w:rsidRPr="002E6CA0">
        <w:rPr>
          <w:szCs w:val="22"/>
        </w:rPr>
        <w:t xml:space="preserve">in this year </w:t>
      </w:r>
      <w:r w:rsidRPr="002E6CA0">
        <w:rPr>
          <w:szCs w:val="22"/>
        </w:rPr>
        <w:t>supply and demand is in balance</w:t>
      </w:r>
      <w:r w:rsidR="009775F0" w:rsidRPr="002E6CA0">
        <w:rPr>
          <w:szCs w:val="22"/>
        </w:rPr>
        <w:t>. T</w:t>
      </w:r>
      <w:r w:rsidR="004E65E5" w:rsidRPr="002E6CA0">
        <w:rPr>
          <w:szCs w:val="22"/>
        </w:rPr>
        <w:t>he demand</w:t>
      </w:r>
      <w:r w:rsidR="009775F0" w:rsidRPr="002E6CA0">
        <w:rPr>
          <w:szCs w:val="22"/>
        </w:rPr>
        <w:t xml:space="preserve"> rate</w:t>
      </w:r>
      <w:r w:rsidR="004E65E5" w:rsidRPr="002E6CA0">
        <w:rPr>
          <w:szCs w:val="22"/>
        </w:rPr>
        <w:t xml:space="preserve"> for </w:t>
      </w:r>
      <w:r w:rsidR="009775F0" w:rsidRPr="002E6CA0">
        <w:rPr>
          <w:szCs w:val="22"/>
        </w:rPr>
        <w:t xml:space="preserve">psychiatry is estimated to grow at </w:t>
      </w:r>
      <w:r w:rsidR="00AE2083" w:rsidRPr="002E6CA0">
        <w:rPr>
          <w:szCs w:val="22"/>
        </w:rPr>
        <w:t>4.2</w:t>
      </w:r>
      <w:r w:rsidR="009775F0" w:rsidRPr="002E6CA0">
        <w:rPr>
          <w:szCs w:val="22"/>
        </w:rPr>
        <w:t xml:space="preserve"> per</w:t>
      </w:r>
      <w:r w:rsidR="00103733" w:rsidRPr="002E6CA0">
        <w:rPr>
          <w:szCs w:val="22"/>
        </w:rPr>
        <w:t xml:space="preserve"> </w:t>
      </w:r>
      <w:r w:rsidR="00D76A7D" w:rsidRPr="002E6CA0">
        <w:rPr>
          <w:szCs w:val="22"/>
        </w:rPr>
        <w:t xml:space="preserve">cent. This scenario assumes maintaining </w:t>
      </w:r>
      <w:r w:rsidR="00CE65DE" w:rsidRPr="002E6CA0">
        <w:rPr>
          <w:szCs w:val="22"/>
        </w:rPr>
        <w:t xml:space="preserve">the </w:t>
      </w:r>
      <w:r w:rsidR="00CE65DE">
        <w:rPr>
          <w:szCs w:val="22"/>
        </w:rPr>
        <w:t>current</w:t>
      </w:r>
      <w:r w:rsidR="00692FB1">
        <w:rPr>
          <w:szCs w:val="22"/>
        </w:rPr>
        <w:t xml:space="preserve"> </w:t>
      </w:r>
      <w:r w:rsidR="008D17F8">
        <w:rPr>
          <w:szCs w:val="22"/>
        </w:rPr>
        <w:t>utilisation patterns</w:t>
      </w:r>
      <w:r w:rsidR="00D76A7D" w:rsidRPr="002E6CA0">
        <w:rPr>
          <w:szCs w:val="22"/>
        </w:rPr>
        <w:t xml:space="preserve"> throughout the projection period</w:t>
      </w:r>
      <w:r w:rsidR="007E44F1">
        <w:rPr>
          <w:szCs w:val="22"/>
        </w:rPr>
        <w:t>,</w:t>
      </w:r>
      <w:r w:rsidR="00D76A7D" w:rsidRPr="002E6CA0">
        <w:rPr>
          <w:szCs w:val="22"/>
        </w:rPr>
        <w:t xml:space="preserve"> which </w:t>
      </w:r>
      <w:r w:rsidR="009775F0" w:rsidRPr="002E6CA0">
        <w:rPr>
          <w:szCs w:val="22"/>
        </w:rPr>
        <w:t>indicates</w:t>
      </w:r>
      <w:r w:rsidR="009C7FBD" w:rsidRPr="002E6CA0">
        <w:rPr>
          <w:szCs w:val="22"/>
        </w:rPr>
        <w:t xml:space="preserve"> that</w:t>
      </w:r>
      <w:r w:rsidR="009775F0" w:rsidRPr="002E6CA0">
        <w:rPr>
          <w:szCs w:val="22"/>
        </w:rPr>
        <w:t xml:space="preserve"> demand for psychiatrists </w:t>
      </w:r>
      <w:r w:rsidR="009C7FBD" w:rsidRPr="002E6CA0">
        <w:rPr>
          <w:szCs w:val="22"/>
        </w:rPr>
        <w:t>will</w:t>
      </w:r>
      <w:r w:rsidR="009775F0" w:rsidRPr="002E6CA0">
        <w:rPr>
          <w:szCs w:val="22"/>
        </w:rPr>
        <w:t xml:space="preserve"> exceed supply across the entire projection period to 2030.</w:t>
      </w:r>
      <w:r w:rsidR="00AC3D8A">
        <w:rPr>
          <w:szCs w:val="22"/>
        </w:rPr>
        <w:t xml:space="preserve"> The inflow of new </w:t>
      </w:r>
      <w:r w:rsidR="00DE11D8">
        <w:rPr>
          <w:szCs w:val="22"/>
        </w:rPr>
        <w:t>F</w:t>
      </w:r>
      <w:r w:rsidR="00AC3D8A">
        <w:rPr>
          <w:szCs w:val="22"/>
        </w:rPr>
        <w:t xml:space="preserve">ellows uses the dynamic methodology of the training pipeline, while the </w:t>
      </w:r>
      <w:proofErr w:type="spellStart"/>
      <w:r w:rsidR="00AC3D8A">
        <w:rPr>
          <w:szCs w:val="22"/>
        </w:rPr>
        <w:t>OTS</w:t>
      </w:r>
      <w:proofErr w:type="spellEnd"/>
      <w:r w:rsidR="00AC3D8A">
        <w:rPr>
          <w:szCs w:val="22"/>
        </w:rPr>
        <w:t xml:space="preserve"> new </w:t>
      </w:r>
      <w:r w:rsidR="00DE11D8">
        <w:rPr>
          <w:szCs w:val="22"/>
        </w:rPr>
        <w:t>F</w:t>
      </w:r>
      <w:r w:rsidR="00AC3D8A">
        <w:rPr>
          <w:szCs w:val="22"/>
        </w:rPr>
        <w:t>ellows are assumed to remain static over the same time period</w:t>
      </w:r>
      <w:r w:rsidR="00985EBD">
        <w:rPr>
          <w:szCs w:val="22"/>
        </w:rPr>
        <w:t>.</w:t>
      </w:r>
    </w:p>
    <w:p w:rsidR="00F60EC6" w:rsidRPr="00296E67" w:rsidRDefault="00F60EC6" w:rsidP="00D84538">
      <w:pPr>
        <w:pStyle w:val="Heading4"/>
        <w:spacing w:after="120"/>
        <w:jc w:val="left"/>
      </w:pPr>
      <w:bookmarkStart w:id="34" w:name="_Ref410638522"/>
      <w:r w:rsidRPr="00296E67">
        <w:t xml:space="preserve">Table </w:t>
      </w:r>
      <w:fldSimple w:instr=" SEQ Table \* ARABIC ">
        <w:r w:rsidR="00A34F47" w:rsidRPr="00296E67">
          <w:rPr>
            <w:noProof/>
          </w:rPr>
          <w:t>9</w:t>
        </w:r>
      </w:fldSimple>
      <w:bookmarkEnd w:id="34"/>
      <w:r w:rsidR="00002D01" w:rsidRPr="00296E67">
        <w:t xml:space="preserve"> –</w:t>
      </w:r>
      <w:r w:rsidRPr="00296E67">
        <w:t xml:space="preserve"> </w:t>
      </w:r>
      <w:r w:rsidR="006A1551">
        <w:t>S</w:t>
      </w:r>
      <w:r w:rsidR="00103733" w:rsidRPr="00296E67">
        <w:t>tatus quo</w:t>
      </w:r>
      <w:r w:rsidR="009F4356" w:rsidRPr="00296E67">
        <w:t xml:space="preserve"> scenario </w:t>
      </w:r>
      <w:r w:rsidR="009B4704" w:rsidRPr="00296E67">
        <w:t>–</w:t>
      </w:r>
      <w:r w:rsidR="009F4356" w:rsidRPr="00296E67">
        <w:t xml:space="preserve"> s</w:t>
      </w:r>
      <w:r w:rsidRPr="00296E67">
        <w:t>ummary</w:t>
      </w:r>
      <w:r w:rsidR="006A1551">
        <w:t xml:space="preserve"> of workforce </w:t>
      </w:r>
      <w:r w:rsidRPr="00296E67">
        <w:t>projections</w:t>
      </w:r>
    </w:p>
    <w:tbl>
      <w:tblPr>
        <w:tblW w:w="4942" w:type="pct"/>
        <w:tblInd w:w="108" w:type="dxa"/>
        <w:tblLook w:val="04A0" w:firstRow="1" w:lastRow="0" w:firstColumn="1" w:lastColumn="0" w:noHBand="0" w:noVBand="1"/>
      </w:tblPr>
      <w:tblGrid>
        <w:gridCol w:w="3445"/>
        <w:gridCol w:w="1138"/>
        <w:gridCol w:w="1138"/>
        <w:gridCol w:w="1138"/>
        <w:gridCol w:w="1138"/>
        <w:gridCol w:w="1138"/>
      </w:tblGrid>
      <w:tr w:rsidR="00E4474A" w:rsidRPr="00AC2C3F" w:rsidTr="007E44F1">
        <w:trPr>
          <w:trHeight w:val="330"/>
        </w:trPr>
        <w:tc>
          <w:tcPr>
            <w:tcW w:w="1885" w:type="pct"/>
            <w:tcBorders>
              <w:top w:val="single" w:sz="8" w:space="0" w:color="auto"/>
              <w:left w:val="single" w:sz="8" w:space="0" w:color="auto"/>
              <w:bottom w:val="single" w:sz="12" w:space="0" w:color="auto"/>
              <w:right w:val="nil"/>
            </w:tcBorders>
            <w:shd w:val="clear" w:color="000000" w:fill="000080"/>
            <w:noWrap/>
            <w:vAlign w:val="center"/>
            <w:hideMark/>
          </w:tcPr>
          <w:p w:rsidR="00E4474A" w:rsidRPr="00AC2C3F" w:rsidRDefault="00E4474A" w:rsidP="00E4474A">
            <w:pPr>
              <w:rPr>
                <w:b/>
                <w:color w:val="FFFFFF"/>
                <w:sz w:val="18"/>
                <w:szCs w:val="18"/>
                <w:lang w:eastAsia="en-AU"/>
              </w:rPr>
            </w:pPr>
            <w:bookmarkStart w:id="35" w:name="RANGE!W7"/>
            <w:r w:rsidRPr="00AC2C3F">
              <w:rPr>
                <w:b/>
                <w:color w:val="FFFFFF"/>
                <w:sz w:val="18"/>
                <w:szCs w:val="18"/>
                <w:lang w:eastAsia="en-AU"/>
              </w:rPr>
              <w:t>Headcount</w:t>
            </w:r>
            <w:bookmarkEnd w:id="35"/>
          </w:p>
        </w:tc>
        <w:tc>
          <w:tcPr>
            <w:tcW w:w="623" w:type="pct"/>
            <w:tcBorders>
              <w:top w:val="single" w:sz="8" w:space="0" w:color="auto"/>
              <w:left w:val="nil"/>
              <w:bottom w:val="single" w:sz="12" w:space="0" w:color="auto"/>
              <w:right w:val="nil"/>
            </w:tcBorders>
            <w:shd w:val="clear" w:color="000000" w:fill="000080"/>
            <w:noWrap/>
            <w:vAlign w:val="center"/>
            <w:hideMark/>
          </w:tcPr>
          <w:p w:rsidR="00E4474A" w:rsidRPr="00AC2C3F" w:rsidRDefault="00E4474A" w:rsidP="00E4474A">
            <w:pPr>
              <w:jc w:val="right"/>
              <w:rPr>
                <w:b/>
                <w:color w:val="FFFFFF"/>
                <w:sz w:val="18"/>
                <w:szCs w:val="18"/>
                <w:lang w:eastAsia="en-AU"/>
              </w:rPr>
            </w:pPr>
            <w:r w:rsidRPr="00AC2C3F">
              <w:rPr>
                <w:b/>
                <w:color w:val="FFFFFF"/>
                <w:sz w:val="18"/>
                <w:szCs w:val="18"/>
                <w:lang w:eastAsia="en-AU"/>
              </w:rPr>
              <w:t>2013</w:t>
            </w:r>
          </w:p>
        </w:tc>
        <w:tc>
          <w:tcPr>
            <w:tcW w:w="623" w:type="pct"/>
            <w:tcBorders>
              <w:top w:val="single" w:sz="8" w:space="0" w:color="auto"/>
              <w:left w:val="nil"/>
              <w:bottom w:val="single" w:sz="12" w:space="0" w:color="auto"/>
              <w:right w:val="nil"/>
            </w:tcBorders>
            <w:shd w:val="clear" w:color="000000" w:fill="000080"/>
            <w:noWrap/>
            <w:vAlign w:val="center"/>
            <w:hideMark/>
          </w:tcPr>
          <w:p w:rsidR="00E4474A" w:rsidRPr="00AC2C3F" w:rsidRDefault="00E4474A" w:rsidP="00E4474A">
            <w:pPr>
              <w:jc w:val="right"/>
              <w:rPr>
                <w:b/>
                <w:color w:val="FFFFFF"/>
                <w:sz w:val="18"/>
                <w:szCs w:val="18"/>
                <w:lang w:eastAsia="en-AU"/>
              </w:rPr>
            </w:pPr>
            <w:r w:rsidRPr="00AC2C3F">
              <w:rPr>
                <w:b/>
                <w:color w:val="FFFFFF"/>
                <w:sz w:val="18"/>
                <w:szCs w:val="18"/>
                <w:lang w:eastAsia="en-AU"/>
              </w:rPr>
              <w:t>2016</w:t>
            </w:r>
          </w:p>
        </w:tc>
        <w:tc>
          <w:tcPr>
            <w:tcW w:w="623" w:type="pct"/>
            <w:tcBorders>
              <w:top w:val="single" w:sz="8" w:space="0" w:color="auto"/>
              <w:left w:val="nil"/>
              <w:bottom w:val="single" w:sz="12" w:space="0" w:color="auto"/>
              <w:right w:val="nil"/>
            </w:tcBorders>
            <w:shd w:val="clear" w:color="000000" w:fill="000080"/>
            <w:noWrap/>
            <w:vAlign w:val="center"/>
            <w:hideMark/>
          </w:tcPr>
          <w:p w:rsidR="00E4474A" w:rsidRPr="00AC2C3F" w:rsidRDefault="00E4474A" w:rsidP="00E4474A">
            <w:pPr>
              <w:jc w:val="right"/>
              <w:rPr>
                <w:b/>
                <w:color w:val="FFFFFF"/>
                <w:sz w:val="18"/>
                <w:szCs w:val="18"/>
                <w:lang w:eastAsia="en-AU"/>
              </w:rPr>
            </w:pPr>
            <w:r w:rsidRPr="00AC2C3F">
              <w:rPr>
                <w:b/>
                <w:color w:val="FFFFFF"/>
                <w:sz w:val="18"/>
                <w:szCs w:val="18"/>
                <w:lang w:eastAsia="en-AU"/>
              </w:rPr>
              <w:t>2020</w:t>
            </w:r>
          </w:p>
        </w:tc>
        <w:tc>
          <w:tcPr>
            <w:tcW w:w="623" w:type="pct"/>
            <w:tcBorders>
              <w:top w:val="single" w:sz="8" w:space="0" w:color="auto"/>
              <w:left w:val="nil"/>
              <w:bottom w:val="single" w:sz="12" w:space="0" w:color="auto"/>
              <w:right w:val="nil"/>
            </w:tcBorders>
            <w:shd w:val="clear" w:color="000000" w:fill="000080"/>
            <w:noWrap/>
            <w:vAlign w:val="center"/>
            <w:hideMark/>
          </w:tcPr>
          <w:p w:rsidR="00E4474A" w:rsidRPr="00AC2C3F" w:rsidRDefault="00E4474A" w:rsidP="00E4474A">
            <w:pPr>
              <w:jc w:val="right"/>
              <w:rPr>
                <w:b/>
                <w:color w:val="FFFFFF"/>
                <w:sz w:val="18"/>
                <w:szCs w:val="18"/>
                <w:lang w:eastAsia="en-AU"/>
              </w:rPr>
            </w:pPr>
            <w:r w:rsidRPr="00AC2C3F">
              <w:rPr>
                <w:b/>
                <w:color w:val="FFFFFF"/>
                <w:sz w:val="18"/>
                <w:szCs w:val="18"/>
                <w:lang w:eastAsia="en-AU"/>
              </w:rPr>
              <w:t>2025</w:t>
            </w:r>
          </w:p>
        </w:tc>
        <w:tc>
          <w:tcPr>
            <w:tcW w:w="623" w:type="pct"/>
            <w:tcBorders>
              <w:top w:val="single" w:sz="8" w:space="0" w:color="auto"/>
              <w:left w:val="nil"/>
              <w:bottom w:val="single" w:sz="12" w:space="0" w:color="auto"/>
              <w:right w:val="single" w:sz="8" w:space="0" w:color="auto"/>
            </w:tcBorders>
            <w:shd w:val="clear" w:color="000000" w:fill="000080"/>
            <w:noWrap/>
            <w:vAlign w:val="center"/>
            <w:hideMark/>
          </w:tcPr>
          <w:p w:rsidR="00E4474A" w:rsidRPr="00AC2C3F" w:rsidRDefault="00E4474A" w:rsidP="00E4474A">
            <w:pPr>
              <w:jc w:val="right"/>
              <w:rPr>
                <w:b/>
                <w:color w:val="FFFFFF"/>
                <w:sz w:val="18"/>
                <w:szCs w:val="18"/>
                <w:lang w:eastAsia="en-AU"/>
              </w:rPr>
            </w:pPr>
            <w:r w:rsidRPr="00AC2C3F">
              <w:rPr>
                <w:b/>
                <w:color w:val="FFFFFF"/>
                <w:sz w:val="18"/>
                <w:szCs w:val="18"/>
                <w:lang w:eastAsia="en-AU"/>
              </w:rPr>
              <w:t>2030</w:t>
            </w:r>
          </w:p>
        </w:tc>
      </w:tr>
      <w:tr w:rsidR="00E4474A" w:rsidRPr="00AC2C3F" w:rsidTr="007E44F1">
        <w:trPr>
          <w:trHeight w:val="315"/>
        </w:trPr>
        <w:tc>
          <w:tcPr>
            <w:tcW w:w="1885" w:type="pct"/>
            <w:tcBorders>
              <w:top w:val="nil"/>
              <w:left w:val="single" w:sz="8" w:space="0" w:color="auto"/>
              <w:bottom w:val="nil"/>
              <w:right w:val="nil"/>
            </w:tcBorders>
            <w:shd w:val="clear" w:color="000000" w:fill="000080"/>
            <w:noWrap/>
            <w:vAlign w:val="center"/>
            <w:hideMark/>
          </w:tcPr>
          <w:p w:rsidR="00E4474A" w:rsidRPr="00AC2C3F" w:rsidRDefault="00E4474A" w:rsidP="00E4474A">
            <w:pPr>
              <w:rPr>
                <w:b/>
                <w:bCs/>
                <w:color w:val="FFFFFF"/>
                <w:sz w:val="18"/>
                <w:szCs w:val="18"/>
                <w:lang w:eastAsia="en-AU"/>
              </w:rPr>
            </w:pPr>
            <w:r w:rsidRPr="00AC2C3F">
              <w:rPr>
                <w:b/>
                <w:bCs/>
                <w:color w:val="FFFFFF" w:themeColor="background1"/>
                <w:sz w:val="18"/>
                <w:szCs w:val="18"/>
                <w:lang w:eastAsia="en-AU"/>
              </w:rPr>
              <w:t>Supply</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2,805</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3,138</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3,631</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4,236</w:t>
            </w:r>
          </w:p>
        </w:tc>
        <w:tc>
          <w:tcPr>
            <w:tcW w:w="623" w:type="pct"/>
            <w:tcBorders>
              <w:top w:val="nil"/>
              <w:left w:val="nil"/>
              <w:bottom w:val="nil"/>
              <w:right w:val="single" w:sz="8" w:space="0" w:color="auto"/>
            </w:tcBorders>
            <w:shd w:val="clear" w:color="000000" w:fill="D8D8D8"/>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4,809</w:t>
            </w:r>
          </w:p>
        </w:tc>
      </w:tr>
      <w:tr w:rsidR="00E4474A" w:rsidRPr="00AC2C3F" w:rsidTr="007E44F1">
        <w:trPr>
          <w:trHeight w:val="300"/>
        </w:trPr>
        <w:tc>
          <w:tcPr>
            <w:tcW w:w="1885" w:type="pct"/>
            <w:tcBorders>
              <w:top w:val="nil"/>
              <w:left w:val="single" w:sz="8" w:space="0" w:color="auto"/>
              <w:bottom w:val="nil"/>
              <w:right w:val="nil"/>
            </w:tcBorders>
            <w:shd w:val="clear" w:color="000000" w:fill="000080"/>
            <w:noWrap/>
            <w:vAlign w:val="center"/>
            <w:hideMark/>
          </w:tcPr>
          <w:p w:rsidR="00E4474A" w:rsidRPr="00AC2C3F" w:rsidRDefault="00E4474A" w:rsidP="00E4474A">
            <w:pPr>
              <w:rPr>
                <w:i/>
                <w:iCs/>
                <w:color w:val="FFFFFF"/>
                <w:sz w:val="18"/>
                <w:szCs w:val="18"/>
                <w:lang w:eastAsia="en-AU"/>
              </w:rPr>
            </w:pPr>
            <w:r w:rsidRPr="00AC2C3F">
              <w:rPr>
                <w:i/>
                <w:iCs/>
                <w:color w:val="FFFFFF" w:themeColor="background1"/>
                <w:sz w:val="18"/>
                <w:szCs w:val="18"/>
                <w:lang w:eastAsia="en-AU"/>
              </w:rPr>
              <w:t>New fellows</w:t>
            </w:r>
          </w:p>
        </w:tc>
        <w:tc>
          <w:tcPr>
            <w:tcW w:w="623" w:type="pct"/>
            <w:tcBorders>
              <w:top w:val="nil"/>
              <w:left w:val="nil"/>
              <w:bottom w:val="nil"/>
              <w:right w:val="nil"/>
            </w:tcBorders>
            <w:shd w:val="clear" w:color="auto" w:fill="auto"/>
            <w:noWrap/>
            <w:vAlign w:val="center"/>
            <w:hideMark/>
          </w:tcPr>
          <w:p w:rsidR="00E4474A" w:rsidRPr="00AC2C3F" w:rsidRDefault="00E4474A" w:rsidP="00E4474A">
            <w:pPr>
              <w:jc w:val="right"/>
              <w:rPr>
                <w:color w:val="000000"/>
                <w:sz w:val="18"/>
                <w:szCs w:val="18"/>
                <w:lang w:eastAsia="en-AU"/>
              </w:rPr>
            </w:pPr>
            <w:r w:rsidRPr="00AC2C3F">
              <w:rPr>
                <w:color w:val="000000"/>
                <w:sz w:val="18"/>
                <w:szCs w:val="18"/>
                <w:lang w:eastAsia="en-AU"/>
              </w:rPr>
              <w:t>85</w:t>
            </w:r>
          </w:p>
        </w:tc>
        <w:tc>
          <w:tcPr>
            <w:tcW w:w="623" w:type="pct"/>
            <w:tcBorders>
              <w:top w:val="nil"/>
              <w:left w:val="nil"/>
              <w:bottom w:val="nil"/>
              <w:right w:val="nil"/>
            </w:tcBorders>
            <w:shd w:val="clear" w:color="auto" w:fill="auto"/>
            <w:noWrap/>
            <w:vAlign w:val="center"/>
            <w:hideMark/>
          </w:tcPr>
          <w:p w:rsidR="00E4474A" w:rsidRPr="00AC2C3F" w:rsidRDefault="00E4474A" w:rsidP="00E4474A">
            <w:pPr>
              <w:jc w:val="right"/>
              <w:rPr>
                <w:color w:val="000000"/>
                <w:sz w:val="18"/>
                <w:szCs w:val="18"/>
                <w:lang w:eastAsia="en-AU"/>
              </w:rPr>
            </w:pPr>
            <w:r w:rsidRPr="00AC2C3F">
              <w:rPr>
                <w:color w:val="000000"/>
                <w:sz w:val="18"/>
                <w:szCs w:val="18"/>
                <w:lang w:eastAsia="en-AU"/>
              </w:rPr>
              <w:t>106</w:t>
            </w:r>
          </w:p>
        </w:tc>
        <w:tc>
          <w:tcPr>
            <w:tcW w:w="623" w:type="pct"/>
            <w:tcBorders>
              <w:top w:val="nil"/>
              <w:left w:val="nil"/>
              <w:bottom w:val="nil"/>
              <w:right w:val="nil"/>
            </w:tcBorders>
            <w:shd w:val="clear" w:color="auto" w:fill="auto"/>
            <w:noWrap/>
            <w:vAlign w:val="center"/>
            <w:hideMark/>
          </w:tcPr>
          <w:p w:rsidR="00E4474A" w:rsidRPr="00AC2C3F" w:rsidRDefault="00E4474A" w:rsidP="00E4474A">
            <w:pPr>
              <w:jc w:val="right"/>
              <w:rPr>
                <w:color w:val="000000"/>
                <w:sz w:val="18"/>
                <w:szCs w:val="18"/>
                <w:lang w:eastAsia="en-AU"/>
              </w:rPr>
            </w:pPr>
            <w:r w:rsidRPr="00AC2C3F">
              <w:rPr>
                <w:color w:val="000000"/>
                <w:sz w:val="18"/>
                <w:szCs w:val="18"/>
                <w:lang w:eastAsia="en-AU"/>
              </w:rPr>
              <w:t>122</w:t>
            </w:r>
          </w:p>
        </w:tc>
        <w:tc>
          <w:tcPr>
            <w:tcW w:w="623" w:type="pct"/>
            <w:tcBorders>
              <w:top w:val="nil"/>
              <w:left w:val="nil"/>
              <w:bottom w:val="nil"/>
              <w:right w:val="nil"/>
            </w:tcBorders>
            <w:shd w:val="clear" w:color="auto" w:fill="auto"/>
            <w:noWrap/>
            <w:vAlign w:val="center"/>
            <w:hideMark/>
          </w:tcPr>
          <w:p w:rsidR="00E4474A" w:rsidRPr="00AC2C3F" w:rsidRDefault="00E4474A" w:rsidP="00E4474A">
            <w:pPr>
              <w:jc w:val="right"/>
              <w:rPr>
                <w:color w:val="000000"/>
                <w:sz w:val="18"/>
                <w:szCs w:val="18"/>
                <w:lang w:eastAsia="en-AU"/>
              </w:rPr>
            </w:pPr>
            <w:r w:rsidRPr="00AC2C3F">
              <w:rPr>
                <w:color w:val="000000"/>
                <w:sz w:val="18"/>
                <w:szCs w:val="18"/>
                <w:lang w:eastAsia="en-AU"/>
              </w:rPr>
              <w:t>130</w:t>
            </w:r>
          </w:p>
        </w:tc>
        <w:tc>
          <w:tcPr>
            <w:tcW w:w="623" w:type="pct"/>
            <w:tcBorders>
              <w:top w:val="nil"/>
              <w:left w:val="nil"/>
              <w:bottom w:val="nil"/>
              <w:right w:val="single" w:sz="8" w:space="0" w:color="auto"/>
            </w:tcBorders>
            <w:shd w:val="clear" w:color="auto" w:fill="auto"/>
            <w:noWrap/>
            <w:vAlign w:val="center"/>
            <w:hideMark/>
          </w:tcPr>
          <w:p w:rsidR="00E4474A" w:rsidRPr="00AC2C3F" w:rsidRDefault="00E4474A" w:rsidP="00E4474A">
            <w:pPr>
              <w:jc w:val="right"/>
              <w:rPr>
                <w:color w:val="000000"/>
                <w:sz w:val="18"/>
                <w:szCs w:val="18"/>
                <w:lang w:eastAsia="en-AU"/>
              </w:rPr>
            </w:pPr>
            <w:r w:rsidRPr="00AC2C3F">
              <w:rPr>
                <w:color w:val="000000"/>
                <w:sz w:val="18"/>
                <w:szCs w:val="18"/>
                <w:lang w:eastAsia="en-AU"/>
              </w:rPr>
              <w:t>138</w:t>
            </w:r>
          </w:p>
        </w:tc>
      </w:tr>
      <w:tr w:rsidR="00E4474A" w:rsidRPr="00AC2C3F" w:rsidTr="007E44F1">
        <w:trPr>
          <w:trHeight w:val="300"/>
        </w:trPr>
        <w:tc>
          <w:tcPr>
            <w:tcW w:w="1885" w:type="pct"/>
            <w:tcBorders>
              <w:top w:val="nil"/>
              <w:left w:val="single" w:sz="8" w:space="0" w:color="auto"/>
              <w:bottom w:val="nil"/>
              <w:right w:val="nil"/>
            </w:tcBorders>
            <w:shd w:val="clear" w:color="000000" w:fill="000080"/>
            <w:noWrap/>
            <w:vAlign w:val="center"/>
            <w:hideMark/>
          </w:tcPr>
          <w:p w:rsidR="00E4474A" w:rsidRPr="00AC2C3F" w:rsidRDefault="005D1BF3" w:rsidP="00E4474A">
            <w:pPr>
              <w:rPr>
                <w:i/>
                <w:iCs/>
                <w:color w:val="FFFFFF"/>
                <w:sz w:val="18"/>
                <w:szCs w:val="18"/>
                <w:lang w:eastAsia="en-AU"/>
              </w:rPr>
            </w:pPr>
            <w:proofErr w:type="spellStart"/>
            <w:r w:rsidRPr="00AC2C3F">
              <w:rPr>
                <w:i/>
                <w:iCs/>
                <w:color w:val="FFFFFF" w:themeColor="background1"/>
                <w:sz w:val="18"/>
                <w:szCs w:val="18"/>
                <w:lang w:eastAsia="en-AU"/>
              </w:rPr>
              <w:t>OTS</w:t>
            </w:r>
            <w:proofErr w:type="spellEnd"/>
            <w:r w:rsidR="00E4474A" w:rsidRPr="00AC2C3F">
              <w:rPr>
                <w:i/>
                <w:iCs/>
                <w:color w:val="FFFFFF" w:themeColor="background1"/>
                <w:sz w:val="18"/>
                <w:szCs w:val="18"/>
                <w:lang w:eastAsia="en-AU"/>
              </w:rPr>
              <w:t xml:space="preserve"> new fellows</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color w:val="000000"/>
                <w:sz w:val="18"/>
                <w:szCs w:val="18"/>
                <w:lang w:eastAsia="en-AU"/>
              </w:rPr>
            </w:pPr>
            <w:r w:rsidRPr="00AC2C3F">
              <w:rPr>
                <w:color w:val="000000"/>
                <w:sz w:val="18"/>
                <w:szCs w:val="18"/>
                <w:lang w:eastAsia="en-AU"/>
              </w:rPr>
              <w:t>56</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color w:val="000000"/>
                <w:sz w:val="18"/>
                <w:szCs w:val="18"/>
                <w:lang w:eastAsia="en-AU"/>
              </w:rPr>
            </w:pPr>
            <w:r w:rsidRPr="00AC2C3F">
              <w:rPr>
                <w:color w:val="000000"/>
                <w:sz w:val="18"/>
                <w:szCs w:val="18"/>
                <w:lang w:eastAsia="en-AU"/>
              </w:rPr>
              <w:t>55</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color w:val="000000"/>
                <w:sz w:val="18"/>
                <w:szCs w:val="18"/>
                <w:lang w:eastAsia="en-AU"/>
              </w:rPr>
            </w:pPr>
            <w:r w:rsidRPr="00AC2C3F">
              <w:rPr>
                <w:color w:val="000000"/>
                <w:sz w:val="18"/>
                <w:szCs w:val="18"/>
                <w:lang w:eastAsia="en-AU"/>
              </w:rPr>
              <w:t>55</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color w:val="000000"/>
                <w:sz w:val="18"/>
                <w:szCs w:val="18"/>
                <w:lang w:eastAsia="en-AU"/>
              </w:rPr>
            </w:pPr>
            <w:r w:rsidRPr="00AC2C3F">
              <w:rPr>
                <w:color w:val="000000"/>
                <w:sz w:val="18"/>
                <w:szCs w:val="18"/>
                <w:lang w:eastAsia="en-AU"/>
              </w:rPr>
              <w:t>55</w:t>
            </w:r>
          </w:p>
        </w:tc>
        <w:tc>
          <w:tcPr>
            <w:tcW w:w="623" w:type="pct"/>
            <w:tcBorders>
              <w:top w:val="nil"/>
              <w:left w:val="nil"/>
              <w:bottom w:val="nil"/>
              <w:right w:val="single" w:sz="8" w:space="0" w:color="auto"/>
            </w:tcBorders>
            <w:shd w:val="clear" w:color="000000" w:fill="D8D8D8"/>
            <w:noWrap/>
            <w:vAlign w:val="center"/>
            <w:hideMark/>
          </w:tcPr>
          <w:p w:rsidR="00E4474A" w:rsidRPr="00AC2C3F" w:rsidRDefault="00E4474A" w:rsidP="00E4474A">
            <w:pPr>
              <w:jc w:val="right"/>
              <w:rPr>
                <w:color w:val="000000"/>
                <w:sz w:val="18"/>
                <w:szCs w:val="18"/>
                <w:lang w:eastAsia="en-AU"/>
              </w:rPr>
            </w:pPr>
            <w:r w:rsidRPr="00AC2C3F">
              <w:rPr>
                <w:color w:val="000000"/>
                <w:sz w:val="18"/>
                <w:szCs w:val="18"/>
                <w:lang w:eastAsia="en-AU"/>
              </w:rPr>
              <w:t>55</w:t>
            </w:r>
          </w:p>
        </w:tc>
      </w:tr>
      <w:tr w:rsidR="00E4474A" w:rsidRPr="00AC2C3F" w:rsidTr="007E44F1">
        <w:trPr>
          <w:trHeight w:val="300"/>
        </w:trPr>
        <w:tc>
          <w:tcPr>
            <w:tcW w:w="1885" w:type="pct"/>
            <w:tcBorders>
              <w:top w:val="nil"/>
              <w:left w:val="single" w:sz="8" w:space="0" w:color="auto"/>
              <w:bottom w:val="nil"/>
              <w:right w:val="nil"/>
            </w:tcBorders>
            <w:shd w:val="clear" w:color="000000" w:fill="000080"/>
            <w:noWrap/>
            <w:vAlign w:val="center"/>
            <w:hideMark/>
          </w:tcPr>
          <w:p w:rsidR="00E4474A" w:rsidRPr="00AC2C3F" w:rsidRDefault="00E4474A" w:rsidP="00E4474A">
            <w:pPr>
              <w:rPr>
                <w:i/>
                <w:iCs/>
                <w:color w:val="FFFFFF"/>
                <w:sz w:val="18"/>
                <w:szCs w:val="18"/>
                <w:lang w:eastAsia="en-AU"/>
              </w:rPr>
            </w:pPr>
            <w:r w:rsidRPr="00AC2C3F">
              <w:rPr>
                <w:i/>
                <w:iCs/>
                <w:color w:val="FFFFFF" w:themeColor="background1"/>
                <w:sz w:val="18"/>
                <w:szCs w:val="18"/>
                <w:lang w:eastAsia="en-AU"/>
              </w:rPr>
              <w:t>Exits (% of supply)</w:t>
            </w:r>
          </w:p>
        </w:tc>
        <w:tc>
          <w:tcPr>
            <w:tcW w:w="623" w:type="pct"/>
            <w:tcBorders>
              <w:top w:val="nil"/>
              <w:left w:val="nil"/>
              <w:bottom w:val="nil"/>
              <w:right w:val="nil"/>
            </w:tcBorders>
            <w:shd w:val="clear" w:color="auto" w:fill="auto"/>
            <w:noWrap/>
            <w:vAlign w:val="center"/>
            <w:hideMark/>
          </w:tcPr>
          <w:p w:rsidR="00E4474A" w:rsidRPr="00AC2C3F" w:rsidRDefault="00E4474A" w:rsidP="00E4474A">
            <w:pPr>
              <w:jc w:val="right"/>
              <w:rPr>
                <w:i/>
                <w:color w:val="000000"/>
                <w:sz w:val="18"/>
                <w:szCs w:val="18"/>
                <w:lang w:eastAsia="en-AU"/>
              </w:rPr>
            </w:pPr>
            <w:r w:rsidRPr="00AC2C3F">
              <w:rPr>
                <w:i/>
                <w:color w:val="000000"/>
                <w:sz w:val="18"/>
                <w:szCs w:val="18"/>
                <w:lang w:eastAsia="en-AU"/>
              </w:rPr>
              <w:t>1.19%</w:t>
            </w:r>
          </w:p>
        </w:tc>
        <w:tc>
          <w:tcPr>
            <w:tcW w:w="623" w:type="pct"/>
            <w:tcBorders>
              <w:top w:val="nil"/>
              <w:left w:val="nil"/>
              <w:bottom w:val="nil"/>
              <w:right w:val="nil"/>
            </w:tcBorders>
            <w:shd w:val="clear" w:color="auto" w:fill="auto"/>
            <w:noWrap/>
            <w:vAlign w:val="center"/>
            <w:hideMark/>
          </w:tcPr>
          <w:p w:rsidR="00E4474A" w:rsidRPr="00AC2C3F" w:rsidRDefault="00E4474A" w:rsidP="00E4474A">
            <w:pPr>
              <w:jc w:val="right"/>
              <w:rPr>
                <w:i/>
                <w:color w:val="000000"/>
                <w:sz w:val="18"/>
                <w:szCs w:val="18"/>
                <w:lang w:eastAsia="en-AU"/>
              </w:rPr>
            </w:pPr>
            <w:r w:rsidRPr="00AC2C3F">
              <w:rPr>
                <w:i/>
                <w:color w:val="000000"/>
                <w:sz w:val="18"/>
                <w:szCs w:val="18"/>
                <w:lang w:eastAsia="en-AU"/>
              </w:rPr>
              <w:t>1.30%</w:t>
            </w:r>
          </w:p>
        </w:tc>
        <w:tc>
          <w:tcPr>
            <w:tcW w:w="623" w:type="pct"/>
            <w:tcBorders>
              <w:top w:val="nil"/>
              <w:left w:val="nil"/>
              <w:bottom w:val="nil"/>
              <w:right w:val="nil"/>
            </w:tcBorders>
            <w:shd w:val="clear" w:color="auto" w:fill="auto"/>
            <w:noWrap/>
            <w:vAlign w:val="center"/>
            <w:hideMark/>
          </w:tcPr>
          <w:p w:rsidR="00E4474A" w:rsidRPr="00AC2C3F" w:rsidRDefault="00E4474A" w:rsidP="00E4474A">
            <w:pPr>
              <w:jc w:val="right"/>
              <w:rPr>
                <w:i/>
                <w:color w:val="000000"/>
                <w:sz w:val="18"/>
                <w:szCs w:val="18"/>
                <w:lang w:eastAsia="en-AU"/>
              </w:rPr>
            </w:pPr>
            <w:r w:rsidRPr="00AC2C3F">
              <w:rPr>
                <w:i/>
                <w:color w:val="000000"/>
                <w:sz w:val="18"/>
                <w:szCs w:val="18"/>
                <w:lang w:eastAsia="en-AU"/>
              </w:rPr>
              <w:t>1.45%</w:t>
            </w:r>
          </w:p>
        </w:tc>
        <w:tc>
          <w:tcPr>
            <w:tcW w:w="623" w:type="pct"/>
            <w:tcBorders>
              <w:top w:val="nil"/>
              <w:left w:val="nil"/>
              <w:bottom w:val="nil"/>
              <w:right w:val="nil"/>
            </w:tcBorders>
            <w:shd w:val="clear" w:color="auto" w:fill="auto"/>
            <w:noWrap/>
            <w:vAlign w:val="center"/>
            <w:hideMark/>
          </w:tcPr>
          <w:p w:rsidR="00E4474A" w:rsidRPr="00AC2C3F" w:rsidRDefault="00E4474A" w:rsidP="00E4474A">
            <w:pPr>
              <w:jc w:val="right"/>
              <w:rPr>
                <w:i/>
                <w:color w:val="000000"/>
                <w:sz w:val="18"/>
                <w:szCs w:val="18"/>
                <w:lang w:eastAsia="en-AU"/>
              </w:rPr>
            </w:pPr>
            <w:r w:rsidRPr="00AC2C3F">
              <w:rPr>
                <w:i/>
                <w:color w:val="000000"/>
                <w:sz w:val="18"/>
                <w:szCs w:val="18"/>
                <w:lang w:eastAsia="en-AU"/>
              </w:rPr>
              <w:t>1.55%</w:t>
            </w:r>
          </w:p>
        </w:tc>
        <w:tc>
          <w:tcPr>
            <w:tcW w:w="623" w:type="pct"/>
            <w:tcBorders>
              <w:top w:val="nil"/>
              <w:left w:val="nil"/>
              <w:bottom w:val="nil"/>
              <w:right w:val="single" w:sz="8" w:space="0" w:color="auto"/>
            </w:tcBorders>
            <w:shd w:val="clear" w:color="auto" w:fill="auto"/>
            <w:noWrap/>
            <w:vAlign w:val="center"/>
            <w:hideMark/>
          </w:tcPr>
          <w:p w:rsidR="00E4474A" w:rsidRPr="00AC2C3F" w:rsidRDefault="00E4474A" w:rsidP="00E4474A">
            <w:pPr>
              <w:jc w:val="right"/>
              <w:rPr>
                <w:i/>
                <w:color w:val="000000"/>
                <w:sz w:val="18"/>
                <w:szCs w:val="18"/>
                <w:lang w:eastAsia="en-AU"/>
              </w:rPr>
            </w:pPr>
            <w:r w:rsidRPr="00AC2C3F">
              <w:rPr>
                <w:i/>
                <w:color w:val="000000"/>
                <w:sz w:val="18"/>
                <w:szCs w:val="18"/>
                <w:lang w:eastAsia="en-AU"/>
              </w:rPr>
              <w:t>1.74%</w:t>
            </w:r>
          </w:p>
        </w:tc>
      </w:tr>
      <w:tr w:rsidR="00E4474A" w:rsidRPr="00AC2C3F" w:rsidTr="007E44F1">
        <w:trPr>
          <w:trHeight w:val="300"/>
        </w:trPr>
        <w:tc>
          <w:tcPr>
            <w:tcW w:w="1885" w:type="pct"/>
            <w:tcBorders>
              <w:top w:val="nil"/>
              <w:left w:val="single" w:sz="8" w:space="0" w:color="auto"/>
              <w:bottom w:val="nil"/>
              <w:right w:val="nil"/>
            </w:tcBorders>
            <w:shd w:val="clear" w:color="000000" w:fill="000080"/>
            <w:noWrap/>
            <w:vAlign w:val="center"/>
            <w:hideMark/>
          </w:tcPr>
          <w:p w:rsidR="00E4474A" w:rsidRPr="00AC2C3F" w:rsidRDefault="00E4474A" w:rsidP="00E4474A">
            <w:pPr>
              <w:rPr>
                <w:b/>
                <w:bCs/>
                <w:color w:val="FFFFFF"/>
                <w:sz w:val="18"/>
                <w:szCs w:val="18"/>
                <w:lang w:eastAsia="en-AU"/>
              </w:rPr>
            </w:pPr>
            <w:r w:rsidRPr="00AC2C3F">
              <w:rPr>
                <w:b/>
                <w:bCs/>
                <w:color w:val="FFFFFF" w:themeColor="background1"/>
                <w:sz w:val="18"/>
                <w:szCs w:val="18"/>
                <w:lang w:eastAsia="en-AU"/>
              </w:rPr>
              <w:t>Demand</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2,805</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3,176</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3,677</w:t>
            </w:r>
          </w:p>
        </w:tc>
        <w:tc>
          <w:tcPr>
            <w:tcW w:w="623" w:type="pct"/>
            <w:tcBorders>
              <w:top w:val="nil"/>
              <w:left w:val="nil"/>
              <w:bottom w:val="nil"/>
              <w:right w:val="nil"/>
            </w:tcBorders>
            <w:shd w:val="clear" w:color="000000" w:fill="D8D8D8"/>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4,310</w:t>
            </w:r>
          </w:p>
        </w:tc>
        <w:tc>
          <w:tcPr>
            <w:tcW w:w="623" w:type="pct"/>
            <w:tcBorders>
              <w:top w:val="nil"/>
              <w:left w:val="nil"/>
              <w:bottom w:val="nil"/>
              <w:right w:val="single" w:sz="8" w:space="0" w:color="auto"/>
            </w:tcBorders>
            <w:shd w:val="clear" w:color="000000" w:fill="D8D8D8"/>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4,933</w:t>
            </w:r>
          </w:p>
        </w:tc>
      </w:tr>
      <w:tr w:rsidR="00E4474A" w:rsidRPr="00AC2C3F" w:rsidTr="007E44F1">
        <w:trPr>
          <w:trHeight w:val="315"/>
        </w:trPr>
        <w:tc>
          <w:tcPr>
            <w:tcW w:w="1885" w:type="pct"/>
            <w:tcBorders>
              <w:top w:val="nil"/>
              <w:left w:val="single" w:sz="8" w:space="0" w:color="auto"/>
              <w:bottom w:val="single" w:sz="8" w:space="0" w:color="auto"/>
              <w:right w:val="nil"/>
            </w:tcBorders>
            <w:shd w:val="clear" w:color="000000" w:fill="000080"/>
            <w:noWrap/>
            <w:vAlign w:val="center"/>
            <w:hideMark/>
          </w:tcPr>
          <w:p w:rsidR="00E4474A" w:rsidRPr="00AC2C3F" w:rsidRDefault="00E4474A" w:rsidP="00E4474A">
            <w:pPr>
              <w:rPr>
                <w:b/>
                <w:bCs/>
                <w:color w:val="FFFFFF"/>
                <w:sz w:val="18"/>
                <w:szCs w:val="18"/>
                <w:lang w:eastAsia="en-AU"/>
              </w:rPr>
            </w:pPr>
            <w:r w:rsidRPr="00AC2C3F">
              <w:rPr>
                <w:b/>
                <w:bCs/>
                <w:color w:val="FFFFFF" w:themeColor="background1"/>
                <w:sz w:val="18"/>
                <w:szCs w:val="18"/>
                <w:lang w:eastAsia="en-AU"/>
              </w:rPr>
              <w:t>Excess/Shortfall</w:t>
            </w:r>
          </w:p>
        </w:tc>
        <w:tc>
          <w:tcPr>
            <w:tcW w:w="623" w:type="pct"/>
            <w:tcBorders>
              <w:top w:val="nil"/>
              <w:left w:val="nil"/>
              <w:bottom w:val="single" w:sz="8" w:space="0" w:color="auto"/>
              <w:right w:val="nil"/>
            </w:tcBorders>
            <w:shd w:val="clear" w:color="auto" w:fill="00B050"/>
            <w:noWrap/>
            <w:vAlign w:val="center"/>
            <w:hideMark/>
          </w:tcPr>
          <w:p w:rsidR="00E4474A" w:rsidRPr="00AC2C3F" w:rsidRDefault="00E4474A" w:rsidP="00E4474A">
            <w:pPr>
              <w:jc w:val="right"/>
              <w:rPr>
                <w:b/>
                <w:color w:val="000000"/>
                <w:sz w:val="18"/>
                <w:szCs w:val="18"/>
                <w:lang w:eastAsia="en-AU"/>
              </w:rPr>
            </w:pPr>
          </w:p>
        </w:tc>
        <w:tc>
          <w:tcPr>
            <w:tcW w:w="623" w:type="pct"/>
            <w:tcBorders>
              <w:top w:val="nil"/>
              <w:left w:val="nil"/>
              <w:bottom w:val="single" w:sz="8" w:space="0" w:color="auto"/>
              <w:right w:val="nil"/>
            </w:tcBorders>
            <w:shd w:val="clear" w:color="auto" w:fill="FFFF00"/>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-38</w:t>
            </w:r>
          </w:p>
        </w:tc>
        <w:tc>
          <w:tcPr>
            <w:tcW w:w="623" w:type="pct"/>
            <w:tcBorders>
              <w:top w:val="nil"/>
              <w:left w:val="nil"/>
              <w:bottom w:val="single" w:sz="8" w:space="0" w:color="auto"/>
              <w:right w:val="nil"/>
            </w:tcBorders>
            <w:shd w:val="clear" w:color="auto" w:fill="FFFF00"/>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-46</w:t>
            </w:r>
          </w:p>
        </w:tc>
        <w:tc>
          <w:tcPr>
            <w:tcW w:w="623" w:type="pct"/>
            <w:tcBorders>
              <w:top w:val="nil"/>
              <w:left w:val="nil"/>
              <w:bottom w:val="single" w:sz="8" w:space="0" w:color="auto"/>
              <w:right w:val="nil"/>
            </w:tcBorders>
            <w:shd w:val="clear" w:color="auto" w:fill="F79646" w:themeFill="accent6"/>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-74</w:t>
            </w:r>
          </w:p>
        </w:tc>
        <w:tc>
          <w:tcPr>
            <w:tcW w:w="623" w:type="pct"/>
            <w:tcBorders>
              <w:top w:val="nil"/>
              <w:left w:val="nil"/>
              <w:bottom w:val="single" w:sz="8" w:space="0" w:color="auto"/>
              <w:right w:val="single" w:sz="8" w:space="0" w:color="auto"/>
            </w:tcBorders>
            <w:shd w:val="clear" w:color="auto" w:fill="E36C0A" w:themeFill="accent6" w:themeFillShade="BF"/>
            <w:noWrap/>
            <w:vAlign w:val="center"/>
            <w:hideMark/>
          </w:tcPr>
          <w:p w:rsidR="00E4474A" w:rsidRPr="00AC2C3F" w:rsidRDefault="00E4474A" w:rsidP="00E4474A">
            <w:pPr>
              <w:jc w:val="right"/>
              <w:rPr>
                <w:b/>
                <w:color w:val="000000"/>
                <w:sz w:val="18"/>
                <w:szCs w:val="18"/>
                <w:lang w:eastAsia="en-AU"/>
              </w:rPr>
            </w:pPr>
            <w:r w:rsidRPr="00AC2C3F">
              <w:rPr>
                <w:b/>
                <w:color w:val="000000"/>
                <w:sz w:val="18"/>
                <w:szCs w:val="18"/>
                <w:lang w:eastAsia="en-AU"/>
              </w:rPr>
              <w:t>-124</w:t>
            </w:r>
          </w:p>
        </w:tc>
      </w:tr>
    </w:tbl>
    <w:p w:rsidR="003A6CCF" w:rsidRPr="002E4DE9" w:rsidRDefault="007E44F1" w:rsidP="002E4DE9">
      <w:pPr>
        <w:spacing w:before="120" w:after="120"/>
        <w:rPr>
          <w:szCs w:val="22"/>
        </w:rPr>
      </w:pPr>
      <w:r>
        <w:rPr>
          <w:szCs w:val="22"/>
        </w:rPr>
        <w:t>G</w:t>
      </w:r>
      <w:r w:rsidRPr="002E6CA0">
        <w:rPr>
          <w:szCs w:val="22"/>
        </w:rPr>
        <w:t xml:space="preserve">iven the high reliance on </w:t>
      </w:r>
      <w:proofErr w:type="spellStart"/>
      <w:r w:rsidRPr="002E6CA0">
        <w:rPr>
          <w:szCs w:val="22"/>
        </w:rPr>
        <w:t>OTS</w:t>
      </w:r>
      <w:proofErr w:type="spellEnd"/>
      <w:r w:rsidRPr="002E6CA0">
        <w:rPr>
          <w:szCs w:val="22"/>
        </w:rPr>
        <w:t xml:space="preserve"> within the specialty of psychiatry (approximately 37 per cent of the total number of new </w:t>
      </w:r>
      <w:r>
        <w:rPr>
          <w:szCs w:val="22"/>
        </w:rPr>
        <w:t>F</w:t>
      </w:r>
      <w:r w:rsidRPr="002E6CA0">
        <w:rPr>
          <w:szCs w:val="22"/>
        </w:rPr>
        <w:t>ellows in 2013)</w:t>
      </w:r>
      <w:r>
        <w:rPr>
          <w:szCs w:val="22"/>
        </w:rPr>
        <w:t>, i</w:t>
      </w:r>
      <w:r w:rsidR="006B41AC" w:rsidRPr="002E6CA0">
        <w:rPr>
          <w:szCs w:val="22"/>
        </w:rPr>
        <w:t xml:space="preserve">n addition to </w:t>
      </w:r>
      <w:r>
        <w:rPr>
          <w:szCs w:val="22"/>
        </w:rPr>
        <w:t>maintaining the status quo</w:t>
      </w:r>
      <w:r w:rsidR="00B041FC" w:rsidRPr="002E6CA0">
        <w:rPr>
          <w:szCs w:val="22"/>
        </w:rPr>
        <w:t xml:space="preserve">, </w:t>
      </w:r>
      <w:r w:rsidR="006B41AC" w:rsidRPr="002E6CA0">
        <w:rPr>
          <w:szCs w:val="22"/>
        </w:rPr>
        <w:t xml:space="preserve">a scenario to evaluate the migration has been </w:t>
      </w:r>
      <w:r w:rsidR="001C3CAC" w:rsidRPr="002E6CA0">
        <w:rPr>
          <w:szCs w:val="22"/>
        </w:rPr>
        <w:t>conducted</w:t>
      </w:r>
      <w:r w:rsidR="006B41AC" w:rsidRPr="002E6CA0">
        <w:rPr>
          <w:szCs w:val="22"/>
        </w:rPr>
        <w:t xml:space="preserve">. </w:t>
      </w:r>
      <w:r w:rsidR="005D1BF3" w:rsidRPr="002E6CA0">
        <w:rPr>
          <w:szCs w:val="22"/>
        </w:rPr>
        <w:t>The following scenario</w:t>
      </w:r>
      <w:r w:rsidR="006C438A" w:rsidRPr="002E6CA0">
        <w:rPr>
          <w:szCs w:val="22"/>
        </w:rPr>
        <w:t xml:space="preserve"> highlights the strong reliance on</w:t>
      </w:r>
      <w:r w:rsidR="006B41AC" w:rsidRPr="002E6CA0">
        <w:rPr>
          <w:szCs w:val="22"/>
        </w:rPr>
        <w:t xml:space="preserve"> </w:t>
      </w:r>
      <w:proofErr w:type="spellStart"/>
      <w:r w:rsidR="006B41AC" w:rsidRPr="002E6CA0">
        <w:rPr>
          <w:szCs w:val="22"/>
        </w:rPr>
        <w:t>OTS</w:t>
      </w:r>
      <w:proofErr w:type="spellEnd"/>
      <w:r w:rsidR="00B041FC" w:rsidRPr="002E6CA0">
        <w:rPr>
          <w:szCs w:val="22"/>
        </w:rPr>
        <w:t>. T</w:t>
      </w:r>
      <w:r w:rsidR="005D1BF3" w:rsidRPr="002E6CA0">
        <w:rPr>
          <w:szCs w:val="22"/>
        </w:rPr>
        <w:t xml:space="preserve">he </w:t>
      </w:r>
      <w:r w:rsidR="009B4704" w:rsidRPr="002E6CA0">
        <w:rPr>
          <w:szCs w:val="22"/>
        </w:rPr>
        <w:t xml:space="preserve">number of </w:t>
      </w:r>
      <w:proofErr w:type="spellStart"/>
      <w:r w:rsidR="009B4704" w:rsidRPr="002E6CA0">
        <w:rPr>
          <w:szCs w:val="22"/>
        </w:rPr>
        <w:t>OTS</w:t>
      </w:r>
      <w:proofErr w:type="spellEnd"/>
      <w:r w:rsidR="009B4704" w:rsidRPr="002E6CA0">
        <w:rPr>
          <w:szCs w:val="22"/>
        </w:rPr>
        <w:t xml:space="preserve"> </w:t>
      </w:r>
      <w:r w:rsidR="00DE11D8">
        <w:rPr>
          <w:szCs w:val="22"/>
        </w:rPr>
        <w:t>F</w:t>
      </w:r>
      <w:r w:rsidR="009B4704" w:rsidRPr="002E6CA0">
        <w:rPr>
          <w:szCs w:val="22"/>
        </w:rPr>
        <w:t>ellows is</w:t>
      </w:r>
      <w:r w:rsidR="00B041FC" w:rsidRPr="002E6CA0">
        <w:rPr>
          <w:szCs w:val="22"/>
        </w:rPr>
        <w:t xml:space="preserve"> reduced each year to reach 50% of </w:t>
      </w:r>
      <w:r w:rsidR="00B041FC" w:rsidRPr="002E6CA0">
        <w:rPr>
          <w:szCs w:val="22"/>
        </w:rPr>
        <w:lastRenderedPageBreak/>
        <w:t xml:space="preserve">the original projection by 2030, resulting in a revised </w:t>
      </w:r>
      <w:r w:rsidR="009B4704" w:rsidRPr="002E6CA0">
        <w:rPr>
          <w:szCs w:val="22"/>
        </w:rPr>
        <w:t xml:space="preserve">shortfall </w:t>
      </w:r>
      <w:r w:rsidR="00B041FC" w:rsidRPr="002E6CA0">
        <w:rPr>
          <w:szCs w:val="22"/>
        </w:rPr>
        <w:t>of almost three-fold that of the status quo</w:t>
      </w:r>
      <w:r>
        <w:rPr>
          <w:szCs w:val="22"/>
        </w:rPr>
        <w:t xml:space="preserve"> scenario</w:t>
      </w:r>
      <w:r w:rsidR="00247A87" w:rsidRPr="002E6CA0">
        <w:rPr>
          <w:szCs w:val="22"/>
        </w:rPr>
        <w:t>.</w:t>
      </w:r>
    </w:p>
    <w:p w:rsidR="00103733" w:rsidRPr="00296E67" w:rsidRDefault="00103733" w:rsidP="00D84538">
      <w:pPr>
        <w:pStyle w:val="Heading4"/>
        <w:spacing w:after="120"/>
        <w:jc w:val="left"/>
      </w:pPr>
      <w:r w:rsidRPr="00296E67">
        <w:t xml:space="preserve">Table </w:t>
      </w:r>
      <w:fldSimple w:instr=" SEQ Table \* ARABIC ">
        <w:r w:rsidR="00A34F47" w:rsidRPr="00296E67">
          <w:rPr>
            <w:noProof/>
          </w:rPr>
          <w:t>10</w:t>
        </w:r>
      </w:fldSimple>
      <w:r w:rsidR="00002D01" w:rsidRPr="00296E67">
        <w:t xml:space="preserve"> –</w:t>
      </w:r>
      <w:r w:rsidRPr="00296E67">
        <w:t xml:space="preserve">50% </w:t>
      </w:r>
      <w:r w:rsidR="009B4704" w:rsidRPr="00296E67">
        <w:t>self-sufficiency</w:t>
      </w:r>
      <w:r w:rsidRPr="00296E67">
        <w:t xml:space="preserve"> scenario </w:t>
      </w:r>
      <w:r w:rsidR="009B4704" w:rsidRPr="00296E67">
        <w:t>–</w:t>
      </w:r>
      <w:r w:rsidRPr="00296E67">
        <w:t xml:space="preserve"> summary</w:t>
      </w:r>
      <w:r w:rsidR="00137333">
        <w:t xml:space="preserve"> of workforce </w:t>
      </w:r>
      <w:r w:rsidRPr="00296E67">
        <w:t>projections</w:t>
      </w:r>
    </w:p>
    <w:tbl>
      <w:tblPr>
        <w:tblW w:w="4942" w:type="pct"/>
        <w:tblInd w:w="108" w:type="dxa"/>
        <w:tblLook w:val="04A0" w:firstRow="1" w:lastRow="0" w:firstColumn="1" w:lastColumn="0" w:noHBand="0" w:noVBand="1"/>
      </w:tblPr>
      <w:tblGrid>
        <w:gridCol w:w="3443"/>
        <w:gridCol w:w="1139"/>
        <w:gridCol w:w="1139"/>
        <w:gridCol w:w="1138"/>
        <w:gridCol w:w="1138"/>
        <w:gridCol w:w="1138"/>
      </w:tblGrid>
      <w:tr w:rsidR="00703B44" w:rsidRPr="00AC2C3F" w:rsidTr="006F1C32">
        <w:trPr>
          <w:trHeight w:val="330"/>
        </w:trPr>
        <w:tc>
          <w:tcPr>
            <w:tcW w:w="1883" w:type="pct"/>
            <w:tcBorders>
              <w:top w:val="single" w:sz="8" w:space="0" w:color="auto"/>
              <w:left w:val="single" w:sz="8" w:space="0" w:color="auto"/>
              <w:bottom w:val="single" w:sz="12" w:space="0" w:color="auto"/>
              <w:right w:val="nil"/>
            </w:tcBorders>
            <w:shd w:val="clear" w:color="000000" w:fill="000080"/>
            <w:noWrap/>
            <w:vAlign w:val="center"/>
            <w:hideMark/>
          </w:tcPr>
          <w:p w:rsidR="00703B44" w:rsidRPr="00AC2C3F" w:rsidRDefault="00703B44" w:rsidP="00703B44">
            <w:pPr>
              <w:rPr>
                <w:b/>
                <w:bCs/>
                <w:color w:val="FFFFFF"/>
                <w:sz w:val="18"/>
                <w:szCs w:val="18"/>
                <w:lang w:eastAsia="en-AU"/>
              </w:rPr>
            </w:pPr>
            <w:r w:rsidRPr="00AC2C3F">
              <w:rPr>
                <w:b/>
                <w:bCs/>
                <w:color w:val="FFFFFF"/>
                <w:sz w:val="18"/>
                <w:szCs w:val="18"/>
                <w:lang w:eastAsia="en-AU"/>
              </w:rPr>
              <w:t>Headcount</w:t>
            </w:r>
          </w:p>
        </w:tc>
        <w:tc>
          <w:tcPr>
            <w:tcW w:w="623" w:type="pct"/>
            <w:tcBorders>
              <w:top w:val="single" w:sz="8" w:space="0" w:color="auto"/>
              <w:left w:val="nil"/>
              <w:bottom w:val="single" w:sz="12" w:space="0" w:color="auto"/>
              <w:right w:val="nil"/>
            </w:tcBorders>
            <w:shd w:val="clear" w:color="000000" w:fill="000080"/>
            <w:noWrap/>
            <w:vAlign w:val="center"/>
            <w:hideMark/>
          </w:tcPr>
          <w:p w:rsidR="00703B44" w:rsidRPr="00AC2C3F" w:rsidRDefault="00703B44" w:rsidP="00703B44">
            <w:pPr>
              <w:jc w:val="right"/>
              <w:rPr>
                <w:b/>
                <w:bCs/>
                <w:color w:val="FFFFFF"/>
                <w:sz w:val="18"/>
                <w:szCs w:val="18"/>
                <w:lang w:eastAsia="en-AU"/>
              </w:rPr>
            </w:pPr>
            <w:r w:rsidRPr="00AC2C3F">
              <w:rPr>
                <w:b/>
                <w:bCs/>
                <w:color w:val="FFFFFF"/>
                <w:sz w:val="18"/>
                <w:szCs w:val="18"/>
                <w:lang w:eastAsia="en-AU"/>
              </w:rPr>
              <w:t>2013</w:t>
            </w:r>
          </w:p>
        </w:tc>
        <w:tc>
          <w:tcPr>
            <w:tcW w:w="623" w:type="pct"/>
            <w:tcBorders>
              <w:top w:val="single" w:sz="8" w:space="0" w:color="auto"/>
              <w:left w:val="nil"/>
              <w:bottom w:val="single" w:sz="12" w:space="0" w:color="auto"/>
              <w:right w:val="nil"/>
            </w:tcBorders>
            <w:shd w:val="clear" w:color="000000" w:fill="000080"/>
            <w:noWrap/>
            <w:vAlign w:val="center"/>
            <w:hideMark/>
          </w:tcPr>
          <w:p w:rsidR="00703B44" w:rsidRPr="00AC2C3F" w:rsidRDefault="00703B44" w:rsidP="00703B44">
            <w:pPr>
              <w:jc w:val="right"/>
              <w:rPr>
                <w:b/>
                <w:bCs/>
                <w:color w:val="FFFFFF"/>
                <w:sz w:val="18"/>
                <w:szCs w:val="18"/>
                <w:lang w:eastAsia="en-AU"/>
              </w:rPr>
            </w:pPr>
            <w:r w:rsidRPr="00AC2C3F">
              <w:rPr>
                <w:b/>
                <w:bCs/>
                <w:color w:val="FFFFFF"/>
                <w:sz w:val="18"/>
                <w:szCs w:val="18"/>
                <w:lang w:eastAsia="en-AU"/>
              </w:rPr>
              <w:t>2016</w:t>
            </w:r>
          </w:p>
        </w:tc>
        <w:tc>
          <w:tcPr>
            <w:tcW w:w="623" w:type="pct"/>
            <w:tcBorders>
              <w:top w:val="single" w:sz="8" w:space="0" w:color="auto"/>
              <w:left w:val="nil"/>
              <w:bottom w:val="single" w:sz="12" w:space="0" w:color="auto"/>
              <w:right w:val="nil"/>
            </w:tcBorders>
            <w:shd w:val="clear" w:color="000000" w:fill="000080"/>
            <w:noWrap/>
            <w:vAlign w:val="center"/>
            <w:hideMark/>
          </w:tcPr>
          <w:p w:rsidR="00703B44" w:rsidRPr="00AC2C3F" w:rsidRDefault="00703B44" w:rsidP="00703B44">
            <w:pPr>
              <w:jc w:val="right"/>
              <w:rPr>
                <w:b/>
                <w:bCs/>
                <w:color w:val="FFFFFF"/>
                <w:sz w:val="18"/>
                <w:szCs w:val="18"/>
                <w:lang w:eastAsia="en-AU"/>
              </w:rPr>
            </w:pPr>
            <w:r w:rsidRPr="00AC2C3F">
              <w:rPr>
                <w:b/>
                <w:bCs/>
                <w:color w:val="FFFFFF"/>
                <w:sz w:val="18"/>
                <w:szCs w:val="18"/>
                <w:lang w:eastAsia="en-AU"/>
              </w:rPr>
              <w:t>2020</w:t>
            </w:r>
          </w:p>
        </w:tc>
        <w:tc>
          <w:tcPr>
            <w:tcW w:w="623" w:type="pct"/>
            <w:tcBorders>
              <w:top w:val="single" w:sz="8" w:space="0" w:color="auto"/>
              <w:left w:val="nil"/>
              <w:bottom w:val="single" w:sz="12" w:space="0" w:color="auto"/>
              <w:right w:val="nil"/>
            </w:tcBorders>
            <w:shd w:val="clear" w:color="000000" w:fill="000080"/>
            <w:noWrap/>
            <w:vAlign w:val="center"/>
            <w:hideMark/>
          </w:tcPr>
          <w:p w:rsidR="00703B44" w:rsidRPr="00AC2C3F" w:rsidRDefault="00703B44" w:rsidP="00703B44">
            <w:pPr>
              <w:jc w:val="right"/>
              <w:rPr>
                <w:b/>
                <w:bCs/>
                <w:color w:val="FFFFFF"/>
                <w:sz w:val="18"/>
                <w:szCs w:val="18"/>
                <w:lang w:eastAsia="en-AU"/>
              </w:rPr>
            </w:pPr>
            <w:r w:rsidRPr="00AC2C3F">
              <w:rPr>
                <w:b/>
                <w:bCs/>
                <w:color w:val="FFFFFF"/>
                <w:sz w:val="18"/>
                <w:szCs w:val="18"/>
                <w:lang w:eastAsia="en-AU"/>
              </w:rPr>
              <w:t>2025</w:t>
            </w:r>
          </w:p>
        </w:tc>
        <w:tc>
          <w:tcPr>
            <w:tcW w:w="623" w:type="pct"/>
            <w:tcBorders>
              <w:top w:val="single" w:sz="8" w:space="0" w:color="auto"/>
              <w:left w:val="nil"/>
              <w:bottom w:val="single" w:sz="12" w:space="0" w:color="auto"/>
              <w:right w:val="single" w:sz="8" w:space="0" w:color="auto"/>
            </w:tcBorders>
            <w:shd w:val="clear" w:color="000000" w:fill="000080"/>
            <w:noWrap/>
            <w:vAlign w:val="center"/>
            <w:hideMark/>
          </w:tcPr>
          <w:p w:rsidR="00703B44" w:rsidRPr="00AC2C3F" w:rsidRDefault="00703B44" w:rsidP="00703B44">
            <w:pPr>
              <w:jc w:val="right"/>
              <w:rPr>
                <w:b/>
                <w:bCs/>
                <w:color w:val="FFFFFF"/>
                <w:sz w:val="18"/>
                <w:szCs w:val="18"/>
                <w:lang w:eastAsia="en-AU"/>
              </w:rPr>
            </w:pPr>
            <w:r w:rsidRPr="00AC2C3F">
              <w:rPr>
                <w:b/>
                <w:bCs/>
                <w:color w:val="FFFFFF"/>
                <w:sz w:val="18"/>
                <w:szCs w:val="18"/>
                <w:lang w:eastAsia="en-AU"/>
              </w:rPr>
              <w:t>2030</w:t>
            </w:r>
          </w:p>
        </w:tc>
      </w:tr>
      <w:tr w:rsidR="00703B44" w:rsidRPr="00AC2C3F" w:rsidTr="006F1C32">
        <w:trPr>
          <w:trHeight w:val="315"/>
        </w:trPr>
        <w:tc>
          <w:tcPr>
            <w:tcW w:w="1883" w:type="pct"/>
            <w:tcBorders>
              <w:top w:val="nil"/>
              <w:left w:val="single" w:sz="8" w:space="0" w:color="auto"/>
              <w:bottom w:val="nil"/>
              <w:right w:val="nil"/>
            </w:tcBorders>
            <w:shd w:val="clear" w:color="000000" w:fill="000080"/>
            <w:noWrap/>
            <w:vAlign w:val="center"/>
            <w:hideMark/>
          </w:tcPr>
          <w:p w:rsidR="00703B44" w:rsidRPr="00AC2C3F" w:rsidRDefault="00703B44" w:rsidP="00703B44">
            <w:pPr>
              <w:rPr>
                <w:b/>
                <w:bCs/>
                <w:color w:val="FFFFFF"/>
                <w:sz w:val="18"/>
                <w:szCs w:val="18"/>
                <w:lang w:eastAsia="en-AU"/>
              </w:rPr>
            </w:pPr>
            <w:r w:rsidRPr="00AC2C3F">
              <w:rPr>
                <w:b/>
                <w:bCs/>
                <w:color w:val="FFFFFF"/>
                <w:sz w:val="18"/>
                <w:szCs w:val="18"/>
                <w:lang w:eastAsia="en-AU"/>
              </w:rPr>
              <w:t>Supply</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b/>
                <w:color w:val="000000"/>
                <w:sz w:val="18"/>
                <w:szCs w:val="18"/>
                <w:lang w:eastAsia="en-AU"/>
              </w:rPr>
            </w:pPr>
            <w:r w:rsidRPr="00AC2C3F">
              <w:rPr>
                <w:b/>
                <w:color w:val="000000"/>
                <w:sz w:val="18"/>
                <w:szCs w:val="18"/>
                <w:lang w:eastAsia="en-AU"/>
              </w:rPr>
              <w:t>2,805</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b/>
                <w:color w:val="000000"/>
                <w:sz w:val="18"/>
                <w:szCs w:val="18"/>
                <w:lang w:eastAsia="en-AU"/>
              </w:rPr>
            </w:pPr>
            <w:r w:rsidRPr="00AC2C3F">
              <w:rPr>
                <w:b/>
                <w:color w:val="000000"/>
                <w:sz w:val="18"/>
                <w:szCs w:val="18"/>
                <w:lang w:eastAsia="en-AU"/>
              </w:rPr>
              <w:t>3,133</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b/>
                <w:color w:val="000000"/>
                <w:sz w:val="18"/>
                <w:szCs w:val="18"/>
                <w:lang w:eastAsia="en-AU"/>
              </w:rPr>
            </w:pPr>
            <w:r w:rsidRPr="00AC2C3F">
              <w:rPr>
                <w:b/>
                <w:color w:val="000000"/>
                <w:sz w:val="18"/>
                <w:szCs w:val="18"/>
                <w:lang w:eastAsia="en-AU"/>
              </w:rPr>
              <w:t>3,595</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b/>
                <w:color w:val="000000"/>
                <w:sz w:val="18"/>
                <w:szCs w:val="18"/>
                <w:lang w:eastAsia="en-AU"/>
              </w:rPr>
            </w:pPr>
            <w:r w:rsidRPr="00AC2C3F">
              <w:rPr>
                <w:b/>
                <w:color w:val="000000"/>
                <w:sz w:val="18"/>
                <w:szCs w:val="18"/>
                <w:lang w:eastAsia="en-AU"/>
              </w:rPr>
              <w:t>4,124</w:t>
            </w:r>
          </w:p>
        </w:tc>
        <w:tc>
          <w:tcPr>
            <w:tcW w:w="623" w:type="pct"/>
            <w:tcBorders>
              <w:top w:val="nil"/>
              <w:left w:val="nil"/>
              <w:bottom w:val="nil"/>
              <w:right w:val="single" w:sz="8" w:space="0" w:color="auto"/>
            </w:tcBorders>
            <w:shd w:val="clear" w:color="000000" w:fill="D8D8D8"/>
            <w:noWrap/>
            <w:vAlign w:val="center"/>
            <w:hideMark/>
          </w:tcPr>
          <w:p w:rsidR="00703B44" w:rsidRPr="00AC2C3F" w:rsidRDefault="00703B44" w:rsidP="00703B44">
            <w:pPr>
              <w:jc w:val="right"/>
              <w:rPr>
                <w:b/>
                <w:color w:val="000000"/>
                <w:sz w:val="18"/>
                <w:szCs w:val="18"/>
                <w:lang w:eastAsia="en-AU"/>
              </w:rPr>
            </w:pPr>
            <w:r w:rsidRPr="00AC2C3F">
              <w:rPr>
                <w:b/>
                <w:color w:val="000000"/>
                <w:sz w:val="18"/>
                <w:szCs w:val="18"/>
                <w:lang w:eastAsia="en-AU"/>
              </w:rPr>
              <w:t>4,577</w:t>
            </w:r>
          </w:p>
        </w:tc>
      </w:tr>
      <w:tr w:rsidR="00703B44" w:rsidRPr="00AC2C3F" w:rsidTr="006F1C32">
        <w:trPr>
          <w:trHeight w:val="300"/>
        </w:trPr>
        <w:tc>
          <w:tcPr>
            <w:tcW w:w="1883" w:type="pct"/>
            <w:tcBorders>
              <w:top w:val="nil"/>
              <w:left w:val="single" w:sz="8" w:space="0" w:color="auto"/>
              <w:bottom w:val="nil"/>
              <w:right w:val="nil"/>
            </w:tcBorders>
            <w:shd w:val="clear" w:color="000000" w:fill="000080"/>
            <w:noWrap/>
            <w:vAlign w:val="center"/>
            <w:hideMark/>
          </w:tcPr>
          <w:p w:rsidR="00703B44" w:rsidRPr="00AC2C3F" w:rsidRDefault="00703B44" w:rsidP="00703B44">
            <w:pPr>
              <w:rPr>
                <w:i/>
                <w:iCs/>
                <w:color w:val="FFFFFF"/>
                <w:sz w:val="18"/>
                <w:szCs w:val="18"/>
                <w:lang w:eastAsia="en-AU"/>
              </w:rPr>
            </w:pPr>
            <w:r w:rsidRPr="00AC2C3F">
              <w:rPr>
                <w:i/>
                <w:iCs/>
                <w:color w:val="FFFFFF"/>
                <w:sz w:val="18"/>
                <w:szCs w:val="18"/>
                <w:lang w:eastAsia="en-AU"/>
              </w:rPr>
              <w:t>New fellows</w:t>
            </w:r>
          </w:p>
        </w:tc>
        <w:tc>
          <w:tcPr>
            <w:tcW w:w="623" w:type="pct"/>
            <w:tcBorders>
              <w:top w:val="nil"/>
              <w:left w:val="nil"/>
              <w:bottom w:val="nil"/>
              <w:right w:val="nil"/>
            </w:tcBorders>
            <w:shd w:val="clear" w:color="auto" w:fill="auto"/>
            <w:noWrap/>
            <w:vAlign w:val="center"/>
            <w:hideMark/>
          </w:tcPr>
          <w:p w:rsidR="00703B44" w:rsidRPr="00AC2C3F" w:rsidRDefault="00703B44" w:rsidP="00703B44">
            <w:pPr>
              <w:jc w:val="right"/>
              <w:rPr>
                <w:color w:val="000000"/>
                <w:sz w:val="18"/>
                <w:szCs w:val="18"/>
                <w:lang w:eastAsia="en-AU"/>
              </w:rPr>
            </w:pPr>
            <w:r w:rsidRPr="00AC2C3F">
              <w:rPr>
                <w:color w:val="000000"/>
                <w:sz w:val="18"/>
                <w:szCs w:val="18"/>
                <w:lang w:eastAsia="en-AU"/>
              </w:rPr>
              <w:t>85</w:t>
            </w:r>
          </w:p>
        </w:tc>
        <w:tc>
          <w:tcPr>
            <w:tcW w:w="623" w:type="pct"/>
            <w:tcBorders>
              <w:top w:val="nil"/>
              <w:left w:val="nil"/>
              <w:bottom w:val="nil"/>
              <w:right w:val="nil"/>
            </w:tcBorders>
            <w:shd w:val="clear" w:color="auto" w:fill="auto"/>
            <w:noWrap/>
            <w:vAlign w:val="center"/>
            <w:hideMark/>
          </w:tcPr>
          <w:p w:rsidR="00703B44" w:rsidRPr="00AC2C3F" w:rsidRDefault="00703B44" w:rsidP="00703B44">
            <w:pPr>
              <w:jc w:val="right"/>
              <w:rPr>
                <w:color w:val="000000"/>
                <w:sz w:val="18"/>
                <w:szCs w:val="18"/>
                <w:lang w:eastAsia="en-AU"/>
              </w:rPr>
            </w:pPr>
            <w:r w:rsidRPr="00AC2C3F">
              <w:rPr>
                <w:color w:val="000000"/>
                <w:sz w:val="18"/>
                <w:szCs w:val="18"/>
                <w:lang w:eastAsia="en-AU"/>
              </w:rPr>
              <w:t>106</w:t>
            </w:r>
          </w:p>
        </w:tc>
        <w:tc>
          <w:tcPr>
            <w:tcW w:w="623" w:type="pct"/>
            <w:tcBorders>
              <w:top w:val="nil"/>
              <w:left w:val="nil"/>
              <w:bottom w:val="nil"/>
              <w:right w:val="nil"/>
            </w:tcBorders>
            <w:shd w:val="clear" w:color="auto" w:fill="auto"/>
            <w:noWrap/>
            <w:vAlign w:val="center"/>
            <w:hideMark/>
          </w:tcPr>
          <w:p w:rsidR="00703B44" w:rsidRPr="00AC2C3F" w:rsidRDefault="00703B44" w:rsidP="00703B44">
            <w:pPr>
              <w:jc w:val="right"/>
              <w:rPr>
                <w:color w:val="000000"/>
                <w:sz w:val="18"/>
                <w:szCs w:val="18"/>
                <w:lang w:eastAsia="en-AU"/>
              </w:rPr>
            </w:pPr>
            <w:r w:rsidRPr="00AC2C3F">
              <w:rPr>
                <w:color w:val="000000"/>
                <w:sz w:val="18"/>
                <w:szCs w:val="18"/>
                <w:lang w:eastAsia="en-AU"/>
              </w:rPr>
              <w:t>122</w:t>
            </w:r>
          </w:p>
        </w:tc>
        <w:tc>
          <w:tcPr>
            <w:tcW w:w="623" w:type="pct"/>
            <w:tcBorders>
              <w:top w:val="nil"/>
              <w:left w:val="nil"/>
              <w:bottom w:val="nil"/>
              <w:right w:val="nil"/>
            </w:tcBorders>
            <w:shd w:val="clear" w:color="auto" w:fill="auto"/>
            <w:noWrap/>
            <w:vAlign w:val="center"/>
            <w:hideMark/>
          </w:tcPr>
          <w:p w:rsidR="00703B44" w:rsidRPr="00AC2C3F" w:rsidRDefault="00703B44" w:rsidP="00703B44">
            <w:pPr>
              <w:jc w:val="right"/>
              <w:rPr>
                <w:color w:val="000000"/>
                <w:sz w:val="18"/>
                <w:szCs w:val="18"/>
                <w:lang w:eastAsia="en-AU"/>
              </w:rPr>
            </w:pPr>
            <w:r w:rsidRPr="00AC2C3F">
              <w:rPr>
                <w:color w:val="000000"/>
                <w:sz w:val="18"/>
                <w:szCs w:val="18"/>
                <w:lang w:eastAsia="en-AU"/>
              </w:rPr>
              <w:t>130</w:t>
            </w:r>
          </w:p>
        </w:tc>
        <w:tc>
          <w:tcPr>
            <w:tcW w:w="623" w:type="pct"/>
            <w:tcBorders>
              <w:top w:val="nil"/>
              <w:left w:val="nil"/>
              <w:bottom w:val="nil"/>
              <w:right w:val="single" w:sz="8" w:space="0" w:color="auto"/>
            </w:tcBorders>
            <w:shd w:val="clear" w:color="auto" w:fill="auto"/>
            <w:noWrap/>
            <w:vAlign w:val="center"/>
            <w:hideMark/>
          </w:tcPr>
          <w:p w:rsidR="00703B44" w:rsidRPr="00AC2C3F" w:rsidRDefault="00703B44" w:rsidP="00703B44">
            <w:pPr>
              <w:jc w:val="right"/>
              <w:rPr>
                <w:color w:val="000000"/>
                <w:sz w:val="18"/>
                <w:szCs w:val="18"/>
                <w:lang w:eastAsia="en-AU"/>
              </w:rPr>
            </w:pPr>
            <w:r w:rsidRPr="00AC2C3F">
              <w:rPr>
                <w:color w:val="000000"/>
                <w:sz w:val="18"/>
                <w:szCs w:val="18"/>
                <w:lang w:eastAsia="en-AU"/>
              </w:rPr>
              <w:t>138</w:t>
            </w:r>
          </w:p>
        </w:tc>
      </w:tr>
      <w:tr w:rsidR="00703B44" w:rsidRPr="00AC2C3F" w:rsidTr="006F1C32">
        <w:trPr>
          <w:trHeight w:val="300"/>
        </w:trPr>
        <w:tc>
          <w:tcPr>
            <w:tcW w:w="1883" w:type="pct"/>
            <w:tcBorders>
              <w:top w:val="nil"/>
              <w:left w:val="single" w:sz="8" w:space="0" w:color="auto"/>
              <w:bottom w:val="nil"/>
              <w:right w:val="nil"/>
            </w:tcBorders>
            <w:shd w:val="clear" w:color="000000" w:fill="000080"/>
            <w:noWrap/>
            <w:vAlign w:val="center"/>
            <w:hideMark/>
          </w:tcPr>
          <w:p w:rsidR="00703B44" w:rsidRPr="00AC2C3F" w:rsidRDefault="005D1BF3" w:rsidP="005D1BF3">
            <w:pPr>
              <w:rPr>
                <w:i/>
                <w:iCs/>
                <w:color w:val="FFFFFF"/>
                <w:sz w:val="18"/>
                <w:szCs w:val="18"/>
                <w:lang w:eastAsia="en-AU"/>
              </w:rPr>
            </w:pPr>
            <w:proofErr w:type="spellStart"/>
            <w:r w:rsidRPr="00AC2C3F">
              <w:rPr>
                <w:i/>
                <w:iCs/>
                <w:color w:val="FFFFFF"/>
                <w:sz w:val="18"/>
                <w:szCs w:val="18"/>
                <w:lang w:eastAsia="en-AU"/>
              </w:rPr>
              <w:t>OTS</w:t>
            </w:r>
            <w:proofErr w:type="spellEnd"/>
            <w:r w:rsidRPr="00AC2C3F">
              <w:rPr>
                <w:i/>
                <w:iCs/>
                <w:color w:val="FFFFFF"/>
                <w:sz w:val="18"/>
                <w:szCs w:val="18"/>
                <w:lang w:eastAsia="en-AU"/>
              </w:rPr>
              <w:t xml:space="preserve"> </w:t>
            </w:r>
            <w:r w:rsidR="00703B44" w:rsidRPr="00AC2C3F">
              <w:rPr>
                <w:i/>
                <w:iCs/>
                <w:color w:val="FFFFFF"/>
                <w:sz w:val="18"/>
                <w:szCs w:val="18"/>
                <w:lang w:eastAsia="en-AU"/>
              </w:rPr>
              <w:t>new fellows</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color w:val="000000"/>
                <w:sz w:val="18"/>
                <w:szCs w:val="18"/>
                <w:lang w:eastAsia="en-AU"/>
              </w:rPr>
            </w:pPr>
            <w:r w:rsidRPr="00AC2C3F">
              <w:rPr>
                <w:color w:val="000000"/>
                <w:sz w:val="18"/>
                <w:szCs w:val="18"/>
                <w:lang w:eastAsia="en-AU"/>
              </w:rPr>
              <w:t>56</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color w:val="000000"/>
                <w:sz w:val="18"/>
                <w:szCs w:val="18"/>
                <w:lang w:eastAsia="en-AU"/>
              </w:rPr>
            </w:pPr>
            <w:r w:rsidRPr="00AC2C3F">
              <w:rPr>
                <w:color w:val="000000"/>
                <w:sz w:val="18"/>
                <w:szCs w:val="18"/>
                <w:lang w:eastAsia="en-AU"/>
              </w:rPr>
              <w:t>50</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color w:val="000000"/>
                <w:sz w:val="18"/>
                <w:szCs w:val="18"/>
                <w:lang w:eastAsia="en-AU"/>
              </w:rPr>
            </w:pPr>
            <w:r w:rsidRPr="00AC2C3F">
              <w:rPr>
                <w:color w:val="000000"/>
                <w:sz w:val="18"/>
                <w:szCs w:val="18"/>
                <w:lang w:eastAsia="en-AU"/>
              </w:rPr>
              <w:t>43</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color w:val="000000"/>
                <w:sz w:val="18"/>
                <w:szCs w:val="18"/>
                <w:lang w:eastAsia="en-AU"/>
              </w:rPr>
            </w:pPr>
            <w:r w:rsidRPr="00AC2C3F">
              <w:rPr>
                <w:color w:val="000000"/>
                <w:sz w:val="18"/>
                <w:szCs w:val="18"/>
                <w:lang w:eastAsia="en-AU"/>
              </w:rPr>
              <w:t>34</w:t>
            </w:r>
          </w:p>
        </w:tc>
        <w:tc>
          <w:tcPr>
            <w:tcW w:w="623" w:type="pct"/>
            <w:tcBorders>
              <w:top w:val="nil"/>
              <w:left w:val="nil"/>
              <w:bottom w:val="nil"/>
              <w:right w:val="single" w:sz="8" w:space="0" w:color="auto"/>
            </w:tcBorders>
            <w:shd w:val="clear" w:color="000000" w:fill="D8D8D8"/>
            <w:noWrap/>
            <w:vAlign w:val="center"/>
            <w:hideMark/>
          </w:tcPr>
          <w:p w:rsidR="00703B44" w:rsidRPr="00AC2C3F" w:rsidRDefault="00703B44" w:rsidP="00703B44">
            <w:pPr>
              <w:jc w:val="right"/>
              <w:rPr>
                <w:color w:val="000000"/>
                <w:sz w:val="18"/>
                <w:szCs w:val="18"/>
                <w:lang w:eastAsia="en-AU"/>
              </w:rPr>
            </w:pPr>
            <w:r w:rsidRPr="00AC2C3F">
              <w:rPr>
                <w:color w:val="000000"/>
                <w:sz w:val="18"/>
                <w:szCs w:val="18"/>
                <w:lang w:eastAsia="en-AU"/>
              </w:rPr>
              <w:t>28</w:t>
            </w:r>
          </w:p>
        </w:tc>
      </w:tr>
      <w:tr w:rsidR="00703B44" w:rsidRPr="00AC2C3F" w:rsidTr="006F1C32">
        <w:trPr>
          <w:trHeight w:val="300"/>
        </w:trPr>
        <w:tc>
          <w:tcPr>
            <w:tcW w:w="1883" w:type="pct"/>
            <w:tcBorders>
              <w:top w:val="nil"/>
              <w:left w:val="single" w:sz="8" w:space="0" w:color="auto"/>
              <w:bottom w:val="nil"/>
              <w:right w:val="nil"/>
            </w:tcBorders>
            <w:shd w:val="clear" w:color="000000" w:fill="000080"/>
            <w:noWrap/>
            <w:vAlign w:val="center"/>
            <w:hideMark/>
          </w:tcPr>
          <w:p w:rsidR="00703B44" w:rsidRPr="00AC2C3F" w:rsidRDefault="00703B44" w:rsidP="00703B44">
            <w:pPr>
              <w:rPr>
                <w:i/>
                <w:iCs/>
                <w:color w:val="FFFFFF"/>
                <w:sz w:val="18"/>
                <w:szCs w:val="18"/>
                <w:lang w:eastAsia="en-AU"/>
              </w:rPr>
            </w:pPr>
            <w:r w:rsidRPr="00AC2C3F">
              <w:rPr>
                <w:i/>
                <w:iCs/>
                <w:color w:val="FFFFFF"/>
                <w:sz w:val="18"/>
                <w:szCs w:val="18"/>
                <w:lang w:eastAsia="en-AU"/>
              </w:rPr>
              <w:t>Exits (% of supply)</w:t>
            </w:r>
          </w:p>
        </w:tc>
        <w:tc>
          <w:tcPr>
            <w:tcW w:w="623" w:type="pct"/>
            <w:tcBorders>
              <w:top w:val="nil"/>
              <w:left w:val="nil"/>
              <w:bottom w:val="nil"/>
              <w:right w:val="nil"/>
            </w:tcBorders>
            <w:shd w:val="clear" w:color="auto" w:fill="auto"/>
            <w:noWrap/>
            <w:vAlign w:val="center"/>
            <w:hideMark/>
          </w:tcPr>
          <w:p w:rsidR="00703B44" w:rsidRPr="00AC2C3F" w:rsidRDefault="00703B44" w:rsidP="00703B44">
            <w:pPr>
              <w:jc w:val="right"/>
              <w:rPr>
                <w:i/>
                <w:color w:val="000000"/>
                <w:sz w:val="18"/>
                <w:szCs w:val="18"/>
                <w:lang w:eastAsia="en-AU"/>
              </w:rPr>
            </w:pPr>
            <w:r w:rsidRPr="00AC2C3F">
              <w:rPr>
                <w:i/>
                <w:color w:val="000000"/>
                <w:sz w:val="18"/>
                <w:szCs w:val="18"/>
                <w:lang w:eastAsia="en-AU"/>
              </w:rPr>
              <w:t>1.19%</w:t>
            </w:r>
          </w:p>
        </w:tc>
        <w:tc>
          <w:tcPr>
            <w:tcW w:w="623" w:type="pct"/>
            <w:tcBorders>
              <w:top w:val="nil"/>
              <w:left w:val="nil"/>
              <w:bottom w:val="nil"/>
              <w:right w:val="nil"/>
            </w:tcBorders>
            <w:shd w:val="clear" w:color="auto" w:fill="auto"/>
            <w:noWrap/>
            <w:vAlign w:val="center"/>
            <w:hideMark/>
          </w:tcPr>
          <w:p w:rsidR="00703B44" w:rsidRPr="00AC2C3F" w:rsidRDefault="00703B44" w:rsidP="00703B44">
            <w:pPr>
              <w:jc w:val="right"/>
              <w:rPr>
                <w:i/>
                <w:color w:val="000000"/>
                <w:sz w:val="18"/>
                <w:szCs w:val="18"/>
                <w:lang w:eastAsia="en-AU"/>
              </w:rPr>
            </w:pPr>
            <w:r w:rsidRPr="00AC2C3F">
              <w:rPr>
                <w:i/>
                <w:color w:val="000000"/>
                <w:sz w:val="18"/>
                <w:szCs w:val="18"/>
                <w:lang w:eastAsia="en-AU"/>
              </w:rPr>
              <w:t>1.30%</w:t>
            </w:r>
          </w:p>
        </w:tc>
        <w:tc>
          <w:tcPr>
            <w:tcW w:w="623" w:type="pct"/>
            <w:tcBorders>
              <w:top w:val="nil"/>
              <w:left w:val="nil"/>
              <w:bottom w:val="nil"/>
              <w:right w:val="nil"/>
            </w:tcBorders>
            <w:shd w:val="clear" w:color="auto" w:fill="auto"/>
            <w:noWrap/>
            <w:vAlign w:val="center"/>
            <w:hideMark/>
          </w:tcPr>
          <w:p w:rsidR="00703B44" w:rsidRPr="00AC2C3F" w:rsidRDefault="00703B44" w:rsidP="00703B44">
            <w:pPr>
              <w:jc w:val="right"/>
              <w:rPr>
                <w:i/>
                <w:color w:val="000000"/>
                <w:sz w:val="18"/>
                <w:szCs w:val="18"/>
                <w:lang w:eastAsia="en-AU"/>
              </w:rPr>
            </w:pPr>
            <w:r w:rsidRPr="00AC2C3F">
              <w:rPr>
                <w:i/>
                <w:color w:val="000000"/>
                <w:sz w:val="18"/>
                <w:szCs w:val="18"/>
                <w:lang w:eastAsia="en-AU"/>
              </w:rPr>
              <w:t>1.46%</w:t>
            </w:r>
          </w:p>
        </w:tc>
        <w:tc>
          <w:tcPr>
            <w:tcW w:w="623" w:type="pct"/>
            <w:tcBorders>
              <w:top w:val="nil"/>
              <w:left w:val="nil"/>
              <w:bottom w:val="nil"/>
              <w:right w:val="nil"/>
            </w:tcBorders>
            <w:shd w:val="clear" w:color="auto" w:fill="auto"/>
            <w:noWrap/>
            <w:vAlign w:val="center"/>
            <w:hideMark/>
          </w:tcPr>
          <w:p w:rsidR="00703B44" w:rsidRPr="00AC2C3F" w:rsidRDefault="00703B44" w:rsidP="00703B44">
            <w:pPr>
              <w:jc w:val="right"/>
              <w:rPr>
                <w:i/>
                <w:color w:val="000000"/>
                <w:sz w:val="18"/>
                <w:szCs w:val="18"/>
                <w:lang w:eastAsia="en-AU"/>
              </w:rPr>
            </w:pPr>
            <w:r w:rsidRPr="00AC2C3F">
              <w:rPr>
                <w:i/>
                <w:color w:val="000000"/>
                <w:sz w:val="18"/>
                <w:szCs w:val="18"/>
                <w:lang w:eastAsia="en-AU"/>
              </w:rPr>
              <w:t>1.59%</w:t>
            </w:r>
          </w:p>
        </w:tc>
        <w:tc>
          <w:tcPr>
            <w:tcW w:w="623" w:type="pct"/>
            <w:tcBorders>
              <w:top w:val="nil"/>
              <w:left w:val="nil"/>
              <w:bottom w:val="nil"/>
              <w:right w:val="single" w:sz="8" w:space="0" w:color="auto"/>
            </w:tcBorders>
            <w:shd w:val="clear" w:color="auto" w:fill="auto"/>
            <w:noWrap/>
            <w:vAlign w:val="center"/>
            <w:hideMark/>
          </w:tcPr>
          <w:p w:rsidR="00703B44" w:rsidRPr="00AC2C3F" w:rsidRDefault="00703B44" w:rsidP="00703B44">
            <w:pPr>
              <w:jc w:val="right"/>
              <w:rPr>
                <w:i/>
                <w:color w:val="000000"/>
                <w:sz w:val="18"/>
                <w:szCs w:val="18"/>
                <w:lang w:eastAsia="en-AU"/>
              </w:rPr>
            </w:pPr>
            <w:r w:rsidRPr="00AC2C3F">
              <w:rPr>
                <w:i/>
                <w:color w:val="000000"/>
                <w:sz w:val="18"/>
                <w:szCs w:val="18"/>
                <w:lang w:eastAsia="en-AU"/>
              </w:rPr>
              <w:t>1.83%</w:t>
            </w:r>
          </w:p>
        </w:tc>
      </w:tr>
      <w:tr w:rsidR="00703B44" w:rsidRPr="00AC2C3F" w:rsidTr="006F1C32">
        <w:trPr>
          <w:trHeight w:val="300"/>
        </w:trPr>
        <w:tc>
          <w:tcPr>
            <w:tcW w:w="1883" w:type="pct"/>
            <w:tcBorders>
              <w:top w:val="nil"/>
              <w:left w:val="single" w:sz="8" w:space="0" w:color="auto"/>
              <w:bottom w:val="nil"/>
              <w:right w:val="nil"/>
            </w:tcBorders>
            <w:shd w:val="clear" w:color="000000" w:fill="000080"/>
            <w:noWrap/>
            <w:vAlign w:val="center"/>
            <w:hideMark/>
          </w:tcPr>
          <w:p w:rsidR="00703B44" w:rsidRPr="00AC2C3F" w:rsidRDefault="00703B44" w:rsidP="00703B44">
            <w:pPr>
              <w:rPr>
                <w:b/>
                <w:bCs/>
                <w:color w:val="FFFFFF"/>
                <w:sz w:val="18"/>
                <w:szCs w:val="18"/>
                <w:lang w:eastAsia="en-AU"/>
              </w:rPr>
            </w:pPr>
            <w:r w:rsidRPr="00AC2C3F">
              <w:rPr>
                <w:b/>
                <w:bCs/>
                <w:color w:val="FFFFFF"/>
                <w:sz w:val="18"/>
                <w:szCs w:val="18"/>
                <w:lang w:eastAsia="en-AU"/>
              </w:rPr>
              <w:t>Demand</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b/>
                <w:color w:val="000000"/>
                <w:sz w:val="18"/>
                <w:szCs w:val="18"/>
                <w:lang w:eastAsia="en-AU"/>
              </w:rPr>
            </w:pPr>
            <w:r w:rsidRPr="00AC2C3F">
              <w:rPr>
                <w:b/>
                <w:color w:val="000000"/>
                <w:sz w:val="18"/>
                <w:szCs w:val="18"/>
                <w:lang w:eastAsia="en-AU"/>
              </w:rPr>
              <w:t>2,805</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b/>
                <w:color w:val="000000"/>
                <w:sz w:val="18"/>
                <w:szCs w:val="18"/>
                <w:lang w:eastAsia="en-AU"/>
              </w:rPr>
            </w:pPr>
            <w:r w:rsidRPr="00AC2C3F">
              <w:rPr>
                <w:b/>
                <w:color w:val="000000"/>
                <w:sz w:val="18"/>
                <w:szCs w:val="18"/>
                <w:lang w:eastAsia="en-AU"/>
              </w:rPr>
              <w:t>3,176</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b/>
                <w:color w:val="000000"/>
                <w:sz w:val="18"/>
                <w:szCs w:val="18"/>
                <w:lang w:eastAsia="en-AU"/>
              </w:rPr>
            </w:pPr>
            <w:r w:rsidRPr="00AC2C3F">
              <w:rPr>
                <w:b/>
                <w:color w:val="000000"/>
                <w:sz w:val="18"/>
                <w:szCs w:val="18"/>
                <w:lang w:eastAsia="en-AU"/>
              </w:rPr>
              <w:t>3,677</w:t>
            </w:r>
          </w:p>
        </w:tc>
        <w:tc>
          <w:tcPr>
            <w:tcW w:w="623" w:type="pct"/>
            <w:tcBorders>
              <w:top w:val="nil"/>
              <w:left w:val="nil"/>
              <w:bottom w:val="nil"/>
              <w:right w:val="nil"/>
            </w:tcBorders>
            <w:shd w:val="clear" w:color="000000" w:fill="D8D8D8"/>
            <w:noWrap/>
            <w:vAlign w:val="center"/>
            <w:hideMark/>
          </w:tcPr>
          <w:p w:rsidR="00703B44" w:rsidRPr="00AC2C3F" w:rsidRDefault="00703B44" w:rsidP="00703B44">
            <w:pPr>
              <w:jc w:val="right"/>
              <w:rPr>
                <w:b/>
                <w:color w:val="000000"/>
                <w:sz w:val="18"/>
                <w:szCs w:val="18"/>
                <w:lang w:eastAsia="en-AU"/>
              </w:rPr>
            </w:pPr>
            <w:r w:rsidRPr="00AC2C3F">
              <w:rPr>
                <w:b/>
                <w:color w:val="000000"/>
                <w:sz w:val="18"/>
                <w:szCs w:val="18"/>
                <w:lang w:eastAsia="en-AU"/>
              </w:rPr>
              <w:t>4,310</w:t>
            </w:r>
          </w:p>
        </w:tc>
        <w:tc>
          <w:tcPr>
            <w:tcW w:w="623" w:type="pct"/>
            <w:tcBorders>
              <w:top w:val="nil"/>
              <w:left w:val="nil"/>
              <w:bottom w:val="nil"/>
              <w:right w:val="single" w:sz="8" w:space="0" w:color="auto"/>
            </w:tcBorders>
            <w:shd w:val="clear" w:color="000000" w:fill="D8D8D8"/>
            <w:noWrap/>
            <w:vAlign w:val="center"/>
            <w:hideMark/>
          </w:tcPr>
          <w:p w:rsidR="00703B44" w:rsidRPr="00AC2C3F" w:rsidRDefault="00703B44" w:rsidP="00703B44">
            <w:pPr>
              <w:jc w:val="right"/>
              <w:rPr>
                <w:b/>
                <w:color w:val="000000"/>
                <w:sz w:val="18"/>
                <w:szCs w:val="18"/>
                <w:lang w:eastAsia="en-AU"/>
              </w:rPr>
            </w:pPr>
            <w:r w:rsidRPr="00AC2C3F">
              <w:rPr>
                <w:b/>
                <w:color w:val="000000"/>
                <w:sz w:val="18"/>
                <w:szCs w:val="18"/>
                <w:lang w:eastAsia="en-AU"/>
              </w:rPr>
              <w:t>4,933</w:t>
            </w:r>
          </w:p>
        </w:tc>
      </w:tr>
      <w:tr w:rsidR="00703B44" w:rsidRPr="00AC2C3F" w:rsidTr="006F1C32">
        <w:trPr>
          <w:trHeight w:val="315"/>
        </w:trPr>
        <w:tc>
          <w:tcPr>
            <w:tcW w:w="1883" w:type="pct"/>
            <w:tcBorders>
              <w:top w:val="nil"/>
              <w:left w:val="single" w:sz="8" w:space="0" w:color="auto"/>
              <w:bottom w:val="single" w:sz="8" w:space="0" w:color="auto"/>
              <w:right w:val="nil"/>
            </w:tcBorders>
            <w:shd w:val="clear" w:color="000000" w:fill="000080"/>
            <w:noWrap/>
            <w:vAlign w:val="center"/>
            <w:hideMark/>
          </w:tcPr>
          <w:p w:rsidR="00703B44" w:rsidRPr="00AC2C3F" w:rsidRDefault="00703B44" w:rsidP="00703B44">
            <w:pPr>
              <w:rPr>
                <w:b/>
                <w:bCs/>
                <w:color w:val="FFFFFF"/>
                <w:sz w:val="18"/>
                <w:szCs w:val="18"/>
                <w:lang w:eastAsia="en-AU"/>
              </w:rPr>
            </w:pPr>
            <w:r w:rsidRPr="00AC2C3F">
              <w:rPr>
                <w:b/>
                <w:bCs/>
                <w:color w:val="FFFFFF"/>
                <w:sz w:val="18"/>
                <w:szCs w:val="18"/>
                <w:lang w:eastAsia="en-AU"/>
              </w:rPr>
              <w:t>Excess/Shortfall</w:t>
            </w:r>
          </w:p>
        </w:tc>
        <w:tc>
          <w:tcPr>
            <w:tcW w:w="623" w:type="pct"/>
            <w:tcBorders>
              <w:top w:val="nil"/>
              <w:left w:val="nil"/>
              <w:bottom w:val="single" w:sz="8" w:space="0" w:color="auto"/>
              <w:right w:val="nil"/>
            </w:tcBorders>
            <w:shd w:val="clear" w:color="auto" w:fill="00B050"/>
            <w:noWrap/>
            <w:vAlign w:val="center"/>
            <w:hideMark/>
          </w:tcPr>
          <w:p w:rsidR="00703B44" w:rsidRPr="002A371B" w:rsidRDefault="00703B44" w:rsidP="00703B44">
            <w:pPr>
              <w:jc w:val="right"/>
              <w:rPr>
                <w:b/>
                <w:color w:val="000000"/>
                <w:sz w:val="18"/>
                <w:szCs w:val="18"/>
                <w:lang w:eastAsia="en-AU"/>
              </w:rPr>
            </w:pPr>
          </w:p>
        </w:tc>
        <w:tc>
          <w:tcPr>
            <w:tcW w:w="623" w:type="pct"/>
            <w:tcBorders>
              <w:top w:val="nil"/>
              <w:left w:val="nil"/>
              <w:bottom w:val="single" w:sz="8" w:space="0" w:color="auto"/>
              <w:right w:val="nil"/>
            </w:tcBorders>
            <w:shd w:val="clear" w:color="auto" w:fill="FFFF00"/>
            <w:noWrap/>
            <w:vAlign w:val="center"/>
            <w:hideMark/>
          </w:tcPr>
          <w:p w:rsidR="00703B44" w:rsidRPr="002A371B" w:rsidRDefault="00703B44" w:rsidP="00703B44">
            <w:pPr>
              <w:jc w:val="right"/>
              <w:rPr>
                <w:b/>
                <w:color w:val="000000"/>
                <w:sz w:val="18"/>
                <w:szCs w:val="18"/>
                <w:lang w:eastAsia="en-AU"/>
              </w:rPr>
            </w:pPr>
            <w:r w:rsidRPr="002A371B">
              <w:rPr>
                <w:b/>
                <w:color w:val="000000"/>
                <w:sz w:val="18"/>
                <w:szCs w:val="18"/>
                <w:lang w:eastAsia="en-AU"/>
              </w:rPr>
              <w:t>-43</w:t>
            </w:r>
          </w:p>
        </w:tc>
        <w:tc>
          <w:tcPr>
            <w:tcW w:w="623" w:type="pct"/>
            <w:tcBorders>
              <w:top w:val="nil"/>
              <w:left w:val="nil"/>
              <w:bottom w:val="single" w:sz="8" w:space="0" w:color="auto"/>
              <w:right w:val="nil"/>
            </w:tcBorders>
            <w:shd w:val="clear" w:color="auto" w:fill="F79646" w:themeFill="accent6"/>
            <w:noWrap/>
            <w:vAlign w:val="center"/>
            <w:hideMark/>
          </w:tcPr>
          <w:p w:rsidR="00703B44" w:rsidRPr="002A371B" w:rsidRDefault="00703B44" w:rsidP="00703B44">
            <w:pPr>
              <w:jc w:val="right"/>
              <w:rPr>
                <w:b/>
                <w:color w:val="000000"/>
                <w:sz w:val="18"/>
                <w:szCs w:val="18"/>
                <w:lang w:eastAsia="en-AU"/>
              </w:rPr>
            </w:pPr>
            <w:r w:rsidRPr="002A371B">
              <w:rPr>
                <w:b/>
                <w:color w:val="000000"/>
                <w:sz w:val="18"/>
                <w:szCs w:val="18"/>
                <w:lang w:eastAsia="en-AU"/>
              </w:rPr>
              <w:t>-82</w:t>
            </w:r>
          </w:p>
        </w:tc>
        <w:tc>
          <w:tcPr>
            <w:tcW w:w="623" w:type="pct"/>
            <w:tcBorders>
              <w:top w:val="nil"/>
              <w:left w:val="nil"/>
              <w:bottom w:val="single" w:sz="8" w:space="0" w:color="auto"/>
              <w:right w:val="nil"/>
            </w:tcBorders>
            <w:shd w:val="clear" w:color="auto" w:fill="E36C0A" w:themeFill="accent6" w:themeFillShade="BF"/>
            <w:noWrap/>
            <w:vAlign w:val="center"/>
            <w:hideMark/>
          </w:tcPr>
          <w:p w:rsidR="00703B44" w:rsidRPr="002A371B" w:rsidRDefault="00703B44" w:rsidP="00703B44">
            <w:pPr>
              <w:jc w:val="right"/>
              <w:rPr>
                <w:b/>
                <w:color w:val="000000"/>
                <w:sz w:val="18"/>
                <w:szCs w:val="18"/>
                <w:lang w:eastAsia="en-AU"/>
              </w:rPr>
            </w:pPr>
            <w:r w:rsidRPr="002A371B">
              <w:rPr>
                <w:b/>
                <w:color w:val="000000"/>
                <w:sz w:val="18"/>
                <w:szCs w:val="18"/>
                <w:lang w:eastAsia="en-AU"/>
              </w:rPr>
              <w:t>-186</w:t>
            </w:r>
          </w:p>
        </w:tc>
        <w:tc>
          <w:tcPr>
            <w:tcW w:w="623" w:type="pct"/>
            <w:tcBorders>
              <w:top w:val="nil"/>
              <w:left w:val="nil"/>
              <w:bottom w:val="single" w:sz="8" w:space="0" w:color="auto"/>
              <w:right w:val="single" w:sz="8" w:space="0" w:color="auto"/>
            </w:tcBorders>
            <w:shd w:val="clear" w:color="auto" w:fill="FF0000"/>
            <w:noWrap/>
            <w:vAlign w:val="center"/>
            <w:hideMark/>
          </w:tcPr>
          <w:p w:rsidR="00703B44" w:rsidRPr="002A371B" w:rsidRDefault="00703B44" w:rsidP="00703B44">
            <w:pPr>
              <w:jc w:val="right"/>
              <w:rPr>
                <w:b/>
                <w:color w:val="000000"/>
                <w:sz w:val="18"/>
                <w:szCs w:val="18"/>
                <w:lang w:eastAsia="en-AU"/>
              </w:rPr>
            </w:pPr>
            <w:r w:rsidRPr="002A371B">
              <w:rPr>
                <w:b/>
                <w:color w:val="000000"/>
                <w:sz w:val="18"/>
                <w:szCs w:val="18"/>
                <w:lang w:eastAsia="en-AU"/>
              </w:rPr>
              <w:t>-356</w:t>
            </w:r>
          </w:p>
        </w:tc>
      </w:tr>
    </w:tbl>
    <w:p w:rsidR="00103733" w:rsidRPr="00A34F47" w:rsidRDefault="00B041FC" w:rsidP="00B831A8">
      <w:pPr>
        <w:pStyle w:val="Heading3"/>
      </w:pPr>
      <w:bookmarkStart w:id="36" w:name="_Toc445986953"/>
      <w:r w:rsidRPr="00A34F47">
        <w:t>Changed assumptions</w:t>
      </w:r>
      <w:bookmarkEnd w:id="36"/>
      <w:r w:rsidRPr="00A34F47">
        <w:t xml:space="preserve"> </w:t>
      </w:r>
    </w:p>
    <w:p w:rsidR="00703B44" w:rsidRPr="002E6CA0" w:rsidRDefault="00103733" w:rsidP="002E6CA0">
      <w:pPr>
        <w:spacing w:before="120" w:after="120"/>
        <w:rPr>
          <w:szCs w:val="22"/>
        </w:rPr>
      </w:pPr>
      <w:r w:rsidRPr="002E6CA0">
        <w:rPr>
          <w:szCs w:val="22"/>
        </w:rPr>
        <w:t xml:space="preserve">The </w:t>
      </w:r>
      <w:r w:rsidR="00B041FC" w:rsidRPr="002E6CA0">
        <w:rPr>
          <w:szCs w:val="22"/>
        </w:rPr>
        <w:t>original</w:t>
      </w:r>
      <w:r w:rsidRPr="002E6CA0">
        <w:rPr>
          <w:szCs w:val="22"/>
        </w:rPr>
        <w:t xml:space="preserve"> number of the </w:t>
      </w:r>
      <w:r w:rsidR="00F96252">
        <w:rPr>
          <w:szCs w:val="22"/>
        </w:rPr>
        <w:t xml:space="preserve">psychiatry </w:t>
      </w:r>
      <w:r w:rsidRPr="002E6CA0">
        <w:rPr>
          <w:szCs w:val="22"/>
        </w:rPr>
        <w:t xml:space="preserve">workforce is lower than </w:t>
      </w:r>
      <w:r w:rsidR="00B041FC" w:rsidRPr="002E6CA0">
        <w:rPr>
          <w:szCs w:val="22"/>
        </w:rPr>
        <w:t xml:space="preserve">the </w:t>
      </w:r>
      <w:proofErr w:type="spellStart"/>
      <w:r w:rsidR="001378F7">
        <w:rPr>
          <w:szCs w:val="22"/>
        </w:rPr>
        <w:t>HW</w:t>
      </w:r>
      <w:proofErr w:type="spellEnd"/>
      <w:r w:rsidR="00F96252">
        <w:rPr>
          <w:szCs w:val="22"/>
        </w:rPr>
        <w:t xml:space="preserve"> </w:t>
      </w:r>
      <w:r w:rsidR="001378F7">
        <w:rPr>
          <w:szCs w:val="22"/>
        </w:rPr>
        <w:t>2025 V</w:t>
      </w:r>
      <w:r w:rsidRPr="002E6CA0">
        <w:rPr>
          <w:szCs w:val="22"/>
        </w:rPr>
        <w:t>olume 3</w:t>
      </w:r>
      <w:r w:rsidR="00F96252">
        <w:rPr>
          <w:szCs w:val="22"/>
        </w:rPr>
        <w:t>,</w:t>
      </w:r>
      <w:r w:rsidRPr="002E6CA0">
        <w:rPr>
          <w:szCs w:val="22"/>
        </w:rPr>
        <w:t xml:space="preserve"> due to </w:t>
      </w:r>
      <w:r w:rsidR="00B041FC" w:rsidRPr="002E6CA0">
        <w:rPr>
          <w:szCs w:val="22"/>
        </w:rPr>
        <w:t xml:space="preserve">greater </w:t>
      </w:r>
      <w:r w:rsidRPr="002E6CA0">
        <w:rPr>
          <w:szCs w:val="22"/>
        </w:rPr>
        <w:t xml:space="preserve">refinements of the </w:t>
      </w:r>
      <w:proofErr w:type="spellStart"/>
      <w:r w:rsidRPr="002E6CA0">
        <w:rPr>
          <w:szCs w:val="22"/>
        </w:rPr>
        <w:t>NHWDS</w:t>
      </w:r>
      <w:proofErr w:type="spellEnd"/>
      <w:r w:rsidRPr="002E6CA0">
        <w:rPr>
          <w:szCs w:val="22"/>
        </w:rPr>
        <w:t xml:space="preserve"> and the ability to more accurately identify those that are employed clinicians in 2013. These supply and demand projections are only the first </w:t>
      </w:r>
      <w:r w:rsidR="000E582F" w:rsidRPr="002E6CA0">
        <w:rPr>
          <w:szCs w:val="22"/>
        </w:rPr>
        <w:t>step of the process in determining capacity. T</w:t>
      </w:r>
      <w:r w:rsidRPr="002E6CA0">
        <w:rPr>
          <w:szCs w:val="22"/>
        </w:rPr>
        <w:t xml:space="preserve">he next step is </w:t>
      </w:r>
      <w:r w:rsidR="000E582F" w:rsidRPr="002E6CA0">
        <w:rPr>
          <w:szCs w:val="22"/>
        </w:rPr>
        <w:t xml:space="preserve">determining </w:t>
      </w:r>
      <w:r w:rsidRPr="002E6CA0">
        <w:rPr>
          <w:szCs w:val="22"/>
        </w:rPr>
        <w:t>the training pathway</w:t>
      </w:r>
      <w:r w:rsidR="000E582F" w:rsidRPr="002E6CA0">
        <w:rPr>
          <w:szCs w:val="22"/>
        </w:rPr>
        <w:t xml:space="preserve"> and trajectory </w:t>
      </w:r>
      <w:r w:rsidRPr="002E6CA0">
        <w:rPr>
          <w:szCs w:val="22"/>
        </w:rPr>
        <w:t>and</w:t>
      </w:r>
      <w:r w:rsidR="000E582F" w:rsidRPr="002E6CA0">
        <w:rPr>
          <w:szCs w:val="22"/>
        </w:rPr>
        <w:t xml:space="preserve"> to ascertain </w:t>
      </w:r>
      <w:r w:rsidRPr="002E6CA0">
        <w:rPr>
          <w:szCs w:val="22"/>
        </w:rPr>
        <w:t xml:space="preserve">the reasons behind the shortfall. The development of </w:t>
      </w:r>
      <w:r w:rsidR="000E582F" w:rsidRPr="002E6CA0">
        <w:rPr>
          <w:szCs w:val="22"/>
        </w:rPr>
        <w:t xml:space="preserve">such </w:t>
      </w:r>
      <w:r w:rsidRPr="002E6CA0">
        <w:rPr>
          <w:szCs w:val="22"/>
        </w:rPr>
        <w:t xml:space="preserve">a training plan </w:t>
      </w:r>
      <w:r w:rsidR="00E10BCA" w:rsidRPr="002E6CA0">
        <w:rPr>
          <w:szCs w:val="22"/>
        </w:rPr>
        <w:t>begins to unpi</w:t>
      </w:r>
      <w:r w:rsidR="000E582F" w:rsidRPr="002E6CA0">
        <w:rPr>
          <w:szCs w:val="22"/>
        </w:rPr>
        <w:t xml:space="preserve">ck the issues and recognise the drivers and/or barriers </w:t>
      </w:r>
      <w:r w:rsidRPr="002E6CA0">
        <w:rPr>
          <w:szCs w:val="22"/>
        </w:rPr>
        <w:t>t</w:t>
      </w:r>
      <w:r w:rsidR="00F96252">
        <w:rPr>
          <w:szCs w:val="22"/>
        </w:rPr>
        <w:t xml:space="preserve">hat </w:t>
      </w:r>
      <w:r w:rsidRPr="002E6CA0">
        <w:rPr>
          <w:szCs w:val="22"/>
        </w:rPr>
        <w:t xml:space="preserve">a long term plan </w:t>
      </w:r>
      <w:r w:rsidR="00F96252">
        <w:rPr>
          <w:szCs w:val="22"/>
        </w:rPr>
        <w:t xml:space="preserve">will need to address </w:t>
      </w:r>
      <w:r w:rsidRPr="002E6CA0">
        <w:rPr>
          <w:szCs w:val="22"/>
        </w:rPr>
        <w:t xml:space="preserve">to maintain adequate supply </w:t>
      </w:r>
      <w:r w:rsidR="00F96252">
        <w:rPr>
          <w:szCs w:val="22"/>
        </w:rPr>
        <w:t>to meet</w:t>
      </w:r>
      <w:r w:rsidR="000E582F" w:rsidRPr="002E6CA0">
        <w:rPr>
          <w:szCs w:val="22"/>
        </w:rPr>
        <w:t xml:space="preserve"> </w:t>
      </w:r>
      <w:r w:rsidRPr="002E6CA0">
        <w:rPr>
          <w:szCs w:val="22"/>
        </w:rPr>
        <w:t>demand in the future. This will also be closely monitore</w:t>
      </w:r>
      <w:r w:rsidR="00002D01" w:rsidRPr="002E6CA0">
        <w:rPr>
          <w:szCs w:val="22"/>
        </w:rPr>
        <w:t xml:space="preserve">d by continually adjusting the </w:t>
      </w:r>
      <w:r w:rsidRPr="002E6CA0">
        <w:rPr>
          <w:szCs w:val="22"/>
        </w:rPr>
        <w:t xml:space="preserve">modelling projection to address policy changes and other government initiatives that are likely to impact on the supply and demand </w:t>
      </w:r>
      <w:r w:rsidR="00F96252">
        <w:rPr>
          <w:szCs w:val="22"/>
        </w:rPr>
        <w:t>for</w:t>
      </w:r>
      <w:r w:rsidR="00F96252" w:rsidRPr="002E6CA0">
        <w:rPr>
          <w:szCs w:val="22"/>
        </w:rPr>
        <w:t xml:space="preserve"> </w:t>
      </w:r>
      <w:r w:rsidRPr="002E6CA0">
        <w:rPr>
          <w:szCs w:val="22"/>
        </w:rPr>
        <w:t xml:space="preserve">psychiatry. </w:t>
      </w:r>
      <w:r w:rsidR="00002D01" w:rsidRPr="002E6CA0">
        <w:rPr>
          <w:szCs w:val="22"/>
        </w:rPr>
        <w:t>It</w:t>
      </w:r>
      <w:r w:rsidR="00F96252">
        <w:rPr>
          <w:szCs w:val="22"/>
        </w:rPr>
        <w:t>,</w:t>
      </w:r>
      <w:r w:rsidR="00002D01" w:rsidRPr="002E6CA0">
        <w:rPr>
          <w:szCs w:val="22"/>
        </w:rPr>
        <w:t xml:space="preserve"> however</w:t>
      </w:r>
      <w:r w:rsidR="00DE11D8">
        <w:rPr>
          <w:szCs w:val="22"/>
        </w:rPr>
        <w:t>,</w:t>
      </w:r>
      <w:r w:rsidR="00002D01" w:rsidRPr="002E6CA0">
        <w:rPr>
          <w:szCs w:val="22"/>
        </w:rPr>
        <w:t xml:space="preserve"> does</w:t>
      </w:r>
      <w:r w:rsidRPr="002E6CA0">
        <w:rPr>
          <w:szCs w:val="22"/>
        </w:rPr>
        <w:t xml:space="preserve"> not factor in unmet demand.</w:t>
      </w:r>
    </w:p>
    <w:p w:rsidR="006A5822" w:rsidRPr="0090788F" w:rsidRDefault="006A5822" w:rsidP="00B831A8">
      <w:pPr>
        <w:pStyle w:val="Heading4"/>
      </w:pPr>
      <w:r w:rsidRPr="0090788F">
        <w:t>Training pipeline</w:t>
      </w:r>
    </w:p>
    <w:p w:rsidR="006A5822" w:rsidRPr="002E6CA0" w:rsidRDefault="006A5822" w:rsidP="002E6CA0">
      <w:pPr>
        <w:spacing w:before="120" w:after="120"/>
        <w:rPr>
          <w:szCs w:val="22"/>
        </w:rPr>
      </w:pPr>
      <w:r w:rsidRPr="002E6CA0">
        <w:rPr>
          <w:szCs w:val="22"/>
        </w:rPr>
        <w:t>The purpose of the training pipeline analysis i</w:t>
      </w:r>
      <w:r w:rsidR="00E15E40" w:rsidRPr="002E6CA0">
        <w:rPr>
          <w:szCs w:val="22"/>
        </w:rPr>
        <w:t>s to project future</w:t>
      </w:r>
      <w:r w:rsidRPr="002E6CA0">
        <w:rPr>
          <w:szCs w:val="22"/>
        </w:rPr>
        <w:t xml:space="preserve"> vocational </w:t>
      </w:r>
      <w:r w:rsidR="00F803F9" w:rsidRPr="002E6CA0">
        <w:rPr>
          <w:szCs w:val="22"/>
        </w:rPr>
        <w:t>training</w:t>
      </w:r>
      <w:r w:rsidRPr="002E6CA0">
        <w:rPr>
          <w:szCs w:val="22"/>
        </w:rPr>
        <w:t xml:space="preserve"> numbers </w:t>
      </w:r>
      <w:r w:rsidR="00F803F9" w:rsidRPr="002E6CA0">
        <w:rPr>
          <w:szCs w:val="22"/>
        </w:rPr>
        <w:t xml:space="preserve">entering the training program </w:t>
      </w:r>
      <w:r w:rsidRPr="002E6CA0">
        <w:rPr>
          <w:szCs w:val="22"/>
        </w:rPr>
        <w:t xml:space="preserve">as a basis for </w:t>
      </w:r>
      <w:r w:rsidR="00F803F9" w:rsidRPr="002E6CA0">
        <w:rPr>
          <w:szCs w:val="22"/>
        </w:rPr>
        <w:t>forecasting</w:t>
      </w:r>
      <w:r w:rsidRPr="002E6CA0">
        <w:rPr>
          <w:szCs w:val="22"/>
        </w:rPr>
        <w:t xml:space="preserve"> the</w:t>
      </w:r>
      <w:r w:rsidR="00665E8E" w:rsidRPr="002E6CA0">
        <w:rPr>
          <w:szCs w:val="22"/>
        </w:rPr>
        <w:t xml:space="preserve"> number of domestic and </w:t>
      </w:r>
      <w:proofErr w:type="spellStart"/>
      <w:r w:rsidR="00665E8E" w:rsidRPr="002E6CA0">
        <w:rPr>
          <w:szCs w:val="22"/>
        </w:rPr>
        <w:t>OTS</w:t>
      </w:r>
      <w:proofErr w:type="spellEnd"/>
      <w:r w:rsidR="00665E8E" w:rsidRPr="002E6CA0">
        <w:rPr>
          <w:szCs w:val="22"/>
        </w:rPr>
        <w:t xml:space="preserve"> new </w:t>
      </w:r>
      <w:r w:rsidR="00032871">
        <w:rPr>
          <w:szCs w:val="22"/>
        </w:rPr>
        <w:t>F</w:t>
      </w:r>
      <w:r w:rsidR="00032871" w:rsidRPr="002E6CA0">
        <w:rPr>
          <w:szCs w:val="22"/>
        </w:rPr>
        <w:t xml:space="preserve">ellows </w:t>
      </w:r>
      <w:r w:rsidR="00E15E40" w:rsidRPr="002E6CA0">
        <w:rPr>
          <w:szCs w:val="22"/>
        </w:rPr>
        <w:t>as inflows into the workforce</w:t>
      </w:r>
      <w:r w:rsidR="00F803F9" w:rsidRPr="002E6CA0">
        <w:rPr>
          <w:szCs w:val="22"/>
        </w:rPr>
        <w:t xml:space="preserve"> projections</w:t>
      </w:r>
      <w:r w:rsidRPr="002E6CA0">
        <w:rPr>
          <w:szCs w:val="22"/>
        </w:rPr>
        <w:t xml:space="preserve">. </w:t>
      </w:r>
    </w:p>
    <w:p w:rsidR="006A5822" w:rsidRPr="002E6CA0" w:rsidRDefault="0085692D" w:rsidP="002E6CA0">
      <w:pPr>
        <w:spacing w:before="120" w:after="120"/>
        <w:rPr>
          <w:szCs w:val="22"/>
        </w:rPr>
      </w:pPr>
      <w:r>
        <w:rPr>
          <w:szCs w:val="22"/>
        </w:rPr>
        <w:t>Table11</w:t>
      </w:r>
      <w:r w:rsidR="006A5822" w:rsidRPr="002E6CA0">
        <w:rPr>
          <w:szCs w:val="22"/>
        </w:rPr>
        <w:t xml:space="preserve"> shows the predicted movement of trainees from </w:t>
      </w:r>
      <w:r w:rsidR="00DE11D8">
        <w:rPr>
          <w:szCs w:val="22"/>
        </w:rPr>
        <w:t>S</w:t>
      </w:r>
      <w:r w:rsidR="00665E8E" w:rsidRPr="002E6CA0">
        <w:rPr>
          <w:szCs w:val="22"/>
        </w:rPr>
        <w:t>tage</w:t>
      </w:r>
      <w:r w:rsidR="00F803F9" w:rsidRPr="002E6CA0">
        <w:rPr>
          <w:szCs w:val="22"/>
        </w:rPr>
        <w:t xml:space="preserve"> </w:t>
      </w:r>
      <w:r w:rsidR="00665E8E" w:rsidRPr="002E6CA0">
        <w:rPr>
          <w:szCs w:val="22"/>
        </w:rPr>
        <w:t xml:space="preserve">1 right through to becoming a new </w:t>
      </w:r>
      <w:r w:rsidR="00DE11D8">
        <w:rPr>
          <w:szCs w:val="22"/>
        </w:rPr>
        <w:t>F</w:t>
      </w:r>
      <w:r w:rsidR="00665E8E" w:rsidRPr="002E6CA0">
        <w:rPr>
          <w:szCs w:val="22"/>
        </w:rPr>
        <w:t>ellow</w:t>
      </w:r>
      <w:r w:rsidR="00E15E40" w:rsidRPr="002E6CA0">
        <w:rPr>
          <w:szCs w:val="22"/>
        </w:rPr>
        <w:t xml:space="preserve"> (domestic or </w:t>
      </w:r>
      <w:proofErr w:type="spellStart"/>
      <w:r w:rsidR="00E15E40" w:rsidRPr="002E6CA0">
        <w:rPr>
          <w:szCs w:val="22"/>
        </w:rPr>
        <w:t>OTS</w:t>
      </w:r>
      <w:proofErr w:type="spellEnd"/>
      <w:r w:rsidR="00E15E40" w:rsidRPr="002E6CA0">
        <w:rPr>
          <w:szCs w:val="22"/>
        </w:rPr>
        <w:t>)</w:t>
      </w:r>
      <w:r w:rsidR="003348F5" w:rsidRPr="002E6CA0">
        <w:rPr>
          <w:szCs w:val="22"/>
        </w:rPr>
        <w:t xml:space="preserve"> in a static and dynamic pipeline</w:t>
      </w:r>
      <w:r w:rsidR="00665E8E" w:rsidRPr="002E6CA0">
        <w:rPr>
          <w:szCs w:val="22"/>
        </w:rPr>
        <w:t xml:space="preserve">. The </w:t>
      </w:r>
      <w:r w:rsidR="00DE11D8">
        <w:rPr>
          <w:szCs w:val="22"/>
        </w:rPr>
        <w:t>C</w:t>
      </w:r>
      <w:r w:rsidR="00665E8E" w:rsidRPr="002E6CA0">
        <w:rPr>
          <w:szCs w:val="22"/>
        </w:rPr>
        <w:t xml:space="preserve">ollege has always </w:t>
      </w:r>
      <w:r w:rsidR="00F803F9" w:rsidRPr="002E6CA0">
        <w:rPr>
          <w:szCs w:val="22"/>
        </w:rPr>
        <w:t>been clear</w:t>
      </w:r>
      <w:r w:rsidR="00665E8E" w:rsidRPr="002E6CA0">
        <w:rPr>
          <w:szCs w:val="22"/>
        </w:rPr>
        <w:t xml:space="preserve"> that they do not base transitions on a year to year basis</w:t>
      </w:r>
      <w:r w:rsidR="00E15E40" w:rsidRPr="002E6CA0">
        <w:rPr>
          <w:szCs w:val="22"/>
        </w:rPr>
        <w:t>. T</w:t>
      </w:r>
      <w:r w:rsidR="00665E8E" w:rsidRPr="002E6CA0">
        <w:rPr>
          <w:szCs w:val="22"/>
        </w:rPr>
        <w:t>herefore</w:t>
      </w:r>
      <w:r w:rsidR="00032871">
        <w:rPr>
          <w:szCs w:val="22"/>
        </w:rPr>
        <w:t>, the</w:t>
      </w:r>
      <w:r w:rsidR="00665E8E" w:rsidRPr="002E6CA0">
        <w:rPr>
          <w:szCs w:val="22"/>
        </w:rPr>
        <w:t xml:space="preserve"> new methodology tries to focus on moving through the stages rather than on a yearly basis. It is still based on historical movements that have been reported in the </w:t>
      </w:r>
      <w:proofErr w:type="spellStart"/>
      <w:r w:rsidR="00665E8E" w:rsidRPr="002E6CA0">
        <w:rPr>
          <w:szCs w:val="22"/>
        </w:rPr>
        <w:t>MTRP</w:t>
      </w:r>
      <w:proofErr w:type="spellEnd"/>
      <w:r w:rsidR="00F803F9" w:rsidRPr="002E6CA0">
        <w:rPr>
          <w:szCs w:val="22"/>
        </w:rPr>
        <w:t xml:space="preserve">, combined with data </w:t>
      </w:r>
      <w:r w:rsidR="00E15E40" w:rsidRPr="002E6CA0">
        <w:rPr>
          <w:szCs w:val="22"/>
        </w:rPr>
        <w:t xml:space="preserve">requested from the </w:t>
      </w:r>
      <w:r w:rsidR="00032871">
        <w:rPr>
          <w:szCs w:val="22"/>
        </w:rPr>
        <w:t>C</w:t>
      </w:r>
      <w:r w:rsidR="00032871" w:rsidRPr="002E6CA0">
        <w:rPr>
          <w:szCs w:val="22"/>
        </w:rPr>
        <w:t xml:space="preserve">ollege </w:t>
      </w:r>
      <w:r w:rsidR="00E15E40" w:rsidRPr="002E6CA0">
        <w:rPr>
          <w:szCs w:val="22"/>
        </w:rPr>
        <w:t>to assist in more accurately determining the movement</w:t>
      </w:r>
      <w:r w:rsidR="00665E8E" w:rsidRPr="002E6CA0">
        <w:rPr>
          <w:szCs w:val="22"/>
        </w:rPr>
        <w:t>.</w:t>
      </w:r>
    </w:p>
    <w:p w:rsidR="00C64C65" w:rsidRDefault="00C64C65">
      <w:pPr>
        <w:jc w:val="left"/>
        <w:rPr>
          <w:bCs/>
          <w:color w:val="000080"/>
          <w:szCs w:val="28"/>
        </w:rPr>
      </w:pPr>
      <w:r>
        <w:br w:type="page"/>
      </w:r>
    </w:p>
    <w:p w:rsidR="00665E8E" w:rsidRPr="0079780A" w:rsidRDefault="00665E8E" w:rsidP="00D84538">
      <w:pPr>
        <w:pStyle w:val="Heading4"/>
        <w:spacing w:after="120"/>
        <w:jc w:val="left"/>
      </w:pPr>
      <w:r w:rsidRPr="0079780A">
        <w:lastRenderedPageBreak/>
        <w:t xml:space="preserve">Table </w:t>
      </w:r>
      <w:fldSimple w:instr=" SEQ Table \* ARABIC ">
        <w:r w:rsidR="00A34F47" w:rsidRPr="0079780A">
          <w:t>11</w:t>
        </w:r>
      </w:fldSimple>
      <w:r w:rsidRPr="0079780A">
        <w:t xml:space="preserve"> </w:t>
      </w:r>
      <w:r w:rsidR="00446E07" w:rsidRPr="0079780A">
        <w:t>–</w:t>
      </w:r>
      <w:r w:rsidRPr="0079780A">
        <w:t xml:space="preserve"> Training Pipeline Transitions</w:t>
      </w:r>
      <w:r w:rsidR="00443669" w:rsidRPr="0079780A">
        <w:t xml:space="preserve"> </w:t>
      </w:r>
      <w:r w:rsidRPr="0079780A">
        <w:t>/</w:t>
      </w:r>
      <w:r w:rsidR="00443669" w:rsidRPr="0079780A">
        <w:t xml:space="preserve"> C</w:t>
      </w:r>
      <w:r w:rsidRPr="0079780A">
        <w:t>hurn</w:t>
      </w:r>
    </w:p>
    <w:tbl>
      <w:tblPr>
        <w:tblStyle w:val="MediumShading2-Accent2"/>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Table 11: Training Pipeline Transitions"/>
        <w:tblDescription w:val="Table 11 shows the predicted movement of trainees from Stage 1 through to becoming a new Fellow for domestic and overseas trained specialist trainees."/>
      </w:tblPr>
      <w:tblGrid>
        <w:gridCol w:w="2986"/>
        <w:gridCol w:w="1150"/>
        <w:gridCol w:w="4999"/>
      </w:tblGrid>
      <w:tr w:rsidR="009B4704" w:rsidRPr="00805CEC" w:rsidTr="00110818">
        <w:trPr>
          <w:cnfStyle w:val="100000000000" w:firstRow="1" w:lastRow="0" w:firstColumn="0" w:lastColumn="0" w:oddVBand="0" w:evenVBand="0" w:oddHBand="0" w:evenHBand="0" w:firstRowFirstColumn="0" w:firstRowLastColumn="0" w:lastRowFirstColumn="0" w:lastRowLastColumn="0"/>
          <w:trHeight w:val="255"/>
          <w:tblHeader/>
        </w:trPr>
        <w:tc>
          <w:tcPr>
            <w:tcW w:w="1602"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665E8E">
            <w:pPr>
              <w:rPr>
                <w:b/>
                <w:sz w:val="20"/>
                <w:szCs w:val="20"/>
                <w:lang w:eastAsia="en-AU"/>
              </w:rPr>
            </w:pPr>
            <w:r w:rsidRPr="00805CEC">
              <w:rPr>
                <w:b/>
                <w:sz w:val="20"/>
                <w:szCs w:val="20"/>
                <w:lang w:eastAsia="en-AU"/>
              </w:rPr>
              <w:t>Movements</w:t>
            </w:r>
          </w:p>
        </w:tc>
        <w:tc>
          <w:tcPr>
            <w:tcW w:w="639" w:type="pct"/>
            <w:tcBorders>
              <w:top w:val="single" w:sz="4" w:space="0" w:color="auto"/>
              <w:left w:val="single" w:sz="4" w:space="0" w:color="auto"/>
              <w:bottom w:val="single" w:sz="4" w:space="0" w:color="auto"/>
              <w:right w:val="single" w:sz="4" w:space="0" w:color="auto"/>
            </w:tcBorders>
            <w:noWrap/>
          </w:tcPr>
          <w:p w:rsidR="009B4704" w:rsidRPr="00805CEC" w:rsidRDefault="00443669" w:rsidP="00665E8E">
            <w:pPr>
              <w:jc w:val="center"/>
              <w:rPr>
                <w:b/>
                <w:sz w:val="20"/>
                <w:szCs w:val="20"/>
                <w:lang w:eastAsia="en-AU"/>
              </w:rPr>
            </w:pPr>
            <w:r w:rsidRPr="00805CEC">
              <w:rPr>
                <w:b/>
                <w:sz w:val="20"/>
                <w:szCs w:val="20"/>
                <w:lang w:eastAsia="en-AU"/>
              </w:rPr>
              <w:t>Per cent</w:t>
            </w:r>
          </w:p>
        </w:tc>
        <w:tc>
          <w:tcPr>
            <w:tcW w:w="2758" w:type="pct"/>
            <w:tcBorders>
              <w:top w:val="single" w:sz="4" w:space="0" w:color="auto"/>
              <w:left w:val="single" w:sz="4" w:space="0" w:color="auto"/>
              <w:bottom w:val="single" w:sz="4" w:space="0" w:color="auto"/>
              <w:right w:val="single" w:sz="4" w:space="0" w:color="auto"/>
            </w:tcBorders>
            <w:noWrap/>
          </w:tcPr>
          <w:p w:rsidR="009B4704" w:rsidRPr="00805CEC" w:rsidRDefault="003A509A" w:rsidP="003A509A">
            <w:pPr>
              <w:rPr>
                <w:b/>
                <w:sz w:val="20"/>
                <w:szCs w:val="20"/>
                <w:lang w:eastAsia="en-AU"/>
              </w:rPr>
            </w:pPr>
            <w:r w:rsidRPr="00805CEC">
              <w:rPr>
                <w:b/>
                <w:sz w:val="20"/>
                <w:szCs w:val="20"/>
                <w:lang w:eastAsia="en-AU"/>
              </w:rPr>
              <w:t>Comments</w:t>
            </w:r>
          </w:p>
        </w:tc>
      </w:tr>
      <w:tr w:rsidR="003A509A" w:rsidRPr="00805CEC" w:rsidTr="00785E5A">
        <w:trPr>
          <w:cnfStyle w:val="000000100000" w:firstRow="0" w:lastRow="0" w:firstColumn="0" w:lastColumn="0" w:oddVBand="0" w:evenVBand="0" w:oddHBand="1" w:evenHBand="0" w:firstRowFirstColumn="0" w:firstRowLastColumn="0" w:lastRowFirstColumn="0" w:lastRowLastColumn="0"/>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9B4704" w:rsidP="00665E8E">
            <w:pPr>
              <w:rPr>
                <w:color w:val="FFFFFF" w:themeColor="background1"/>
                <w:sz w:val="20"/>
                <w:szCs w:val="20"/>
                <w:lang w:eastAsia="en-AU"/>
              </w:rPr>
            </w:pPr>
            <w:r w:rsidRPr="00805CEC">
              <w:rPr>
                <w:color w:val="FFFFFF" w:themeColor="background1"/>
                <w:sz w:val="20"/>
                <w:szCs w:val="20"/>
                <w:lang w:eastAsia="en-AU"/>
              </w:rPr>
              <w:t>New intake</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F46C56" w:rsidP="005457FA">
            <w:pPr>
              <w:jc w:val="center"/>
              <w:rPr>
                <w:color w:val="000000"/>
                <w:sz w:val="20"/>
                <w:szCs w:val="20"/>
                <w:lang w:eastAsia="en-AU"/>
              </w:rPr>
            </w:pPr>
            <w:r w:rsidRPr="00805CEC">
              <w:rPr>
                <w:color w:val="000000"/>
                <w:sz w:val="20"/>
                <w:szCs w:val="20"/>
                <w:lang w:eastAsia="en-AU"/>
              </w:rPr>
              <w:t xml:space="preserve">199 or </w:t>
            </w:r>
            <w:r w:rsidR="009B4704" w:rsidRPr="00805CEC">
              <w:rPr>
                <w:color w:val="000000"/>
                <w:sz w:val="20"/>
                <w:szCs w:val="20"/>
                <w:lang w:eastAsia="en-AU"/>
              </w:rPr>
              <w:t>22%</w:t>
            </w:r>
          </w:p>
        </w:tc>
        <w:tc>
          <w:tcPr>
            <w:tcW w:w="2758" w:type="pct"/>
            <w:tcBorders>
              <w:top w:val="single" w:sz="4" w:space="0" w:color="auto"/>
              <w:left w:val="single" w:sz="4" w:space="0" w:color="auto"/>
              <w:bottom w:val="single" w:sz="4" w:space="0" w:color="auto"/>
              <w:right w:val="single" w:sz="4" w:space="0" w:color="auto"/>
            </w:tcBorders>
            <w:noWrap/>
            <w:hideMark/>
          </w:tcPr>
          <w:p w:rsidR="00F46C56" w:rsidRPr="00805CEC" w:rsidRDefault="003348F5" w:rsidP="00D510F1">
            <w:pPr>
              <w:pStyle w:val="ListParagraph"/>
              <w:numPr>
                <w:ilvl w:val="0"/>
                <w:numId w:val="1"/>
              </w:numPr>
              <w:rPr>
                <w:color w:val="000000"/>
                <w:sz w:val="20"/>
                <w:szCs w:val="20"/>
                <w:lang w:eastAsia="en-AU"/>
              </w:rPr>
            </w:pPr>
            <w:r w:rsidRPr="00805CEC">
              <w:rPr>
                <w:color w:val="000000"/>
                <w:sz w:val="20"/>
                <w:szCs w:val="20"/>
                <w:lang w:eastAsia="en-AU"/>
              </w:rPr>
              <w:t>S</w:t>
            </w:r>
            <w:r w:rsidR="00083774" w:rsidRPr="00805CEC">
              <w:rPr>
                <w:color w:val="000000"/>
                <w:sz w:val="20"/>
                <w:szCs w:val="20"/>
                <w:lang w:eastAsia="en-AU"/>
              </w:rPr>
              <w:t xml:space="preserve">tatic: is </w:t>
            </w:r>
            <w:r w:rsidRPr="00805CEC">
              <w:rPr>
                <w:color w:val="000000"/>
                <w:sz w:val="20"/>
                <w:szCs w:val="20"/>
                <w:lang w:eastAsia="en-AU"/>
              </w:rPr>
              <w:t xml:space="preserve">an </w:t>
            </w:r>
            <w:r w:rsidR="00F46C56" w:rsidRPr="00805CEC">
              <w:rPr>
                <w:color w:val="000000"/>
                <w:sz w:val="20"/>
                <w:szCs w:val="20"/>
                <w:lang w:eastAsia="en-AU"/>
              </w:rPr>
              <w:t>average of stage 1 trainees since 2006, or</w:t>
            </w:r>
            <w:r w:rsidRPr="00805CEC">
              <w:rPr>
                <w:color w:val="000000"/>
                <w:sz w:val="20"/>
                <w:szCs w:val="20"/>
                <w:lang w:eastAsia="en-AU"/>
              </w:rPr>
              <w:t xml:space="preserve"> </w:t>
            </w:r>
          </w:p>
          <w:p w:rsidR="009B4704" w:rsidRPr="00805CEC" w:rsidRDefault="003348F5" w:rsidP="00D510F1">
            <w:pPr>
              <w:pStyle w:val="ListParagraph"/>
              <w:numPr>
                <w:ilvl w:val="0"/>
                <w:numId w:val="1"/>
              </w:numPr>
              <w:rPr>
                <w:color w:val="000000"/>
                <w:sz w:val="20"/>
                <w:szCs w:val="20"/>
                <w:lang w:eastAsia="en-AU"/>
              </w:rPr>
            </w:pPr>
            <w:r w:rsidRPr="00805CEC">
              <w:rPr>
                <w:color w:val="000000"/>
                <w:sz w:val="20"/>
                <w:szCs w:val="20"/>
                <w:lang w:eastAsia="en-AU"/>
              </w:rPr>
              <w:t xml:space="preserve">Dynamic where its </w:t>
            </w:r>
            <w:r w:rsidR="00F46C56" w:rsidRPr="00805CEC">
              <w:rPr>
                <w:color w:val="000000"/>
                <w:sz w:val="20"/>
                <w:szCs w:val="20"/>
                <w:lang w:eastAsia="en-AU"/>
              </w:rPr>
              <w:t>22% o</w:t>
            </w:r>
            <w:r w:rsidR="009B4704" w:rsidRPr="00805CEC">
              <w:rPr>
                <w:color w:val="000000"/>
                <w:sz w:val="20"/>
                <w:szCs w:val="20"/>
                <w:lang w:eastAsia="en-AU"/>
              </w:rPr>
              <w:t>f total basic trainees</w:t>
            </w:r>
            <w:r w:rsidR="00F803F9" w:rsidRPr="00805CEC">
              <w:rPr>
                <w:color w:val="000000"/>
                <w:sz w:val="20"/>
                <w:szCs w:val="20"/>
                <w:lang w:eastAsia="en-AU"/>
              </w:rPr>
              <w:t xml:space="preserve"> per year</w:t>
            </w:r>
          </w:p>
        </w:tc>
      </w:tr>
      <w:tr w:rsidR="003A509A" w:rsidRPr="00805CEC" w:rsidTr="00785E5A">
        <w:trPr>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9B4704" w:rsidP="00665E8E">
            <w:pPr>
              <w:rPr>
                <w:color w:val="FFFFFF" w:themeColor="background1"/>
                <w:sz w:val="20"/>
                <w:szCs w:val="20"/>
                <w:lang w:eastAsia="en-AU"/>
              </w:rPr>
            </w:pPr>
            <w:r w:rsidRPr="00805CEC">
              <w:rPr>
                <w:color w:val="FFFFFF" w:themeColor="background1"/>
                <w:sz w:val="20"/>
                <w:szCs w:val="20"/>
                <w:lang w:eastAsia="en-AU"/>
              </w:rPr>
              <w:t>Stage 1 to Stage 1</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24%</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9B4704">
            <w:pPr>
              <w:rPr>
                <w:color w:val="000000"/>
                <w:sz w:val="20"/>
                <w:szCs w:val="20"/>
                <w:lang w:eastAsia="en-AU"/>
              </w:rPr>
            </w:pPr>
            <w:r w:rsidRPr="00805CEC">
              <w:rPr>
                <w:color w:val="000000"/>
                <w:sz w:val="20"/>
                <w:szCs w:val="20"/>
                <w:lang w:eastAsia="en-AU"/>
              </w:rPr>
              <w:t> </w:t>
            </w:r>
          </w:p>
        </w:tc>
      </w:tr>
      <w:tr w:rsidR="003A509A" w:rsidRPr="00805CEC" w:rsidTr="00785E5A">
        <w:trPr>
          <w:cnfStyle w:val="000000100000" w:firstRow="0" w:lastRow="0" w:firstColumn="0" w:lastColumn="0" w:oddVBand="0" w:evenVBand="0" w:oddHBand="1" w:evenHBand="0" w:firstRowFirstColumn="0" w:firstRowLastColumn="0" w:lastRowFirstColumn="0" w:lastRowLastColumn="0"/>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9B4704" w:rsidP="00665E8E">
            <w:pPr>
              <w:rPr>
                <w:color w:val="FFFFFF" w:themeColor="background1"/>
                <w:sz w:val="20"/>
                <w:szCs w:val="20"/>
                <w:lang w:eastAsia="en-AU"/>
              </w:rPr>
            </w:pPr>
            <w:r w:rsidRPr="00805CEC">
              <w:rPr>
                <w:color w:val="FFFFFF" w:themeColor="background1"/>
                <w:sz w:val="20"/>
                <w:szCs w:val="20"/>
                <w:lang w:eastAsia="en-AU"/>
              </w:rPr>
              <w:t>Stage 1 to Stage 2</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76%</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9B4704">
            <w:pPr>
              <w:rPr>
                <w:color w:val="000000"/>
                <w:sz w:val="20"/>
                <w:szCs w:val="20"/>
                <w:lang w:eastAsia="en-AU"/>
              </w:rPr>
            </w:pPr>
            <w:r w:rsidRPr="00805CEC">
              <w:rPr>
                <w:color w:val="000000"/>
                <w:sz w:val="20"/>
                <w:szCs w:val="20"/>
                <w:lang w:eastAsia="en-AU"/>
              </w:rPr>
              <w:t> </w:t>
            </w:r>
          </w:p>
        </w:tc>
      </w:tr>
      <w:tr w:rsidR="003A509A" w:rsidRPr="00805CEC" w:rsidTr="00785E5A">
        <w:trPr>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665E8E" w:rsidP="00665E8E">
            <w:pPr>
              <w:rPr>
                <w:color w:val="FFFFFF" w:themeColor="background1"/>
                <w:sz w:val="20"/>
                <w:szCs w:val="20"/>
                <w:lang w:eastAsia="en-AU"/>
              </w:rPr>
            </w:pPr>
            <w:r w:rsidRPr="00805CEC">
              <w:rPr>
                <w:color w:val="FFFFFF" w:themeColor="background1"/>
                <w:sz w:val="20"/>
                <w:szCs w:val="20"/>
                <w:lang w:eastAsia="en-AU"/>
              </w:rPr>
              <w:t>Stage 2 to S</w:t>
            </w:r>
            <w:r w:rsidR="009B4704" w:rsidRPr="00805CEC">
              <w:rPr>
                <w:color w:val="FFFFFF" w:themeColor="background1"/>
                <w:sz w:val="20"/>
                <w:szCs w:val="20"/>
                <w:lang w:eastAsia="en-AU"/>
              </w:rPr>
              <w:t>tage 2</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76%</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3A509A" w:rsidP="009B4704">
            <w:pPr>
              <w:rPr>
                <w:color w:val="000000"/>
                <w:sz w:val="20"/>
                <w:szCs w:val="20"/>
                <w:lang w:eastAsia="en-AU"/>
              </w:rPr>
            </w:pPr>
            <w:r w:rsidRPr="00805CEC">
              <w:rPr>
                <w:color w:val="000000"/>
                <w:sz w:val="20"/>
                <w:szCs w:val="20"/>
                <w:lang w:eastAsia="en-AU"/>
              </w:rPr>
              <w:t>(H</w:t>
            </w:r>
            <w:r w:rsidR="009B4704" w:rsidRPr="00805CEC">
              <w:rPr>
                <w:color w:val="000000"/>
                <w:sz w:val="20"/>
                <w:szCs w:val="20"/>
                <w:lang w:eastAsia="en-AU"/>
              </w:rPr>
              <w:t>igh % as stage 2 is 2 years)</w:t>
            </w:r>
          </w:p>
        </w:tc>
      </w:tr>
      <w:tr w:rsidR="003A509A" w:rsidRPr="00805CEC" w:rsidTr="00785E5A">
        <w:trPr>
          <w:cnfStyle w:val="000000100000" w:firstRow="0" w:lastRow="0" w:firstColumn="0" w:lastColumn="0" w:oddVBand="0" w:evenVBand="0" w:oddHBand="1" w:evenHBand="0" w:firstRowFirstColumn="0" w:firstRowLastColumn="0" w:lastRowFirstColumn="0" w:lastRowLastColumn="0"/>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665E8E" w:rsidP="00665E8E">
            <w:pPr>
              <w:rPr>
                <w:color w:val="FFFFFF" w:themeColor="background1"/>
                <w:sz w:val="20"/>
                <w:szCs w:val="20"/>
                <w:lang w:eastAsia="en-AU"/>
              </w:rPr>
            </w:pPr>
            <w:r w:rsidRPr="00805CEC">
              <w:rPr>
                <w:color w:val="FFFFFF" w:themeColor="background1"/>
                <w:sz w:val="20"/>
                <w:szCs w:val="20"/>
                <w:lang w:eastAsia="en-AU"/>
              </w:rPr>
              <w:t>Stage 2 to S</w:t>
            </w:r>
            <w:r w:rsidR="009B4704" w:rsidRPr="00805CEC">
              <w:rPr>
                <w:color w:val="FFFFFF" w:themeColor="background1"/>
                <w:sz w:val="20"/>
                <w:szCs w:val="20"/>
                <w:lang w:eastAsia="en-AU"/>
              </w:rPr>
              <w:t>tage 3</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24%</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9B4704">
            <w:pPr>
              <w:rPr>
                <w:color w:val="000000"/>
                <w:sz w:val="20"/>
                <w:szCs w:val="20"/>
                <w:lang w:eastAsia="en-AU"/>
              </w:rPr>
            </w:pPr>
            <w:r w:rsidRPr="00805CEC">
              <w:rPr>
                <w:color w:val="000000"/>
                <w:sz w:val="20"/>
                <w:szCs w:val="20"/>
                <w:lang w:eastAsia="en-AU"/>
              </w:rPr>
              <w:t> </w:t>
            </w:r>
          </w:p>
        </w:tc>
      </w:tr>
      <w:tr w:rsidR="003A509A" w:rsidRPr="00805CEC" w:rsidTr="00785E5A">
        <w:trPr>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665E8E" w:rsidP="00665E8E">
            <w:pPr>
              <w:rPr>
                <w:color w:val="FFFFFF" w:themeColor="background1"/>
                <w:sz w:val="20"/>
                <w:szCs w:val="20"/>
                <w:lang w:eastAsia="en-AU"/>
              </w:rPr>
            </w:pPr>
            <w:r w:rsidRPr="00805CEC">
              <w:rPr>
                <w:color w:val="FFFFFF" w:themeColor="background1"/>
                <w:sz w:val="20"/>
                <w:szCs w:val="20"/>
                <w:lang w:eastAsia="en-AU"/>
              </w:rPr>
              <w:t>Stage 3 to S</w:t>
            </w:r>
            <w:r w:rsidR="009B4704" w:rsidRPr="00805CEC">
              <w:rPr>
                <w:color w:val="FFFFFF" w:themeColor="background1"/>
                <w:sz w:val="20"/>
                <w:szCs w:val="20"/>
                <w:lang w:eastAsia="en-AU"/>
              </w:rPr>
              <w:t>tage 3</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46%</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9B4704">
            <w:pPr>
              <w:rPr>
                <w:color w:val="000000"/>
                <w:sz w:val="20"/>
                <w:szCs w:val="20"/>
                <w:lang w:eastAsia="en-AU"/>
              </w:rPr>
            </w:pPr>
            <w:r w:rsidRPr="00805CEC">
              <w:rPr>
                <w:color w:val="000000"/>
                <w:sz w:val="20"/>
                <w:szCs w:val="20"/>
                <w:lang w:eastAsia="en-AU"/>
              </w:rPr>
              <w:t> </w:t>
            </w:r>
          </w:p>
        </w:tc>
      </w:tr>
      <w:tr w:rsidR="003A509A" w:rsidRPr="00805CEC" w:rsidTr="00785E5A">
        <w:trPr>
          <w:cnfStyle w:val="000000100000" w:firstRow="0" w:lastRow="0" w:firstColumn="0" w:lastColumn="0" w:oddVBand="0" w:evenVBand="0" w:oddHBand="1" w:evenHBand="0" w:firstRowFirstColumn="0" w:firstRowLastColumn="0" w:lastRowFirstColumn="0" w:lastRowLastColumn="0"/>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9B4704" w:rsidP="00665E8E">
            <w:pPr>
              <w:rPr>
                <w:color w:val="FFFFFF" w:themeColor="background1"/>
                <w:sz w:val="20"/>
                <w:szCs w:val="20"/>
                <w:lang w:eastAsia="en-AU"/>
              </w:rPr>
            </w:pPr>
            <w:r w:rsidRPr="00805CEC">
              <w:rPr>
                <w:color w:val="FFFFFF" w:themeColor="background1"/>
                <w:sz w:val="20"/>
                <w:szCs w:val="20"/>
                <w:lang w:eastAsia="en-AU"/>
              </w:rPr>
              <w:t xml:space="preserve">Stage 3 to </w:t>
            </w:r>
            <w:r w:rsidR="00665E8E" w:rsidRPr="00805CEC">
              <w:rPr>
                <w:color w:val="FFFFFF" w:themeColor="background1"/>
                <w:sz w:val="20"/>
                <w:szCs w:val="20"/>
                <w:lang w:eastAsia="en-AU"/>
              </w:rPr>
              <w:t>New F</w:t>
            </w:r>
            <w:r w:rsidRPr="00805CEC">
              <w:rPr>
                <w:color w:val="FFFFFF" w:themeColor="background1"/>
                <w:sz w:val="20"/>
                <w:szCs w:val="20"/>
                <w:lang w:eastAsia="en-AU"/>
              </w:rPr>
              <w:t>ellows</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49%</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9B4704">
            <w:pPr>
              <w:rPr>
                <w:color w:val="000000"/>
                <w:sz w:val="20"/>
                <w:szCs w:val="20"/>
                <w:lang w:eastAsia="en-AU"/>
              </w:rPr>
            </w:pPr>
            <w:r w:rsidRPr="00805CEC">
              <w:rPr>
                <w:color w:val="000000"/>
                <w:sz w:val="20"/>
                <w:szCs w:val="20"/>
                <w:lang w:eastAsia="en-AU"/>
              </w:rPr>
              <w:t> </w:t>
            </w:r>
          </w:p>
        </w:tc>
      </w:tr>
      <w:tr w:rsidR="003A509A" w:rsidRPr="00805CEC" w:rsidTr="00785E5A">
        <w:trPr>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9B4704" w:rsidP="00665E8E">
            <w:pPr>
              <w:rPr>
                <w:color w:val="FFFFFF" w:themeColor="background1"/>
                <w:sz w:val="20"/>
                <w:szCs w:val="20"/>
                <w:lang w:eastAsia="en-AU"/>
              </w:rPr>
            </w:pPr>
            <w:r w:rsidRPr="00805CEC">
              <w:rPr>
                <w:color w:val="FFFFFF" w:themeColor="background1"/>
                <w:sz w:val="20"/>
                <w:szCs w:val="20"/>
                <w:lang w:eastAsia="en-AU"/>
              </w:rPr>
              <w:t>Retention rate</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95%</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3A509A" w:rsidP="009B4704">
            <w:pPr>
              <w:rPr>
                <w:color w:val="000000"/>
                <w:sz w:val="20"/>
                <w:szCs w:val="20"/>
                <w:lang w:eastAsia="en-AU"/>
              </w:rPr>
            </w:pPr>
            <w:r w:rsidRPr="00805CEC">
              <w:rPr>
                <w:color w:val="000000"/>
                <w:sz w:val="20"/>
                <w:szCs w:val="20"/>
                <w:lang w:eastAsia="en-AU"/>
              </w:rPr>
              <w:t>I</w:t>
            </w:r>
            <w:r w:rsidR="009B4704" w:rsidRPr="00805CEC">
              <w:rPr>
                <w:color w:val="000000"/>
                <w:sz w:val="20"/>
                <w:szCs w:val="20"/>
                <w:lang w:eastAsia="en-AU"/>
              </w:rPr>
              <w:t>n future should have different rate for each stage</w:t>
            </w:r>
          </w:p>
        </w:tc>
      </w:tr>
      <w:tr w:rsidR="003A509A" w:rsidRPr="00805CEC" w:rsidTr="00785E5A">
        <w:trPr>
          <w:cnfStyle w:val="000000100000" w:firstRow="0" w:lastRow="0" w:firstColumn="0" w:lastColumn="0" w:oddVBand="0" w:evenVBand="0" w:oddHBand="1" w:evenHBand="0" w:firstRowFirstColumn="0" w:firstRowLastColumn="0" w:lastRowFirstColumn="0" w:lastRowLastColumn="0"/>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9B4704" w:rsidP="00665E8E">
            <w:pPr>
              <w:rPr>
                <w:color w:val="FFFFFF" w:themeColor="background1"/>
                <w:sz w:val="20"/>
                <w:szCs w:val="20"/>
                <w:lang w:eastAsia="en-AU"/>
              </w:rPr>
            </w:pPr>
            <w:r w:rsidRPr="00805CEC">
              <w:rPr>
                <w:color w:val="FFFFFF" w:themeColor="background1"/>
                <w:sz w:val="20"/>
                <w:szCs w:val="20"/>
                <w:lang w:eastAsia="en-AU"/>
              </w:rPr>
              <w:t>Through rate</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77%</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3A509A" w:rsidP="009B4704">
            <w:pPr>
              <w:rPr>
                <w:color w:val="000000"/>
                <w:sz w:val="20"/>
                <w:szCs w:val="20"/>
                <w:lang w:eastAsia="en-AU"/>
              </w:rPr>
            </w:pPr>
            <w:r w:rsidRPr="00805CEC">
              <w:rPr>
                <w:color w:val="000000"/>
                <w:sz w:val="20"/>
                <w:szCs w:val="20"/>
                <w:lang w:eastAsia="en-AU"/>
              </w:rPr>
              <w:t>I</w:t>
            </w:r>
            <w:r w:rsidR="009B4704" w:rsidRPr="00805CEC">
              <w:rPr>
                <w:color w:val="000000"/>
                <w:sz w:val="20"/>
                <w:szCs w:val="20"/>
                <w:lang w:eastAsia="en-AU"/>
              </w:rPr>
              <w:t>f everyone FT and complete in 60 months</w:t>
            </w:r>
          </w:p>
        </w:tc>
      </w:tr>
      <w:tr w:rsidR="003A509A" w:rsidRPr="00805CEC" w:rsidTr="00785E5A">
        <w:trPr>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9B4704" w:rsidP="00665E8E">
            <w:pPr>
              <w:rPr>
                <w:color w:val="FFFFFF" w:themeColor="background1"/>
                <w:sz w:val="20"/>
                <w:szCs w:val="20"/>
                <w:lang w:eastAsia="en-AU"/>
              </w:rPr>
            </w:pPr>
            <w:r w:rsidRPr="00805CEC">
              <w:rPr>
                <w:color w:val="FFFFFF" w:themeColor="background1"/>
                <w:sz w:val="20"/>
                <w:szCs w:val="20"/>
                <w:lang w:eastAsia="en-AU"/>
              </w:rPr>
              <w:t> </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49%</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3A509A" w:rsidP="009B4704">
            <w:pPr>
              <w:rPr>
                <w:color w:val="000000"/>
                <w:sz w:val="20"/>
                <w:szCs w:val="20"/>
                <w:lang w:eastAsia="en-AU"/>
              </w:rPr>
            </w:pPr>
            <w:r w:rsidRPr="00805CEC">
              <w:rPr>
                <w:color w:val="000000"/>
                <w:sz w:val="20"/>
                <w:szCs w:val="20"/>
                <w:lang w:eastAsia="en-AU"/>
              </w:rPr>
              <w:t>A</w:t>
            </w:r>
            <w:r w:rsidR="009B4704" w:rsidRPr="00805CEC">
              <w:rPr>
                <w:color w:val="000000"/>
                <w:sz w:val="20"/>
                <w:szCs w:val="20"/>
                <w:lang w:eastAsia="en-AU"/>
              </w:rPr>
              <w:t>ctual (incorporates PT, waiting for rotation etc.)</w:t>
            </w:r>
          </w:p>
        </w:tc>
      </w:tr>
      <w:tr w:rsidR="00E15E40" w:rsidRPr="00805CEC" w:rsidTr="00785E5A">
        <w:trPr>
          <w:cnfStyle w:val="000000100000" w:firstRow="0" w:lastRow="0" w:firstColumn="0" w:lastColumn="0" w:oddVBand="0" w:evenVBand="0" w:oddHBand="1" w:evenHBand="0" w:firstRowFirstColumn="0" w:firstRowLastColumn="0" w:lastRowFirstColumn="0" w:lastRowLastColumn="0"/>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9B4704" w:rsidP="00665E8E">
            <w:pPr>
              <w:rPr>
                <w:color w:val="FFFFFF" w:themeColor="background1"/>
                <w:sz w:val="20"/>
                <w:szCs w:val="20"/>
                <w:lang w:eastAsia="en-AU"/>
              </w:rPr>
            </w:pPr>
            <w:proofErr w:type="spellStart"/>
            <w:r w:rsidRPr="00805CEC">
              <w:rPr>
                <w:color w:val="FFFFFF" w:themeColor="background1"/>
                <w:sz w:val="20"/>
                <w:szCs w:val="20"/>
                <w:lang w:eastAsia="en-AU"/>
              </w:rPr>
              <w:t>OTS</w:t>
            </w:r>
            <w:proofErr w:type="spellEnd"/>
            <w:r w:rsidRPr="00805CEC">
              <w:rPr>
                <w:color w:val="FFFFFF" w:themeColor="background1"/>
                <w:sz w:val="20"/>
                <w:szCs w:val="20"/>
                <w:lang w:eastAsia="en-AU"/>
              </w:rPr>
              <w:t xml:space="preserve"> trainees</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203</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9B4704">
            <w:pPr>
              <w:rPr>
                <w:color w:val="000000"/>
                <w:sz w:val="20"/>
                <w:szCs w:val="20"/>
                <w:lang w:eastAsia="en-AU"/>
              </w:rPr>
            </w:pPr>
            <w:r w:rsidRPr="00805CEC">
              <w:rPr>
                <w:color w:val="000000"/>
                <w:sz w:val="20"/>
                <w:szCs w:val="20"/>
                <w:lang w:eastAsia="en-AU"/>
              </w:rPr>
              <w:t>Static</w:t>
            </w:r>
            <w:r w:rsidR="00443669" w:rsidRPr="00805CEC">
              <w:rPr>
                <w:color w:val="000000"/>
                <w:sz w:val="20"/>
                <w:szCs w:val="20"/>
                <w:lang w:eastAsia="en-AU"/>
              </w:rPr>
              <w:t xml:space="preserve"> inflow</w:t>
            </w:r>
          </w:p>
        </w:tc>
      </w:tr>
      <w:tr w:rsidR="003A509A" w:rsidRPr="00805CEC" w:rsidTr="00785E5A">
        <w:trPr>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665E8E" w:rsidP="00665E8E">
            <w:pPr>
              <w:rPr>
                <w:i/>
                <w:color w:val="FFFFFF" w:themeColor="background1"/>
                <w:sz w:val="20"/>
                <w:szCs w:val="20"/>
                <w:lang w:eastAsia="en-AU"/>
              </w:rPr>
            </w:pPr>
            <w:r w:rsidRPr="00805CEC">
              <w:rPr>
                <w:i/>
                <w:color w:val="FFFFFF" w:themeColor="background1"/>
                <w:sz w:val="20"/>
                <w:szCs w:val="20"/>
                <w:lang w:eastAsia="en-AU"/>
              </w:rPr>
              <w:tab/>
            </w:r>
            <w:r w:rsidR="009B4704" w:rsidRPr="00805CEC">
              <w:rPr>
                <w:i/>
                <w:color w:val="FFFFFF" w:themeColor="background1"/>
                <w:sz w:val="20"/>
                <w:szCs w:val="20"/>
                <w:lang w:eastAsia="en-AU"/>
              </w:rPr>
              <w:t>Partially comparable</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15%</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3A509A" w:rsidP="009B4704">
            <w:pPr>
              <w:rPr>
                <w:color w:val="000000"/>
                <w:sz w:val="20"/>
                <w:szCs w:val="20"/>
                <w:lang w:eastAsia="en-AU"/>
              </w:rPr>
            </w:pPr>
            <w:r w:rsidRPr="00805CEC">
              <w:rPr>
                <w:color w:val="000000"/>
                <w:sz w:val="20"/>
                <w:szCs w:val="20"/>
                <w:lang w:eastAsia="en-AU"/>
              </w:rPr>
              <w:t>O</w:t>
            </w:r>
            <w:r w:rsidR="009B4704" w:rsidRPr="00805CEC">
              <w:rPr>
                <w:color w:val="000000"/>
                <w:sz w:val="20"/>
                <w:szCs w:val="20"/>
                <w:lang w:eastAsia="en-AU"/>
              </w:rPr>
              <w:t xml:space="preserve">f </w:t>
            </w:r>
            <w:proofErr w:type="spellStart"/>
            <w:r w:rsidR="009B4704" w:rsidRPr="00805CEC">
              <w:rPr>
                <w:color w:val="000000"/>
                <w:sz w:val="20"/>
                <w:szCs w:val="20"/>
                <w:lang w:eastAsia="en-AU"/>
              </w:rPr>
              <w:t>OTS</w:t>
            </w:r>
            <w:proofErr w:type="spellEnd"/>
            <w:r w:rsidR="009B4704" w:rsidRPr="00805CEC">
              <w:rPr>
                <w:color w:val="000000"/>
                <w:sz w:val="20"/>
                <w:szCs w:val="20"/>
                <w:lang w:eastAsia="en-AU"/>
              </w:rPr>
              <w:t xml:space="preserve"> trainees</w:t>
            </w:r>
          </w:p>
        </w:tc>
      </w:tr>
      <w:tr w:rsidR="003A509A" w:rsidRPr="00805CEC" w:rsidTr="00785E5A">
        <w:trPr>
          <w:cnfStyle w:val="000000100000" w:firstRow="0" w:lastRow="0" w:firstColumn="0" w:lastColumn="0" w:oddVBand="0" w:evenVBand="0" w:oddHBand="1" w:evenHBand="0" w:firstRowFirstColumn="0" w:firstRowLastColumn="0" w:lastRowFirstColumn="0" w:lastRowLastColumn="0"/>
          <w:trHeight w:val="255"/>
        </w:trPr>
        <w:tc>
          <w:tcPr>
            <w:tcW w:w="1602" w:type="pct"/>
            <w:tcBorders>
              <w:top w:val="single" w:sz="4" w:space="0" w:color="auto"/>
              <w:left w:val="single" w:sz="4" w:space="0" w:color="auto"/>
              <w:bottom w:val="single" w:sz="4" w:space="0" w:color="auto"/>
              <w:right w:val="single" w:sz="4" w:space="0" w:color="auto"/>
            </w:tcBorders>
            <w:shd w:val="clear" w:color="auto" w:fill="000080"/>
            <w:noWrap/>
            <w:hideMark/>
          </w:tcPr>
          <w:p w:rsidR="009B4704" w:rsidRPr="00805CEC" w:rsidRDefault="00665E8E" w:rsidP="00665E8E">
            <w:pPr>
              <w:rPr>
                <w:i/>
                <w:color w:val="FFFFFF" w:themeColor="background1"/>
                <w:sz w:val="20"/>
                <w:szCs w:val="20"/>
                <w:lang w:eastAsia="en-AU"/>
              </w:rPr>
            </w:pPr>
            <w:r w:rsidRPr="00805CEC">
              <w:rPr>
                <w:i/>
                <w:color w:val="FFFFFF" w:themeColor="background1"/>
                <w:sz w:val="20"/>
                <w:szCs w:val="20"/>
                <w:lang w:eastAsia="en-AU"/>
              </w:rPr>
              <w:tab/>
            </w:r>
            <w:r w:rsidR="009B4704" w:rsidRPr="00805CEC">
              <w:rPr>
                <w:i/>
                <w:color w:val="FFFFFF" w:themeColor="background1"/>
                <w:sz w:val="20"/>
                <w:szCs w:val="20"/>
                <w:lang w:eastAsia="en-AU"/>
              </w:rPr>
              <w:t>Substantially comparable</w:t>
            </w:r>
          </w:p>
        </w:tc>
        <w:tc>
          <w:tcPr>
            <w:tcW w:w="639" w:type="pct"/>
            <w:tcBorders>
              <w:top w:val="single" w:sz="4" w:space="0" w:color="auto"/>
              <w:left w:val="single" w:sz="4" w:space="0" w:color="auto"/>
              <w:bottom w:val="single" w:sz="4" w:space="0" w:color="auto"/>
              <w:right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20%</w:t>
            </w:r>
          </w:p>
        </w:tc>
        <w:tc>
          <w:tcPr>
            <w:tcW w:w="2758" w:type="pct"/>
            <w:tcBorders>
              <w:top w:val="single" w:sz="4" w:space="0" w:color="auto"/>
              <w:left w:val="single" w:sz="4" w:space="0" w:color="auto"/>
              <w:bottom w:val="single" w:sz="4" w:space="0" w:color="auto"/>
              <w:right w:val="single" w:sz="4" w:space="0" w:color="auto"/>
            </w:tcBorders>
            <w:noWrap/>
            <w:hideMark/>
          </w:tcPr>
          <w:p w:rsidR="009B4704" w:rsidRPr="00805CEC" w:rsidRDefault="003A509A" w:rsidP="009B4704">
            <w:pPr>
              <w:rPr>
                <w:color w:val="000000"/>
                <w:sz w:val="20"/>
                <w:szCs w:val="20"/>
                <w:lang w:eastAsia="en-AU"/>
              </w:rPr>
            </w:pPr>
            <w:r w:rsidRPr="00805CEC">
              <w:rPr>
                <w:color w:val="000000"/>
                <w:sz w:val="20"/>
                <w:szCs w:val="20"/>
                <w:lang w:eastAsia="en-AU"/>
              </w:rPr>
              <w:t>O</w:t>
            </w:r>
            <w:r w:rsidR="009B4704" w:rsidRPr="00805CEC">
              <w:rPr>
                <w:color w:val="000000"/>
                <w:sz w:val="20"/>
                <w:szCs w:val="20"/>
                <w:lang w:eastAsia="en-AU"/>
              </w:rPr>
              <w:t xml:space="preserve">f </w:t>
            </w:r>
            <w:proofErr w:type="spellStart"/>
            <w:r w:rsidR="009B4704" w:rsidRPr="00805CEC">
              <w:rPr>
                <w:color w:val="000000"/>
                <w:sz w:val="20"/>
                <w:szCs w:val="20"/>
                <w:lang w:eastAsia="en-AU"/>
              </w:rPr>
              <w:t>OTS</w:t>
            </w:r>
            <w:proofErr w:type="spellEnd"/>
            <w:r w:rsidR="009B4704" w:rsidRPr="00805CEC">
              <w:rPr>
                <w:color w:val="000000"/>
                <w:sz w:val="20"/>
                <w:szCs w:val="20"/>
                <w:lang w:eastAsia="en-AU"/>
              </w:rPr>
              <w:t xml:space="preserve"> trainees</w:t>
            </w:r>
          </w:p>
        </w:tc>
      </w:tr>
      <w:tr w:rsidR="003A509A" w:rsidRPr="00805CEC" w:rsidTr="00785E5A">
        <w:trPr>
          <w:trHeight w:val="255"/>
        </w:trPr>
        <w:tc>
          <w:tcPr>
            <w:tcW w:w="1602" w:type="pct"/>
            <w:tcBorders>
              <w:top w:val="single" w:sz="4" w:space="0" w:color="auto"/>
            </w:tcBorders>
            <w:shd w:val="clear" w:color="auto" w:fill="000080"/>
            <w:noWrap/>
            <w:hideMark/>
          </w:tcPr>
          <w:p w:rsidR="009B4704" w:rsidRPr="00805CEC" w:rsidRDefault="009B4704" w:rsidP="00665E8E">
            <w:pPr>
              <w:rPr>
                <w:color w:val="FFFFFF" w:themeColor="background1"/>
                <w:sz w:val="20"/>
                <w:szCs w:val="20"/>
                <w:lang w:eastAsia="en-AU"/>
              </w:rPr>
            </w:pPr>
            <w:proofErr w:type="spellStart"/>
            <w:r w:rsidRPr="00805CEC">
              <w:rPr>
                <w:color w:val="FFFFFF" w:themeColor="background1"/>
                <w:sz w:val="20"/>
                <w:szCs w:val="20"/>
                <w:lang w:eastAsia="en-AU"/>
              </w:rPr>
              <w:t>OTS</w:t>
            </w:r>
            <w:proofErr w:type="spellEnd"/>
            <w:r w:rsidRPr="00805CEC">
              <w:rPr>
                <w:color w:val="FFFFFF" w:themeColor="background1"/>
                <w:sz w:val="20"/>
                <w:szCs w:val="20"/>
                <w:lang w:eastAsia="en-AU"/>
              </w:rPr>
              <w:t xml:space="preserve"> new fellow</w:t>
            </w:r>
          </w:p>
        </w:tc>
        <w:tc>
          <w:tcPr>
            <w:tcW w:w="639" w:type="pct"/>
            <w:tcBorders>
              <w:top w:val="single" w:sz="4" w:space="0" w:color="auto"/>
            </w:tcBorders>
            <w:noWrap/>
            <w:hideMark/>
          </w:tcPr>
          <w:p w:rsidR="009B4704" w:rsidRPr="00805CEC" w:rsidRDefault="009B4704" w:rsidP="005457FA">
            <w:pPr>
              <w:jc w:val="center"/>
              <w:rPr>
                <w:color w:val="000000"/>
                <w:sz w:val="20"/>
                <w:szCs w:val="20"/>
                <w:lang w:eastAsia="en-AU"/>
              </w:rPr>
            </w:pPr>
            <w:r w:rsidRPr="00805CEC">
              <w:rPr>
                <w:color w:val="000000"/>
                <w:sz w:val="20"/>
                <w:szCs w:val="20"/>
                <w:lang w:eastAsia="en-AU"/>
              </w:rPr>
              <w:t>27%</w:t>
            </w:r>
          </w:p>
        </w:tc>
        <w:tc>
          <w:tcPr>
            <w:tcW w:w="2758" w:type="pct"/>
            <w:tcBorders>
              <w:top w:val="single" w:sz="4" w:space="0" w:color="auto"/>
            </w:tcBorders>
            <w:noWrap/>
            <w:hideMark/>
          </w:tcPr>
          <w:p w:rsidR="009B4704" w:rsidRPr="00805CEC" w:rsidRDefault="009B4704" w:rsidP="009B4704">
            <w:pPr>
              <w:rPr>
                <w:color w:val="000000"/>
                <w:sz w:val="20"/>
                <w:szCs w:val="20"/>
                <w:lang w:eastAsia="en-AU"/>
              </w:rPr>
            </w:pPr>
            <w:r w:rsidRPr="00805CEC">
              <w:rPr>
                <w:color w:val="000000"/>
                <w:sz w:val="20"/>
                <w:szCs w:val="20"/>
                <w:lang w:eastAsia="en-AU"/>
              </w:rPr>
              <w:t xml:space="preserve">% of </w:t>
            </w:r>
            <w:proofErr w:type="spellStart"/>
            <w:r w:rsidRPr="00805CEC">
              <w:rPr>
                <w:color w:val="000000"/>
                <w:sz w:val="20"/>
                <w:szCs w:val="20"/>
                <w:lang w:eastAsia="en-AU"/>
              </w:rPr>
              <w:t>OTS</w:t>
            </w:r>
            <w:proofErr w:type="spellEnd"/>
            <w:r w:rsidRPr="00805CEC">
              <w:rPr>
                <w:color w:val="000000"/>
                <w:sz w:val="20"/>
                <w:szCs w:val="20"/>
                <w:lang w:eastAsia="en-AU"/>
              </w:rPr>
              <w:t xml:space="preserve"> trainees in previous year</w:t>
            </w:r>
          </w:p>
        </w:tc>
      </w:tr>
    </w:tbl>
    <w:p w:rsidR="00B618BE" w:rsidRPr="002E6CA0" w:rsidRDefault="00B618BE" w:rsidP="002E6CA0">
      <w:pPr>
        <w:spacing w:before="120" w:after="120"/>
        <w:rPr>
          <w:szCs w:val="22"/>
        </w:rPr>
      </w:pPr>
      <w:r w:rsidRPr="002E6CA0">
        <w:rPr>
          <w:szCs w:val="22"/>
        </w:rPr>
        <w:t>The two tables (</w:t>
      </w:r>
      <w:r w:rsidR="006F1C32">
        <w:rPr>
          <w:szCs w:val="22"/>
        </w:rPr>
        <w:t>12</w:t>
      </w:r>
      <w:r w:rsidRPr="002E6CA0">
        <w:rPr>
          <w:szCs w:val="22"/>
        </w:rPr>
        <w:t xml:space="preserve"> and </w:t>
      </w:r>
      <w:r w:rsidR="006F1C32">
        <w:rPr>
          <w:szCs w:val="22"/>
        </w:rPr>
        <w:t>13</w:t>
      </w:r>
      <w:r w:rsidRPr="002E6CA0">
        <w:rPr>
          <w:szCs w:val="22"/>
        </w:rPr>
        <w:t xml:space="preserve">) below show the differences between using a static and dynamic method for the new intake each year. </w:t>
      </w:r>
      <w:r w:rsidR="00962F77">
        <w:rPr>
          <w:szCs w:val="22"/>
        </w:rPr>
        <w:t>T</w:t>
      </w:r>
      <w:r w:rsidRPr="002E6CA0">
        <w:rPr>
          <w:szCs w:val="22"/>
        </w:rPr>
        <w:t xml:space="preserve">he static version becomes very linear quite quickly and results in high numbers of new </w:t>
      </w:r>
      <w:r w:rsidR="00DE11D8">
        <w:rPr>
          <w:szCs w:val="22"/>
        </w:rPr>
        <w:t>F</w:t>
      </w:r>
      <w:r w:rsidRPr="002E6CA0">
        <w:rPr>
          <w:szCs w:val="22"/>
        </w:rPr>
        <w:t xml:space="preserve">ellows quite early in the projections. The dynamic version takes a percentage of the total </w:t>
      </w:r>
      <w:proofErr w:type="gramStart"/>
      <w:r w:rsidRPr="002E6CA0">
        <w:rPr>
          <w:szCs w:val="22"/>
        </w:rPr>
        <w:t xml:space="preserve">number of </w:t>
      </w:r>
      <w:r w:rsidR="00DE11D8">
        <w:rPr>
          <w:szCs w:val="22"/>
        </w:rPr>
        <w:t>B</w:t>
      </w:r>
      <w:r w:rsidRPr="002E6CA0">
        <w:rPr>
          <w:szCs w:val="22"/>
        </w:rPr>
        <w:t xml:space="preserve">asic trainees (which </w:t>
      </w:r>
      <w:r w:rsidR="00962F77" w:rsidRPr="002E6CA0">
        <w:rPr>
          <w:szCs w:val="22"/>
        </w:rPr>
        <w:t>ha</w:t>
      </w:r>
      <w:r w:rsidR="00962F77">
        <w:rPr>
          <w:szCs w:val="22"/>
        </w:rPr>
        <w:t>s</w:t>
      </w:r>
      <w:r w:rsidR="00962F77" w:rsidRPr="002E6CA0">
        <w:rPr>
          <w:szCs w:val="22"/>
        </w:rPr>
        <w:t xml:space="preserve"> </w:t>
      </w:r>
      <w:r w:rsidR="00A654B0">
        <w:rPr>
          <w:szCs w:val="22"/>
        </w:rPr>
        <w:t xml:space="preserve">a more historic basis and </w:t>
      </w:r>
      <w:r w:rsidRPr="002E6CA0">
        <w:rPr>
          <w:szCs w:val="22"/>
        </w:rPr>
        <w:t>are</w:t>
      </w:r>
      <w:proofErr w:type="gramEnd"/>
      <w:r w:rsidRPr="002E6CA0">
        <w:rPr>
          <w:szCs w:val="22"/>
        </w:rPr>
        <w:t xml:space="preserve"> projected forward)</w:t>
      </w:r>
      <w:r w:rsidR="00962F77">
        <w:rPr>
          <w:szCs w:val="22"/>
        </w:rPr>
        <w:t>;</w:t>
      </w:r>
      <w:r w:rsidRPr="002E6CA0">
        <w:rPr>
          <w:szCs w:val="22"/>
        </w:rPr>
        <w:t xml:space="preserve"> while it is also linear</w:t>
      </w:r>
      <w:r w:rsidR="00962F77">
        <w:rPr>
          <w:szCs w:val="22"/>
        </w:rPr>
        <w:t>,</w:t>
      </w:r>
      <w:r w:rsidRPr="002E6CA0">
        <w:rPr>
          <w:szCs w:val="22"/>
        </w:rPr>
        <w:t xml:space="preserve"> the number of new </w:t>
      </w:r>
      <w:r w:rsidR="00DE11D8">
        <w:rPr>
          <w:szCs w:val="22"/>
        </w:rPr>
        <w:t>F</w:t>
      </w:r>
      <w:r w:rsidRPr="002E6CA0">
        <w:rPr>
          <w:szCs w:val="22"/>
        </w:rPr>
        <w:t xml:space="preserve">ellows </w:t>
      </w:r>
      <w:r w:rsidR="00962F77">
        <w:rPr>
          <w:szCs w:val="22"/>
        </w:rPr>
        <w:t>has</w:t>
      </w:r>
      <w:r w:rsidR="00962F77" w:rsidRPr="002E6CA0">
        <w:rPr>
          <w:szCs w:val="22"/>
        </w:rPr>
        <w:t xml:space="preserve"> </w:t>
      </w:r>
      <w:r w:rsidR="00443669" w:rsidRPr="002E6CA0">
        <w:rPr>
          <w:szCs w:val="22"/>
        </w:rPr>
        <w:t xml:space="preserve">a </w:t>
      </w:r>
      <w:r w:rsidRPr="002E6CA0">
        <w:rPr>
          <w:szCs w:val="22"/>
        </w:rPr>
        <w:t>more gradual increase. Therefore</w:t>
      </w:r>
      <w:r w:rsidR="00DE11D8">
        <w:rPr>
          <w:szCs w:val="22"/>
        </w:rPr>
        <w:t>,</w:t>
      </w:r>
      <w:r w:rsidRPr="002E6CA0">
        <w:rPr>
          <w:szCs w:val="22"/>
        </w:rPr>
        <w:t xml:space="preserve"> the dynamic pipeline was selected as the preferred option and has been used for the modelling of new </w:t>
      </w:r>
      <w:r w:rsidR="00DE11D8">
        <w:rPr>
          <w:szCs w:val="22"/>
        </w:rPr>
        <w:t>F</w:t>
      </w:r>
      <w:r w:rsidRPr="002E6CA0">
        <w:rPr>
          <w:szCs w:val="22"/>
        </w:rPr>
        <w:t>ellows to 2030. The following observations of the trainee pipeline have been made on the dynamic version:</w:t>
      </w:r>
    </w:p>
    <w:p w:rsidR="000F347C" w:rsidRPr="0090788F" w:rsidRDefault="000F347C" w:rsidP="00D510F1">
      <w:pPr>
        <w:numPr>
          <w:ilvl w:val="0"/>
          <w:numId w:val="3"/>
        </w:numPr>
        <w:spacing w:before="120" w:after="120"/>
        <w:ind w:left="426" w:hanging="426"/>
        <w:rPr>
          <w:szCs w:val="22"/>
        </w:rPr>
      </w:pPr>
      <w:r w:rsidRPr="0090788F">
        <w:rPr>
          <w:szCs w:val="22"/>
        </w:rPr>
        <w:t xml:space="preserve">The </w:t>
      </w:r>
      <w:r w:rsidR="00DE11D8">
        <w:rPr>
          <w:szCs w:val="22"/>
        </w:rPr>
        <w:t>n</w:t>
      </w:r>
      <w:r w:rsidRPr="0090788F">
        <w:rPr>
          <w:szCs w:val="22"/>
        </w:rPr>
        <w:t>ew intake is solely those that have entered stage 1/basic training and have</w:t>
      </w:r>
      <w:r w:rsidR="00962F77">
        <w:rPr>
          <w:szCs w:val="22"/>
        </w:rPr>
        <w:t xml:space="preserve"> </w:t>
      </w:r>
      <w:r w:rsidRPr="0090788F">
        <w:rPr>
          <w:szCs w:val="22"/>
        </w:rPr>
        <w:t>n</w:t>
      </w:r>
      <w:r w:rsidR="00962F77">
        <w:rPr>
          <w:szCs w:val="22"/>
        </w:rPr>
        <w:t>o</w:t>
      </w:r>
      <w:r w:rsidRPr="0090788F">
        <w:rPr>
          <w:szCs w:val="22"/>
        </w:rPr>
        <w:t>t been carried over from the previous year.</w:t>
      </w:r>
    </w:p>
    <w:p w:rsidR="000F347C" w:rsidRPr="0090788F" w:rsidRDefault="000F347C" w:rsidP="00D510F1">
      <w:pPr>
        <w:numPr>
          <w:ilvl w:val="0"/>
          <w:numId w:val="3"/>
        </w:numPr>
        <w:spacing w:before="120" w:after="120"/>
        <w:ind w:left="426" w:hanging="426"/>
        <w:rPr>
          <w:szCs w:val="22"/>
        </w:rPr>
      </w:pPr>
      <w:r w:rsidRPr="0090788F">
        <w:rPr>
          <w:szCs w:val="22"/>
        </w:rPr>
        <w:t>Almost as many start in the first year as they do carry over</w:t>
      </w:r>
      <w:r w:rsidR="00B618BE" w:rsidRPr="0090788F">
        <w:rPr>
          <w:szCs w:val="22"/>
        </w:rPr>
        <w:t xml:space="preserve"> from the previous year</w:t>
      </w:r>
      <w:r w:rsidRPr="0090788F">
        <w:rPr>
          <w:szCs w:val="22"/>
        </w:rPr>
        <w:t>, but the vast majority move into the next stage of training</w:t>
      </w:r>
      <w:r w:rsidR="00443669" w:rsidRPr="0090788F">
        <w:rPr>
          <w:szCs w:val="22"/>
        </w:rPr>
        <w:t>.</w:t>
      </w:r>
    </w:p>
    <w:p w:rsidR="000F347C" w:rsidRPr="0090788F" w:rsidRDefault="000F347C" w:rsidP="00D510F1">
      <w:pPr>
        <w:numPr>
          <w:ilvl w:val="0"/>
          <w:numId w:val="3"/>
        </w:numPr>
        <w:spacing w:before="120" w:after="120"/>
        <w:ind w:left="426" w:hanging="426"/>
        <w:rPr>
          <w:szCs w:val="22"/>
        </w:rPr>
      </w:pPr>
      <w:r w:rsidRPr="0090788F">
        <w:rPr>
          <w:szCs w:val="22"/>
        </w:rPr>
        <w:t>There is a relatively high retention rate throughout all the training stages, and as the data improves we will be able to calculate a retention rate for each stage movement.</w:t>
      </w:r>
    </w:p>
    <w:p w:rsidR="000F347C" w:rsidRPr="0090788F" w:rsidRDefault="000F347C" w:rsidP="00D510F1">
      <w:pPr>
        <w:numPr>
          <w:ilvl w:val="0"/>
          <w:numId w:val="3"/>
        </w:numPr>
        <w:spacing w:before="120" w:after="120"/>
        <w:ind w:left="426" w:hanging="426"/>
        <w:rPr>
          <w:szCs w:val="22"/>
        </w:rPr>
      </w:pPr>
      <w:r w:rsidRPr="0090788F">
        <w:rPr>
          <w:szCs w:val="22"/>
        </w:rPr>
        <w:t xml:space="preserve">As indicated by the </w:t>
      </w:r>
      <w:r w:rsidR="00962F77">
        <w:rPr>
          <w:szCs w:val="22"/>
        </w:rPr>
        <w:t>C</w:t>
      </w:r>
      <w:r w:rsidR="00962F77" w:rsidRPr="0090788F">
        <w:rPr>
          <w:szCs w:val="22"/>
        </w:rPr>
        <w:t>ollege</w:t>
      </w:r>
      <w:r w:rsidR="00962F77">
        <w:rPr>
          <w:szCs w:val="22"/>
        </w:rPr>
        <w:t>,</w:t>
      </w:r>
      <w:r w:rsidR="00962F77" w:rsidRPr="0090788F">
        <w:rPr>
          <w:szCs w:val="22"/>
        </w:rPr>
        <w:t xml:space="preserve"> </w:t>
      </w:r>
      <w:r w:rsidRPr="0090788F">
        <w:rPr>
          <w:szCs w:val="22"/>
        </w:rPr>
        <w:t xml:space="preserve">trainees are not finishing the program within </w:t>
      </w:r>
      <w:r w:rsidR="00962F77">
        <w:rPr>
          <w:szCs w:val="22"/>
        </w:rPr>
        <w:t xml:space="preserve">a </w:t>
      </w:r>
      <w:r w:rsidRPr="0090788F">
        <w:rPr>
          <w:szCs w:val="22"/>
        </w:rPr>
        <w:t>60 month timeframe but on average a</w:t>
      </w:r>
      <w:r w:rsidR="00B618BE" w:rsidRPr="0090788F">
        <w:rPr>
          <w:szCs w:val="22"/>
        </w:rPr>
        <w:t>re finishing within 6.1 years</w:t>
      </w:r>
      <w:r w:rsidR="00083774" w:rsidRPr="0090788F">
        <w:rPr>
          <w:szCs w:val="22"/>
        </w:rPr>
        <w:t>.</w:t>
      </w:r>
      <w:r w:rsidR="00B618BE" w:rsidRPr="0090788F">
        <w:rPr>
          <w:szCs w:val="22"/>
        </w:rPr>
        <w:t xml:space="preserve"> </w:t>
      </w:r>
      <w:r w:rsidR="00083774" w:rsidRPr="0090788F">
        <w:rPr>
          <w:szCs w:val="22"/>
        </w:rPr>
        <w:t>If those that train part time and/or take a break in training are removed from the dataset, the median shifts to slightly less; 5.9 years. Up to 30 per cent of trainees finish between 5 to 5.5 years and approximately 47% take either a break in training or train part time. Therefore</w:t>
      </w:r>
      <w:r w:rsidR="00DE11D8">
        <w:rPr>
          <w:szCs w:val="22"/>
        </w:rPr>
        <w:t>,</w:t>
      </w:r>
      <w:r w:rsidR="00083774" w:rsidRPr="0090788F">
        <w:rPr>
          <w:szCs w:val="22"/>
        </w:rPr>
        <w:t xml:space="preserve"> this gives an insight into why the through rate is so low</w:t>
      </w:r>
      <w:r w:rsidR="00962F77">
        <w:rPr>
          <w:szCs w:val="22"/>
        </w:rPr>
        <w:t>,</w:t>
      </w:r>
      <w:r w:rsidR="00A320AE" w:rsidRPr="0090788F">
        <w:rPr>
          <w:szCs w:val="22"/>
        </w:rPr>
        <w:t xml:space="preserve"> at</w:t>
      </w:r>
      <w:r w:rsidR="00083774" w:rsidRPr="0090788F">
        <w:rPr>
          <w:szCs w:val="22"/>
        </w:rPr>
        <w:t xml:space="preserve"> approximately </w:t>
      </w:r>
      <w:r w:rsidR="00B618BE" w:rsidRPr="0090788F">
        <w:rPr>
          <w:szCs w:val="22"/>
        </w:rPr>
        <w:t>49 per cent</w:t>
      </w:r>
      <w:r w:rsidRPr="0090788F">
        <w:rPr>
          <w:szCs w:val="22"/>
        </w:rPr>
        <w:t>.</w:t>
      </w:r>
    </w:p>
    <w:p w:rsidR="000F347C" w:rsidRPr="0090788F" w:rsidRDefault="000F347C" w:rsidP="00D510F1">
      <w:pPr>
        <w:numPr>
          <w:ilvl w:val="0"/>
          <w:numId w:val="3"/>
        </w:numPr>
        <w:spacing w:before="120" w:after="120"/>
        <w:ind w:left="426" w:hanging="426"/>
        <w:rPr>
          <w:szCs w:val="22"/>
        </w:rPr>
      </w:pPr>
      <w:r w:rsidRPr="0090788F">
        <w:rPr>
          <w:szCs w:val="22"/>
        </w:rPr>
        <w:t xml:space="preserve">The </w:t>
      </w:r>
      <w:proofErr w:type="spellStart"/>
      <w:r w:rsidRPr="0090788F">
        <w:rPr>
          <w:szCs w:val="22"/>
        </w:rPr>
        <w:t>OTS</w:t>
      </w:r>
      <w:proofErr w:type="spellEnd"/>
      <w:r w:rsidRPr="0090788F">
        <w:rPr>
          <w:szCs w:val="22"/>
        </w:rPr>
        <w:t xml:space="preserve"> trainees are those that do</w:t>
      </w:r>
      <w:r w:rsidR="002068F2">
        <w:rPr>
          <w:szCs w:val="22"/>
        </w:rPr>
        <w:t xml:space="preserve"> </w:t>
      </w:r>
      <w:r w:rsidRPr="0090788F">
        <w:rPr>
          <w:szCs w:val="22"/>
        </w:rPr>
        <w:t>n</w:t>
      </w:r>
      <w:r w:rsidR="002068F2">
        <w:rPr>
          <w:szCs w:val="22"/>
        </w:rPr>
        <w:t>o</w:t>
      </w:r>
      <w:r w:rsidRPr="0090788F">
        <w:rPr>
          <w:szCs w:val="22"/>
        </w:rPr>
        <w:t>t have to go through the whole training program, but</w:t>
      </w:r>
      <w:r w:rsidR="00E072A4" w:rsidRPr="0090788F">
        <w:rPr>
          <w:szCs w:val="22"/>
        </w:rPr>
        <w:t xml:space="preserve"> may be required to do a part of the training program, undertake supervised practice, </w:t>
      </w:r>
      <w:proofErr w:type="spellStart"/>
      <w:r w:rsidR="00E072A4" w:rsidRPr="0090788F">
        <w:rPr>
          <w:szCs w:val="22"/>
        </w:rPr>
        <w:t>CPD</w:t>
      </w:r>
      <w:proofErr w:type="spellEnd"/>
      <w:r w:rsidR="00E072A4" w:rsidRPr="0090788F">
        <w:rPr>
          <w:szCs w:val="22"/>
        </w:rPr>
        <w:t xml:space="preserve">, or any other assessment requirements of the </w:t>
      </w:r>
      <w:r w:rsidR="002068F2">
        <w:rPr>
          <w:szCs w:val="22"/>
        </w:rPr>
        <w:t>C</w:t>
      </w:r>
      <w:r w:rsidR="002068F2" w:rsidRPr="0090788F">
        <w:rPr>
          <w:szCs w:val="22"/>
        </w:rPr>
        <w:t>ollege</w:t>
      </w:r>
      <w:r w:rsidRPr="0090788F">
        <w:rPr>
          <w:szCs w:val="22"/>
        </w:rPr>
        <w:t>.</w:t>
      </w:r>
    </w:p>
    <w:p w:rsidR="000F347C" w:rsidRPr="00EC654C" w:rsidRDefault="000F347C" w:rsidP="00D510F1">
      <w:pPr>
        <w:numPr>
          <w:ilvl w:val="1"/>
          <w:numId w:val="3"/>
        </w:numPr>
        <w:spacing w:before="120" w:after="120"/>
        <w:ind w:left="851" w:hanging="425"/>
        <w:rPr>
          <w:szCs w:val="22"/>
        </w:rPr>
      </w:pPr>
      <w:r w:rsidRPr="00EC654C">
        <w:rPr>
          <w:szCs w:val="22"/>
        </w:rPr>
        <w:t>Th</w:t>
      </w:r>
      <w:r w:rsidR="00E072A4" w:rsidRPr="00EC654C">
        <w:rPr>
          <w:szCs w:val="22"/>
        </w:rPr>
        <w:t xml:space="preserve">e number of </w:t>
      </w:r>
      <w:proofErr w:type="spellStart"/>
      <w:r w:rsidR="00E072A4" w:rsidRPr="00EC654C">
        <w:rPr>
          <w:szCs w:val="22"/>
        </w:rPr>
        <w:t>OTS</w:t>
      </w:r>
      <w:r w:rsidR="00DE11D8">
        <w:rPr>
          <w:szCs w:val="22"/>
        </w:rPr>
        <w:t>s</w:t>
      </w:r>
      <w:proofErr w:type="spellEnd"/>
      <w:r w:rsidR="00E072A4" w:rsidRPr="00EC654C">
        <w:rPr>
          <w:szCs w:val="22"/>
        </w:rPr>
        <w:t xml:space="preserve"> </w:t>
      </w:r>
      <w:r w:rsidRPr="00EC654C">
        <w:rPr>
          <w:szCs w:val="22"/>
        </w:rPr>
        <w:t xml:space="preserve">is an average of the last 2 years </w:t>
      </w:r>
      <w:r w:rsidR="00E072A4" w:rsidRPr="00EC654C">
        <w:rPr>
          <w:szCs w:val="22"/>
        </w:rPr>
        <w:t xml:space="preserve">– </w:t>
      </w:r>
      <w:r w:rsidR="002068F2">
        <w:rPr>
          <w:szCs w:val="22"/>
        </w:rPr>
        <w:t>the analysis</w:t>
      </w:r>
      <w:r w:rsidR="002068F2" w:rsidRPr="00EC654C">
        <w:rPr>
          <w:szCs w:val="22"/>
        </w:rPr>
        <w:t xml:space="preserve"> </w:t>
      </w:r>
      <w:r w:rsidR="00E072A4" w:rsidRPr="00EC654C">
        <w:rPr>
          <w:szCs w:val="22"/>
        </w:rPr>
        <w:t xml:space="preserve">will improve with time </w:t>
      </w:r>
      <w:r w:rsidR="002068F2">
        <w:rPr>
          <w:szCs w:val="22"/>
        </w:rPr>
        <w:t>and as</w:t>
      </w:r>
      <w:r w:rsidR="002068F2" w:rsidRPr="00EC654C">
        <w:rPr>
          <w:szCs w:val="22"/>
        </w:rPr>
        <w:t xml:space="preserve"> </w:t>
      </w:r>
      <w:r w:rsidR="00E072A4" w:rsidRPr="00EC654C">
        <w:rPr>
          <w:szCs w:val="22"/>
        </w:rPr>
        <w:t>we have more data points.</w:t>
      </w:r>
    </w:p>
    <w:p w:rsidR="000F347C" w:rsidRPr="00EC654C" w:rsidRDefault="00E072A4" w:rsidP="00D510F1">
      <w:pPr>
        <w:numPr>
          <w:ilvl w:val="1"/>
          <w:numId w:val="3"/>
        </w:numPr>
        <w:spacing w:before="120" w:after="120"/>
        <w:ind w:left="851" w:hanging="425"/>
        <w:rPr>
          <w:szCs w:val="22"/>
        </w:rPr>
      </w:pPr>
      <w:r w:rsidRPr="00EC654C">
        <w:rPr>
          <w:szCs w:val="22"/>
        </w:rPr>
        <w:t xml:space="preserve">Data from the </w:t>
      </w:r>
      <w:proofErr w:type="spellStart"/>
      <w:r w:rsidR="000F347C" w:rsidRPr="00EC654C">
        <w:rPr>
          <w:szCs w:val="22"/>
        </w:rPr>
        <w:t>MTRP</w:t>
      </w:r>
      <w:proofErr w:type="spellEnd"/>
      <w:r w:rsidR="000F347C" w:rsidRPr="00EC654C">
        <w:rPr>
          <w:szCs w:val="22"/>
        </w:rPr>
        <w:t xml:space="preserve"> </w:t>
      </w:r>
      <w:r w:rsidR="00A320AE" w:rsidRPr="00EC654C">
        <w:rPr>
          <w:szCs w:val="22"/>
        </w:rPr>
        <w:t>(C</w:t>
      </w:r>
      <w:r w:rsidRPr="00EC654C">
        <w:rPr>
          <w:szCs w:val="22"/>
        </w:rPr>
        <w:t xml:space="preserve">hapter 5) reports </w:t>
      </w:r>
      <w:r w:rsidR="000F347C" w:rsidRPr="00EC654C">
        <w:rPr>
          <w:szCs w:val="22"/>
        </w:rPr>
        <w:t>the number of substantially and partially comparable</w:t>
      </w:r>
      <w:r w:rsidRPr="00EC654C">
        <w:rPr>
          <w:szCs w:val="22"/>
        </w:rPr>
        <w:t xml:space="preserve"> </w:t>
      </w:r>
      <w:proofErr w:type="spellStart"/>
      <w:r w:rsidR="002068F2">
        <w:rPr>
          <w:szCs w:val="22"/>
        </w:rPr>
        <w:t>OTS</w:t>
      </w:r>
      <w:proofErr w:type="spellEnd"/>
      <w:r w:rsidR="002068F2">
        <w:rPr>
          <w:szCs w:val="22"/>
        </w:rPr>
        <w:t xml:space="preserve">, </w:t>
      </w:r>
      <w:r w:rsidRPr="00EC654C">
        <w:rPr>
          <w:szCs w:val="22"/>
        </w:rPr>
        <w:t>which</w:t>
      </w:r>
      <w:r w:rsidR="000F347C" w:rsidRPr="00EC654C">
        <w:rPr>
          <w:szCs w:val="22"/>
        </w:rPr>
        <w:t xml:space="preserve"> are considered </w:t>
      </w:r>
      <w:r w:rsidRPr="00EC654C">
        <w:rPr>
          <w:szCs w:val="22"/>
        </w:rPr>
        <w:t xml:space="preserve">to be the new inflows into the </w:t>
      </w:r>
      <w:proofErr w:type="spellStart"/>
      <w:r w:rsidRPr="00EC654C">
        <w:rPr>
          <w:szCs w:val="22"/>
        </w:rPr>
        <w:t>OTS</w:t>
      </w:r>
      <w:proofErr w:type="spellEnd"/>
      <w:r w:rsidRPr="00EC654C">
        <w:rPr>
          <w:szCs w:val="22"/>
        </w:rPr>
        <w:t xml:space="preserve"> trainee pool. </w:t>
      </w:r>
    </w:p>
    <w:p w:rsidR="000F347C" w:rsidRDefault="00E072A4" w:rsidP="00D510F1">
      <w:pPr>
        <w:numPr>
          <w:ilvl w:val="1"/>
          <w:numId w:val="3"/>
        </w:numPr>
        <w:spacing w:before="120" w:after="120"/>
        <w:ind w:left="851" w:hanging="425"/>
        <w:rPr>
          <w:szCs w:val="22"/>
        </w:rPr>
      </w:pPr>
      <w:r w:rsidRPr="00EC654C">
        <w:rPr>
          <w:szCs w:val="22"/>
        </w:rPr>
        <w:t xml:space="preserve">The subsequent </w:t>
      </w:r>
      <w:r w:rsidR="00083774" w:rsidRPr="00EC654C">
        <w:rPr>
          <w:szCs w:val="22"/>
        </w:rPr>
        <w:t xml:space="preserve">outflow from this </w:t>
      </w:r>
      <w:proofErr w:type="spellStart"/>
      <w:r w:rsidR="00083774" w:rsidRPr="00EC654C">
        <w:rPr>
          <w:szCs w:val="22"/>
        </w:rPr>
        <w:t>OTS</w:t>
      </w:r>
      <w:proofErr w:type="spellEnd"/>
      <w:r w:rsidR="00083774" w:rsidRPr="00EC654C">
        <w:rPr>
          <w:szCs w:val="22"/>
        </w:rPr>
        <w:t xml:space="preserve"> trainee pool </w:t>
      </w:r>
      <w:r w:rsidR="002068F2">
        <w:rPr>
          <w:szCs w:val="22"/>
        </w:rPr>
        <w:t>is</w:t>
      </w:r>
      <w:r w:rsidR="002068F2" w:rsidRPr="00EC654C">
        <w:rPr>
          <w:szCs w:val="22"/>
        </w:rPr>
        <w:t xml:space="preserve"> </w:t>
      </w:r>
      <w:r w:rsidR="00083774" w:rsidRPr="00EC654C">
        <w:rPr>
          <w:szCs w:val="22"/>
        </w:rPr>
        <w:t xml:space="preserve">those that then become new </w:t>
      </w:r>
      <w:r w:rsidR="002068F2">
        <w:rPr>
          <w:szCs w:val="22"/>
        </w:rPr>
        <w:t>F</w:t>
      </w:r>
      <w:r w:rsidR="002068F2" w:rsidRPr="00EC654C">
        <w:rPr>
          <w:szCs w:val="22"/>
        </w:rPr>
        <w:t>ellows</w:t>
      </w:r>
      <w:r w:rsidR="00083774" w:rsidRPr="00EC654C">
        <w:rPr>
          <w:szCs w:val="22"/>
        </w:rPr>
        <w:t xml:space="preserve">, provided through the </w:t>
      </w:r>
      <w:proofErr w:type="spellStart"/>
      <w:r w:rsidR="00083774" w:rsidRPr="00EC654C">
        <w:rPr>
          <w:szCs w:val="22"/>
        </w:rPr>
        <w:t>MTRP</w:t>
      </w:r>
      <w:proofErr w:type="spellEnd"/>
      <w:r w:rsidR="00083774" w:rsidRPr="00EC654C">
        <w:rPr>
          <w:szCs w:val="22"/>
        </w:rPr>
        <w:t xml:space="preserve"> report.</w:t>
      </w:r>
    </w:p>
    <w:p w:rsidR="00741B1C" w:rsidRPr="00EC654C" w:rsidRDefault="00741B1C" w:rsidP="00D510F1">
      <w:pPr>
        <w:numPr>
          <w:ilvl w:val="1"/>
          <w:numId w:val="3"/>
        </w:numPr>
        <w:spacing w:before="120" w:after="120"/>
        <w:ind w:left="851" w:hanging="425"/>
        <w:rPr>
          <w:szCs w:val="22"/>
        </w:rPr>
      </w:pPr>
      <w:r>
        <w:rPr>
          <w:szCs w:val="22"/>
        </w:rPr>
        <w:lastRenderedPageBreak/>
        <w:t xml:space="preserve">Given the total </w:t>
      </w:r>
      <w:proofErr w:type="spellStart"/>
      <w:r>
        <w:rPr>
          <w:szCs w:val="22"/>
        </w:rPr>
        <w:t>OTS</w:t>
      </w:r>
      <w:proofErr w:type="spellEnd"/>
      <w:r>
        <w:rPr>
          <w:szCs w:val="22"/>
        </w:rPr>
        <w:t xml:space="preserve"> trainee pool remains constant over the projection period the number of </w:t>
      </w:r>
      <w:proofErr w:type="spellStart"/>
      <w:r>
        <w:rPr>
          <w:szCs w:val="22"/>
        </w:rPr>
        <w:t>OTS</w:t>
      </w:r>
      <w:proofErr w:type="spellEnd"/>
      <w:r>
        <w:rPr>
          <w:szCs w:val="22"/>
        </w:rPr>
        <w:t xml:space="preserve"> new fellows are static. </w:t>
      </w:r>
    </w:p>
    <w:p w:rsidR="00083774" w:rsidRPr="0090788F" w:rsidRDefault="000F347C" w:rsidP="00D510F1">
      <w:pPr>
        <w:numPr>
          <w:ilvl w:val="0"/>
          <w:numId w:val="3"/>
        </w:numPr>
        <w:spacing w:before="120" w:after="120"/>
        <w:ind w:left="357" w:hanging="357"/>
        <w:rPr>
          <w:szCs w:val="22"/>
        </w:rPr>
      </w:pPr>
      <w:r w:rsidRPr="0090788F">
        <w:rPr>
          <w:szCs w:val="22"/>
        </w:rPr>
        <w:t>The remaining trainees that have not successfully moved to the next stage of training are assumed to be in the same stage the following year</w:t>
      </w:r>
      <w:r w:rsidR="00083774" w:rsidRPr="0090788F">
        <w:rPr>
          <w:szCs w:val="22"/>
        </w:rPr>
        <w:t>.</w:t>
      </w:r>
    </w:p>
    <w:p w:rsidR="000F347C" w:rsidRPr="0090788F" w:rsidRDefault="000F347C" w:rsidP="00D510F1">
      <w:pPr>
        <w:numPr>
          <w:ilvl w:val="0"/>
          <w:numId w:val="3"/>
        </w:numPr>
        <w:spacing w:before="120" w:after="120"/>
        <w:ind w:left="357" w:hanging="357"/>
        <w:rPr>
          <w:szCs w:val="22"/>
        </w:rPr>
      </w:pPr>
      <w:r w:rsidRPr="0090788F">
        <w:rPr>
          <w:szCs w:val="22"/>
        </w:rPr>
        <w:t xml:space="preserve">The number of </w:t>
      </w:r>
      <w:r w:rsidR="00DE11D8">
        <w:rPr>
          <w:szCs w:val="22"/>
        </w:rPr>
        <w:t>B</w:t>
      </w:r>
      <w:r w:rsidRPr="0090788F">
        <w:rPr>
          <w:szCs w:val="22"/>
        </w:rPr>
        <w:t xml:space="preserve">asic and </w:t>
      </w:r>
      <w:r w:rsidR="00DE11D8">
        <w:rPr>
          <w:szCs w:val="22"/>
        </w:rPr>
        <w:t>A</w:t>
      </w:r>
      <w:r w:rsidRPr="0090788F">
        <w:rPr>
          <w:szCs w:val="22"/>
        </w:rPr>
        <w:t>dvanced trainees has grown steadily between 2009 and 2014, on average 5.9</w:t>
      </w:r>
      <w:r w:rsidR="00A320AE" w:rsidRPr="0090788F">
        <w:rPr>
          <w:szCs w:val="22"/>
        </w:rPr>
        <w:t xml:space="preserve"> per cent</w:t>
      </w:r>
      <w:r w:rsidRPr="0090788F">
        <w:rPr>
          <w:szCs w:val="22"/>
        </w:rPr>
        <w:t xml:space="preserve"> </w:t>
      </w:r>
      <w:r w:rsidR="00083774" w:rsidRPr="0090788F">
        <w:rPr>
          <w:szCs w:val="22"/>
        </w:rPr>
        <w:t>and 6.3</w:t>
      </w:r>
      <w:r w:rsidR="00A320AE" w:rsidRPr="0090788F">
        <w:rPr>
          <w:szCs w:val="22"/>
        </w:rPr>
        <w:t xml:space="preserve"> per cent</w:t>
      </w:r>
      <w:r w:rsidR="00083774" w:rsidRPr="0090788F">
        <w:rPr>
          <w:szCs w:val="22"/>
        </w:rPr>
        <w:t xml:space="preserve"> per annum respectively</w:t>
      </w:r>
      <w:r w:rsidRPr="0090788F">
        <w:rPr>
          <w:szCs w:val="22"/>
        </w:rPr>
        <w:t>.</w:t>
      </w:r>
    </w:p>
    <w:p w:rsidR="00083774" w:rsidRPr="00DC0BBE" w:rsidRDefault="00083774" w:rsidP="00D510F1">
      <w:pPr>
        <w:pStyle w:val="ListParagraph"/>
        <w:numPr>
          <w:ilvl w:val="0"/>
          <w:numId w:val="2"/>
        </w:numPr>
        <w:tabs>
          <w:tab w:val="left" w:pos="567"/>
        </w:tabs>
        <w:spacing w:before="120" w:after="120"/>
        <w:rPr>
          <w:rFonts w:ascii="Arial" w:hAnsi="Arial" w:cs="Arial"/>
          <w:szCs w:val="22"/>
        </w:rPr>
        <w:sectPr w:rsidR="00083774" w:rsidRPr="00DC0BBE" w:rsidSect="00227D87">
          <w:headerReference w:type="even" r:id="rId33"/>
          <w:headerReference w:type="default" r:id="rId34"/>
          <w:headerReference w:type="first" r:id="rId35"/>
          <w:footerReference w:type="first" r:id="rId36"/>
          <w:pgSz w:w="11906" w:h="16838"/>
          <w:pgMar w:top="1247" w:right="1440" w:bottom="1247" w:left="1440" w:header="709" w:footer="709" w:gutter="0"/>
          <w:pgNumType w:start="1"/>
          <w:cols w:space="708"/>
          <w:docGrid w:linePitch="360"/>
        </w:sectPr>
      </w:pPr>
    </w:p>
    <w:p w:rsidR="00F46C56" w:rsidRPr="00296E67" w:rsidRDefault="00F46C56" w:rsidP="00B831A8">
      <w:pPr>
        <w:pStyle w:val="Heading4"/>
      </w:pPr>
      <w:r w:rsidRPr="00296E67">
        <w:lastRenderedPageBreak/>
        <w:t xml:space="preserve">Table </w:t>
      </w:r>
      <w:fldSimple w:instr=" SEQ Table \* ARABIC ">
        <w:r w:rsidR="00A34F47" w:rsidRPr="00296E67">
          <w:rPr>
            <w:noProof/>
          </w:rPr>
          <w:t>12</w:t>
        </w:r>
      </w:fldSimple>
      <w:r w:rsidRPr="00296E67">
        <w:t xml:space="preserve"> </w:t>
      </w:r>
      <w:r w:rsidR="00FB4A07" w:rsidRPr="00296E67">
        <w:t>–</w:t>
      </w:r>
      <w:r w:rsidRPr="00296E67">
        <w:t xml:space="preserve"> Static trainee pipeline analysis, 20</w:t>
      </w:r>
      <w:r w:rsidR="005D6BAA" w:rsidRPr="00296E67">
        <w:t xml:space="preserve">09 – </w:t>
      </w:r>
      <w:r w:rsidRPr="00296E67">
        <w:t>2030</w:t>
      </w:r>
    </w:p>
    <w:tbl>
      <w:tblPr>
        <w:tblW w:w="15254" w:type="dxa"/>
        <w:tblInd w:w="108" w:type="dxa"/>
        <w:tblLayout w:type="fixed"/>
        <w:tblLook w:val="04A0" w:firstRow="1" w:lastRow="0" w:firstColumn="1" w:lastColumn="0" w:noHBand="0" w:noVBand="1"/>
        <w:tblCaption w:val="Table 12: Static trainee pipeline analysis"/>
        <w:tblDescription w:val="Table 12 and Table 13 show the differences between using a static and dynamic method for the new intake for each year. The static version in this table projects a total of 182 new fellowas by 2030."/>
      </w:tblPr>
      <w:tblGrid>
        <w:gridCol w:w="1134"/>
        <w:gridCol w:w="1134"/>
        <w:gridCol w:w="567"/>
        <w:gridCol w:w="482"/>
        <w:gridCol w:w="511"/>
        <w:gridCol w:w="567"/>
        <w:gridCol w:w="528"/>
        <w:gridCol w:w="482"/>
        <w:gridCol w:w="482"/>
        <w:gridCol w:w="482"/>
        <w:gridCol w:w="482"/>
        <w:gridCol w:w="528"/>
        <w:gridCol w:w="528"/>
        <w:gridCol w:w="528"/>
        <w:gridCol w:w="528"/>
        <w:gridCol w:w="528"/>
        <w:gridCol w:w="528"/>
        <w:gridCol w:w="485"/>
        <w:gridCol w:w="485"/>
        <w:gridCol w:w="485"/>
        <w:gridCol w:w="485"/>
        <w:gridCol w:w="485"/>
        <w:gridCol w:w="485"/>
        <w:gridCol w:w="624"/>
        <w:gridCol w:w="567"/>
        <w:gridCol w:w="567"/>
        <w:gridCol w:w="567"/>
      </w:tblGrid>
      <w:tr w:rsidR="00FB4A07" w:rsidRPr="00FA3A49" w:rsidTr="00FA3A49">
        <w:trPr>
          <w:cantSplit/>
          <w:trHeight w:val="607"/>
        </w:trPr>
        <w:tc>
          <w:tcPr>
            <w:tcW w:w="1134" w:type="dxa"/>
            <w:tcBorders>
              <w:top w:val="single" w:sz="8" w:space="0" w:color="auto"/>
              <w:left w:val="single" w:sz="8" w:space="0" w:color="auto"/>
              <w:bottom w:val="single" w:sz="8" w:space="0" w:color="auto"/>
              <w:right w:val="nil"/>
            </w:tcBorders>
            <w:shd w:val="clear" w:color="000000" w:fill="D9D9D9"/>
            <w:noWrap/>
            <w:vAlign w:val="bottom"/>
            <w:hideMark/>
          </w:tcPr>
          <w:p w:rsidR="005D6BAA" w:rsidRPr="00FA3A49" w:rsidRDefault="005D6BAA" w:rsidP="005D6BAA">
            <w:pPr>
              <w:rPr>
                <w:b/>
                <w:bCs/>
                <w:color w:val="000000"/>
                <w:sz w:val="14"/>
                <w:szCs w:val="20"/>
                <w:lang w:eastAsia="en-AU"/>
              </w:rPr>
            </w:pPr>
            <w:bookmarkStart w:id="37" w:name="_Ref410638575"/>
            <w:r w:rsidRPr="00FA3A49">
              <w:rPr>
                <w:b/>
                <w:bCs/>
                <w:color w:val="000000"/>
                <w:sz w:val="14"/>
                <w:szCs w:val="20"/>
                <w:lang w:eastAsia="en-AU"/>
              </w:rPr>
              <w:t>2003 program</w:t>
            </w:r>
          </w:p>
        </w:tc>
        <w:tc>
          <w:tcPr>
            <w:tcW w:w="1134"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5D6BAA" w:rsidRPr="00FA3A49" w:rsidRDefault="005D6BAA" w:rsidP="00A963D5">
            <w:pPr>
              <w:rPr>
                <w:b/>
                <w:bCs/>
                <w:color w:val="000000"/>
                <w:sz w:val="14"/>
                <w:szCs w:val="20"/>
                <w:lang w:eastAsia="en-AU"/>
              </w:rPr>
            </w:pPr>
            <w:r w:rsidRPr="00FA3A49">
              <w:rPr>
                <w:b/>
                <w:bCs/>
                <w:color w:val="000000"/>
                <w:sz w:val="14"/>
                <w:szCs w:val="20"/>
                <w:lang w:eastAsia="en-AU"/>
              </w:rPr>
              <w:t xml:space="preserve">2012 </w:t>
            </w:r>
            <w:r w:rsidR="00A963D5">
              <w:rPr>
                <w:b/>
                <w:bCs/>
                <w:color w:val="000000"/>
                <w:sz w:val="14"/>
                <w:szCs w:val="20"/>
                <w:lang w:eastAsia="en-AU"/>
              </w:rPr>
              <w:t>F</w:t>
            </w:r>
            <w:r w:rsidRPr="00FA3A49">
              <w:rPr>
                <w:b/>
                <w:bCs/>
                <w:color w:val="000000"/>
                <w:sz w:val="14"/>
                <w:szCs w:val="20"/>
                <w:lang w:eastAsia="en-AU"/>
              </w:rPr>
              <w:t>ellowship program</w:t>
            </w:r>
          </w:p>
        </w:tc>
        <w:tc>
          <w:tcPr>
            <w:tcW w:w="567" w:type="dxa"/>
            <w:tcBorders>
              <w:top w:val="single" w:sz="8" w:space="0" w:color="auto"/>
              <w:left w:val="nil"/>
              <w:bottom w:val="nil"/>
              <w:right w:val="nil"/>
            </w:tcBorders>
            <w:shd w:val="clear" w:color="000000" w:fill="D9D9D9"/>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2006</w:t>
            </w:r>
          </w:p>
        </w:tc>
        <w:tc>
          <w:tcPr>
            <w:tcW w:w="482" w:type="dxa"/>
            <w:tcBorders>
              <w:top w:val="single" w:sz="8" w:space="0" w:color="auto"/>
              <w:left w:val="nil"/>
              <w:bottom w:val="nil"/>
              <w:right w:val="nil"/>
            </w:tcBorders>
            <w:shd w:val="clear" w:color="000000" w:fill="D9D9D9"/>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2007</w:t>
            </w:r>
          </w:p>
        </w:tc>
        <w:tc>
          <w:tcPr>
            <w:tcW w:w="511" w:type="dxa"/>
            <w:tcBorders>
              <w:top w:val="single" w:sz="8" w:space="0" w:color="auto"/>
              <w:left w:val="nil"/>
              <w:bottom w:val="nil"/>
              <w:right w:val="nil"/>
            </w:tcBorders>
            <w:shd w:val="clear" w:color="000000" w:fill="D9D9D9"/>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2008</w:t>
            </w:r>
          </w:p>
        </w:tc>
        <w:tc>
          <w:tcPr>
            <w:tcW w:w="567" w:type="dxa"/>
            <w:tcBorders>
              <w:top w:val="single" w:sz="8" w:space="0" w:color="auto"/>
              <w:left w:val="nil"/>
              <w:bottom w:val="nil"/>
              <w:right w:val="nil"/>
            </w:tcBorders>
            <w:shd w:val="clear" w:color="000000" w:fill="D9D9D9"/>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2009</w:t>
            </w:r>
          </w:p>
        </w:tc>
        <w:tc>
          <w:tcPr>
            <w:tcW w:w="528" w:type="dxa"/>
            <w:tcBorders>
              <w:top w:val="single" w:sz="8" w:space="0" w:color="auto"/>
              <w:left w:val="nil"/>
              <w:bottom w:val="nil"/>
              <w:right w:val="nil"/>
            </w:tcBorders>
            <w:shd w:val="clear" w:color="000000" w:fill="D9D9D9"/>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2010</w:t>
            </w:r>
          </w:p>
        </w:tc>
        <w:tc>
          <w:tcPr>
            <w:tcW w:w="482" w:type="dxa"/>
            <w:tcBorders>
              <w:top w:val="single" w:sz="8" w:space="0" w:color="auto"/>
              <w:left w:val="nil"/>
              <w:bottom w:val="nil"/>
              <w:right w:val="nil"/>
            </w:tcBorders>
            <w:shd w:val="clear" w:color="000000" w:fill="D9D9D9"/>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2011</w:t>
            </w:r>
          </w:p>
        </w:tc>
        <w:tc>
          <w:tcPr>
            <w:tcW w:w="482" w:type="dxa"/>
            <w:tcBorders>
              <w:top w:val="single" w:sz="8" w:space="0" w:color="auto"/>
              <w:left w:val="nil"/>
              <w:bottom w:val="nil"/>
              <w:right w:val="nil"/>
            </w:tcBorders>
            <w:shd w:val="clear" w:color="000000" w:fill="D9D9D9"/>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2012</w:t>
            </w:r>
          </w:p>
        </w:tc>
        <w:tc>
          <w:tcPr>
            <w:tcW w:w="482" w:type="dxa"/>
            <w:tcBorders>
              <w:top w:val="single" w:sz="8" w:space="0" w:color="auto"/>
              <w:left w:val="nil"/>
              <w:bottom w:val="nil"/>
              <w:right w:val="nil"/>
            </w:tcBorders>
            <w:shd w:val="clear" w:color="000000" w:fill="D9D9D9"/>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2013</w:t>
            </w:r>
          </w:p>
        </w:tc>
        <w:tc>
          <w:tcPr>
            <w:tcW w:w="482" w:type="dxa"/>
            <w:tcBorders>
              <w:top w:val="single" w:sz="8" w:space="0" w:color="auto"/>
              <w:left w:val="nil"/>
              <w:bottom w:val="nil"/>
              <w:right w:val="single" w:sz="18" w:space="0" w:color="auto"/>
            </w:tcBorders>
            <w:shd w:val="clear" w:color="000000" w:fill="D9D9D9"/>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2014</w:t>
            </w:r>
          </w:p>
        </w:tc>
        <w:tc>
          <w:tcPr>
            <w:tcW w:w="528" w:type="dxa"/>
            <w:tcBorders>
              <w:top w:val="single" w:sz="8" w:space="0" w:color="auto"/>
              <w:left w:val="single" w:sz="18" w:space="0" w:color="auto"/>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2015</w:t>
            </w:r>
          </w:p>
        </w:tc>
        <w:tc>
          <w:tcPr>
            <w:tcW w:w="528"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2016</w:t>
            </w:r>
          </w:p>
        </w:tc>
        <w:tc>
          <w:tcPr>
            <w:tcW w:w="528"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2017</w:t>
            </w:r>
          </w:p>
        </w:tc>
        <w:tc>
          <w:tcPr>
            <w:tcW w:w="528"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2018</w:t>
            </w:r>
          </w:p>
        </w:tc>
        <w:tc>
          <w:tcPr>
            <w:tcW w:w="528"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2019</w:t>
            </w:r>
          </w:p>
        </w:tc>
        <w:tc>
          <w:tcPr>
            <w:tcW w:w="528"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2020</w:t>
            </w:r>
          </w:p>
        </w:tc>
        <w:tc>
          <w:tcPr>
            <w:tcW w:w="485"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2021</w:t>
            </w:r>
          </w:p>
        </w:tc>
        <w:tc>
          <w:tcPr>
            <w:tcW w:w="485"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2022</w:t>
            </w:r>
          </w:p>
        </w:tc>
        <w:tc>
          <w:tcPr>
            <w:tcW w:w="485"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2023</w:t>
            </w:r>
          </w:p>
        </w:tc>
        <w:tc>
          <w:tcPr>
            <w:tcW w:w="485"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2024</w:t>
            </w:r>
          </w:p>
        </w:tc>
        <w:tc>
          <w:tcPr>
            <w:tcW w:w="485"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2025</w:t>
            </w:r>
          </w:p>
        </w:tc>
        <w:tc>
          <w:tcPr>
            <w:tcW w:w="485"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2026</w:t>
            </w:r>
          </w:p>
        </w:tc>
        <w:tc>
          <w:tcPr>
            <w:tcW w:w="624"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2027</w:t>
            </w:r>
          </w:p>
        </w:tc>
        <w:tc>
          <w:tcPr>
            <w:tcW w:w="567"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2028</w:t>
            </w:r>
          </w:p>
        </w:tc>
        <w:tc>
          <w:tcPr>
            <w:tcW w:w="567" w:type="dxa"/>
            <w:tcBorders>
              <w:top w:val="single" w:sz="8" w:space="0" w:color="auto"/>
              <w:left w:val="nil"/>
              <w:bottom w:val="single" w:sz="8" w:space="0" w:color="auto"/>
              <w:right w:val="nil"/>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2029</w:t>
            </w:r>
          </w:p>
        </w:tc>
        <w:tc>
          <w:tcPr>
            <w:tcW w:w="567" w:type="dxa"/>
            <w:tcBorders>
              <w:top w:val="single" w:sz="8" w:space="0" w:color="auto"/>
              <w:left w:val="nil"/>
              <w:bottom w:val="single" w:sz="8" w:space="0" w:color="auto"/>
              <w:right w:val="single" w:sz="8" w:space="0" w:color="auto"/>
            </w:tcBorders>
            <w:shd w:val="clear" w:color="000000" w:fill="BFBFBF"/>
            <w:noWrap/>
            <w:textDirection w:val="btLr"/>
            <w:vAlign w:val="bottom"/>
            <w:hideMark/>
          </w:tcPr>
          <w:p w:rsidR="005D6BAA" w:rsidRPr="00FA3A49" w:rsidRDefault="005D6BAA" w:rsidP="005D6BAA">
            <w:pPr>
              <w:ind w:left="113" w:right="113"/>
              <w:jc w:val="center"/>
              <w:rPr>
                <w:b/>
                <w:bCs/>
                <w:color w:val="000000"/>
                <w:sz w:val="14"/>
                <w:szCs w:val="20"/>
                <w:lang w:eastAsia="en-AU"/>
              </w:rPr>
            </w:pPr>
            <w:r w:rsidRPr="00FA3A49">
              <w:rPr>
                <w:b/>
                <w:bCs/>
                <w:color w:val="000000"/>
                <w:sz w:val="14"/>
                <w:szCs w:val="20"/>
                <w:lang w:eastAsia="en-AU"/>
              </w:rPr>
              <w:t>2030</w:t>
            </w:r>
          </w:p>
        </w:tc>
      </w:tr>
      <w:tr w:rsidR="00FB4A07" w:rsidRPr="00FA3A49" w:rsidTr="00FA3A49">
        <w:trPr>
          <w:trHeight w:val="255"/>
        </w:trPr>
        <w:tc>
          <w:tcPr>
            <w:tcW w:w="2268" w:type="dxa"/>
            <w:gridSpan w:val="2"/>
            <w:tcBorders>
              <w:top w:val="single" w:sz="8" w:space="0" w:color="auto"/>
              <w:left w:val="single" w:sz="8" w:space="0" w:color="auto"/>
              <w:bottom w:val="single" w:sz="8" w:space="0" w:color="auto"/>
              <w:right w:val="single" w:sz="8" w:space="0" w:color="000000"/>
            </w:tcBorders>
            <w:shd w:val="clear" w:color="000000" w:fill="DAEEF3"/>
            <w:noWrap/>
            <w:vAlign w:val="center"/>
            <w:hideMark/>
          </w:tcPr>
          <w:p w:rsidR="005D6BAA" w:rsidRPr="00FA3A49" w:rsidRDefault="005D6BAA" w:rsidP="00776535">
            <w:pPr>
              <w:jc w:val="center"/>
              <w:rPr>
                <w:b/>
                <w:bCs/>
                <w:color w:val="000000"/>
                <w:sz w:val="14"/>
                <w:szCs w:val="20"/>
                <w:lang w:eastAsia="en-AU"/>
              </w:rPr>
            </w:pPr>
            <w:r w:rsidRPr="00FA3A49">
              <w:rPr>
                <w:b/>
                <w:bCs/>
                <w:color w:val="000000"/>
                <w:sz w:val="14"/>
                <w:szCs w:val="20"/>
                <w:lang w:eastAsia="en-AU"/>
              </w:rPr>
              <w:t>New intake</w:t>
            </w:r>
          </w:p>
        </w:tc>
        <w:tc>
          <w:tcPr>
            <w:tcW w:w="567" w:type="dxa"/>
            <w:tcBorders>
              <w:top w:val="single" w:sz="8" w:space="0" w:color="auto"/>
              <w:left w:val="nil"/>
              <w:bottom w:val="single" w:sz="8" w:space="0" w:color="auto"/>
              <w:right w:val="nil"/>
            </w:tcBorders>
            <w:shd w:val="clear" w:color="000000" w:fill="F2F2F2"/>
            <w:noWrap/>
            <w:vAlign w:val="bottom"/>
            <w:hideMark/>
          </w:tcPr>
          <w:p w:rsidR="005D6BAA" w:rsidRPr="00FA3A49" w:rsidRDefault="005D6BAA" w:rsidP="005D6BAA">
            <w:pPr>
              <w:jc w:val="center"/>
              <w:rPr>
                <w:b/>
                <w:bCs/>
                <w:color w:val="000000"/>
                <w:sz w:val="14"/>
                <w:szCs w:val="20"/>
                <w:lang w:eastAsia="en-AU"/>
              </w:rPr>
            </w:pPr>
            <w:r w:rsidRPr="00FA3A49">
              <w:rPr>
                <w:b/>
                <w:bCs/>
                <w:color w:val="000000"/>
                <w:sz w:val="14"/>
                <w:szCs w:val="20"/>
                <w:lang w:eastAsia="en-AU"/>
              </w:rPr>
              <w:t> </w:t>
            </w:r>
          </w:p>
        </w:tc>
        <w:tc>
          <w:tcPr>
            <w:tcW w:w="482" w:type="dxa"/>
            <w:tcBorders>
              <w:top w:val="single" w:sz="8" w:space="0" w:color="auto"/>
              <w:left w:val="nil"/>
              <w:bottom w:val="single" w:sz="8" w:space="0" w:color="auto"/>
              <w:right w:val="nil"/>
            </w:tcBorders>
            <w:shd w:val="clear" w:color="000000" w:fill="F2F2F2"/>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 </w:t>
            </w:r>
          </w:p>
        </w:tc>
        <w:tc>
          <w:tcPr>
            <w:tcW w:w="511" w:type="dxa"/>
            <w:tcBorders>
              <w:top w:val="single" w:sz="8" w:space="0" w:color="auto"/>
              <w:left w:val="nil"/>
              <w:bottom w:val="single" w:sz="8" w:space="0" w:color="auto"/>
              <w:right w:val="nil"/>
            </w:tcBorders>
            <w:shd w:val="clear" w:color="000000" w:fill="F2F2F2"/>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 </w:t>
            </w:r>
          </w:p>
        </w:tc>
        <w:tc>
          <w:tcPr>
            <w:tcW w:w="567" w:type="dxa"/>
            <w:tcBorders>
              <w:top w:val="single" w:sz="8" w:space="0" w:color="auto"/>
              <w:left w:val="nil"/>
              <w:bottom w:val="single" w:sz="8" w:space="0" w:color="auto"/>
              <w:right w:val="nil"/>
            </w:tcBorders>
            <w:shd w:val="clear" w:color="000000" w:fill="F2F2F2"/>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 </w:t>
            </w:r>
          </w:p>
        </w:tc>
        <w:tc>
          <w:tcPr>
            <w:tcW w:w="528" w:type="dxa"/>
            <w:tcBorders>
              <w:top w:val="single" w:sz="8" w:space="0" w:color="auto"/>
              <w:left w:val="nil"/>
              <w:bottom w:val="single" w:sz="8" w:space="0" w:color="auto"/>
              <w:right w:val="nil"/>
            </w:tcBorders>
            <w:shd w:val="clear" w:color="000000" w:fill="F2F2F2"/>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 </w:t>
            </w:r>
          </w:p>
        </w:tc>
        <w:tc>
          <w:tcPr>
            <w:tcW w:w="482" w:type="dxa"/>
            <w:tcBorders>
              <w:top w:val="single" w:sz="8" w:space="0" w:color="auto"/>
              <w:left w:val="nil"/>
              <w:bottom w:val="single" w:sz="8" w:space="0" w:color="auto"/>
              <w:right w:val="nil"/>
            </w:tcBorders>
            <w:shd w:val="clear" w:color="000000" w:fill="F2F2F2"/>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 </w:t>
            </w:r>
          </w:p>
        </w:tc>
        <w:tc>
          <w:tcPr>
            <w:tcW w:w="482" w:type="dxa"/>
            <w:tcBorders>
              <w:top w:val="single" w:sz="8" w:space="0" w:color="auto"/>
              <w:left w:val="nil"/>
              <w:bottom w:val="single" w:sz="8" w:space="0" w:color="auto"/>
              <w:right w:val="nil"/>
            </w:tcBorders>
            <w:shd w:val="clear" w:color="000000" w:fill="F2F2F2"/>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 </w:t>
            </w:r>
          </w:p>
        </w:tc>
        <w:tc>
          <w:tcPr>
            <w:tcW w:w="482" w:type="dxa"/>
            <w:tcBorders>
              <w:top w:val="single" w:sz="8" w:space="0" w:color="auto"/>
              <w:left w:val="nil"/>
              <w:bottom w:val="single" w:sz="8" w:space="0" w:color="auto"/>
              <w:right w:val="nil"/>
            </w:tcBorders>
            <w:shd w:val="clear" w:color="000000" w:fill="F2F2F2"/>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 </w:t>
            </w:r>
          </w:p>
        </w:tc>
        <w:tc>
          <w:tcPr>
            <w:tcW w:w="482" w:type="dxa"/>
            <w:tcBorders>
              <w:top w:val="single" w:sz="8" w:space="0" w:color="auto"/>
              <w:left w:val="single" w:sz="4" w:space="0" w:color="auto"/>
              <w:bottom w:val="single" w:sz="4" w:space="0" w:color="auto"/>
              <w:right w:val="single" w:sz="18" w:space="0" w:color="auto"/>
            </w:tcBorders>
            <w:shd w:val="clear" w:color="000000" w:fill="FDE9D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194</w:t>
            </w:r>
          </w:p>
        </w:tc>
        <w:tc>
          <w:tcPr>
            <w:tcW w:w="528" w:type="dxa"/>
            <w:tcBorders>
              <w:top w:val="nil"/>
              <w:left w:val="single" w:sz="18" w:space="0" w:color="auto"/>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528"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528"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528"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528"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528"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624"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567"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567"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567" w:type="dxa"/>
            <w:tcBorders>
              <w:top w:val="nil"/>
              <w:left w:val="nil"/>
              <w:bottom w:val="nil"/>
              <w:right w:val="single" w:sz="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r>
      <w:tr w:rsidR="00FB4A07" w:rsidRPr="00FA3A49" w:rsidTr="00FA3A49">
        <w:trPr>
          <w:trHeight w:val="255"/>
        </w:trPr>
        <w:tc>
          <w:tcPr>
            <w:tcW w:w="1134" w:type="dxa"/>
            <w:tcBorders>
              <w:top w:val="nil"/>
              <w:left w:val="single" w:sz="8" w:space="0" w:color="auto"/>
              <w:bottom w:val="nil"/>
              <w:right w:val="single" w:sz="8" w:space="0" w:color="auto"/>
            </w:tcBorders>
            <w:shd w:val="clear" w:color="000000" w:fill="B7DEE8"/>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BASIC (YR1)</w:t>
            </w:r>
          </w:p>
        </w:tc>
        <w:tc>
          <w:tcPr>
            <w:tcW w:w="1134" w:type="dxa"/>
            <w:tcBorders>
              <w:top w:val="nil"/>
              <w:left w:val="nil"/>
              <w:bottom w:val="single" w:sz="8" w:space="0" w:color="auto"/>
              <w:right w:val="single" w:sz="8" w:space="0" w:color="auto"/>
            </w:tcBorders>
            <w:shd w:val="clear" w:color="000000" w:fill="B7DEE8"/>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Stage 1</w:t>
            </w:r>
          </w:p>
        </w:tc>
        <w:tc>
          <w:tcPr>
            <w:tcW w:w="567"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124</w:t>
            </w:r>
          </w:p>
        </w:tc>
        <w:tc>
          <w:tcPr>
            <w:tcW w:w="482"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90</w:t>
            </w:r>
          </w:p>
        </w:tc>
        <w:tc>
          <w:tcPr>
            <w:tcW w:w="511"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109</w:t>
            </w:r>
          </w:p>
        </w:tc>
        <w:tc>
          <w:tcPr>
            <w:tcW w:w="567"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118</w:t>
            </w:r>
          </w:p>
        </w:tc>
        <w:tc>
          <w:tcPr>
            <w:tcW w:w="528"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223</w:t>
            </w:r>
          </w:p>
        </w:tc>
        <w:tc>
          <w:tcPr>
            <w:tcW w:w="482"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239</w:t>
            </w:r>
          </w:p>
        </w:tc>
        <w:tc>
          <w:tcPr>
            <w:tcW w:w="482"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314</w:t>
            </w:r>
          </w:p>
        </w:tc>
        <w:tc>
          <w:tcPr>
            <w:tcW w:w="482" w:type="dxa"/>
            <w:tcBorders>
              <w:top w:val="nil"/>
              <w:left w:val="single" w:sz="8" w:space="0" w:color="auto"/>
              <w:bottom w:val="single" w:sz="8" w:space="0" w:color="auto"/>
              <w:right w:val="nil"/>
            </w:tcBorders>
            <w:shd w:val="clear" w:color="000000" w:fill="00CC0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313</w:t>
            </w:r>
          </w:p>
        </w:tc>
        <w:tc>
          <w:tcPr>
            <w:tcW w:w="482" w:type="dxa"/>
            <w:tcBorders>
              <w:top w:val="single" w:sz="8" w:space="0" w:color="auto"/>
              <w:left w:val="nil"/>
              <w:bottom w:val="nil"/>
              <w:right w:val="single" w:sz="18" w:space="0" w:color="auto"/>
            </w:tcBorders>
            <w:shd w:val="clear" w:color="000000" w:fill="996633"/>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265</w:t>
            </w:r>
          </w:p>
        </w:tc>
        <w:tc>
          <w:tcPr>
            <w:tcW w:w="528" w:type="dxa"/>
            <w:tcBorders>
              <w:top w:val="single" w:sz="8" w:space="0" w:color="auto"/>
              <w:left w:val="single" w:sz="18" w:space="0" w:color="auto"/>
              <w:bottom w:val="single" w:sz="4" w:space="0" w:color="auto"/>
              <w:right w:val="single" w:sz="4" w:space="0" w:color="auto"/>
            </w:tcBorders>
            <w:shd w:val="clear" w:color="000000" w:fill="FF505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260</w:t>
            </w:r>
          </w:p>
        </w:tc>
        <w:tc>
          <w:tcPr>
            <w:tcW w:w="528" w:type="dxa"/>
            <w:tcBorders>
              <w:top w:val="single" w:sz="8" w:space="0" w:color="auto"/>
              <w:left w:val="nil"/>
              <w:bottom w:val="single" w:sz="4" w:space="0" w:color="auto"/>
              <w:right w:val="single" w:sz="4" w:space="0" w:color="auto"/>
            </w:tcBorders>
            <w:shd w:val="clear" w:color="000000" w:fill="00CC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528" w:type="dxa"/>
            <w:tcBorders>
              <w:top w:val="single" w:sz="8" w:space="0" w:color="auto"/>
              <w:left w:val="nil"/>
              <w:bottom w:val="single" w:sz="4" w:space="0" w:color="auto"/>
              <w:right w:val="single" w:sz="4" w:space="0" w:color="auto"/>
            </w:tcBorders>
            <w:shd w:val="clear" w:color="000000" w:fill="9966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528" w:type="dxa"/>
            <w:tcBorders>
              <w:top w:val="single" w:sz="8" w:space="0" w:color="auto"/>
              <w:left w:val="nil"/>
              <w:bottom w:val="single" w:sz="4" w:space="0" w:color="auto"/>
              <w:right w:val="single" w:sz="4" w:space="0" w:color="auto"/>
            </w:tcBorders>
            <w:shd w:val="clear" w:color="000000" w:fill="FFFF0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528" w:type="dxa"/>
            <w:tcBorders>
              <w:top w:val="single" w:sz="8" w:space="0" w:color="auto"/>
              <w:left w:val="nil"/>
              <w:bottom w:val="single" w:sz="4" w:space="0" w:color="auto"/>
              <w:right w:val="single" w:sz="4" w:space="0" w:color="auto"/>
            </w:tcBorders>
            <w:shd w:val="clear" w:color="000000" w:fill="66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528" w:type="dxa"/>
            <w:tcBorders>
              <w:top w:val="single" w:sz="8" w:space="0" w:color="auto"/>
              <w:left w:val="nil"/>
              <w:bottom w:val="single" w:sz="4" w:space="0" w:color="auto"/>
              <w:right w:val="single" w:sz="4" w:space="0" w:color="auto"/>
            </w:tcBorders>
            <w:shd w:val="clear" w:color="000000" w:fill="C4BD97"/>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485" w:type="dxa"/>
            <w:tcBorders>
              <w:top w:val="single" w:sz="8" w:space="0" w:color="auto"/>
              <w:left w:val="nil"/>
              <w:bottom w:val="single" w:sz="4" w:space="0" w:color="auto"/>
              <w:right w:val="single" w:sz="4" w:space="0" w:color="auto"/>
            </w:tcBorders>
            <w:shd w:val="clear" w:color="000000" w:fill="FF66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485" w:type="dxa"/>
            <w:tcBorders>
              <w:top w:val="single" w:sz="8" w:space="0" w:color="auto"/>
              <w:left w:val="nil"/>
              <w:bottom w:val="single" w:sz="4" w:space="0" w:color="auto"/>
              <w:right w:val="single" w:sz="4" w:space="0" w:color="auto"/>
            </w:tcBorders>
            <w:shd w:val="clear" w:color="000000" w:fill="00FFC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485" w:type="dxa"/>
            <w:tcBorders>
              <w:top w:val="single" w:sz="8" w:space="0" w:color="auto"/>
              <w:left w:val="nil"/>
              <w:bottom w:val="single" w:sz="4" w:space="0" w:color="auto"/>
              <w:right w:val="single" w:sz="4" w:space="0" w:color="auto"/>
            </w:tcBorders>
            <w:shd w:val="clear" w:color="000000" w:fill="9966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485" w:type="dxa"/>
            <w:tcBorders>
              <w:top w:val="single" w:sz="8" w:space="0" w:color="auto"/>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485" w:type="dxa"/>
            <w:tcBorders>
              <w:top w:val="single" w:sz="8" w:space="0" w:color="auto"/>
              <w:left w:val="nil"/>
              <w:bottom w:val="single" w:sz="4" w:space="0" w:color="auto"/>
              <w:right w:val="single" w:sz="4" w:space="0" w:color="auto"/>
            </w:tcBorders>
            <w:shd w:val="clear" w:color="000000" w:fill="FF9966"/>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485" w:type="dxa"/>
            <w:tcBorders>
              <w:top w:val="single" w:sz="8" w:space="0" w:color="auto"/>
              <w:left w:val="nil"/>
              <w:bottom w:val="single" w:sz="4"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624" w:type="dxa"/>
            <w:tcBorders>
              <w:top w:val="single" w:sz="8" w:space="0" w:color="auto"/>
              <w:left w:val="nil"/>
              <w:bottom w:val="single" w:sz="4"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567" w:type="dxa"/>
            <w:tcBorders>
              <w:top w:val="single" w:sz="8" w:space="0" w:color="auto"/>
              <w:left w:val="nil"/>
              <w:bottom w:val="single" w:sz="4"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c>
          <w:tcPr>
            <w:tcW w:w="56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258</w:t>
            </w:r>
          </w:p>
        </w:tc>
      </w:tr>
      <w:tr w:rsidR="00FB4A07" w:rsidRPr="00FA3A49" w:rsidTr="00FA3A49">
        <w:trPr>
          <w:trHeight w:val="255"/>
        </w:trPr>
        <w:tc>
          <w:tcPr>
            <w:tcW w:w="1134" w:type="dxa"/>
            <w:tcBorders>
              <w:top w:val="single" w:sz="4" w:space="0" w:color="auto"/>
              <w:left w:val="single" w:sz="8" w:space="0" w:color="auto"/>
              <w:bottom w:val="nil"/>
              <w:right w:val="single" w:sz="8" w:space="0" w:color="auto"/>
            </w:tcBorders>
            <w:shd w:val="clear" w:color="000000" w:fill="92CDDC"/>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BASIC (YR2 &amp; YR3)</w:t>
            </w:r>
          </w:p>
        </w:tc>
        <w:tc>
          <w:tcPr>
            <w:tcW w:w="1134" w:type="dxa"/>
            <w:tcBorders>
              <w:top w:val="nil"/>
              <w:left w:val="nil"/>
              <w:bottom w:val="nil"/>
              <w:right w:val="single" w:sz="8" w:space="0" w:color="auto"/>
            </w:tcBorders>
            <w:shd w:val="clear" w:color="000000" w:fill="92CDDC"/>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Stage 2</w:t>
            </w:r>
          </w:p>
        </w:tc>
        <w:tc>
          <w:tcPr>
            <w:tcW w:w="567" w:type="dxa"/>
            <w:tcBorders>
              <w:top w:val="nil"/>
              <w:left w:val="nil"/>
              <w:bottom w:val="single" w:sz="4"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478</w:t>
            </w:r>
          </w:p>
        </w:tc>
        <w:tc>
          <w:tcPr>
            <w:tcW w:w="482" w:type="dxa"/>
            <w:tcBorders>
              <w:top w:val="nil"/>
              <w:left w:val="nil"/>
              <w:bottom w:val="single" w:sz="4"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520</w:t>
            </w:r>
          </w:p>
        </w:tc>
        <w:tc>
          <w:tcPr>
            <w:tcW w:w="511" w:type="dxa"/>
            <w:tcBorders>
              <w:top w:val="nil"/>
              <w:left w:val="nil"/>
              <w:bottom w:val="single" w:sz="4"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514</w:t>
            </w:r>
          </w:p>
        </w:tc>
        <w:tc>
          <w:tcPr>
            <w:tcW w:w="567" w:type="dxa"/>
            <w:tcBorders>
              <w:top w:val="nil"/>
              <w:left w:val="nil"/>
              <w:bottom w:val="single" w:sz="4"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543</w:t>
            </w:r>
          </w:p>
        </w:tc>
        <w:tc>
          <w:tcPr>
            <w:tcW w:w="528" w:type="dxa"/>
            <w:tcBorders>
              <w:top w:val="nil"/>
              <w:left w:val="nil"/>
              <w:bottom w:val="single" w:sz="4"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454</w:t>
            </w:r>
          </w:p>
        </w:tc>
        <w:tc>
          <w:tcPr>
            <w:tcW w:w="482" w:type="dxa"/>
            <w:tcBorders>
              <w:top w:val="nil"/>
              <w:left w:val="nil"/>
              <w:bottom w:val="single" w:sz="4"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422</w:t>
            </w:r>
          </w:p>
        </w:tc>
        <w:tc>
          <w:tcPr>
            <w:tcW w:w="482" w:type="dxa"/>
            <w:tcBorders>
              <w:top w:val="nil"/>
              <w:left w:val="nil"/>
              <w:bottom w:val="single" w:sz="4"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490</w:t>
            </w:r>
          </w:p>
        </w:tc>
        <w:tc>
          <w:tcPr>
            <w:tcW w:w="482" w:type="dxa"/>
            <w:tcBorders>
              <w:top w:val="single" w:sz="4" w:space="0" w:color="auto"/>
              <w:left w:val="nil"/>
              <w:bottom w:val="nil"/>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520</w:t>
            </w:r>
          </w:p>
        </w:tc>
        <w:tc>
          <w:tcPr>
            <w:tcW w:w="482" w:type="dxa"/>
            <w:tcBorders>
              <w:top w:val="nil"/>
              <w:left w:val="nil"/>
              <w:bottom w:val="nil"/>
              <w:right w:val="single" w:sz="18" w:space="0" w:color="auto"/>
            </w:tcBorders>
            <w:shd w:val="clear" w:color="000000" w:fill="00CC0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603</w:t>
            </w:r>
          </w:p>
        </w:tc>
        <w:tc>
          <w:tcPr>
            <w:tcW w:w="528" w:type="dxa"/>
            <w:tcBorders>
              <w:top w:val="nil"/>
              <w:left w:val="single" w:sz="18" w:space="0" w:color="auto"/>
              <w:bottom w:val="nil"/>
              <w:right w:val="single" w:sz="4" w:space="0" w:color="auto"/>
            </w:tcBorders>
            <w:shd w:val="clear" w:color="000000" w:fill="996633"/>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628</w:t>
            </w:r>
          </w:p>
        </w:tc>
        <w:tc>
          <w:tcPr>
            <w:tcW w:w="528" w:type="dxa"/>
            <w:tcBorders>
              <w:top w:val="nil"/>
              <w:left w:val="nil"/>
              <w:bottom w:val="nil"/>
              <w:right w:val="single" w:sz="4" w:space="0" w:color="auto"/>
            </w:tcBorders>
            <w:shd w:val="clear" w:color="000000" w:fill="FF505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643</w:t>
            </w:r>
          </w:p>
        </w:tc>
        <w:tc>
          <w:tcPr>
            <w:tcW w:w="528" w:type="dxa"/>
            <w:tcBorders>
              <w:top w:val="nil"/>
              <w:left w:val="nil"/>
              <w:bottom w:val="nil"/>
              <w:right w:val="single" w:sz="4" w:space="0" w:color="auto"/>
            </w:tcBorders>
            <w:shd w:val="clear" w:color="000000" w:fill="00CC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652</w:t>
            </w:r>
          </w:p>
        </w:tc>
        <w:tc>
          <w:tcPr>
            <w:tcW w:w="528" w:type="dxa"/>
            <w:tcBorders>
              <w:top w:val="nil"/>
              <w:left w:val="nil"/>
              <w:bottom w:val="nil"/>
              <w:right w:val="single" w:sz="4" w:space="0" w:color="auto"/>
            </w:tcBorders>
            <w:shd w:val="clear" w:color="000000" w:fill="9966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659</w:t>
            </w:r>
          </w:p>
        </w:tc>
        <w:tc>
          <w:tcPr>
            <w:tcW w:w="528" w:type="dxa"/>
            <w:tcBorders>
              <w:top w:val="nil"/>
              <w:left w:val="nil"/>
              <w:bottom w:val="nil"/>
              <w:right w:val="single" w:sz="4" w:space="0" w:color="auto"/>
            </w:tcBorders>
            <w:shd w:val="clear" w:color="000000" w:fill="FFFF0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664</w:t>
            </w:r>
          </w:p>
        </w:tc>
        <w:tc>
          <w:tcPr>
            <w:tcW w:w="528" w:type="dxa"/>
            <w:tcBorders>
              <w:top w:val="nil"/>
              <w:left w:val="nil"/>
              <w:bottom w:val="nil"/>
              <w:right w:val="single" w:sz="4" w:space="0" w:color="auto"/>
            </w:tcBorders>
            <w:shd w:val="clear" w:color="000000" w:fill="66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668</w:t>
            </w:r>
          </w:p>
        </w:tc>
        <w:tc>
          <w:tcPr>
            <w:tcW w:w="485" w:type="dxa"/>
            <w:tcBorders>
              <w:top w:val="nil"/>
              <w:left w:val="nil"/>
              <w:bottom w:val="nil"/>
              <w:right w:val="single" w:sz="4" w:space="0" w:color="auto"/>
            </w:tcBorders>
            <w:shd w:val="clear" w:color="000000" w:fill="C4BD97"/>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670</w:t>
            </w:r>
          </w:p>
        </w:tc>
        <w:tc>
          <w:tcPr>
            <w:tcW w:w="485" w:type="dxa"/>
            <w:tcBorders>
              <w:top w:val="nil"/>
              <w:left w:val="nil"/>
              <w:bottom w:val="nil"/>
              <w:right w:val="single" w:sz="4" w:space="0" w:color="auto"/>
            </w:tcBorders>
            <w:shd w:val="clear" w:color="000000" w:fill="FF66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672</w:t>
            </w:r>
          </w:p>
        </w:tc>
        <w:tc>
          <w:tcPr>
            <w:tcW w:w="485" w:type="dxa"/>
            <w:tcBorders>
              <w:top w:val="nil"/>
              <w:left w:val="nil"/>
              <w:bottom w:val="nil"/>
              <w:right w:val="single" w:sz="4" w:space="0" w:color="auto"/>
            </w:tcBorders>
            <w:shd w:val="clear" w:color="000000" w:fill="00FFC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673</w:t>
            </w:r>
          </w:p>
        </w:tc>
        <w:tc>
          <w:tcPr>
            <w:tcW w:w="485" w:type="dxa"/>
            <w:tcBorders>
              <w:top w:val="nil"/>
              <w:left w:val="nil"/>
              <w:bottom w:val="nil"/>
              <w:right w:val="single" w:sz="4" w:space="0" w:color="auto"/>
            </w:tcBorders>
            <w:shd w:val="clear" w:color="000000" w:fill="9966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674</w:t>
            </w:r>
          </w:p>
        </w:tc>
        <w:tc>
          <w:tcPr>
            <w:tcW w:w="485" w:type="dxa"/>
            <w:tcBorders>
              <w:top w:val="nil"/>
              <w:left w:val="nil"/>
              <w:bottom w:val="nil"/>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675</w:t>
            </w:r>
          </w:p>
        </w:tc>
        <w:tc>
          <w:tcPr>
            <w:tcW w:w="485" w:type="dxa"/>
            <w:tcBorders>
              <w:top w:val="nil"/>
              <w:left w:val="nil"/>
              <w:bottom w:val="nil"/>
              <w:right w:val="single" w:sz="4" w:space="0" w:color="auto"/>
            </w:tcBorders>
            <w:shd w:val="clear" w:color="000000" w:fill="FF9966"/>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675</w:t>
            </w:r>
          </w:p>
        </w:tc>
        <w:tc>
          <w:tcPr>
            <w:tcW w:w="624" w:type="dxa"/>
            <w:tcBorders>
              <w:top w:val="nil"/>
              <w:left w:val="nil"/>
              <w:bottom w:val="nil"/>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676</w:t>
            </w:r>
          </w:p>
        </w:tc>
        <w:tc>
          <w:tcPr>
            <w:tcW w:w="567" w:type="dxa"/>
            <w:tcBorders>
              <w:top w:val="nil"/>
              <w:left w:val="nil"/>
              <w:bottom w:val="nil"/>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676</w:t>
            </w:r>
          </w:p>
        </w:tc>
        <w:tc>
          <w:tcPr>
            <w:tcW w:w="567" w:type="dxa"/>
            <w:tcBorders>
              <w:top w:val="nil"/>
              <w:left w:val="nil"/>
              <w:bottom w:val="nil"/>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676</w:t>
            </w:r>
          </w:p>
        </w:tc>
        <w:tc>
          <w:tcPr>
            <w:tcW w:w="567" w:type="dxa"/>
            <w:tcBorders>
              <w:top w:val="nil"/>
              <w:left w:val="nil"/>
              <w:bottom w:val="nil"/>
              <w:right w:val="single" w:sz="8"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676</w:t>
            </w:r>
          </w:p>
        </w:tc>
      </w:tr>
      <w:tr w:rsidR="00FB4A07" w:rsidRPr="00FA3A49" w:rsidTr="00FA3A49">
        <w:trPr>
          <w:trHeight w:val="255"/>
        </w:trPr>
        <w:tc>
          <w:tcPr>
            <w:tcW w:w="2268"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TOTAL Basic trainees</w:t>
            </w:r>
          </w:p>
        </w:tc>
        <w:tc>
          <w:tcPr>
            <w:tcW w:w="567"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602</w:t>
            </w:r>
          </w:p>
        </w:tc>
        <w:tc>
          <w:tcPr>
            <w:tcW w:w="482"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610</w:t>
            </w:r>
          </w:p>
        </w:tc>
        <w:tc>
          <w:tcPr>
            <w:tcW w:w="511"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623</w:t>
            </w:r>
          </w:p>
        </w:tc>
        <w:tc>
          <w:tcPr>
            <w:tcW w:w="567"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661</w:t>
            </w:r>
          </w:p>
        </w:tc>
        <w:tc>
          <w:tcPr>
            <w:tcW w:w="528"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677</w:t>
            </w:r>
          </w:p>
        </w:tc>
        <w:tc>
          <w:tcPr>
            <w:tcW w:w="482"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661</w:t>
            </w:r>
          </w:p>
        </w:tc>
        <w:tc>
          <w:tcPr>
            <w:tcW w:w="482"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804</w:t>
            </w:r>
          </w:p>
        </w:tc>
        <w:tc>
          <w:tcPr>
            <w:tcW w:w="482" w:type="dxa"/>
            <w:tcBorders>
              <w:top w:val="single" w:sz="8" w:space="0" w:color="auto"/>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833</w:t>
            </w:r>
          </w:p>
        </w:tc>
        <w:tc>
          <w:tcPr>
            <w:tcW w:w="482" w:type="dxa"/>
            <w:tcBorders>
              <w:top w:val="single" w:sz="8" w:space="0" w:color="auto"/>
              <w:left w:val="nil"/>
              <w:bottom w:val="single" w:sz="8" w:space="0" w:color="auto"/>
              <w:right w:val="single" w:sz="18"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868</w:t>
            </w:r>
          </w:p>
        </w:tc>
        <w:tc>
          <w:tcPr>
            <w:tcW w:w="528" w:type="dxa"/>
            <w:tcBorders>
              <w:top w:val="single" w:sz="8" w:space="0" w:color="auto"/>
              <w:left w:val="single" w:sz="18" w:space="0" w:color="auto"/>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888</w:t>
            </w:r>
          </w:p>
        </w:tc>
        <w:tc>
          <w:tcPr>
            <w:tcW w:w="528"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901</w:t>
            </w:r>
          </w:p>
        </w:tc>
        <w:tc>
          <w:tcPr>
            <w:tcW w:w="528"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911</w:t>
            </w:r>
          </w:p>
        </w:tc>
        <w:tc>
          <w:tcPr>
            <w:tcW w:w="528"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917</w:t>
            </w:r>
          </w:p>
        </w:tc>
        <w:tc>
          <w:tcPr>
            <w:tcW w:w="528"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922</w:t>
            </w:r>
          </w:p>
        </w:tc>
        <w:tc>
          <w:tcPr>
            <w:tcW w:w="528"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925</w:t>
            </w:r>
          </w:p>
        </w:tc>
        <w:tc>
          <w:tcPr>
            <w:tcW w:w="485"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928</w:t>
            </w:r>
          </w:p>
        </w:tc>
        <w:tc>
          <w:tcPr>
            <w:tcW w:w="485"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930</w:t>
            </w:r>
          </w:p>
        </w:tc>
        <w:tc>
          <w:tcPr>
            <w:tcW w:w="485"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931</w:t>
            </w:r>
          </w:p>
        </w:tc>
        <w:tc>
          <w:tcPr>
            <w:tcW w:w="485"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932</w:t>
            </w:r>
          </w:p>
        </w:tc>
        <w:tc>
          <w:tcPr>
            <w:tcW w:w="485"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933</w:t>
            </w:r>
          </w:p>
        </w:tc>
        <w:tc>
          <w:tcPr>
            <w:tcW w:w="485"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933</w:t>
            </w:r>
          </w:p>
        </w:tc>
        <w:tc>
          <w:tcPr>
            <w:tcW w:w="624"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934</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934</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934</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934</w:t>
            </w:r>
          </w:p>
        </w:tc>
      </w:tr>
      <w:tr w:rsidR="00FB4A07" w:rsidRPr="00FA3A49" w:rsidTr="00FA3A49">
        <w:trPr>
          <w:trHeight w:val="255"/>
        </w:trPr>
        <w:tc>
          <w:tcPr>
            <w:tcW w:w="1134" w:type="dxa"/>
            <w:tcBorders>
              <w:top w:val="nil"/>
              <w:left w:val="single" w:sz="8" w:space="0" w:color="auto"/>
              <w:bottom w:val="single" w:sz="8" w:space="0" w:color="auto"/>
              <w:right w:val="single" w:sz="8" w:space="0" w:color="auto"/>
            </w:tcBorders>
            <w:shd w:val="clear" w:color="000000" w:fill="31869B"/>
            <w:noWrap/>
            <w:vAlign w:val="center"/>
            <w:hideMark/>
          </w:tcPr>
          <w:p w:rsidR="005D6BAA" w:rsidRPr="00FA3A49" w:rsidRDefault="005D6BAA" w:rsidP="00776535">
            <w:pPr>
              <w:jc w:val="center"/>
              <w:rPr>
                <w:color w:val="000000"/>
                <w:sz w:val="14"/>
                <w:szCs w:val="20"/>
                <w:lang w:eastAsia="en-AU"/>
              </w:rPr>
            </w:pPr>
            <w:proofErr w:type="spellStart"/>
            <w:r w:rsidRPr="00FA3A49">
              <w:rPr>
                <w:color w:val="000000"/>
                <w:sz w:val="14"/>
                <w:szCs w:val="20"/>
                <w:lang w:eastAsia="en-AU"/>
              </w:rPr>
              <w:t>ADV</w:t>
            </w:r>
            <w:proofErr w:type="spellEnd"/>
            <w:r w:rsidRPr="00FA3A49">
              <w:rPr>
                <w:color w:val="000000"/>
                <w:sz w:val="14"/>
                <w:szCs w:val="20"/>
                <w:lang w:eastAsia="en-AU"/>
              </w:rPr>
              <w:t xml:space="preserve"> YR1 &amp; YR2</w:t>
            </w:r>
          </w:p>
        </w:tc>
        <w:tc>
          <w:tcPr>
            <w:tcW w:w="1134" w:type="dxa"/>
            <w:tcBorders>
              <w:top w:val="nil"/>
              <w:left w:val="nil"/>
              <w:bottom w:val="single" w:sz="8" w:space="0" w:color="auto"/>
              <w:right w:val="single" w:sz="8" w:space="0" w:color="auto"/>
            </w:tcBorders>
            <w:shd w:val="clear" w:color="000000" w:fill="31869B"/>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Stage 3</w:t>
            </w:r>
          </w:p>
        </w:tc>
        <w:tc>
          <w:tcPr>
            <w:tcW w:w="567" w:type="dxa"/>
            <w:tcBorders>
              <w:top w:val="nil"/>
              <w:left w:val="nil"/>
              <w:bottom w:val="nil"/>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178</w:t>
            </w:r>
          </w:p>
        </w:tc>
        <w:tc>
          <w:tcPr>
            <w:tcW w:w="482" w:type="dxa"/>
            <w:tcBorders>
              <w:top w:val="nil"/>
              <w:left w:val="nil"/>
              <w:bottom w:val="nil"/>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177</w:t>
            </w:r>
          </w:p>
        </w:tc>
        <w:tc>
          <w:tcPr>
            <w:tcW w:w="511" w:type="dxa"/>
            <w:tcBorders>
              <w:top w:val="nil"/>
              <w:left w:val="nil"/>
              <w:bottom w:val="nil"/>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278</w:t>
            </w:r>
          </w:p>
        </w:tc>
        <w:tc>
          <w:tcPr>
            <w:tcW w:w="567" w:type="dxa"/>
            <w:tcBorders>
              <w:top w:val="nil"/>
              <w:left w:val="nil"/>
              <w:bottom w:val="nil"/>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322</w:t>
            </w:r>
          </w:p>
        </w:tc>
        <w:tc>
          <w:tcPr>
            <w:tcW w:w="528" w:type="dxa"/>
            <w:tcBorders>
              <w:top w:val="nil"/>
              <w:left w:val="nil"/>
              <w:bottom w:val="nil"/>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189</w:t>
            </w:r>
          </w:p>
        </w:tc>
        <w:tc>
          <w:tcPr>
            <w:tcW w:w="482" w:type="dxa"/>
            <w:tcBorders>
              <w:top w:val="nil"/>
              <w:left w:val="nil"/>
              <w:bottom w:val="nil"/>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198</w:t>
            </w:r>
          </w:p>
        </w:tc>
        <w:tc>
          <w:tcPr>
            <w:tcW w:w="482" w:type="dxa"/>
            <w:tcBorders>
              <w:top w:val="nil"/>
              <w:left w:val="nil"/>
              <w:bottom w:val="nil"/>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188</w:t>
            </w:r>
          </w:p>
        </w:tc>
        <w:tc>
          <w:tcPr>
            <w:tcW w:w="482" w:type="dxa"/>
            <w:tcBorders>
              <w:top w:val="nil"/>
              <w:left w:val="nil"/>
              <w:bottom w:val="single" w:sz="8"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196</w:t>
            </w:r>
          </w:p>
        </w:tc>
        <w:tc>
          <w:tcPr>
            <w:tcW w:w="482" w:type="dxa"/>
            <w:tcBorders>
              <w:top w:val="nil"/>
              <w:left w:val="nil"/>
              <w:bottom w:val="single" w:sz="8" w:space="0" w:color="auto"/>
              <w:right w:val="single" w:sz="18"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528" w:type="dxa"/>
            <w:tcBorders>
              <w:top w:val="nil"/>
              <w:left w:val="single" w:sz="18" w:space="0" w:color="auto"/>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225</w:t>
            </w:r>
          </w:p>
        </w:tc>
        <w:tc>
          <w:tcPr>
            <w:tcW w:w="528" w:type="dxa"/>
            <w:tcBorders>
              <w:top w:val="nil"/>
              <w:left w:val="nil"/>
              <w:bottom w:val="single" w:sz="8" w:space="0" w:color="auto"/>
              <w:right w:val="single" w:sz="4" w:space="0" w:color="auto"/>
            </w:tcBorders>
            <w:shd w:val="clear" w:color="000000" w:fill="00CC0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240</w:t>
            </w:r>
          </w:p>
        </w:tc>
        <w:tc>
          <w:tcPr>
            <w:tcW w:w="528" w:type="dxa"/>
            <w:tcBorders>
              <w:top w:val="nil"/>
              <w:left w:val="nil"/>
              <w:bottom w:val="single" w:sz="8" w:space="0" w:color="auto"/>
              <w:right w:val="single" w:sz="4" w:space="0" w:color="auto"/>
            </w:tcBorders>
            <w:shd w:val="clear" w:color="000000" w:fill="996633"/>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250</w:t>
            </w:r>
          </w:p>
        </w:tc>
        <w:tc>
          <w:tcPr>
            <w:tcW w:w="528" w:type="dxa"/>
            <w:tcBorders>
              <w:top w:val="nil"/>
              <w:left w:val="nil"/>
              <w:bottom w:val="single" w:sz="8" w:space="0" w:color="auto"/>
              <w:right w:val="single" w:sz="4" w:space="0" w:color="auto"/>
            </w:tcBorders>
            <w:shd w:val="clear" w:color="000000" w:fill="FF505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256</w:t>
            </w:r>
          </w:p>
        </w:tc>
        <w:tc>
          <w:tcPr>
            <w:tcW w:w="528" w:type="dxa"/>
            <w:tcBorders>
              <w:top w:val="nil"/>
              <w:left w:val="nil"/>
              <w:bottom w:val="single" w:sz="8" w:space="0" w:color="auto"/>
              <w:right w:val="single" w:sz="4" w:space="0" w:color="auto"/>
            </w:tcBorders>
            <w:shd w:val="clear" w:color="000000" w:fill="00CC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261</w:t>
            </w:r>
          </w:p>
        </w:tc>
        <w:tc>
          <w:tcPr>
            <w:tcW w:w="528" w:type="dxa"/>
            <w:tcBorders>
              <w:top w:val="nil"/>
              <w:left w:val="nil"/>
              <w:bottom w:val="single" w:sz="8" w:space="0" w:color="auto"/>
              <w:right w:val="single" w:sz="4" w:space="0" w:color="auto"/>
            </w:tcBorders>
            <w:shd w:val="clear" w:color="000000" w:fill="9966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264</w:t>
            </w:r>
          </w:p>
        </w:tc>
        <w:tc>
          <w:tcPr>
            <w:tcW w:w="485" w:type="dxa"/>
            <w:tcBorders>
              <w:top w:val="nil"/>
              <w:left w:val="nil"/>
              <w:bottom w:val="single" w:sz="8" w:space="0" w:color="auto"/>
              <w:right w:val="single" w:sz="4" w:space="0" w:color="auto"/>
            </w:tcBorders>
            <w:shd w:val="clear" w:color="000000" w:fill="FFFF0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266</w:t>
            </w:r>
          </w:p>
        </w:tc>
        <w:tc>
          <w:tcPr>
            <w:tcW w:w="485" w:type="dxa"/>
            <w:tcBorders>
              <w:top w:val="nil"/>
              <w:left w:val="nil"/>
              <w:bottom w:val="single" w:sz="8" w:space="0" w:color="auto"/>
              <w:right w:val="single" w:sz="4" w:space="0" w:color="auto"/>
            </w:tcBorders>
            <w:shd w:val="clear" w:color="000000" w:fill="66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267</w:t>
            </w:r>
          </w:p>
        </w:tc>
        <w:tc>
          <w:tcPr>
            <w:tcW w:w="485" w:type="dxa"/>
            <w:tcBorders>
              <w:top w:val="nil"/>
              <w:left w:val="nil"/>
              <w:bottom w:val="single" w:sz="8" w:space="0" w:color="auto"/>
              <w:right w:val="single" w:sz="4" w:space="0" w:color="auto"/>
            </w:tcBorders>
            <w:shd w:val="clear" w:color="000000" w:fill="C4BD97"/>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268</w:t>
            </w:r>
          </w:p>
        </w:tc>
        <w:tc>
          <w:tcPr>
            <w:tcW w:w="485" w:type="dxa"/>
            <w:tcBorders>
              <w:top w:val="nil"/>
              <w:left w:val="nil"/>
              <w:bottom w:val="single" w:sz="8" w:space="0" w:color="auto"/>
              <w:right w:val="single" w:sz="4" w:space="0" w:color="auto"/>
            </w:tcBorders>
            <w:shd w:val="clear" w:color="000000" w:fill="FF66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269</w:t>
            </w:r>
          </w:p>
        </w:tc>
        <w:tc>
          <w:tcPr>
            <w:tcW w:w="485" w:type="dxa"/>
            <w:tcBorders>
              <w:top w:val="nil"/>
              <w:left w:val="nil"/>
              <w:bottom w:val="single" w:sz="8" w:space="0" w:color="auto"/>
              <w:right w:val="single" w:sz="4" w:space="0" w:color="auto"/>
            </w:tcBorders>
            <w:shd w:val="clear" w:color="000000" w:fill="00FFC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270</w:t>
            </w:r>
          </w:p>
        </w:tc>
        <w:tc>
          <w:tcPr>
            <w:tcW w:w="485" w:type="dxa"/>
            <w:tcBorders>
              <w:top w:val="nil"/>
              <w:left w:val="nil"/>
              <w:bottom w:val="single" w:sz="8" w:space="0" w:color="auto"/>
              <w:right w:val="single" w:sz="4" w:space="0" w:color="auto"/>
            </w:tcBorders>
            <w:shd w:val="clear" w:color="000000" w:fill="9966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270</w:t>
            </w:r>
          </w:p>
        </w:tc>
        <w:tc>
          <w:tcPr>
            <w:tcW w:w="624"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270</w:t>
            </w:r>
          </w:p>
        </w:tc>
        <w:tc>
          <w:tcPr>
            <w:tcW w:w="567" w:type="dxa"/>
            <w:tcBorders>
              <w:top w:val="nil"/>
              <w:left w:val="nil"/>
              <w:bottom w:val="single" w:sz="8" w:space="0" w:color="auto"/>
              <w:right w:val="single" w:sz="4" w:space="0" w:color="auto"/>
            </w:tcBorders>
            <w:shd w:val="clear" w:color="000000" w:fill="FF9966"/>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271</w:t>
            </w:r>
          </w:p>
        </w:tc>
        <w:tc>
          <w:tcPr>
            <w:tcW w:w="567" w:type="dxa"/>
            <w:tcBorders>
              <w:top w:val="nil"/>
              <w:left w:val="nil"/>
              <w:bottom w:val="single" w:sz="8" w:space="0" w:color="auto"/>
              <w:right w:val="single" w:sz="4"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271</w:t>
            </w:r>
          </w:p>
        </w:tc>
        <w:tc>
          <w:tcPr>
            <w:tcW w:w="567" w:type="dxa"/>
            <w:tcBorders>
              <w:top w:val="nil"/>
              <w:left w:val="nil"/>
              <w:bottom w:val="single" w:sz="8" w:space="0" w:color="auto"/>
              <w:right w:val="single" w:sz="8" w:space="0" w:color="auto"/>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271</w:t>
            </w:r>
          </w:p>
        </w:tc>
      </w:tr>
      <w:tr w:rsidR="00FB4A07" w:rsidRPr="00FA3A49" w:rsidTr="00FA3A49">
        <w:trPr>
          <w:trHeight w:val="255"/>
        </w:trPr>
        <w:tc>
          <w:tcPr>
            <w:tcW w:w="2268" w:type="dxa"/>
            <w:gridSpan w:val="2"/>
            <w:tcBorders>
              <w:top w:val="nil"/>
              <w:left w:val="single" w:sz="8" w:space="0" w:color="auto"/>
              <w:bottom w:val="single" w:sz="8" w:space="0" w:color="auto"/>
              <w:right w:val="single" w:sz="8" w:space="0" w:color="000000"/>
            </w:tcBorders>
            <w:shd w:val="clear" w:color="000000" w:fill="D9D9D9"/>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Fellows completing adv</w:t>
            </w:r>
            <w:r w:rsidR="00C66726" w:rsidRPr="00FA3A49">
              <w:rPr>
                <w:color w:val="000000"/>
                <w:sz w:val="14"/>
                <w:szCs w:val="20"/>
                <w:lang w:eastAsia="en-AU"/>
              </w:rPr>
              <w:t>anced</w:t>
            </w:r>
            <w:r w:rsidRPr="00FA3A49">
              <w:rPr>
                <w:color w:val="000000"/>
                <w:sz w:val="14"/>
                <w:szCs w:val="20"/>
                <w:lang w:eastAsia="en-AU"/>
              </w:rPr>
              <w:t xml:space="preserve"> </w:t>
            </w:r>
            <w:r w:rsidR="00C66726" w:rsidRPr="00FA3A49">
              <w:rPr>
                <w:color w:val="000000"/>
                <w:sz w:val="14"/>
                <w:szCs w:val="20"/>
                <w:lang w:eastAsia="en-AU"/>
              </w:rPr>
              <w:t>certificate</w:t>
            </w:r>
          </w:p>
        </w:tc>
        <w:tc>
          <w:tcPr>
            <w:tcW w:w="567" w:type="dxa"/>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2" w:type="dxa"/>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11" w:type="dxa"/>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161</w:t>
            </w:r>
          </w:p>
        </w:tc>
        <w:tc>
          <w:tcPr>
            <w:tcW w:w="482" w:type="dxa"/>
            <w:tcBorders>
              <w:top w:val="single" w:sz="4" w:space="0" w:color="auto"/>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170</w:t>
            </w:r>
          </w:p>
        </w:tc>
        <w:tc>
          <w:tcPr>
            <w:tcW w:w="482" w:type="dxa"/>
            <w:tcBorders>
              <w:top w:val="single" w:sz="4" w:space="0" w:color="auto"/>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229</w:t>
            </w:r>
          </w:p>
        </w:tc>
        <w:tc>
          <w:tcPr>
            <w:tcW w:w="482" w:type="dxa"/>
            <w:tcBorders>
              <w:top w:val="nil"/>
              <w:left w:val="nil"/>
              <w:bottom w:val="single" w:sz="4" w:space="0" w:color="auto"/>
              <w:right w:val="single" w:sz="4" w:space="0" w:color="auto"/>
            </w:tcBorders>
            <w:shd w:val="clear" w:color="000000" w:fill="CCC0DA"/>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222</w:t>
            </w:r>
          </w:p>
        </w:tc>
        <w:tc>
          <w:tcPr>
            <w:tcW w:w="482" w:type="dxa"/>
            <w:tcBorders>
              <w:top w:val="nil"/>
              <w:left w:val="single" w:sz="4" w:space="0" w:color="auto"/>
              <w:bottom w:val="single" w:sz="4" w:space="0" w:color="auto"/>
              <w:right w:val="single" w:sz="18"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215</w:t>
            </w:r>
          </w:p>
        </w:tc>
        <w:tc>
          <w:tcPr>
            <w:tcW w:w="528" w:type="dxa"/>
            <w:tcBorders>
              <w:top w:val="nil"/>
              <w:left w:val="single" w:sz="18" w:space="0" w:color="auto"/>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624"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nil"/>
              <w:left w:val="nil"/>
              <w:bottom w:val="nil"/>
              <w:right w:val="single" w:sz="8" w:space="0" w:color="auto"/>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r>
      <w:tr w:rsidR="00FB4A07" w:rsidRPr="00FA3A49" w:rsidTr="00FA3A49">
        <w:trPr>
          <w:trHeight w:val="255"/>
        </w:trPr>
        <w:tc>
          <w:tcPr>
            <w:tcW w:w="2268" w:type="dxa"/>
            <w:gridSpan w:val="2"/>
            <w:tcBorders>
              <w:top w:val="single" w:sz="8" w:space="0" w:color="auto"/>
              <w:left w:val="single" w:sz="8" w:space="0" w:color="auto"/>
              <w:bottom w:val="nil"/>
              <w:right w:val="single" w:sz="8" w:space="0" w:color="000000"/>
            </w:tcBorders>
            <w:shd w:val="clear" w:color="000000" w:fill="D9D9D9"/>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TOTAL advanced trainees</w:t>
            </w:r>
          </w:p>
        </w:tc>
        <w:tc>
          <w:tcPr>
            <w:tcW w:w="567" w:type="dxa"/>
            <w:tcBorders>
              <w:top w:val="single" w:sz="4" w:space="0" w:color="auto"/>
              <w:left w:val="nil"/>
              <w:bottom w:val="nil"/>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178</w:t>
            </w:r>
          </w:p>
        </w:tc>
        <w:tc>
          <w:tcPr>
            <w:tcW w:w="482" w:type="dxa"/>
            <w:tcBorders>
              <w:top w:val="single" w:sz="4" w:space="0" w:color="auto"/>
              <w:left w:val="nil"/>
              <w:bottom w:val="nil"/>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177</w:t>
            </w:r>
          </w:p>
        </w:tc>
        <w:tc>
          <w:tcPr>
            <w:tcW w:w="511" w:type="dxa"/>
            <w:tcBorders>
              <w:top w:val="single" w:sz="4" w:space="0" w:color="auto"/>
              <w:left w:val="nil"/>
              <w:bottom w:val="nil"/>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278</w:t>
            </w:r>
          </w:p>
        </w:tc>
        <w:tc>
          <w:tcPr>
            <w:tcW w:w="567" w:type="dxa"/>
            <w:tcBorders>
              <w:top w:val="single" w:sz="4" w:space="0" w:color="auto"/>
              <w:left w:val="single" w:sz="4" w:space="0" w:color="auto"/>
              <w:bottom w:val="nil"/>
              <w:right w:val="nil"/>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322</w:t>
            </w:r>
          </w:p>
        </w:tc>
        <w:tc>
          <w:tcPr>
            <w:tcW w:w="528" w:type="dxa"/>
            <w:tcBorders>
              <w:top w:val="nil"/>
              <w:left w:val="single" w:sz="4" w:space="0" w:color="auto"/>
              <w:bottom w:val="nil"/>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350</w:t>
            </w:r>
          </w:p>
        </w:tc>
        <w:tc>
          <w:tcPr>
            <w:tcW w:w="482" w:type="dxa"/>
            <w:tcBorders>
              <w:top w:val="nil"/>
              <w:left w:val="nil"/>
              <w:bottom w:val="nil"/>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368</w:t>
            </w:r>
          </w:p>
        </w:tc>
        <w:tc>
          <w:tcPr>
            <w:tcW w:w="482" w:type="dxa"/>
            <w:tcBorders>
              <w:top w:val="nil"/>
              <w:left w:val="nil"/>
              <w:bottom w:val="nil"/>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417</w:t>
            </w:r>
          </w:p>
        </w:tc>
        <w:tc>
          <w:tcPr>
            <w:tcW w:w="482" w:type="dxa"/>
            <w:tcBorders>
              <w:top w:val="nil"/>
              <w:left w:val="nil"/>
              <w:bottom w:val="nil"/>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418</w:t>
            </w:r>
          </w:p>
        </w:tc>
        <w:tc>
          <w:tcPr>
            <w:tcW w:w="482" w:type="dxa"/>
            <w:tcBorders>
              <w:top w:val="nil"/>
              <w:left w:val="nil"/>
              <w:bottom w:val="nil"/>
              <w:right w:val="single" w:sz="18"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418</w:t>
            </w:r>
          </w:p>
        </w:tc>
        <w:tc>
          <w:tcPr>
            <w:tcW w:w="528" w:type="dxa"/>
            <w:tcBorders>
              <w:top w:val="nil"/>
              <w:left w:val="single" w:sz="18" w:space="0" w:color="auto"/>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5"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624"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nil"/>
              <w:left w:val="nil"/>
              <w:bottom w:val="nil"/>
              <w:right w:val="single" w:sz="8" w:space="0" w:color="auto"/>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r>
      <w:tr w:rsidR="00FB4A07" w:rsidRPr="00FA3A49" w:rsidTr="00FA3A49">
        <w:trPr>
          <w:trHeight w:val="255"/>
        </w:trPr>
        <w:tc>
          <w:tcPr>
            <w:tcW w:w="2268" w:type="dxa"/>
            <w:gridSpan w:val="2"/>
            <w:tcBorders>
              <w:top w:val="single" w:sz="8" w:space="0" w:color="auto"/>
              <w:left w:val="single" w:sz="8" w:space="0" w:color="auto"/>
              <w:bottom w:val="single" w:sz="8" w:space="0" w:color="auto"/>
              <w:right w:val="single" w:sz="8" w:space="0" w:color="000000"/>
            </w:tcBorders>
            <w:shd w:val="clear" w:color="000000" w:fill="CCC0DA"/>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Substantially comparable</w:t>
            </w:r>
          </w:p>
        </w:tc>
        <w:tc>
          <w:tcPr>
            <w:tcW w:w="567" w:type="dxa"/>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2" w:type="dxa"/>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11" w:type="dxa"/>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single" w:sz="8" w:space="0" w:color="auto"/>
              <w:left w:val="single" w:sz="4" w:space="0" w:color="auto"/>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47</w:t>
            </w:r>
          </w:p>
        </w:tc>
        <w:tc>
          <w:tcPr>
            <w:tcW w:w="482" w:type="dxa"/>
            <w:tcBorders>
              <w:top w:val="single" w:sz="8" w:space="0" w:color="auto"/>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73</w:t>
            </w:r>
          </w:p>
        </w:tc>
        <w:tc>
          <w:tcPr>
            <w:tcW w:w="482" w:type="dxa"/>
            <w:tcBorders>
              <w:top w:val="single" w:sz="8" w:space="0" w:color="auto"/>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40</w:t>
            </w:r>
          </w:p>
        </w:tc>
        <w:tc>
          <w:tcPr>
            <w:tcW w:w="482" w:type="dxa"/>
            <w:tcBorders>
              <w:top w:val="single" w:sz="8" w:space="0" w:color="auto"/>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43</w:t>
            </w:r>
          </w:p>
        </w:tc>
        <w:tc>
          <w:tcPr>
            <w:tcW w:w="482" w:type="dxa"/>
            <w:tcBorders>
              <w:top w:val="single" w:sz="8" w:space="0" w:color="auto"/>
              <w:left w:val="single" w:sz="4" w:space="0" w:color="auto"/>
              <w:bottom w:val="single" w:sz="4" w:space="0" w:color="auto"/>
              <w:right w:val="single" w:sz="1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528" w:type="dxa"/>
            <w:tcBorders>
              <w:top w:val="single" w:sz="8" w:space="0" w:color="auto"/>
              <w:left w:val="single" w:sz="18" w:space="0" w:color="auto"/>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528"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528"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528"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528"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528"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485"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485"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485"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485"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485"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485"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624"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567" w:type="dxa"/>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567"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r>
      <w:tr w:rsidR="00FB4A07" w:rsidRPr="00FA3A49" w:rsidTr="00FA3A49">
        <w:trPr>
          <w:trHeight w:val="255"/>
        </w:trPr>
        <w:tc>
          <w:tcPr>
            <w:tcW w:w="2268" w:type="dxa"/>
            <w:gridSpan w:val="2"/>
            <w:tcBorders>
              <w:top w:val="single" w:sz="8" w:space="0" w:color="auto"/>
              <w:left w:val="single" w:sz="8" w:space="0" w:color="auto"/>
              <w:bottom w:val="single" w:sz="8" w:space="0" w:color="auto"/>
              <w:right w:val="single" w:sz="8" w:space="0" w:color="000000"/>
            </w:tcBorders>
            <w:shd w:val="clear" w:color="000000" w:fill="CCC0DA"/>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Partially comparable</w:t>
            </w:r>
          </w:p>
        </w:tc>
        <w:tc>
          <w:tcPr>
            <w:tcW w:w="567"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2"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11"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single" w:sz="4" w:space="0" w:color="auto"/>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40</w:t>
            </w:r>
          </w:p>
        </w:tc>
        <w:tc>
          <w:tcPr>
            <w:tcW w:w="482"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43</w:t>
            </w:r>
          </w:p>
        </w:tc>
        <w:tc>
          <w:tcPr>
            <w:tcW w:w="482"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38</w:t>
            </w:r>
          </w:p>
        </w:tc>
        <w:tc>
          <w:tcPr>
            <w:tcW w:w="482"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22</w:t>
            </w:r>
          </w:p>
        </w:tc>
        <w:tc>
          <w:tcPr>
            <w:tcW w:w="482" w:type="dxa"/>
            <w:tcBorders>
              <w:top w:val="nil"/>
              <w:left w:val="single" w:sz="4" w:space="0" w:color="auto"/>
              <w:bottom w:val="single" w:sz="8" w:space="0" w:color="auto"/>
              <w:right w:val="single" w:sz="1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528" w:type="dxa"/>
            <w:tcBorders>
              <w:top w:val="nil"/>
              <w:left w:val="single" w:sz="18" w:space="0" w:color="auto"/>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528" w:type="dxa"/>
            <w:tcBorders>
              <w:top w:val="nil"/>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528" w:type="dxa"/>
            <w:tcBorders>
              <w:top w:val="nil"/>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528"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528"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528"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485"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624"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567"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567" w:type="dxa"/>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567" w:type="dxa"/>
            <w:tcBorders>
              <w:top w:val="nil"/>
              <w:left w:val="nil"/>
              <w:bottom w:val="nil"/>
              <w:right w:val="single" w:sz="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r>
      <w:tr w:rsidR="00FB4A07" w:rsidRPr="00FA3A49" w:rsidTr="00FA3A49">
        <w:trPr>
          <w:trHeight w:val="255"/>
        </w:trPr>
        <w:tc>
          <w:tcPr>
            <w:tcW w:w="2268" w:type="dxa"/>
            <w:gridSpan w:val="2"/>
            <w:tcBorders>
              <w:top w:val="single" w:sz="8" w:space="0" w:color="auto"/>
              <w:left w:val="single" w:sz="8" w:space="0" w:color="auto"/>
              <w:bottom w:val="single" w:sz="8" w:space="0" w:color="auto"/>
              <w:right w:val="single" w:sz="8" w:space="0" w:color="000000"/>
            </w:tcBorders>
            <w:shd w:val="clear" w:color="000000" w:fill="B1A0C7"/>
            <w:noWrap/>
            <w:vAlign w:val="center"/>
            <w:hideMark/>
          </w:tcPr>
          <w:p w:rsidR="005D6BAA" w:rsidRPr="00FA3A49" w:rsidRDefault="005D6BAA" w:rsidP="00776535">
            <w:pPr>
              <w:jc w:val="center"/>
              <w:rPr>
                <w:color w:val="000000"/>
                <w:sz w:val="14"/>
                <w:szCs w:val="20"/>
                <w:lang w:eastAsia="en-AU"/>
              </w:rPr>
            </w:pPr>
            <w:proofErr w:type="spellStart"/>
            <w:r w:rsidRPr="00FA3A49">
              <w:rPr>
                <w:color w:val="000000"/>
                <w:sz w:val="14"/>
                <w:szCs w:val="20"/>
                <w:lang w:eastAsia="en-AU"/>
              </w:rPr>
              <w:t>OTS</w:t>
            </w:r>
            <w:proofErr w:type="spellEnd"/>
            <w:r w:rsidRPr="00FA3A49">
              <w:rPr>
                <w:color w:val="000000"/>
                <w:sz w:val="14"/>
                <w:szCs w:val="20"/>
                <w:lang w:eastAsia="en-AU"/>
              </w:rPr>
              <w:t xml:space="preserve"> trainees</w:t>
            </w:r>
          </w:p>
        </w:tc>
        <w:tc>
          <w:tcPr>
            <w:tcW w:w="567" w:type="dxa"/>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2" w:type="dxa"/>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11" w:type="dxa"/>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2" w:type="dxa"/>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2" w:type="dxa"/>
            <w:tcBorders>
              <w:top w:val="nil"/>
              <w:left w:val="single" w:sz="4" w:space="0" w:color="auto"/>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206</w:t>
            </w:r>
          </w:p>
        </w:tc>
        <w:tc>
          <w:tcPr>
            <w:tcW w:w="482"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482" w:type="dxa"/>
            <w:tcBorders>
              <w:top w:val="nil"/>
              <w:left w:val="nil"/>
              <w:bottom w:val="single" w:sz="8" w:space="0" w:color="auto"/>
              <w:right w:val="single" w:sz="1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528" w:type="dxa"/>
            <w:tcBorders>
              <w:top w:val="nil"/>
              <w:left w:val="single" w:sz="18" w:space="0" w:color="auto"/>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528" w:type="dxa"/>
            <w:tcBorders>
              <w:top w:val="nil"/>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528" w:type="dxa"/>
            <w:tcBorders>
              <w:top w:val="nil"/>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528"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528"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528"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485"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485"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485"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485"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485"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485"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624"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567"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567" w:type="dxa"/>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567" w:type="dxa"/>
            <w:tcBorders>
              <w:top w:val="single" w:sz="8" w:space="0" w:color="auto"/>
              <w:left w:val="nil"/>
              <w:bottom w:val="single" w:sz="8" w:space="0" w:color="auto"/>
              <w:right w:val="single" w:sz="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r>
      <w:tr w:rsidR="00FB4A07" w:rsidRPr="00FA3A49" w:rsidTr="00FA3A49">
        <w:trPr>
          <w:trHeight w:val="255"/>
        </w:trPr>
        <w:tc>
          <w:tcPr>
            <w:tcW w:w="2268" w:type="dxa"/>
            <w:gridSpan w:val="2"/>
            <w:tcBorders>
              <w:top w:val="single" w:sz="8" w:space="0" w:color="auto"/>
              <w:left w:val="single" w:sz="8" w:space="0" w:color="auto"/>
              <w:bottom w:val="single" w:sz="4" w:space="0" w:color="auto"/>
              <w:right w:val="single" w:sz="8" w:space="0" w:color="000000"/>
            </w:tcBorders>
            <w:shd w:val="clear" w:color="000000" w:fill="215967"/>
            <w:noWrap/>
            <w:vAlign w:val="center"/>
            <w:hideMark/>
          </w:tcPr>
          <w:p w:rsidR="005D6BAA" w:rsidRPr="00FA3A49" w:rsidRDefault="005D6BAA" w:rsidP="00776535">
            <w:pPr>
              <w:jc w:val="center"/>
              <w:rPr>
                <w:color w:val="FFFFFF"/>
                <w:sz w:val="14"/>
                <w:szCs w:val="20"/>
                <w:lang w:eastAsia="en-AU"/>
              </w:rPr>
            </w:pPr>
            <w:r w:rsidRPr="00FA3A49">
              <w:rPr>
                <w:color w:val="FFFFFF"/>
                <w:sz w:val="14"/>
                <w:szCs w:val="20"/>
                <w:lang w:eastAsia="en-AU"/>
              </w:rPr>
              <w:t>Domestic new fellows</w:t>
            </w:r>
          </w:p>
        </w:tc>
        <w:tc>
          <w:tcPr>
            <w:tcW w:w="567"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2"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11"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single" w:sz="4" w:space="0" w:color="auto"/>
              <w:bottom w:val="single" w:sz="4"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82</w:t>
            </w:r>
          </w:p>
        </w:tc>
        <w:tc>
          <w:tcPr>
            <w:tcW w:w="482" w:type="dxa"/>
            <w:tcBorders>
              <w:top w:val="nil"/>
              <w:left w:val="nil"/>
              <w:bottom w:val="single" w:sz="4"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72</w:t>
            </w:r>
          </w:p>
        </w:tc>
        <w:tc>
          <w:tcPr>
            <w:tcW w:w="482" w:type="dxa"/>
            <w:tcBorders>
              <w:top w:val="nil"/>
              <w:left w:val="nil"/>
              <w:bottom w:val="single" w:sz="4"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104</w:t>
            </w:r>
          </w:p>
        </w:tc>
        <w:tc>
          <w:tcPr>
            <w:tcW w:w="482" w:type="dxa"/>
            <w:tcBorders>
              <w:top w:val="nil"/>
              <w:left w:val="nil"/>
              <w:bottom w:val="single" w:sz="4" w:space="0" w:color="auto"/>
              <w:right w:val="single" w:sz="4"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85</w:t>
            </w:r>
          </w:p>
        </w:tc>
        <w:tc>
          <w:tcPr>
            <w:tcW w:w="482" w:type="dxa"/>
            <w:tcBorders>
              <w:top w:val="nil"/>
              <w:left w:val="single" w:sz="4" w:space="0" w:color="auto"/>
              <w:bottom w:val="single" w:sz="4" w:space="0" w:color="auto"/>
              <w:right w:val="single" w:sz="18" w:space="0" w:color="auto"/>
            </w:tcBorders>
            <w:shd w:val="clear" w:color="000000" w:fill="FDE9D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92</w:t>
            </w:r>
          </w:p>
        </w:tc>
        <w:tc>
          <w:tcPr>
            <w:tcW w:w="528" w:type="dxa"/>
            <w:tcBorders>
              <w:top w:val="nil"/>
              <w:left w:val="single" w:sz="18" w:space="0" w:color="auto"/>
              <w:bottom w:val="single" w:sz="8" w:space="0" w:color="auto"/>
              <w:right w:val="nil"/>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95</w:t>
            </w:r>
          </w:p>
        </w:tc>
        <w:tc>
          <w:tcPr>
            <w:tcW w:w="528" w:type="dxa"/>
            <w:tcBorders>
              <w:top w:val="nil"/>
              <w:left w:val="single" w:sz="4" w:space="0" w:color="auto"/>
              <w:bottom w:val="single" w:sz="8" w:space="0" w:color="auto"/>
              <w:right w:val="nil"/>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106</w:t>
            </w:r>
          </w:p>
        </w:tc>
        <w:tc>
          <w:tcPr>
            <w:tcW w:w="528" w:type="dxa"/>
            <w:tcBorders>
              <w:top w:val="nil"/>
              <w:left w:val="single" w:sz="4" w:space="0" w:color="auto"/>
              <w:bottom w:val="single" w:sz="8" w:space="0" w:color="auto"/>
              <w:right w:val="nil"/>
            </w:tcBorders>
            <w:shd w:val="clear" w:color="auto" w:fill="auto"/>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113</w:t>
            </w:r>
          </w:p>
        </w:tc>
        <w:tc>
          <w:tcPr>
            <w:tcW w:w="528" w:type="dxa"/>
            <w:tcBorders>
              <w:top w:val="nil"/>
              <w:left w:val="single" w:sz="4" w:space="0" w:color="auto"/>
              <w:bottom w:val="single" w:sz="4" w:space="0" w:color="auto"/>
              <w:right w:val="single" w:sz="4" w:space="0" w:color="auto"/>
            </w:tcBorders>
            <w:shd w:val="clear" w:color="000000" w:fill="00CC00"/>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117</w:t>
            </w:r>
          </w:p>
        </w:tc>
        <w:tc>
          <w:tcPr>
            <w:tcW w:w="528" w:type="dxa"/>
            <w:tcBorders>
              <w:top w:val="nil"/>
              <w:left w:val="nil"/>
              <w:bottom w:val="single" w:sz="4" w:space="0" w:color="auto"/>
              <w:right w:val="single" w:sz="4" w:space="0" w:color="auto"/>
            </w:tcBorders>
            <w:shd w:val="clear" w:color="000000" w:fill="996633"/>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120</w:t>
            </w:r>
          </w:p>
        </w:tc>
        <w:tc>
          <w:tcPr>
            <w:tcW w:w="528" w:type="dxa"/>
            <w:tcBorders>
              <w:top w:val="nil"/>
              <w:left w:val="nil"/>
              <w:bottom w:val="single" w:sz="4" w:space="0" w:color="auto"/>
              <w:right w:val="single" w:sz="4" w:space="0" w:color="auto"/>
            </w:tcBorders>
            <w:shd w:val="clear" w:color="000000" w:fill="FF5050"/>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122</w:t>
            </w:r>
          </w:p>
        </w:tc>
        <w:tc>
          <w:tcPr>
            <w:tcW w:w="485" w:type="dxa"/>
            <w:tcBorders>
              <w:top w:val="nil"/>
              <w:left w:val="nil"/>
              <w:bottom w:val="single" w:sz="4" w:space="0" w:color="auto"/>
              <w:right w:val="single" w:sz="4" w:space="0" w:color="auto"/>
            </w:tcBorders>
            <w:shd w:val="clear" w:color="000000" w:fill="00CCFF"/>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124</w:t>
            </w:r>
          </w:p>
        </w:tc>
        <w:tc>
          <w:tcPr>
            <w:tcW w:w="485" w:type="dxa"/>
            <w:tcBorders>
              <w:top w:val="nil"/>
              <w:left w:val="nil"/>
              <w:bottom w:val="single" w:sz="4" w:space="0" w:color="auto"/>
              <w:right w:val="single" w:sz="4" w:space="0" w:color="auto"/>
            </w:tcBorders>
            <w:shd w:val="clear" w:color="000000" w:fill="9966FF"/>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125</w:t>
            </w:r>
          </w:p>
        </w:tc>
        <w:tc>
          <w:tcPr>
            <w:tcW w:w="485" w:type="dxa"/>
            <w:tcBorders>
              <w:top w:val="nil"/>
              <w:left w:val="nil"/>
              <w:bottom w:val="single" w:sz="4" w:space="0" w:color="auto"/>
              <w:right w:val="single" w:sz="4" w:space="0" w:color="auto"/>
            </w:tcBorders>
            <w:shd w:val="clear" w:color="000000" w:fill="FFFF00"/>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126</w:t>
            </w:r>
          </w:p>
        </w:tc>
        <w:tc>
          <w:tcPr>
            <w:tcW w:w="485" w:type="dxa"/>
            <w:tcBorders>
              <w:top w:val="nil"/>
              <w:left w:val="nil"/>
              <w:bottom w:val="single" w:sz="4" w:space="0" w:color="auto"/>
              <w:right w:val="single" w:sz="4" w:space="0" w:color="auto"/>
            </w:tcBorders>
            <w:shd w:val="clear" w:color="000000" w:fill="66FF99"/>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126</w:t>
            </w:r>
          </w:p>
        </w:tc>
        <w:tc>
          <w:tcPr>
            <w:tcW w:w="485" w:type="dxa"/>
            <w:tcBorders>
              <w:top w:val="nil"/>
              <w:left w:val="nil"/>
              <w:bottom w:val="single" w:sz="4" w:space="0" w:color="auto"/>
              <w:right w:val="single" w:sz="4" w:space="0" w:color="auto"/>
            </w:tcBorders>
            <w:shd w:val="clear" w:color="000000" w:fill="C4BD97"/>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126</w:t>
            </w:r>
          </w:p>
        </w:tc>
        <w:tc>
          <w:tcPr>
            <w:tcW w:w="485" w:type="dxa"/>
            <w:tcBorders>
              <w:top w:val="nil"/>
              <w:left w:val="nil"/>
              <w:bottom w:val="single" w:sz="4" w:space="0" w:color="auto"/>
              <w:right w:val="single" w:sz="4" w:space="0" w:color="auto"/>
            </w:tcBorders>
            <w:shd w:val="clear" w:color="000000" w:fill="FF6699"/>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127</w:t>
            </w:r>
          </w:p>
        </w:tc>
        <w:tc>
          <w:tcPr>
            <w:tcW w:w="624" w:type="dxa"/>
            <w:tcBorders>
              <w:top w:val="nil"/>
              <w:left w:val="nil"/>
              <w:bottom w:val="single" w:sz="4" w:space="0" w:color="auto"/>
              <w:right w:val="single" w:sz="4" w:space="0" w:color="auto"/>
            </w:tcBorders>
            <w:shd w:val="clear" w:color="000000" w:fill="00FFCC"/>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127</w:t>
            </w:r>
          </w:p>
        </w:tc>
        <w:tc>
          <w:tcPr>
            <w:tcW w:w="567" w:type="dxa"/>
            <w:tcBorders>
              <w:top w:val="nil"/>
              <w:left w:val="nil"/>
              <w:bottom w:val="single" w:sz="4" w:space="0" w:color="auto"/>
              <w:right w:val="single" w:sz="4" w:space="0" w:color="auto"/>
            </w:tcBorders>
            <w:shd w:val="clear" w:color="000000" w:fill="9966FF"/>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127</w:t>
            </w:r>
          </w:p>
        </w:tc>
        <w:tc>
          <w:tcPr>
            <w:tcW w:w="567"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127</w:t>
            </w:r>
          </w:p>
        </w:tc>
        <w:tc>
          <w:tcPr>
            <w:tcW w:w="567" w:type="dxa"/>
            <w:tcBorders>
              <w:top w:val="nil"/>
              <w:left w:val="single" w:sz="4" w:space="0" w:color="auto"/>
              <w:bottom w:val="single" w:sz="4" w:space="0" w:color="auto"/>
              <w:right w:val="single" w:sz="8" w:space="0" w:color="auto"/>
            </w:tcBorders>
            <w:shd w:val="clear" w:color="000000" w:fill="FF9966"/>
            <w:noWrap/>
            <w:vAlign w:val="bottom"/>
            <w:hideMark/>
          </w:tcPr>
          <w:p w:rsidR="005D6BAA" w:rsidRPr="00FA3A49" w:rsidRDefault="005D6BAA" w:rsidP="005D6BAA">
            <w:pPr>
              <w:jc w:val="right"/>
              <w:rPr>
                <w:b/>
                <w:bCs/>
                <w:color w:val="000000"/>
                <w:sz w:val="14"/>
                <w:szCs w:val="20"/>
                <w:lang w:eastAsia="en-AU"/>
              </w:rPr>
            </w:pPr>
            <w:r w:rsidRPr="00FA3A49">
              <w:rPr>
                <w:b/>
                <w:bCs/>
                <w:color w:val="000000"/>
                <w:sz w:val="14"/>
                <w:szCs w:val="20"/>
                <w:lang w:eastAsia="en-AU"/>
              </w:rPr>
              <w:t>127</w:t>
            </w:r>
          </w:p>
        </w:tc>
      </w:tr>
      <w:tr w:rsidR="00FB4A07" w:rsidRPr="00FA3A49" w:rsidTr="00FA3A49">
        <w:trPr>
          <w:trHeight w:val="255"/>
        </w:trPr>
        <w:tc>
          <w:tcPr>
            <w:tcW w:w="2268" w:type="dxa"/>
            <w:gridSpan w:val="2"/>
            <w:tcBorders>
              <w:top w:val="single" w:sz="4" w:space="0" w:color="auto"/>
              <w:left w:val="single" w:sz="8" w:space="0" w:color="auto"/>
              <w:bottom w:val="single" w:sz="4" w:space="0" w:color="auto"/>
              <w:right w:val="single" w:sz="8" w:space="0" w:color="000000"/>
            </w:tcBorders>
            <w:shd w:val="clear" w:color="000000" w:fill="60497A"/>
            <w:noWrap/>
            <w:vAlign w:val="center"/>
            <w:hideMark/>
          </w:tcPr>
          <w:p w:rsidR="005D6BAA" w:rsidRPr="00FA3A49" w:rsidRDefault="005D6BAA" w:rsidP="00776535">
            <w:pPr>
              <w:jc w:val="center"/>
              <w:rPr>
                <w:color w:val="FFFFFF"/>
                <w:sz w:val="14"/>
                <w:szCs w:val="20"/>
                <w:lang w:eastAsia="en-AU"/>
              </w:rPr>
            </w:pPr>
            <w:proofErr w:type="spellStart"/>
            <w:r w:rsidRPr="00FA3A49">
              <w:rPr>
                <w:color w:val="FFFFFF"/>
                <w:sz w:val="14"/>
                <w:szCs w:val="20"/>
                <w:lang w:eastAsia="en-AU"/>
              </w:rPr>
              <w:t>OTS</w:t>
            </w:r>
            <w:proofErr w:type="spellEnd"/>
            <w:r w:rsidRPr="00FA3A49">
              <w:rPr>
                <w:color w:val="FFFFFF"/>
                <w:sz w:val="14"/>
                <w:szCs w:val="20"/>
                <w:lang w:eastAsia="en-AU"/>
              </w:rPr>
              <w:t xml:space="preserve"> new fellows</w:t>
            </w:r>
          </w:p>
        </w:tc>
        <w:tc>
          <w:tcPr>
            <w:tcW w:w="567"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482"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11"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67" w:type="dxa"/>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528" w:type="dxa"/>
            <w:tcBorders>
              <w:top w:val="nil"/>
              <w:left w:val="single" w:sz="4" w:space="0" w:color="auto"/>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72</w:t>
            </w:r>
          </w:p>
        </w:tc>
        <w:tc>
          <w:tcPr>
            <w:tcW w:w="482"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59</w:t>
            </w:r>
          </w:p>
        </w:tc>
        <w:tc>
          <w:tcPr>
            <w:tcW w:w="482"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32</w:t>
            </w:r>
          </w:p>
        </w:tc>
        <w:tc>
          <w:tcPr>
            <w:tcW w:w="482"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56</w:t>
            </w:r>
          </w:p>
        </w:tc>
        <w:tc>
          <w:tcPr>
            <w:tcW w:w="482" w:type="dxa"/>
            <w:tcBorders>
              <w:top w:val="single" w:sz="4" w:space="0" w:color="auto"/>
              <w:left w:val="single" w:sz="4" w:space="0" w:color="auto"/>
              <w:bottom w:val="single" w:sz="4" w:space="0" w:color="auto"/>
              <w:right w:val="single" w:sz="1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54</w:t>
            </w:r>
          </w:p>
        </w:tc>
        <w:tc>
          <w:tcPr>
            <w:tcW w:w="528" w:type="dxa"/>
            <w:tcBorders>
              <w:top w:val="single" w:sz="4" w:space="0" w:color="auto"/>
              <w:left w:val="single" w:sz="18" w:space="0" w:color="auto"/>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528" w:type="dxa"/>
            <w:tcBorders>
              <w:top w:val="single" w:sz="4"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528" w:type="dxa"/>
            <w:tcBorders>
              <w:top w:val="single" w:sz="4"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528" w:type="dxa"/>
            <w:tcBorders>
              <w:top w:val="nil"/>
              <w:left w:val="nil"/>
              <w:bottom w:val="single" w:sz="4" w:space="0" w:color="auto"/>
              <w:right w:val="single" w:sz="4" w:space="0" w:color="auto"/>
            </w:tcBorders>
            <w:shd w:val="clear" w:color="000000" w:fill="00CC0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528" w:type="dxa"/>
            <w:tcBorders>
              <w:top w:val="nil"/>
              <w:left w:val="nil"/>
              <w:bottom w:val="single" w:sz="4" w:space="0" w:color="auto"/>
              <w:right w:val="single" w:sz="4" w:space="0" w:color="auto"/>
            </w:tcBorders>
            <w:shd w:val="clear" w:color="000000" w:fill="996633"/>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528" w:type="dxa"/>
            <w:tcBorders>
              <w:top w:val="nil"/>
              <w:left w:val="nil"/>
              <w:bottom w:val="single" w:sz="4" w:space="0" w:color="auto"/>
              <w:right w:val="single" w:sz="4" w:space="0" w:color="auto"/>
            </w:tcBorders>
            <w:shd w:val="clear" w:color="000000" w:fill="FF505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485" w:type="dxa"/>
            <w:tcBorders>
              <w:top w:val="nil"/>
              <w:left w:val="nil"/>
              <w:bottom w:val="single" w:sz="4" w:space="0" w:color="auto"/>
              <w:right w:val="single" w:sz="4" w:space="0" w:color="auto"/>
            </w:tcBorders>
            <w:shd w:val="clear" w:color="000000" w:fill="00CC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485" w:type="dxa"/>
            <w:tcBorders>
              <w:top w:val="nil"/>
              <w:left w:val="nil"/>
              <w:bottom w:val="single" w:sz="4" w:space="0" w:color="auto"/>
              <w:right w:val="single" w:sz="4" w:space="0" w:color="auto"/>
            </w:tcBorders>
            <w:shd w:val="clear" w:color="000000" w:fill="9966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485" w:type="dxa"/>
            <w:tcBorders>
              <w:top w:val="nil"/>
              <w:left w:val="nil"/>
              <w:bottom w:val="single" w:sz="4" w:space="0" w:color="auto"/>
              <w:right w:val="single" w:sz="4" w:space="0" w:color="auto"/>
            </w:tcBorders>
            <w:shd w:val="clear" w:color="000000" w:fill="FFFF0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485" w:type="dxa"/>
            <w:tcBorders>
              <w:top w:val="nil"/>
              <w:left w:val="nil"/>
              <w:bottom w:val="single" w:sz="4" w:space="0" w:color="auto"/>
              <w:right w:val="single" w:sz="4" w:space="0" w:color="auto"/>
            </w:tcBorders>
            <w:shd w:val="clear" w:color="000000" w:fill="66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485" w:type="dxa"/>
            <w:tcBorders>
              <w:top w:val="nil"/>
              <w:left w:val="nil"/>
              <w:bottom w:val="single" w:sz="4" w:space="0" w:color="auto"/>
              <w:right w:val="single" w:sz="4" w:space="0" w:color="auto"/>
            </w:tcBorders>
            <w:shd w:val="clear" w:color="000000" w:fill="C4BD97"/>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485" w:type="dxa"/>
            <w:tcBorders>
              <w:top w:val="nil"/>
              <w:left w:val="nil"/>
              <w:bottom w:val="single" w:sz="4" w:space="0" w:color="auto"/>
              <w:right w:val="single" w:sz="4" w:space="0" w:color="auto"/>
            </w:tcBorders>
            <w:shd w:val="clear" w:color="000000" w:fill="FF66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624" w:type="dxa"/>
            <w:tcBorders>
              <w:top w:val="nil"/>
              <w:left w:val="nil"/>
              <w:bottom w:val="single" w:sz="4" w:space="0" w:color="auto"/>
              <w:right w:val="single" w:sz="4" w:space="0" w:color="auto"/>
            </w:tcBorders>
            <w:shd w:val="clear" w:color="000000" w:fill="00FFC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567" w:type="dxa"/>
            <w:tcBorders>
              <w:top w:val="nil"/>
              <w:left w:val="nil"/>
              <w:bottom w:val="single" w:sz="4" w:space="0" w:color="auto"/>
              <w:right w:val="single" w:sz="4" w:space="0" w:color="auto"/>
            </w:tcBorders>
            <w:shd w:val="clear" w:color="000000" w:fill="9966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567" w:type="dxa"/>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c>
          <w:tcPr>
            <w:tcW w:w="567" w:type="dxa"/>
            <w:tcBorders>
              <w:top w:val="single" w:sz="4" w:space="0" w:color="auto"/>
              <w:left w:val="single" w:sz="4" w:space="0" w:color="auto"/>
              <w:bottom w:val="single" w:sz="4" w:space="0" w:color="auto"/>
              <w:right w:val="single" w:sz="8" w:space="0" w:color="auto"/>
            </w:tcBorders>
            <w:shd w:val="clear" w:color="000000" w:fill="FF9966"/>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55</w:t>
            </w:r>
          </w:p>
        </w:tc>
      </w:tr>
      <w:tr w:rsidR="00FB4A07" w:rsidRPr="00FA3A49" w:rsidTr="00FA3A49">
        <w:trPr>
          <w:trHeight w:val="255"/>
        </w:trPr>
        <w:tc>
          <w:tcPr>
            <w:tcW w:w="2268" w:type="dxa"/>
            <w:gridSpan w:val="2"/>
            <w:tcBorders>
              <w:top w:val="single" w:sz="4" w:space="0" w:color="auto"/>
              <w:left w:val="single" w:sz="8" w:space="0" w:color="auto"/>
              <w:bottom w:val="single" w:sz="8" w:space="0" w:color="auto"/>
              <w:right w:val="single" w:sz="8" w:space="0" w:color="000000"/>
            </w:tcBorders>
            <w:shd w:val="clear" w:color="000000" w:fill="D9D9D9"/>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Total New Fellows</w:t>
            </w:r>
          </w:p>
        </w:tc>
        <w:tc>
          <w:tcPr>
            <w:tcW w:w="567" w:type="dxa"/>
            <w:tcBorders>
              <w:top w:val="single" w:sz="4" w:space="0" w:color="auto"/>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90</w:t>
            </w:r>
          </w:p>
        </w:tc>
        <w:tc>
          <w:tcPr>
            <w:tcW w:w="482" w:type="dxa"/>
            <w:tcBorders>
              <w:top w:val="single" w:sz="4" w:space="0" w:color="auto"/>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72</w:t>
            </w:r>
          </w:p>
        </w:tc>
        <w:tc>
          <w:tcPr>
            <w:tcW w:w="511" w:type="dxa"/>
            <w:tcBorders>
              <w:top w:val="single" w:sz="4" w:space="0" w:color="auto"/>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147</w:t>
            </w:r>
          </w:p>
        </w:tc>
        <w:tc>
          <w:tcPr>
            <w:tcW w:w="567" w:type="dxa"/>
            <w:tcBorders>
              <w:top w:val="single" w:sz="4" w:space="0" w:color="auto"/>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125</w:t>
            </w:r>
          </w:p>
        </w:tc>
        <w:tc>
          <w:tcPr>
            <w:tcW w:w="528"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154</w:t>
            </w:r>
          </w:p>
        </w:tc>
        <w:tc>
          <w:tcPr>
            <w:tcW w:w="482"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131</w:t>
            </w:r>
          </w:p>
        </w:tc>
        <w:tc>
          <w:tcPr>
            <w:tcW w:w="482"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136</w:t>
            </w:r>
          </w:p>
        </w:tc>
        <w:tc>
          <w:tcPr>
            <w:tcW w:w="482"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141</w:t>
            </w:r>
          </w:p>
        </w:tc>
        <w:tc>
          <w:tcPr>
            <w:tcW w:w="482" w:type="dxa"/>
            <w:tcBorders>
              <w:top w:val="nil"/>
              <w:left w:val="nil"/>
              <w:bottom w:val="single" w:sz="8" w:space="0" w:color="auto"/>
              <w:right w:val="single" w:sz="18" w:space="0" w:color="auto"/>
            </w:tcBorders>
            <w:shd w:val="clear" w:color="000000" w:fill="D8E4B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146</w:t>
            </w:r>
          </w:p>
        </w:tc>
        <w:tc>
          <w:tcPr>
            <w:tcW w:w="528" w:type="dxa"/>
            <w:tcBorders>
              <w:top w:val="nil"/>
              <w:left w:val="single" w:sz="18" w:space="0" w:color="auto"/>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150</w:t>
            </w:r>
          </w:p>
        </w:tc>
        <w:tc>
          <w:tcPr>
            <w:tcW w:w="528" w:type="dxa"/>
            <w:tcBorders>
              <w:top w:val="nil"/>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161</w:t>
            </w:r>
          </w:p>
        </w:tc>
        <w:tc>
          <w:tcPr>
            <w:tcW w:w="528" w:type="dxa"/>
            <w:tcBorders>
              <w:top w:val="nil"/>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168</w:t>
            </w:r>
          </w:p>
        </w:tc>
        <w:tc>
          <w:tcPr>
            <w:tcW w:w="528" w:type="dxa"/>
            <w:tcBorders>
              <w:top w:val="nil"/>
              <w:left w:val="nil"/>
              <w:bottom w:val="single" w:sz="8" w:space="0" w:color="auto"/>
              <w:right w:val="single" w:sz="4" w:space="0" w:color="auto"/>
            </w:tcBorders>
            <w:shd w:val="clear" w:color="000000" w:fill="00CC0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172</w:t>
            </w:r>
          </w:p>
        </w:tc>
        <w:tc>
          <w:tcPr>
            <w:tcW w:w="528" w:type="dxa"/>
            <w:tcBorders>
              <w:top w:val="nil"/>
              <w:left w:val="nil"/>
              <w:bottom w:val="single" w:sz="8" w:space="0" w:color="auto"/>
              <w:right w:val="single" w:sz="4" w:space="0" w:color="auto"/>
            </w:tcBorders>
            <w:shd w:val="clear" w:color="000000" w:fill="996633"/>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175</w:t>
            </w:r>
          </w:p>
        </w:tc>
        <w:tc>
          <w:tcPr>
            <w:tcW w:w="528" w:type="dxa"/>
            <w:tcBorders>
              <w:top w:val="nil"/>
              <w:left w:val="nil"/>
              <w:bottom w:val="single" w:sz="8" w:space="0" w:color="auto"/>
              <w:right w:val="single" w:sz="4" w:space="0" w:color="auto"/>
            </w:tcBorders>
            <w:shd w:val="clear" w:color="000000" w:fill="FF505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177</w:t>
            </w:r>
          </w:p>
        </w:tc>
        <w:tc>
          <w:tcPr>
            <w:tcW w:w="485" w:type="dxa"/>
            <w:tcBorders>
              <w:top w:val="nil"/>
              <w:left w:val="nil"/>
              <w:bottom w:val="single" w:sz="8" w:space="0" w:color="auto"/>
              <w:right w:val="single" w:sz="4" w:space="0" w:color="auto"/>
            </w:tcBorders>
            <w:shd w:val="clear" w:color="000000" w:fill="00CC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179</w:t>
            </w:r>
          </w:p>
        </w:tc>
        <w:tc>
          <w:tcPr>
            <w:tcW w:w="485" w:type="dxa"/>
            <w:tcBorders>
              <w:top w:val="nil"/>
              <w:left w:val="nil"/>
              <w:bottom w:val="single" w:sz="8" w:space="0" w:color="auto"/>
              <w:right w:val="single" w:sz="4" w:space="0" w:color="auto"/>
            </w:tcBorders>
            <w:shd w:val="clear" w:color="000000" w:fill="9966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180</w:t>
            </w:r>
          </w:p>
        </w:tc>
        <w:tc>
          <w:tcPr>
            <w:tcW w:w="485" w:type="dxa"/>
            <w:tcBorders>
              <w:top w:val="nil"/>
              <w:left w:val="nil"/>
              <w:bottom w:val="single" w:sz="8" w:space="0" w:color="auto"/>
              <w:right w:val="single" w:sz="4" w:space="0" w:color="auto"/>
            </w:tcBorders>
            <w:shd w:val="clear" w:color="000000" w:fill="FFFF00"/>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181</w:t>
            </w:r>
          </w:p>
        </w:tc>
        <w:tc>
          <w:tcPr>
            <w:tcW w:w="485" w:type="dxa"/>
            <w:tcBorders>
              <w:top w:val="nil"/>
              <w:left w:val="nil"/>
              <w:bottom w:val="single" w:sz="8" w:space="0" w:color="auto"/>
              <w:right w:val="single" w:sz="4" w:space="0" w:color="auto"/>
            </w:tcBorders>
            <w:shd w:val="clear" w:color="000000" w:fill="66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181</w:t>
            </w:r>
          </w:p>
        </w:tc>
        <w:tc>
          <w:tcPr>
            <w:tcW w:w="485" w:type="dxa"/>
            <w:tcBorders>
              <w:top w:val="nil"/>
              <w:left w:val="nil"/>
              <w:bottom w:val="single" w:sz="8" w:space="0" w:color="auto"/>
              <w:right w:val="single" w:sz="4" w:space="0" w:color="auto"/>
            </w:tcBorders>
            <w:shd w:val="clear" w:color="000000" w:fill="C4BD97"/>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181</w:t>
            </w:r>
          </w:p>
        </w:tc>
        <w:tc>
          <w:tcPr>
            <w:tcW w:w="485" w:type="dxa"/>
            <w:tcBorders>
              <w:top w:val="nil"/>
              <w:left w:val="nil"/>
              <w:bottom w:val="single" w:sz="8" w:space="0" w:color="auto"/>
              <w:right w:val="single" w:sz="4" w:space="0" w:color="auto"/>
            </w:tcBorders>
            <w:shd w:val="clear" w:color="000000" w:fill="FF66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182</w:t>
            </w:r>
          </w:p>
        </w:tc>
        <w:tc>
          <w:tcPr>
            <w:tcW w:w="624" w:type="dxa"/>
            <w:tcBorders>
              <w:top w:val="nil"/>
              <w:left w:val="nil"/>
              <w:bottom w:val="single" w:sz="8" w:space="0" w:color="auto"/>
              <w:right w:val="single" w:sz="4" w:space="0" w:color="auto"/>
            </w:tcBorders>
            <w:shd w:val="clear" w:color="000000" w:fill="00FFCC"/>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182</w:t>
            </w:r>
          </w:p>
        </w:tc>
        <w:tc>
          <w:tcPr>
            <w:tcW w:w="567" w:type="dxa"/>
            <w:tcBorders>
              <w:top w:val="nil"/>
              <w:left w:val="nil"/>
              <w:bottom w:val="single" w:sz="8" w:space="0" w:color="auto"/>
              <w:right w:val="single" w:sz="4" w:space="0" w:color="auto"/>
            </w:tcBorders>
            <w:shd w:val="clear" w:color="000000" w:fill="9966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182</w:t>
            </w:r>
          </w:p>
        </w:tc>
        <w:tc>
          <w:tcPr>
            <w:tcW w:w="567" w:type="dxa"/>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182</w:t>
            </w:r>
          </w:p>
        </w:tc>
        <w:tc>
          <w:tcPr>
            <w:tcW w:w="567" w:type="dxa"/>
            <w:tcBorders>
              <w:top w:val="nil"/>
              <w:left w:val="single" w:sz="4" w:space="0" w:color="auto"/>
              <w:bottom w:val="single" w:sz="8" w:space="0" w:color="auto"/>
              <w:right w:val="single" w:sz="8" w:space="0" w:color="auto"/>
            </w:tcBorders>
            <w:shd w:val="clear" w:color="000000" w:fill="FF9966"/>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182</w:t>
            </w:r>
          </w:p>
        </w:tc>
      </w:tr>
    </w:tbl>
    <w:p w:rsidR="0083314E" w:rsidRPr="004A44A6" w:rsidRDefault="0083314E" w:rsidP="0083314E">
      <w:pPr>
        <w:rPr>
          <w:rFonts w:ascii="Arial" w:hAnsi="Arial" w:cs="Arial"/>
          <w:sz w:val="14"/>
        </w:rPr>
      </w:pPr>
    </w:p>
    <w:p w:rsidR="006A5822" w:rsidRPr="00296E67" w:rsidRDefault="006A5822" w:rsidP="00B831A8">
      <w:pPr>
        <w:pStyle w:val="Heading4"/>
      </w:pPr>
      <w:r w:rsidRPr="00296E67">
        <w:t xml:space="preserve">Table </w:t>
      </w:r>
      <w:fldSimple w:instr=" SEQ Table \* ARABIC ">
        <w:r w:rsidR="00A34F47" w:rsidRPr="00296E67">
          <w:rPr>
            <w:noProof/>
          </w:rPr>
          <w:t>13</w:t>
        </w:r>
      </w:fldSimple>
      <w:bookmarkEnd w:id="37"/>
      <w:r w:rsidR="00446E07" w:rsidRPr="00296E67">
        <w:t xml:space="preserve"> –</w:t>
      </w:r>
      <w:r w:rsidR="005D6BAA" w:rsidRPr="00296E67">
        <w:t xml:space="preserve"> Dynamic t</w:t>
      </w:r>
      <w:r w:rsidRPr="00296E67">
        <w:t>r</w:t>
      </w:r>
      <w:r w:rsidR="005D6BAA" w:rsidRPr="00296E67">
        <w:t>ainee pipeline analysis, 2009 –</w:t>
      </w:r>
      <w:r w:rsidRPr="00296E67">
        <w:t xml:space="preserve"> 2030</w:t>
      </w:r>
    </w:p>
    <w:tbl>
      <w:tblPr>
        <w:tblW w:w="5090" w:type="pct"/>
        <w:tblInd w:w="108" w:type="dxa"/>
        <w:tblLayout w:type="fixed"/>
        <w:tblLook w:val="04A0" w:firstRow="1" w:lastRow="0" w:firstColumn="1" w:lastColumn="0" w:noHBand="0" w:noVBand="1"/>
        <w:tblCaption w:val="Table 13: Dynamic trainee pipeline analysis - 2030"/>
        <w:tblDescription w:val="Table 12 and Table 13 show the differences between using a static and dynamic method for the new intake for each year. The dynamic version in this table projects a total of 193 new fellowas by 2030."/>
      </w:tblPr>
      <w:tblGrid>
        <w:gridCol w:w="1139"/>
        <w:gridCol w:w="1139"/>
        <w:gridCol w:w="528"/>
        <w:gridCol w:w="528"/>
        <w:gridCol w:w="525"/>
        <w:gridCol w:w="525"/>
        <w:gridCol w:w="455"/>
        <w:gridCol w:w="455"/>
        <w:gridCol w:w="526"/>
        <w:gridCol w:w="526"/>
        <w:gridCol w:w="526"/>
        <w:gridCol w:w="526"/>
        <w:gridCol w:w="526"/>
        <w:gridCol w:w="526"/>
        <w:gridCol w:w="526"/>
        <w:gridCol w:w="526"/>
        <w:gridCol w:w="526"/>
        <w:gridCol w:w="526"/>
        <w:gridCol w:w="526"/>
        <w:gridCol w:w="529"/>
        <w:gridCol w:w="529"/>
        <w:gridCol w:w="529"/>
        <w:gridCol w:w="523"/>
        <w:gridCol w:w="523"/>
        <w:gridCol w:w="523"/>
        <w:gridCol w:w="523"/>
        <w:gridCol w:w="523"/>
      </w:tblGrid>
      <w:tr w:rsidR="00FA3A49" w:rsidRPr="00FA3A49" w:rsidTr="00C64172">
        <w:trPr>
          <w:cantSplit/>
          <w:trHeight w:val="447"/>
        </w:trPr>
        <w:tc>
          <w:tcPr>
            <w:tcW w:w="373" w:type="pct"/>
            <w:tcBorders>
              <w:top w:val="single" w:sz="8" w:space="0" w:color="auto"/>
              <w:left w:val="single" w:sz="8" w:space="0" w:color="auto"/>
              <w:bottom w:val="single" w:sz="8" w:space="0" w:color="auto"/>
              <w:right w:val="nil"/>
            </w:tcBorders>
            <w:shd w:val="clear" w:color="000000" w:fill="D9D9D9"/>
            <w:noWrap/>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2003 program</w:t>
            </w:r>
          </w:p>
        </w:tc>
        <w:tc>
          <w:tcPr>
            <w:tcW w:w="373"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 xml:space="preserve">2012 </w:t>
            </w:r>
            <w:r w:rsidR="00A963D5">
              <w:rPr>
                <w:b/>
                <w:bCs/>
                <w:color w:val="000000"/>
                <w:sz w:val="14"/>
                <w:szCs w:val="22"/>
                <w:lang w:eastAsia="en-AU"/>
              </w:rPr>
              <w:t>F</w:t>
            </w:r>
            <w:r w:rsidRPr="00FA3A49">
              <w:rPr>
                <w:b/>
                <w:bCs/>
                <w:color w:val="000000"/>
                <w:sz w:val="14"/>
                <w:szCs w:val="22"/>
                <w:lang w:eastAsia="en-AU"/>
              </w:rPr>
              <w:t>ellowship program</w:t>
            </w:r>
          </w:p>
        </w:tc>
        <w:tc>
          <w:tcPr>
            <w:tcW w:w="173" w:type="pct"/>
            <w:tcBorders>
              <w:top w:val="single" w:sz="8" w:space="0" w:color="auto"/>
              <w:left w:val="nil"/>
              <w:bottom w:val="nil"/>
              <w:right w:val="nil"/>
            </w:tcBorders>
            <w:shd w:val="clear" w:color="000000" w:fill="D9D9D9"/>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2006</w:t>
            </w:r>
          </w:p>
        </w:tc>
        <w:tc>
          <w:tcPr>
            <w:tcW w:w="173" w:type="pct"/>
            <w:tcBorders>
              <w:top w:val="single" w:sz="8" w:space="0" w:color="auto"/>
              <w:left w:val="nil"/>
              <w:bottom w:val="nil"/>
              <w:right w:val="nil"/>
            </w:tcBorders>
            <w:shd w:val="clear" w:color="000000" w:fill="D9D9D9"/>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2007</w:t>
            </w:r>
          </w:p>
        </w:tc>
        <w:tc>
          <w:tcPr>
            <w:tcW w:w="172" w:type="pct"/>
            <w:tcBorders>
              <w:top w:val="single" w:sz="8" w:space="0" w:color="auto"/>
              <w:left w:val="nil"/>
              <w:bottom w:val="nil"/>
              <w:right w:val="nil"/>
            </w:tcBorders>
            <w:shd w:val="clear" w:color="000000" w:fill="D9D9D9"/>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2008</w:t>
            </w:r>
          </w:p>
        </w:tc>
        <w:tc>
          <w:tcPr>
            <w:tcW w:w="172" w:type="pct"/>
            <w:tcBorders>
              <w:top w:val="single" w:sz="8" w:space="0" w:color="auto"/>
              <w:left w:val="nil"/>
              <w:bottom w:val="nil"/>
              <w:right w:val="nil"/>
            </w:tcBorders>
            <w:shd w:val="clear" w:color="000000" w:fill="D9D9D9"/>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2009</w:t>
            </w:r>
          </w:p>
        </w:tc>
        <w:tc>
          <w:tcPr>
            <w:tcW w:w="149" w:type="pct"/>
            <w:tcBorders>
              <w:top w:val="single" w:sz="8" w:space="0" w:color="auto"/>
              <w:left w:val="nil"/>
              <w:bottom w:val="nil"/>
              <w:right w:val="nil"/>
            </w:tcBorders>
            <w:shd w:val="clear" w:color="000000" w:fill="D9D9D9"/>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2010</w:t>
            </w:r>
          </w:p>
        </w:tc>
        <w:tc>
          <w:tcPr>
            <w:tcW w:w="149" w:type="pct"/>
            <w:tcBorders>
              <w:top w:val="single" w:sz="8" w:space="0" w:color="auto"/>
              <w:left w:val="nil"/>
              <w:bottom w:val="nil"/>
              <w:right w:val="nil"/>
            </w:tcBorders>
            <w:shd w:val="clear" w:color="000000" w:fill="D9D9D9"/>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2011</w:t>
            </w:r>
          </w:p>
        </w:tc>
        <w:tc>
          <w:tcPr>
            <w:tcW w:w="172" w:type="pct"/>
            <w:tcBorders>
              <w:top w:val="single" w:sz="8" w:space="0" w:color="auto"/>
              <w:left w:val="nil"/>
              <w:bottom w:val="nil"/>
              <w:right w:val="nil"/>
            </w:tcBorders>
            <w:shd w:val="clear" w:color="000000" w:fill="D9D9D9"/>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2012</w:t>
            </w:r>
          </w:p>
        </w:tc>
        <w:tc>
          <w:tcPr>
            <w:tcW w:w="172" w:type="pct"/>
            <w:tcBorders>
              <w:top w:val="single" w:sz="8" w:space="0" w:color="auto"/>
              <w:left w:val="nil"/>
              <w:bottom w:val="nil"/>
              <w:right w:val="nil"/>
            </w:tcBorders>
            <w:shd w:val="clear" w:color="000000" w:fill="D9D9D9"/>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2013</w:t>
            </w:r>
          </w:p>
        </w:tc>
        <w:tc>
          <w:tcPr>
            <w:tcW w:w="172" w:type="pct"/>
            <w:tcBorders>
              <w:top w:val="single" w:sz="8" w:space="0" w:color="auto"/>
              <w:left w:val="nil"/>
              <w:bottom w:val="nil"/>
              <w:right w:val="single" w:sz="18" w:space="0" w:color="auto"/>
            </w:tcBorders>
            <w:shd w:val="clear" w:color="000000" w:fill="D9D9D9"/>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2014</w:t>
            </w:r>
          </w:p>
        </w:tc>
        <w:tc>
          <w:tcPr>
            <w:tcW w:w="172" w:type="pct"/>
            <w:tcBorders>
              <w:top w:val="single" w:sz="8" w:space="0" w:color="auto"/>
              <w:left w:val="single" w:sz="18" w:space="0" w:color="auto"/>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2015</w:t>
            </w:r>
          </w:p>
        </w:tc>
        <w:tc>
          <w:tcPr>
            <w:tcW w:w="172"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2016</w:t>
            </w:r>
          </w:p>
        </w:tc>
        <w:tc>
          <w:tcPr>
            <w:tcW w:w="172"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2017</w:t>
            </w:r>
          </w:p>
        </w:tc>
        <w:tc>
          <w:tcPr>
            <w:tcW w:w="172"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2018</w:t>
            </w:r>
          </w:p>
        </w:tc>
        <w:tc>
          <w:tcPr>
            <w:tcW w:w="172"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2019</w:t>
            </w:r>
          </w:p>
        </w:tc>
        <w:tc>
          <w:tcPr>
            <w:tcW w:w="172"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2020</w:t>
            </w:r>
          </w:p>
        </w:tc>
        <w:tc>
          <w:tcPr>
            <w:tcW w:w="172"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2021</w:t>
            </w:r>
          </w:p>
        </w:tc>
        <w:tc>
          <w:tcPr>
            <w:tcW w:w="172"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2022</w:t>
            </w:r>
          </w:p>
        </w:tc>
        <w:tc>
          <w:tcPr>
            <w:tcW w:w="173"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2023</w:t>
            </w:r>
          </w:p>
        </w:tc>
        <w:tc>
          <w:tcPr>
            <w:tcW w:w="173"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2024</w:t>
            </w:r>
          </w:p>
        </w:tc>
        <w:tc>
          <w:tcPr>
            <w:tcW w:w="173"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2025</w:t>
            </w:r>
          </w:p>
        </w:tc>
        <w:tc>
          <w:tcPr>
            <w:tcW w:w="171"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2026</w:t>
            </w:r>
          </w:p>
        </w:tc>
        <w:tc>
          <w:tcPr>
            <w:tcW w:w="171"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2027</w:t>
            </w:r>
          </w:p>
        </w:tc>
        <w:tc>
          <w:tcPr>
            <w:tcW w:w="171"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2028</w:t>
            </w:r>
          </w:p>
        </w:tc>
        <w:tc>
          <w:tcPr>
            <w:tcW w:w="171" w:type="pct"/>
            <w:tcBorders>
              <w:top w:val="single" w:sz="8" w:space="0" w:color="auto"/>
              <w:left w:val="nil"/>
              <w:bottom w:val="nil"/>
              <w:right w:val="nil"/>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2029</w:t>
            </w:r>
          </w:p>
        </w:tc>
        <w:tc>
          <w:tcPr>
            <w:tcW w:w="171" w:type="pct"/>
            <w:tcBorders>
              <w:top w:val="single" w:sz="8" w:space="0" w:color="auto"/>
              <w:left w:val="nil"/>
              <w:bottom w:val="nil"/>
              <w:right w:val="single" w:sz="8" w:space="0" w:color="auto"/>
            </w:tcBorders>
            <w:shd w:val="clear" w:color="000000" w:fill="BFBFBF"/>
            <w:noWrap/>
            <w:textDirection w:val="btLr"/>
            <w:vAlign w:val="center"/>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2030</w:t>
            </w:r>
          </w:p>
        </w:tc>
      </w:tr>
      <w:tr w:rsidR="00FA3A49" w:rsidRPr="00FA3A49" w:rsidTr="00C64172">
        <w:trPr>
          <w:cantSplit/>
          <w:trHeight w:val="255"/>
        </w:trPr>
        <w:tc>
          <w:tcPr>
            <w:tcW w:w="745" w:type="pct"/>
            <w:gridSpan w:val="2"/>
            <w:tcBorders>
              <w:top w:val="single" w:sz="8" w:space="0" w:color="auto"/>
              <w:left w:val="single" w:sz="8" w:space="0" w:color="auto"/>
              <w:bottom w:val="single" w:sz="8" w:space="0" w:color="auto"/>
              <w:right w:val="nil"/>
            </w:tcBorders>
            <w:shd w:val="clear" w:color="000000" w:fill="DAEEF3"/>
            <w:noWrap/>
            <w:vAlign w:val="center"/>
            <w:hideMark/>
          </w:tcPr>
          <w:p w:rsidR="00CB2C20" w:rsidRPr="00FA3A49" w:rsidRDefault="00CB2C20" w:rsidP="00776535">
            <w:pPr>
              <w:jc w:val="center"/>
              <w:rPr>
                <w:b/>
                <w:bCs/>
                <w:color w:val="000000"/>
                <w:sz w:val="14"/>
                <w:szCs w:val="22"/>
                <w:lang w:eastAsia="en-AU"/>
              </w:rPr>
            </w:pPr>
            <w:r w:rsidRPr="00FA3A49">
              <w:rPr>
                <w:b/>
                <w:bCs/>
                <w:color w:val="000000"/>
                <w:sz w:val="14"/>
                <w:szCs w:val="22"/>
                <w:lang w:eastAsia="en-AU"/>
              </w:rPr>
              <w:t>New intake</w:t>
            </w:r>
          </w:p>
        </w:tc>
        <w:tc>
          <w:tcPr>
            <w:tcW w:w="173" w:type="pct"/>
            <w:tcBorders>
              <w:top w:val="single" w:sz="8" w:space="0" w:color="auto"/>
              <w:left w:val="single" w:sz="8" w:space="0" w:color="auto"/>
              <w:bottom w:val="single" w:sz="8" w:space="0" w:color="auto"/>
              <w:right w:val="nil"/>
            </w:tcBorders>
            <w:shd w:val="clear" w:color="000000" w:fill="F2F2F2"/>
            <w:noWrap/>
            <w:vAlign w:val="bottom"/>
            <w:hideMark/>
          </w:tcPr>
          <w:p w:rsidR="00CB2C20" w:rsidRPr="00FA3A49" w:rsidRDefault="00CB2C20" w:rsidP="00CB2C20">
            <w:pPr>
              <w:jc w:val="center"/>
              <w:rPr>
                <w:b/>
                <w:bCs/>
                <w:color w:val="000000"/>
                <w:sz w:val="14"/>
                <w:szCs w:val="22"/>
                <w:lang w:eastAsia="en-AU"/>
              </w:rPr>
            </w:pPr>
            <w:r w:rsidRPr="00FA3A49">
              <w:rPr>
                <w:b/>
                <w:bCs/>
                <w:color w:val="000000"/>
                <w:sz w:val="14"/>
                <w:szCs w:val="22"/>
                <w:lang w:eastAsia="en-AU"/>
              </w:rPr>
              <w:t> </w:t>
            </w:r>
          </w:p>
        </w:tc>
        <w:tc>
          <w:tcPr>
            <w:tcW w:w="173" w:type="pct"/>
            <w:tcBorders>
              <w:top w:val="single" w:sz="8" w:space="0" w:color="auto"/>
              <w:left w:val="nil"/>
              <w:bottom w:val="single" w:sz="8" w:space="0" w:color="auto"/>
              <w:right w:val="nil"/>
            </w:tcBorders>
            <w:shd w:val="clear" w:color="000000" w:fill="F2F2F2"/>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 </w:t>
            </w:r>
          </w:p>
        </w:tc>
        <w:tc>
          <w:tcPr>
            <w:tcW w:w="172" w:type="pct"/>
            <w:tcBorders>
              <w:top w:val="single" w:sz="8" w:space="0" w:color="auto"/>
              <w:left w:val="nil"/>
              <w:bottom w:val="single" w:sz="8" w:space="0" w:color="auto"/>
              <w:right w:val="nil"/>
            </w:tcBorders>
            <w:shd w:val="clear" w:color="000000" w:fill="F2F2F2"/>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 </w:t>
            </w:r>
          </w:p>
        </w:tc>
        <w:tc>
          <w:tcPr>
            <w:tcW w:w="172" w:type="pct"/>
            <w:tcBorders>
              <w:top w:val="single" w:sz="8" w:space="0" w:color="auto"/>
              <w:left w:val="nil"/>
              <w:bottom w:val="single" w:sz="8" w:space="0" w:color="auto"/>
              <w:right w:val="nil"/>
            </w:tcBorders>
            <w:shd w:val="clear" w:color="000000" w:fill="F2F2F2"/>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 </w:t>
            </w:r>
          </w:p>
        </w:tc>
        <w:tc>
          <w:tcPr>
            <w:tcW w:w="149" w:type="pct"/>
            <w:tcBorders>
              <w:top w:val="single" w:sz="8" w:space="0" w:color="auto"/>
              <w:left w:val="nil"/>
              <w:bottom w:val="single" w:sz="8" w:space="0" w:color="auto"/>
              <w:right w:val="nil"/>
            </w:tcBorders>
            <w:shd w:val="clear" w:color="000000" w:fill="F2F2F2"/>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 </w:t>
            </w:r>
          </w:p>
        </w:tc>
        <w:tc>
          <w:tcPr>
            <w:tcW w:w="149" w:type="pct"/>
            <w:tcBorders>
              <w:top w:val="single" w:sz="8" w:space="0" w:color="auto"/>
              <w:left w:val="nil"/>
              <w:bottom w:val="single" w:sz="8" w:space="0" w:color="auto"/>
              <w:right w:val="nil"/>
            </w:tcBorders>
            <w:shd w:val="clear" w:color="000000" w:fill="F2F2F2"/>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 </w:t>
            </w:r>
          </w:p>
        </w:tc>
        <w:tc>
          <w:tcPr>
            <w:tcW w:w="172" w:type="pct"/>
            <w:tcBorders>
              <w:top w:val="single" w:sz="8" w:space="0" w:color="auto"/>
              <w:left w:val="nil"/>
              <w:bottom w:val="single" w:sz="8" w:space="0" w:color="auto"/>
              <w:right w:val="nil"/>
            </w:tcBorders>
            <w:shd w:val="clear" w:color="000000" w:fill="F2F2F2"/>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 </w:t>
            </w:r>
          </w:p>
        </w:tc>
        <w:tc>
          <w:tcPr>
            <w:tcW w:w="172" w:type="pct"/>
            <w:tcBorders>
              <w:top w:val="single" w:sz="8" w:space="0" w:color="auto"/>
              <w:left w:val="nil"/>
              <w:bottom w:val="single" w:sz="8" w:space="0" w:color="auto"/>
              <w:right w:val="nil"/>
            </w:tcBorders>
            <w:shd w:val="clear" w:color="000000" w:fill="F2F2F2"/>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 </w:t>
            </w:r>
          </w:p>
        </w:tc>
        <w:tc>
          <w:tcPr>
            <w:tcW w:w="172" w:type="pct"/>
            <w:tcBorders>
              <w:top w:val="single" w:sz="8" w:space="0" w:color="auto"/>
              <w:left w:val="single" w:sz="4" w:space="0" w:color="auto"/>
              <w:bottom w:val="single" w:sz="4" w:space="0" w:color="auto"/>
              <w:right w:val="single" w:sz="18" w:space="0" w:color="auto"/>
            </w:tcBorders>
            <w:shd w:val="clear" w:color="000000" w:fill="FDE9D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194</w:t>
            </w:r>
          </w:p>
        </w:tc>
        <w:tc>
          <w:tcPr>
            <w:tcW w:w="172" w:type="pct"/>
            <w:tcBorders>
              <w:top w:val="single" w:sz="8" w:space="0" w:color="auto"/>
              <w:left w:val="single" w:sz="18" w:space="0" w:color="auto"/>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194</w:t>
            </w:r>
          </w:p>
        </w:tc>
        <w:tc>
          <w:tcPr>
            <w:tcW w:w="172"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197</w:t>
            </w:r>
          </w:p>
        </w:tc>
        <w:tc>
          <w:tcPr>
            <w:tcW w:w="172"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200</w:t>
            </w:r>
          </w:p>
        </w:tc>
        <w:tc>
          <w:tcPr>
            <w:tcW w:w="172"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202</w:t>
            </w:r>
          </w:p>
        </w:tc>
        <w:tc>
          <w:tcPr>
            <w:tcW w:w="172"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205</w:t>
            </w:r>
          </w:p>
        </w:tc>
        <w:tc>
          <w:tcPr>
            <w:tcW w:w="172"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207</w:t>
            </w:r>
          </w:p>
        </w:tc>
        <w:tc>
          <w:tcPr>
            <w:tcW w:w="172"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210</w:t>
            </w:r>
          </w:p>
        </w:tc>
        <w:tc>
          <w:tcPr>
            <w:tcW w:w="172"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212</w:t>
            </w:r>
          </w:p>
        </w:tc>
        <w:tc>
          <w:tcPr>
            <w:tcW w:w="173"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215</w:t>
            </w:r>
          </w:p>
        </w:tc>
        <w:tc>
          <w:tcPr>
            <w:tcW w:w="173"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217</w:t>
            </w:r>
          </w:p>
        </w:tc>
        <w:tc>
          <w:tcPr>
            <w:tcW w:w="173"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220</w:t>
            </w:r>
          </w:p>
        </w:tc>
        <w:tc>
          <w:tcPr>
            <w:tcW w:w="171"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223</w:t>
            </w:r>
          </w:p>
        </w:tc>
        <w:tc>
          <w:tcPr>
            <w:tcW w:w="171"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225</w:t>
            </w:r>
          </w:p>
        </w:tc>
        <w:tc>
          <w:tcPr>
            <w:tcW w:w="171"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228</w:t>
            </w:r>
          </w:p>
        </w:tc>
        <w:tc>
          <w:tcPr>
            <w:tcW w:w="171" w:type="pct"/>
            <w:tcBorders>
              <w:top w:val="single" w:sz="8" w:space="0" w:color="auto"/>
              <w:left w:val="nil"/>
              <w:bottom w:val="nil"/>
              <w:right w:val="single" w:sz="4"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231</w:t>
            </w:r>
          </w:p>
        </w:tc>
        <w:tc>
          <w:tcPr>
            <w:tcW w:w="171" w:type="pct"/>
            <w:tcBorders>
              <w:top w:val="single" w:sz="8" w:space="0" w:color="auto"/>
              <w:left w:val="nil"/>
              <w:bottom w:val="nil"/>
              <w:right w:val="single" w:sz="8" w:space="0" w:color="auto"/>
            </w:tcBorders>
            <w:shd w:val="clear" w:color="000000" w:fill="FFFF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234</w:t>
            </w:r>
          </w:p>
        </w:tc>
      </w:tr>
      <w:tr w:rsidR="00FA3A49" w:rsidRPr="00FA3A49" w:rsidTr="00C64172">
        <w:trPr>
          <w:cantSplit/>
          <w:trHeight w:val="255"/>
        </w:trPr>
        <w:tc>
          <w:tcPr>
            <w:tcW w:w="373" w:type="pct"/>
            <w:tcBorders>
              <w:top w:val="nil"/>
              <w:left w:val="single" w:sz="8" w:space="0" w:color="auto"/>
              <w:bottom w:val="nil"/>
              <w:right w:val="single" w:sz="8" w:space="0" w:color="auto"/>
            </w:tcBorders>
            <w:shd w:val="clear" w:color="000000" w:fill="B7DEE8"/>
            <w:noWrap/>
            <w:vAlign w:val="center"/>
            <w:hideMark/>
          </w:tcPr>
          <w:p w:rsidR="00CB2C20" w:rsidRPr="00FA3A49" w:rsidRDefault="00CB2C20" w:rsidP="00776535">
            <w:pPr>
              <w:jc w:val="center"/>
              <w:rPr>
                <w:color w:val="000000"/>
                <w:sz w:val="14"/>
                <w:szCs w:val="22"/>
                <w:lang w:eastAsia="en-AU"/>
              </w:rPr>
            </w:pPr>
            <w:r w:rsidRPr="00FA3A49">
              <w:rPr>
                <w:color w:val="000000"/>
                <w:sz w:val="14"/>
                <w:szCs w:val="22"/>
                <w:lang w:eastAsia="en-AU"/>
              </w:rPr>
              <w:t>BASIC (YR1)</w:t>
            </w:r>
          </w:p>
        </w:tc>
        <w:tc>
          <w:tcPr>
            <w:tcW w:w="373" w:type="pct"/>
            <w:tcBorders>
              <w:top w:val="nil"/>
              <w:left w:val="nil"/>
              <w:bottom w:val="single" w:sz="8" w:space="0" w:color="auto"/>
              <w:right w:val="nil"/>
            </w:tcBorders>
            <w:shd w:val="clear" w:color="000000" w:fill="B7DEE8"/>
            <w:noWrap/>
            <w:vAlign w:val="center"/>
            <w:hideMark/>
          </w:tcPr>
          <w:p w:rsidR="00CB2C20" w:rsidRPr="00FA3A49" w:rsidRDefault="00CB2C20" w:rsidP="00776535">
            <w:pPr>
              <w:jc w:val="center"/>
              <w:rPr>
                <w:color w:val="000000"/>
                <w:sz w:val="14"/>
                <w:szCs w:val="22"/>
                <w:lang w:eastAsia="en-AU"/>
              </w:rPr>
            </w:pPr>
            <w:r w:rsidRPr="00FA3A49">
              <w:rPr>
                <w:color w:val="000000"/>
                <w:sz w:val="14"/>
                <w:szCs w:val="22"/>
                <w:lang w:eastAsia="en-AU"/>
              </w:rPr>
              <w:t>Stage 1</w:t>
            </w:r>
          </w:p>
        </w:tc>
        <w:tc>
          <w:tcPr>
            <w:tcW w:w="173" w:type="pct"/>
            <w:tcBorders>
              <w:top w:val="nil"/>
              <w:left w:val="single" w:sz="8" w:space="0" w:color="auto"/>
              <w:bottom w:val="single" w:sz="4"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124</w:t>
            </w:r>
          </w:p>
        </w:tc>
        <w:tc>
          <w:tcPr>
            <w:tcW w:w="173" w:type="pct"/>
            <w:tcBorders>
              <w:top w:val="nil"/>
              <w:left w:val="nil"/>
              <w:bottom w:val="single" w:sz="4"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90</w:t>
            </w:r>
          </w:p>
        </w:tc>
        <w:tc>
          <w:tcPr>
            <w:tcW w:w="172" w:type="pct"/>
            <w:tcBorders>
              <w:top w:val="nil"/>
              <w:left w:val="nil"/>
              <w:bottom w:val="single" w:sz="4"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109</w:t>
            </w:r>
          </w:p>
        </w:tc>
        <w:tc>
          <w:tcPr>
            <w:tcW w:w="172" w:type="pct"/>
            <w:tcBorders>
              <w:top w:val="nil"/>
              <w:left w:val="nil"/>
              <w:bottom w:val="single" w:sz="4"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118</w:t>
            </w:r>
          </w:p>
        </w:tc>
        <w:tc>
          <w:tcPr>
            <w:tcW w:w="149" w:type="pct"/>
            <w:tcBorders>
              <w:top w:val="nil"/>
              <w:left w:val="nil"/>
              <w:bottom w:val="single" w:sz="4"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223</w:t>
            </w:r>
          </w:p>
        </w:tc>
        <w:tc>
          <w:tcPr>
            <w:tcW w:w="149" w:type="pct"/>
            <w:tcBorders>
              <w:top w:val="nil"/>
              <w:left w:val="nil"/>
              <w:bottom w:val="single" w:sz="4"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239</w:t>
            </w:r>
          </w:p>
        </w:tc>
        <w:tc>
          <w:tcPr>
            <w:tcW w:w="172" w:type="pct"/>
            <w:tcBorders>
              <w:top w:val="nil"/>
              <w:left w:val="nil"/>
              <w:bottom w:val="single" w:sz="4"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314</w:t>
            </w:r>
          </w:p>
        </w:tc>
        <w:tc>
          <w:tcPr>
            <w:tcW w:w="172" w:type="pct"/>
            <w:tcBorders>
              <w:top w:val="nil"/>
              <w:left w:val="single" w:sz="8" w:space="0" w:color="auto"/>
              <w:bottom w:val="single" w:sz="8" w:space="0" w:color="auto"/>
              <w:right w:val="nil"/>
            </w:tcBorders>
            <w:shd w:val="clear" w:color="000000" w:fill="00CC00"/>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313</w:t>
            </w:r>
          </w:p>
        </w:tc>
        <w:tc>
          <w:tcPr>
            <w:tcW w:w="172" w:type="pct"/>
            <w:tcBorders>
              <w:top w:val="single" w:sz="8" w:space="0" w:color="auto"/>
              <w:left w:val="nil"/>
              <w:bottom w:val="nil"/>
              <w:right w:val="single" w:sz="18" w:space="0" w:color="auto"/>
            </w:tcBorders>
            <w:shd w:val="clear" w:color="000000" w:fill="996633"/>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265</w:t>
            </w:r>
          </w:p>
        </w:tc>
        <w:tc>
          <w:tcPr>
            <w:tcW w:w="172" w:type="pct"/>
            <w:tcBorders>
              <w:top w:val="single" w:sz="8" w:space="0" w:color="auto"/>
              <w:left w:val="single" w:sz="18" w:space="0" w:color="auto"/>
              <w:bottom w:val="single" w:sz="4" w:space="0" w:color="auto"/>
              <w:right w:val="single" w:sz="4" w:space="0" w:color="auto"/>
            </w:tcBorders>
            <w:shd w:val="clear" w:color="000000" w:fill="FF5050"/>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254</w:t>
            </w:r>
          </w:p>
        </w:tc>
        <w:tc>
          <w:tcPr>
            <w:tcW w:w="172" w:type="pct"/>
            <w:tcBorders>
              <w:top w:val="single" w:sz="8" w:space="0" w:color="auto"/>
              <w:left w:val="nil"/>
              <w:bottom w:val="single" w:sz="4" w:space="0" w:color="auto"/>
              <w:right w:val="single" w:sz="4" w:space="0" w:color="auto"/>
            </w:tcBorders>
            <w:shd w:val="clear" w:color="000000" w:fill="00CC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255</w:t>
            </w:r>
          </w:p>
        </w:tc>
        <w:tc>
          <w:tcPr>
            <w:tcW w:w="172" w:type="pct"/>
            <w:tcBorders>
              <w:top w:val="single" w:sz="8" w:space="0" w:color="auto"/>
              <w:left w:val="nil"/>
              <w:bottom w:val="single" w:sz="4" w:space="0" w:color="auto"/>
              <w:right w:val="single" w:sz="4" w:space="0" w:color="auto"/>
            </w:tcBorders>
            <w:shd w:val="clear" w:color="000000" w:fill="9966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258</w:t>
            </w:r>
          </w:p>
        </w:tc>
        <w:tc>
          <w:tcPr>
            <w:tcW w:w="172" w:type="pct"/>
            <w:tcBorders>
              <w:top w:val="single" w:sz="8" w:space="0" w:color="auto"/>
              <w:left w:val="nil"/>
              <w:bottom w:val="single" w:sz="4" w:space="0" w:color="auto"/>
              <w:right w:val="single" w:sz="4" w:space="0" w:color="auto"/>
            </w:tcBorders>
            <w:shd w:val="clear" w:color="000000" w:fill="FFFF00"/>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261</w:t>
            </w:r>
          </w:p>
        </w:tc>
        <w:tc>
          <w:tcPr>
            <w:tcW w:w="172" w:type="pct"/>
            <w:tcBorders>
              <w:top w:val="single" w:sz="8" w:space="0" w:color="auto"/>
              <w:left w:val="nil"/>
              <w:bottom w:val="single" w:sz="4" w:space="0" w:color="auto"/>
              <w:right w:val="single" w:sz="4" w:space="0" w:color="auto"/>
            </w:tcBorders>
            <w:shd w:val="clear" w:color="000000" w:fill="66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264</w:t>
            </w:r>
          </w:p>
        </w:tc>
        <w:tc>
          <w:tcPr>
            <w:tcW w:w="172" w:type="pct"/>
            <w:tcBorders>
              <w:top w:val="single" w:sz="8" w:space="0" w:color="auto"/>
              <w:left w:val="nil"/>
              <w:bottom w:val="single" w:sz="4" w:space="0" w:color="auto"/>
              <w:right w:val="single" w:sz="4" w:space="0" w:color="auto"/>
            </w:tcBorders>
            <w:shd w:val="clear" w:color="000000" w:fill="C4BD97"/>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267</w:t>
            </w:r>
          </w:p>
        </w:tc>
        <w:tc>
          <w:tcPr>
            <w:tcW w:w="172" w:type="pct"/>
            <w:tcBorders>
              <w:top w:val="single" w:sz="8" w:space="0" w:color="auto"/>
              <w:left w:val="nil"/>
              <w:bottom w:val="single" w:sz="4" w:space="0" w:color="auto"/>
              <w:right w:val="single" w:sz="4" w:space="0" w:color="auto"/>
            </w:tcBorders>
            <w:shd w:val="clear" w:color="000000" w:fill="FF66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270</w:t>
            </w:r>
          </w:p>
        </w:tc>
        <w:tc>
          <w:tcPr>
            <w:tcW w:w="172" w:type="pct"/>
            <w:tcBorders>
              <w:top w:val="single" w:sz="8" w:space="0" w:color="auto"/>
              <w:left w:val="nil"/>
              <w:bottom w:val="single" w:sz="4" w:space="0" w:color="auto"/>
              <w:right w:val="single" w:sz="4" w:space="0" w:color="auto"/>
            </w:tcBorders>
            <w:shd w:val="clear" w:color="000000" w:fill="00FFC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273</w:t>
            </w:r>
          </w:p>
        </w:tc>
        <w:tc>
          <w:tcPr>
            <w:tcW w:w="173" w:type="pct"/>
            <w:tcBorders>
              <w:top w:val="single" w:sz="8" w:space="0" w:color="auto"/>
              <w:left w:val="nil"/>
              <w:bottom w:val="single" w:sz="4" w:space="0" w:color="auto"/>
              <w:right w:val="single" w:sz="4" w:space="0" w:color="auto"/>
            </w:tcBorders>
            <w:shd w:val="clear" w:color="000000" w:fill="9966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277</w:t>
            </w:r>
          </w:p>
        </w:tc>
        <w:tc>
          <w:tcPr>
            <w:tcW w:w="173" w:type="pct"/>
            <w:tcBorders>
              <w:top w:val="single" w:sz="8" w:space="0" w:color="auto"/>
              <w:left w:val="nil"/>
              <w:bottom w:val="single" w:sz="4"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280</w:t>
            </w:r>
          </w:p>
        </w:tc>
        <w:tc>
          <w:tcPr>
            <w:tcW w:w="173" w:type="pct"/>
            <w:tcBorders>
              <w:top w:val="single" w:sz="8" w:space="0" w:color="auto"/>
              <w:left w:val="nil"/>
              <w:bottom w:val="single" w:sz="4" w:space="0" w:color="auto"/>
              <w:right w:val="single" w:sz="4" w:space="0" w:color="auto"/>
            </w:tcBorders>
            <w:shd w:val="clear" w:color="000000" w:fill="FF9966"/>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283</w:t>
            </w:r>
          </w:p>
        </w:tc>
        <w:tc>
          <w:tcPr>
            <w:tcW w:w="171" w:type="pct"/>
            <w:tcBorders>
              <w:top w:val="single" w:sz="8" w:space="0" w:color="auto"/>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287</w:t>
            </w:r>
          </w:p>
        </w:tc>
        <w:tc>
          <w:tcPr>
            <w:tcW w:w="171" w:type="pct"/>
            <w:tcBorders>
              <w:top w:val="single" w:sz="8" w:space="0" w:color="auto"/>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290</w:t>
            </w:r>
          </w:p>
        </w:tc>
        <w:tc>
          <w:tcPr>
            <w:tcW w:w="171" w:type="pct"/>
            <w:tcBorders>
              <w:top w:val="single" w:sz="8" w:space="0" w:color="auto"/>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294</w:t>
            </w:r>
          </w:p>
        </w:tc>
        <w:tc>
          <w:tcPr>
            <w:tcW w:w="171" w:type="pct"/>
            <w:tcBorders>
              <w:top w:val="single" w:sz="8" w:space="0" w:color="auto"/>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297</w:t>
            </w:r>
          </w:p>
        </w:tc>
        <w:tc>
          <w:tcPr>
            <w:tcW w:w="171" w:type="pct"/>
            <w:tcBorders>
              <w:top w:val="single" w:sz="8" w:space="0" w:color="auto"/>
              <w:left w:val="single" w:sz="4" w:space="0" w:color="auto"/>
              <w:bottom w:val="single" w:sz="4" w:space="0" w:color="auto"/>
              <w:right w:val="single" w:sz="8"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301</w:t>
            </w:r>
          </w:p>
        </w:tc>
      </w:tr>
      <w:tr w:rsidR="00FA3A49" w:rsidRPr="00FA3A49" w:rsidTr="00C64172">
        <w:trPr>
          <w:cantSplit/>
          <w:trHeight w:val="255"/>
        </w:trPr>
        <w:tc>
          <w:tcPr>
            <w:tcW w:w="373" w:type="pct"/>
            <w:tcBorders>
              <w:top w:val="single" w:sz="4" w:space="0" w:color="auto"/>
              <w:left w:val="single" w:sz="8" w:space="0" w:color="auto"/>
              <w:bottom w:val="nil"/>
              <w:right w:val="single" w:sz="8" w:space="0" w:color="auto"/>
            </w:tcBorders>
            <w:shd w:val="clear" w:color="000000" w:fill="92CDDC"/>
            <w:noWrap/>
            <w:vAlign w:val="center"/>
            <w:hideMark/>
          </w:tcPr>
          <w:p w:rsidR="00CB2C20" w:rsidRPr="00FA3A49" w:rsidRDefault="00CB2C20" w:rsidP="00776535">
            <w:pPr>
              <w:jc w:val="center"/>
              <w:rPr>
                <w:color w:val="000000"/>
                <w:sz w:val="14"/>
                <w:szCs w:val="22"/>
                <w:lang w:eastAsia="en-AU"/>
              </w:rPr>
            </w:pPr>
            <w:r w:rsidRPr="00FA3A49">
              <w:rPr>
                <w:color w:val="000000"/>
                <w:sz w:val="14"/>
                <w:szCs w:val="22"/>
                <w:lang w:eastAsia="en-AU"/>
              </w:rPr>
              <w:t>BASIC (YR2 &amp; YR3)</w:t>
            </w:r>
          </w:p>
        </w:tc>
        <w:tc>
          <w:tcPr>
            <w:tcW w:w="373" w:type="pct"/>
            <w:tcBorders>
              <w:top w:val="nil"/>
              <w:left w:val="nil"/>
              <w:bottom w:val="nil"/>
              <w:right w:val="nil"/>
            </w:tcBorders>
            <w:shd w:val="clear" w:color="000000" w:fill="92CDDC"/>
            <w:noWrap/>
            <w:vAlign w:val="center"/>
            <w:hideMark/>
          </w:tcPr>
          <w:p w:rsidR="00CB2C20" w:rsidRPr="00FA3A49" w:rsidRDefault="00CB2C20" w:rsidP="00776535">
            <w:pPr>
              <w:jc w:val="center"/>
              <w:rPr>
                <w:color w:val="000000"/>
                <w:sz w:val="14"/>
                <w:szCs w:val="22"/>
                <w:lang w:eastAsia="en-AU"/>
              </w:rPr>
            </w:pPr>
            <w:r w:rsidRPr="00FA3A49">
              <w:rPr>
                <w:color w:val="000000"/>
                <w:sz w:val="14"/>
                <w:szCs w:val="22"/>
                <w:lang w:eastAsia="en-AU"/>
              </w:rPr>
              <w:t>Stage 2</w:t>
            </w:r>
          </w:p>
        </w:tc>
        <w:tc>
          <w:tcPr>
            <w:tcW w:w="173" w:type="pct"/>
            <w:tcBorders>
              <w:top w:val="nil"/>
              <w:left w:val="single" w:sz="8" w:space="0" w:color="auto"/>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478</w:t>
            </w:r>
          </w:p>
        </w:tc>
        <w:tc>
          <w:tcPr>
            <w:tcW w:w="173"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520</w:t>
            </w:r>
          </w:p>
        </w:tc>
        <w:tc>
          <w:tcPr>
            <w:tcW w:w="172"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514</w:t>
            </w:r>
          </w:p>
        </w:tc>
        <w:tc>
          <w:tcPr>
            <w:tcW w:w="172"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543</w:t>
            </w:r>
          </w:p>
        </w:tc>
        <w:tc>
          <w:tcPr>
            <w:tcW w:w="149"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454</w:t>
            </w:r>
          </w:p>
        </w:tc>
        <w:tc>
          <w:tcPr>
            <w:tcW w:w="149"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422</w:t>
            </w:r>
          </w:p>
        </w:tc>
        <w:tc>
          <w:tcPr>
            <w:tcW w:w="172"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490</w:t>
            </w:r>
          </w:p>
        </w:tc>
        <w:tc>
          <w:tcPr>
            <w:tcW w:w="172" w:type="pct"/>
            <w:tcBorders>
              <w:top w:val="single" w:sz="4" w:space="0" w:color="auto"/>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520</w:t>
            </w:r>
          </w:p>
        </w:tc>
        <w:tc>
          <w:tcPr>
            <w:tcW w:w="172" w:type="pct"/>
            <w:tcBorders>
              <w:top w:val="nil"/>
              <w:left w:val="nil"/>
              <w:bottom w:val="single" w:sz="8" w:space="0" w:color="auto"/>
              <w:right w:val="single" w:sz="18" w:space="0" w:color="auto"/>
            </w:tcBorders>
            <w:shd w:val="clear" w:color="000000" w:fill="00CC00"/>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603</w:t>
            </w:r>
          </w:p>
        </w:tc>
        <w:tc>
          <w:tcPr>
            <w:tcW w:w="172" w:type="pct"/>
            <w:tcBorders>
              <w:top w:val="nil"/>
              <w:left w:val="single" w:sz="18" w:space="0" w:color="auto"/>
              <w:bottom w:val="single" w:sz="4" w:space="0" w:color="auto"/>
              <w:right w:val="single" w:sz="4" w:space="0" w:color="auto"/>
            </w:tcBorders>
            <w:shd w:val="clear" w:color="000000" w:fill="996633"/>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628</w:t>
            </w:r>
          </w:p>
        </w:tc>
        <w:tc>
          <w:tcPr>
            <w:tcW w:w="172" w:type="pct"/>
            <w:tcBorders>
              <w:top w:val="nil"/>
              <w:left w:val="nil"/>
              <w:bottom w:val="single" w:sz="4" w:space="0" w:color="auto"/>
              <w:right w:val="single" w:sz="4" w:space="0" w:color="auto"/>
            </w:tcBorders>
            <w:shd w:val="clear" w:color="000000" w:fill="FF5050"/>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639</w:t>
            </w:r>
          </w:p>
        </w:tc>
        <w:tc>
          <w:tcPr>
            <w:tcW w:w="172" w:type="pct"/>
            <w:tcBorders>
              <w:top w:val="nil"/>
              <w:left w:val="nil"/>
              <w:bottom w:val="single" w:sz="4" w:space="0" w:color="auto"/>
              <w:right w:val="single" w:sz="4" w:space="0" w:color="auto"/>
            </w:tcBorders>
            <w:shd w:val="clear" w:color="000000" w:fill="00CC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647</w:t>
            </w:r>
          </w:p>
        </w:tc>
        <w:tc>
          <w:tcPr>
            <w:tcW w:w="172" w:type="pct"/>
            <w:tcBorders>
              <w:top w:val="nil"/>
              <w:left w:val="nil"/>
              <w:bottom w:val="single" w:sz="4" w:space="0" w:color="auto"/>
              <w:right w:val="single" w:sz="4" w:space="0" w:color="auto"/>
            </w:tcBorders>
            <w:shd w:val="clear" w:color="000000" w:fill="9966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655</w:t>
            </w:r>
          </w:p>
        </w:tc>
        <w:tc>
          <w:tcPr>
            <w:tcW w:w="172" w:type="pct"/>
            <w:tcBorders>
              <w:top w:val="nil"/>
              <w:left w:val="nil"/>
              <w:bottom w:val="single" w:sz="4" w:space="0" w:color="auto"/>
              <w:right w:val="single" w:sz="4" w:space="0" w:color="auto"/>
            </w:tcBorders>
            <w:shd w:val="clear" w:color="000000" w:fill="FFFF00"/>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663</w:t>
            </w:r>
          </w:p>
        </w:tc>
        <w:tc>
          <w:tcPr>
            <w:tcW w:w="172" w:type="pct"/>
            <w:tcBorders>
              <w:top w:val="nil"/>
              <w:left w:val="nil"/>
              <w:bottom w:val="single" w:sz="4" w:space="0" w:color="auto"/>
              <w:right w:val="single" w:sz="4" w:space="0" w:color="auto"/>
            </w:tcBorders>
            <w:shd w:val="clear" w:color="000000" w:fill="66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671</w:t>
            </w:r>
          </w:p>
        </w:tc>
        <w:tc>
          <w:tcPr>
            <w:tcW w:w="172" w:type="pct"/>
            <w:tcBorders>
              <w:top w:val="nil"/>
              <w:left w:val="nil"/>
              <w:bottom w:val="single" w:sz="4" w:space="0" w:color="auto"/>
              <w:right w:val="single" w:sz="4" w:space="0" w:color="auto"/>
            </w:tcBorders>
            <w:shd w:val="clear" w:color="000000" w:fill="C4BD97"/>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679</w:t>
            </w:r>
          </w:p>
        </w:tc>
        <w:tc>
          <w:tcPr>
            <w:tcW w:w="172" w:type="pct"/>
            <w:tcBorders>
              <w:top w:val="nil"/>
              <w:left w:val="nil"/>
              <w:bottom w:val="single" w:sz="4" w:space="0" w:color="auto"/>
              <w:right w:val="single" w:sz="4" w:space="0" w:color="auto"/>
            </w:tcBorders>
            <w:shd w:val="clear" w:color="000000" w:fill="FF66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687</w:t>
            </w:r>
          </w:p>
        </w:tc>
        <w:tc>
          <w:tcPr>
            <w:tcW w:w="173" w:type="pct"/>
            <w:tcBorders>
              <w:top w:val="nil"/>
              <w:left w:val="nil"/>
              <w:bottom w:val="single" w:sz="4" w:space="0" w:color="auto"/>
              <w:right w:val="single" w:sz="4" w:space="0" w:color="auto"/>
            </w:tcBorders>
            <w:shd w:val="clear" w:color="000000" w:fill="00FFC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695</w:t>
            </w:r>
          </w:p>
        </w:tc>
        <w:tc>
          <w:tcPr>
            <w:tcW w:w="173" w:type="pct"/>
            <w:tcBorders>
              <w:top w:val="nil"/>
              <w:left w:val="nil"/>
              <w:bottom w:val="single" w:sz="4" w:space="0" w:color="auto"/>
              <w:right w:val="single" w:sz="4" w:space="0" w:color="auto"/>
            </w:tcBorders>
            <w:shd w:val="clear" w:color="000000" w:fill="9966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704</w:t>
            </w:r>
          </w:p>
        </w:tc>
        <w:tc>
          <w:tcPr>
            <w:tcW w:w="173" w:type="pct"/>
            <w:tcBorders>
              <w:top w:val="nil"/>
              <w:left w:val="nil"/>
              <w:bottom w:val="single" w:sz="4"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712</w:t>
            </w:r>
          </w:p>
        </w:tc>
        <w:tc>
          <w:tcPr>
            <w:tcW w:w="171" w:type="pct"/>
            <w:tcBorders>
              <w:top w:val="nil"/>
              <w:left w:val="nil"/>
              <w:bottom w:val="single" w:sz="4" w:space="0" w:color="auto"/>
              <w:right w:val="single" w:sz="4" w:space="0" w:color="auto"/>
            </w:tcBorders>
            <w:shd w:val="clear" w:color="000000" w:fill="FF9966"/>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721</w:t>
            </w:r>
          </w:p>
        </w:tc>
        <w:tc>
          <w:tcPr>
            <w:tcW w:w="171"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730</w:t>
            </w:r>
          </w:p>
        </w:tc>
        <w:tc>
          <w:tcPr>
            <w:tcW w:w="171"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738</w:t>
            </w:r>
          </w:p>
        </w:tc>
        <w:tc>
          <w:tcPr>
            <w:tcW w:w="171"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747</w:t>
            </w:r>
          </w:p>
        </w:tc>
        <w:tc>
          <w:tcPr>
            <w:tcW w:w="17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756</w:t>
            </w:r>
          </w:p>
        </w:tc>
      </w:tr>
      <w:tr w:rsidR="00FA3A49" w:rsidRPr="00FA3A49" w:rsidTr="00C64172">
        <w:trPr>
          <w:cantSplit/>
          <w:trHeight w:val="255"/>
        </w:trPr>
        <w:tc>
          <w:tcPr>
            <w:tcW w:w="745" w:type="pct"/>
            <w:gridSpan w:val="2"/>
            <w:tcBorders>
              <w:top w:val="single" w:sz="8" w:space="0" w:color="auto"/>
              <w:left w:val="single" w:sz="8" w:space="0" w:color="auto"/>
              <w:bottom w:val="nil"/>
              <w:right w:val="nil"/>
            </w:tcBorders>
            <w:shd w:val="clear" w:color="000000" w:fill="D9D9D9"/>
            <w:noWrap/>
            <w:vAlign w:val="center"/>
            <w:hideMark/>
          </w:tcPr>
          <w:p w:rsidR="00CB2C20" w:rsidRPr="00FA3A49" w:rsidRDefault="00CB2C20" w:rsidP="00776535">
            <w:pPr>
              <w:jc w:val="center"/>
              <w:rPr>
                <w:color w:val="000000"/>
                <w:sz w:val="14"/>
                <w:szCs w:val="22"/>
                <w:lang w:eastAsia="en-AU"/>
              </w:rPr>
            </w:pPr>
            <w:r w:rsidRPr="00FA3A49">
              <w:rPr>
                <w:color w:val="000000"/>
                <w:sz w:val="14"/>
                <w:szCs w:val="22"/>
                <w:lang w:eastAsia="en-AU"/>
              </w:rPr>
              <w:t>TOTAL Basic trainees</w:t>
            </w:r>
          </w:p>
        </w:tc>
        <w:tc>
          <w:tcPr>
            <w:tcW w:w="173" w:type="pct"/>
            <w:tcBorders>
              <w:top w:val="nil"/>
              <w:left w:val="single" w:sz="8" w:space="0" w:color="auto"/>
              <w:bottom w:val="single" w:sz="8"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602</w:t>
            </w:r>
          </w:p>
        </w:tc>
        <w:tc>
          <w:tcPr>
            <w:tcW w:w="173" w:type="pct"/>
            <w:tcBorders>
              <w:top w:val="nil"/>
              <w:left w:val="nil"/>
              <w:bottom w:val="single" w:sz="8"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610</w:t>
            </w:r>
          </w:p>
        </w:tc>
        <w:tc>
          <w:tcPr>
            <w:tcW w:w="172" w:type="pct"/>
            <w:tcBorders>
              <w:top w:val="nil"/>
              <w:left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623</w:t>
            </w:r>
          </w:p>
        </w:tc>
        <w:tc>
          <w:tcPr>
            <w:tcW w:w="172" w:type="pct"/>
            <w:tcBorders>
              <w:top w:val="nil"/>
              <w:left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661</w:t>
            </w:r>
          </w:p>
        </w:tc>
        <w:tc>
          <w:tcPr>
            <w:tcW w:w="149" w:type="pct"/>
            <w:tcBorders>
              <w:top w:val="nil"/>
              <w:left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677</w:t>
            </w:r>
          </w:p>
        </w:tc>
        <w:tc>
          <w:tcPr>
            <w:tcW w:w="149" w:type="pct"/>
            <w:tcBorders>
              <w:top w:val="nil"/>
              <w:left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661</w:t>
            </w:r>
          </w:p>
        </w:tc>
        <w:tc>
          <w:tcPr>
            <w:tcW w:w="172" w:type="pct"/>
            <w:tcBorders>
              <w:top w:val="nil"/>
              <w:left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804</w:t>
            </w:r>
          </w:p>
        </w:tc>
        <w:tc>
          <w:tcPr>
            <w:tcW w:w="172" w:type="pct"/>
            <w:tcBorders>
              <w:top w:val="nil"/>
              <w:left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833</w:t>
            </w:r>
          </w:p>
        </w:tc>
        <w:tc>
          <w:tcPr>
            <w:tcW w:w="172" w:type="pct"/>
            <w:tcBorders>
              <w:top w:val="single" w:sz="4" w:space="0" w:color="auto"/>
              <w:left w:val="single" w:sz="4" w:space="0" w:color="auto"/>
              <w:right w:val="single" w:sz="18"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868</w:t>
            </w:r>
          </w:p>
        </w:tc>
        <w:tc>
          <w:tcPr>
            <w:tcW w:w="172" w:type="pct"/>
            <w:tcBorders>
              <w:top w:val="nil"/>
              <w:left w:val="single" w:sz="18"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883</w:t>
            </w:r>
          </w:p>
        </w:tc>
        <w:tc>
          <w:tcPr>
            <w:tcW w:w="172" w:type="pct"/>
            <w:tcBorders>
              <w:top w:val="nil"/>
              <w:left w:val="nil"/>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894</w:t>
            </w:r>
          </w:p>
        </w:tc>
        <w:tc>
          <w:tcPr>
            <w:tcW w:w="172"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905</w:t>
            </w:r>
          </w:p>
        </w:tc>
        <w:tc>
          <w:tcPr>
            <w:tcW w:w="172"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916</w:t>
            </w:r>
          </w:p>
        </w:tc>
        <w:tc>
          <w:tcPr>
            <w:tcW w:w="172"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927</w:t>
            </w:r>
          </w:p>
        </w:tc>
        <w:tc>
          <w:tcPr>
            <w:tcW w:w="172"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938</w:t>
            </w:r>
          </w:p>
        </w:tc>
        <w:tc>
          <w:tcPr>
            <w:tcW w:w="172"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949</w:t>
            </w:r>
          </w:p>
        </w:tc>
        <w:tc>
          <w:tcPr>
            <w:tcW w:w="172"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961</w:t>
            </w:r>
          </w:p>
        </w:tc>
        <w:tc>
          <w:tcPr>
            <w:tcW w:w="173"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972</w:t>
            </w:r>
          </w:p>
        </w:tc>
        <w:tc>
          <w:tcPr>
            <w:tcW w:w="173"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984</w:t>
            </w:r>
          </w:p>
        </w:tc>
        <w:tc>
          <w:tcPr>
            <w:tcW w:w="173"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996</w:t>
            </w:r>
          </w:p>
        </w:tc>
        <w:tc>
          <w:tcPr>
            <w:tcW w:w="171"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1008</w:t>
            </w:r>
          </w:p>
        </w:tc>
        <w:tc>
          <w:tcPr>
            <w:tcW w:w="171"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1020</w:t>
            </w:r>
          </w:p>
        </w:tc>
        <w:tc>
          <w:tcPr>
            <w:tcW w:w="171"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1032</w:t>
            </w:r>
          </w:p>
        </w:tc>
        <w:tc>
          <w:tcPr>
            <w:tcW w:w="171" w:type="pct"/>
            <w:tcBorders>
              <w:top w:val="nil"/>
              <w:left w:val="nil"/>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1045</w:t>
            </w:r>
          </w:p>
        </w:tc>
        <w:tc>
          <w:tcPr>
            <w:tcW w:w="171"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1057</w:t>
            </w:r>
          </w:p>
        </w:tc>
      </w:tr>
      <w:tr w:rsidR="00FA3A49" w:rsidRPr="00FA3A49" w:rsidTr="00C64172">
        <w:trPr>
          <w:cantSplit/>
          <w:trHeight w:val="255"/>
        </w:trPr>
        <w:tc>
          <w:tcPr>
            <w:tcW w:w="373" w:type="pct"/>
            <w:tcBorders>
              <w:top w:val="single" w:sz="8" w:space="0" w:color="auto"/>
              <w:left w:val="single" w:sz="8" w:space="0" w:color="auto"/>
              <w:bottom w:val="nil"/>
              <w:right w:val="single" w:sz="8" w:space="0" w:color="auto"/>
            </w:tcBorders>
            <w:shd w:val="clear" w:color="000000" w:fill="31869B"/>
            <w:noWrap/>
            <w:vAlign w:val="center"/>
            <w:hideMark/>
          </w:tcPr>
          <w:p w:rsidR="00CB2C20" w:rsidRPr="00FA3A49" w:rsidRDefault="00CB2C20" w:rsidP="00776535">
            <w:pPr>
              <w:jc w:val="center"/>
              <w:rPr>
                <w:color w:val="000000"/>
                <w:sz w:val="14"/>
                <w:szCs w:val="22"/>
                <w:lang w:eastAsia="en-AU"/>
              </w:rPr>
            </w:pPr>
            <w:proofErr w:type="spellStart"/>
            <w:r w:rsidRPr="00FA3A49">
              <w:rPr>
                <w:color w:val="000000"/>
                <w:sz w:val="14"/>
                <w:szCs w:val="22"/>
                <w:lang w:eastAsia="en-AU"/>
              </w:rPr>
              <w:t>ADV</w:t>
            </w:r>
            <w:proofErr w:type="spellEnd"/>
            <w:r w:rsidRPr="00FA3A49">
              <w:rPr>
                <w:color w:val="000000"/>
                <w:sz w:val="14"/>
                <w:szCs w:val="22"/>
                <w:lang w:eastAsia="en-AU"/>
              </w:rPr>
              <w:t xml:space="preserve"> YR1 &amp; YR2</w:t>
            </w:r>
          </w:p>
        </w:tc>
        <w:tc>
          <w:tcPr>
            <w:tcW w:w="373" w:type="pct"/>
            <w:tcBorders>
              <w:top w:val="single" w:sz="8" w:space="0" w:color="auto"/>
              <w:left w:val="nil"/>
              <w:bottom w:val="nil"/>
              <w:right w:val="nil"/>
            </w:tcBorders>
            <w:shd w:val="clear" w:color="000000" w:fill="31869B"/>
            <w:noWrap/>
            <w:vAlign w:val="center"/>
            <w:hideMark/>
          </w:tcPr>
          <w:p w:rsidR="00CB2C20" w:rsidRPr="00FA3A49" w:rsidRDefault="00CB2C20" w:rsidP="00776535">
            <w:pPr>
              <w:jc w:val="center"/>
              <w:rPr>
                <w:color w:val="000000"/>
                <w:sz w:val="14"/>
                <w:szCs w:val="22"/>
                <w:lang w:eastAsia="en-AU"/>
              </w:rPr>
            </w:pPr>
            <w:r w:rsidRPr="00FA3A49">
              <w:rPr>
                <w:color w:val="000000"/>
                <w:sz w:val="14"/>
                <w:szCs w:val="22"/>
                <w:lang w:eastAsia="en-AU"/>
              </w:rPr>
              <w:t>Stage 3</w:t>
            </w:r>
          </w:p>
        </w:tc>
        <w:tc>
          <w:tcPr>
            <w:tcW w:w="173" w:type="pct"/>
            <w:tcBorders>
              <w:top w:val="nil"/>
              <w:left w:val="single" w:sz="8" w:space="0" w:color="auto"/>
              <w:bottom w:val="nil"/>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178</w:t>
            </w:r>
          </w:p>
        </w:tc>
        <w:tc>
          <w:tcPr>
            <w:tcW w:w="173" w:type="pct"/>
            <w:tcBorders>
              <w:top w:val="nil"/>
              <w:left w:val="nil"/>
              <w:bottom w:val="nil"/>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177</w:t>
            </w:r>
          </w:p>
        </w:tc>
        <w:tc>
          <w:tcPr>
            <w:tcW w:w="172"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278</w:t>
            </w:r>
          </w:p>
        </w:tc>
        <w:tc>
          <w:tcPr>
            <w:tcW w:w="172"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322</w:t>
            </w:r>
          </w:p>
        </w:tc>
        <w:tc>
          <w:tcPr>
            <w:tcW w:w="149"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189</w:t>
            </w:r>
          </w:p>
        </w:tc>
        <w:tc>
          <w:tcPr>
            <w:tcW w:w="149"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198</w:t>
            </w:r>
          </w:p>
        </w:tc>
        <w:tc>
          <w:tcPr>
            <w:tcW w:w="172"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188</w:t>
            </w:r>
          </w:p>
        </w:tc>
        <w:tc>
          <w:tcPr>
            <w:tcW w:w="172" w:type="pct"/>
            <w:tcBorders>
              <w:top w:val="nil"/>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196</w:t>
            </w:r>
          </w:p>
        </w:tc>
        <w:tc>
          <w:tcPr>
            <w:tcW w:w="172" w:type="pct"/>
            <w:tcBorders>
              <w:top w:val="nil"/>
              <w:left w:val="nil"/>
              <w:bottom w:val="single" w:sz="4" w:space="0" w:color="auto"/>
              <w:right w:val="single" w:sz="18" w:space="0" w:color="auto"/>
            </w:tcBorders>
            <w:shd w:val="clear" w:color="000000" w:fill="D8E4B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203</w:t>
            </w:r>
          </w:p>
        </w:tc>
        <w:tc>
          <w:tcPr>
            <w:tcW w:w="172" w:type="pct"/>
            <w:tcBorders>
              <w:top w:val="nil"/>
              <w:left w:val="single" w:sz="18" w:space="0" w:color="auto"/>
              <w:bottom w:val="single" w:sz="4"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225</w:t>
            </w:r>
          </w:p>
        </w:tc>
        <w:tc>
          <w:tcPr>
            <w:tcW w:w="172" w:type="pct"/>
            <w:tcBorders>
              <w:top w:val="nil"/>
              <w:left w:val="nil"/>
              <w:bottom w:val="single" w:sz="4" w:space="0" w:color="auto"/>
              <w:right w:val="single" w:sz="4" w:space="0" w:color="auto"/>
            </w:tcBorders>
            <w:shd w:val="clear" w:color="000000" w:fill="00CC00"/>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240</w:t>
            </w:r>
          </w:p>
        </w:tc>
        <w:tc>
          <w:tcPr>
            <w:tcW w:w="172" w:type="pct"/>
            <w:tcBorders>
              <w:top w:val="nil"/>
              <w:left w:val="nil"/>
              <w:bottom w:val="single" w:sz="8" w:space="0" w:color="auto"/>
              <w:right w:val="single" w:sz="4" w:space="0" w:color="auto"/>
            </w:tcBorders>
            <w:shd w:val="clear" w:color="000000" w:fill="996633"/>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249</w:t>
            </w:r>
          </w:p>
        </w:tc>
        <w:tc>
          <w:tcPr>
            <w:tcW w:w="172" w:type="pct"/>
            <w:tcBorders>
              <w:top w:val="nil"/>
              <w:left w:val="nil"/>
              <w:bottom w:val="single" w:sz="8" w:space="0" w:color="auto"/>
              <w:right w:val="single" w:sz="4" w:space="0" w:color="auto"/>
            </w:tcBorders>
            <w:shd w:val="clear" w:color="000000" w:fill="FF5050"/>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255</w:t>
            </w:r>
          </w:p>
        </w:tc>
        <w:tc>
          <w:tcPr>
            <w:tcW w:w="172" w:type="pct"/>
            <w:tcBorders>
              <w:top w:val="nil"/>
              <w:left w:val="nil"/>
              <w:bottom w:val="single" w:sz="8" w:space="0" w:color="auto"/>
              <w:right w:val="single" w:sz="4" w:space="0" w:color="auto"/>
            </w:tcBorders>
            <w:shd w:val="clear" w:color="000000" w:fill="00CC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259</w:t>
            </w:r>
          </w:p>
        </w:tc>
        <w:tc>
          <w:tcPr>
            <w:tcW w:w="172" w:type="pct"/>
            <w:tcBorders>
              <w:top w:val="nil"/>
              <w:left w:val="nil"/>
              <w:bottom w:val="single" w:sz="8" w:space="0" w:color="auto"/>
              <w:right w:val="single" w:sz="4" w:space="0" w:color="auto"/>
            </w:tcBorders>
            <w:shd w:val="clear" w:color="000000" w:fill="9966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263</w:t>
            </w:r>
          </w:p>
        </w:tc>
        <w:tc>
          <w:tcPr>
            <w:tcW w:w="172" w:type="pct"/>
            <w:tcBorders>
              <w:top w:val="nil"/>
              <w:left w:val="nil"/>
              <w:bottom w:val="single" w:sz="8" w:space="0" w:color="auto"/>
              <w:right w:val="single" w:sz="4" w:space="0" w:color="auto"/>
            </w:tcBorders>
            <w:shd w:val="clear" w:color="000000" w:fill="FFFF00"/>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266</w:t>
            </w:r>
          </w:p>
        </w:tc>
        <w:tc>
          <w:tcPr>
            <w:tcW w:w="172" w:type="pct"/>
            <w:tcBorders>
              <w:top w:val="nil"/>
              <w:left w:val="nil"/>
              <w:bottom w:val="single" w:sz="8" w:space="0" w:color="auto"/>
              <w:right w:val="single" w:sz="4" w:space="0" w:color="auto"/>
            </w:tcBorders>
            <w:shd w:val="clear" w:color="000000" w:fill="66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270</w:t>
            </w:r>
          </w:p>
        </w:tc>
        <w:tc>
          <w:tcPr>
            <w:tcW w:w="173" w:type="pct"/>
            <w:tcBorders>
              <w:top w:val="nil"/>
              <w:left w:val="nil"/>
              <w:bottom w:val="single" w:sz="8" w:space="0" w:color="auto"/>
              <w:right w:val="single" w:sz="4" w:space="0" w:color="auto"/>
            </w:tcBorders>
            <w:shd w:val="clear" w:color="000000" w:fill="C4BD97"/>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273</w:t>
            </w:r>
          </w:p>
        </w:tc>
        <w:tc>
          <w:tcPr>
            <w:tcW w:w="173" w:type="pct"/>
            <w:tcBorders>
              <w:top w:val="nil"/>
              <w:left w:val="nil"/>
              <w:bottom w:val="single" w:sz="8" w:space="0" w:color="auto"/>
              <w:right w:val="single" w:sz="4" w:space="0" w:color="auto"/>
            </w:tcBorders>
            <w:shd w:val="clear" w:color="000000" w:fill="FF66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276</w:t>
            </w:r>
          </w:p>
        </w:tc>
        <w:tc>
          <w:tcPr>
            <w:tcW w:w="173" w:type="pct"/>
            <w:tcBorders>
              <w:top w:val="nil"/>
              <w:left w:val="nil"/>
              <w:bottom w:val="single" w:sz="8" w:space="0" w:color="auto"/>
              <w:right w:val="single" w:sz="4" w:space="0" w:color="auto"/>
            </w:tcBorders>
            <w:shd w:val="clear" w:color="000000" w:fill="00FFCC"/>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280</w:t>
            </w:r>
          </w:p>
        </w:tc>
        <w:tc>
          <w:tcPr>
            <w:tcW w:w="171" w:type="pct"/>
            <w:tcBorders>
              <w:top w:val="nil"/>
              <w:left w:val="nil"/>
              <w:bottom w:val="single" w:sz="8" w:space="0" w:color="auto"/>
              <w:right w:val="single" w:sz="4" w:space="0" w:color="auto"/>
            </w:tcBorders>
            <w:shd w:val="clear" w:color="000000" w:fill="9966FF"/>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283</w:t>
            </w:r>
          </w:p>
        </w:tc>
        <w:tc>
          <w:tcPr>
            <w:tcW w:w="171" w:type="pct"/>
            <w:tcBorders>
              <w:top w:val="nil"/>
              <w:left w:val="nil"/>
              <w:bottom w:val="single" w:sz="8" w:space="0" w:color="auto"/>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286</w:t>
            </w:r>
          </w:p>
        </w:tc>
        <w:tc>
          <w:tcPr>
            <w:tcW w:w="171" w:type="pct"/>
            <w:tcBorders>
              <w:top w:val="nil"/>
              <w:left w:val="nil"/>
              <w:bottom w:val="single" w:sz="8" w:space="0" w:color="auto"/>
              <w:right w:val="single" w:sz="4" w:space="0" w:color="auto"/>
            </w:tcBorders>
            <w:shd w:val="clear" w:color="000000" w:fill="FF9966"/>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290</w:t>
            </w:r>
          </w:p>
        </w:tc>
        <w:tc>
          <w:tcPr>
            <w:tcW w:w="171" w:type="pct"/>
            <w:tcBorders>
              <w:top w:val="nil"/>
              <w:left w:val="nil"/>
              <w:bottom w:val="single" w:sz="8" w:space="0" w:color="auto"/>
              <w:right w:val="single" w:sz="4"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293</w:t>
            </w:r>
          </w:p>
        </w:tc>
        <w:tc>
          <w:tcPr>
            <w:tcW w:w="171" w:type="pct"/>
            <w:tcBorders>
              <w:top w:val="nil"/>
              <w:left w:val="single" w:sz="4" w:space="0" w:color="auto"/>
              <w:bottom w:val="single" w:sz="8" w:space="0" w:color="auto"/>
              <w:right w:val="single" w:sz="8" w:space="0" w:color="auto"/>
            </w:tcBorders>
            <w:shd w:val="clear" w:color="auto" w:fill="auto"/>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297</w:t>
            </w:r>
          </w:p>
        </w:tc>
      </w:tr>
      <w:tr w:rsidR="00FA3A49" w:rsidRPr="00FA3A49" w:rsidTr="00C64172">
        <w:trPr>
          <w:cantSplit/>
          <w:trHeight w:val="255"/>
        </w:trPr>
        <w:tc>
          <w:tcPr>
            <w:tcW w:w="745" w:type="pct"/>
            <w:gridSpan w:val="2"/>
            <w:tcBorders>
              <w:top w:val="single" w:sz="8" w:space="0" w:color="auto"/>
              <w:left w:val="single" w:sz="8" w:space="0" w:color="auto"/>
              <w:bottom w:val="single" w:sz="8" w:space="0" w:color="auto"/>
              <w:right w:val="nil"/>
            </w:tcBorders>
            <w:shd w:val="clear" w:color="000000" w:fill="D9D9D9"/>
            <w:noWrap/>
            <w:vAlign w:val="center"/>
            <w:hideMark/>
          </w:tcPr>
          <w:p w:rsidR="00CB2C20" w:rsidRPr="00FA3A49" w:rsidRDefault="00CB2C20" w:rsidP="00776535">
            <w:pPr>
              <w:jc w:val="center"/>
              <w:rPr>
                <w:color w:val="000000"/>
                <w:sz w:val="14"/>
                <w:szCs w:val="22"/>
                <w:lang w:eastAsia="en-AU"/>
              </w:rPr>
            </w:pPr>
            <w:r w:rsidRPr="00FA3A49">
              <w:rPr>
                <w:color w:val="000000"/>
                <w:sz w:val="14"/>
                <w:szCs w:val="22"/>
                <w:lang w:eastAsia="en-AU"/>
              </w:rPr>
              <w:t>TOTAL advanced trainees</w:t>
            </w:r>
          </w:p>
        </w:tc>
        <w:tc>
          <w:tcPr>
            <w:tcW w:w="173" w:type="pct"/>
            <w:tcBorders>
              <w:top w:val="single" w:sz="4" w:space="0" w:color="auto"/>
              <w:left w:val="single" w:sz="8" w:space="0" w:color="auto"/>
              <w:bottom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178</w:t>
            </w:r>
          </w:p>
        </w:tc>
        <w:tc>
          <w:tcPr>
            <w:tcW w:w="173" w:type="pct"/>
            <w:tcBorders>
              <w:top w:val="single" w:sz="4" w:space="0" w:color="auto"/>
              <w:left w:val="nil"/>
              <w:bottom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177</w:t>
            </w:r>
          </w:p>
        </w:tc>
        <w:tc>
          <w:tcPr>
            <w:tcW w:w="172" w:type="pct"/>
            <w:tcBorders>
              <w:top w:val="single" w:sz="4" w:space="0" w:color="auto"/>
              <w:left w:val="nil"/>
              <w:bottom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278</w:t>
            </w:r>
          </w:p>
        </w:tc>
        <w:tc>
          <w:tcPr>
            <w:tcW w:w="172" w:type="pct"/>
            <w:tcBorders>
              <w:top w:val="single" w:sz="4" w:space="0" w:color="auto"/>
              <w:left w:val="single" w:sz="4" w:space="0" w:color="auto"/>
              <w:bottom w:val="nil"/>
              <w:right w:val="nil"/>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322</w:t>
            </w:r>
          </w:p>
        </w:tc>
        <w:tc>
          <w:tcPr>
            <w:tcW w:w="149" w:type="pct"/>
            <w:tcBorders>
              <w:top w:val="single" w:sz="4" w:space="0" w:color="auto"/>
              <w:left w:val="single" w:sz="4" w:space="0" w:color="auto"/>
              <w:bottom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350</w:t>
            </w:r>
          </w:p>
        </w:tc>
        <w:tc>
          <w:tcPr>
            <w:tcW w:w="149" w:type="pct"/>
            <w:tcBorders>
              <w:top w:val="single" w:sz="4" w:space="0" w:color="auto"/>
              <w:left w:val="nil"/>
              <w:bottom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368</w:t>
            </w:r>
          </w:p>
        </w:tc>
        <w:tc>
          <w:tcPr>
            <w:tcW w:w="172" w:type="pct"/>
            <w:tcBorders>
              <w:top w:val="single" w:sz="4" w:space="0" w:color="auto"/>
              <w:left w:val="nil"/>
              <w:bottom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417</w:t>
            </w:r>
          </w:p>
        </w:tc>
        <w:tc>
          <w:tcPr>
            <w:tcW w:w="172" w:type="pct"/>
            <w:tcBorders>
              <w:top w:val="single" w:sz="4" w:space="0" w:color="auto"/>
              <w:left w:val="nil"/>
              <w:bottom w:val="nil"/>
              <w:right w:val="single" w:sz="4"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418</w:t>
            </w:r>
          </w:p>
        </w:tc>
        <w:tc>
          <w:tcPr>
            <w:tcW w:w="172" w:type="pct"/>
            <w:tcBorders>
              <w:top w:val="single" w:sz="4" w:space="0" w:color="auto"/>
              <w:left w:val="nil"/>
              <w:bottom w:val="nil"/>
              <w:right w:val="single" w:sz="18" w:space="0" w:color="auto"/>
            </w:tcBorders>
            <w:shd w:val="clear" w:color="000000" w:fill="FFFF99"/>
            <w:noWrap/>
            <w:vAlign w:val="bottom"/>
            <w:hideMark/>
          </w:tcPr>
          <w:p w:rsidR="00CB2C20" w:rsidRPr="00FA3A49" w:rsidRDefault="00CB2C20" w:rsidP="00CB2C20">
            <w:pPr>
              <w:jc w:val="right"/>
              <w:rPr>
                <w:color w:val="000000"/>
                <w:sz w:val="14"/>
                <w:szCs w:val="22"/>
                <w:lang w:eastAsia="en-AU"/>
              </w:rPr>
            </w:pPr>
            <w:r w:rsidRPr="00FA3A49">
              <w:rPr>
                <w:color w:val="000000"/>
                <w:sz w:val="14"/>
                <w:szCs w:val="22"/>
                <w:lang w:eastAsia="en-AU"/>
              </w:rPr>
              <w:t>418</w:t>
            </w:r>
          </w:p>
        </w:tc>
        <w:tc>
          <w:tcPr>
            <w:tcW w:w="172" w:type="pct"/>
            <w:tcBorders>
              <w:top w:val="single" w:sz="4" w:space="0" w:color="auto"/>
              <w:left w:val="single" w:sz="18" w:space="0" w:color="auto"/>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2" w:type="pct"/>
            <w:tcBorders>
              <w:top w:val="single" w:sz="4" w:space="0" w:color="auto"/>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2"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2"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2"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2"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2"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2"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3"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3"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3"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1"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1"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1"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1" w:type="pct"/>
            <w:tcBorders>
              <w:top w:val="nil"/>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1" w:type="pct"/>
            <w:tcBorders>
              <w:top w:val="nil"/>
              <w:left w:val="nil"/>
              <w:bottom w:val="nil"/>
              <w:right w:val="single" w:sz="8" w:space="0" w:color="auto"/>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r>
      <w:tr w:rsidR="00FA3A49" w:rsidRPr="00FA3A49" w:rsidTr="00C64172">
        <w:trPr>
          <w:cantSplit/>
          <w:trHeight w:val="255"/>
        </w:trPr>
        <w:tc>
          <w:tcPr>
            <w:tcW w:w="745" w:type="pct"/>
            <w:gridSpan w:val="2"/>
            <w:tcBorders>
              <w:top w:val="single" w:sz="8" w:space="0" w:color="auto"/>
              <w:left w:val="single" w:sz="8" w:space="0" w:color="auto"/>
              <w:bottom w:val="single" w:sz="8" w:space="0" w:color="auto"/>
              <w:right w:val="single" w:sz="8" w:space="0" w:color="000000"/>
            </w:tcBorders>
            <w:shd w:val="clear" w:color="000000" w:fill="CCC0DA"/>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Substantially comparable</w:t>
            </w:r>
          </w:p>
        </w:tc>
        <w:tc>
          <w:tcPr>
            <w:tcW w:w="173" w:type="pct"/>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73" w:type="pct"/>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72" w:type="pct"/>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72" w:type="pct"/>
            <w:tcBorders>
              <w:top w:val="single" w:sz="8" w:space="0" w:color="auto"/>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49" w:type="pct"/>
            <w:tcBorders>
              <w:top w:val="single" w:sz="8" w:space="0" w:color="auto"/>
              <w:left w:val="single" w:sz="4" w:space="0" w:color="auto"/>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47</w:t>
            </w:r>
          </w:p>
        </w:tc>
        <w:tc>
          <w:tcPr>
            <w:tcW w:w="149" w:type="pct"/>
            <w:tcBorders>
              <w:top w:val="single" w:sz="8" w:space="0" w:color="auto"/>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73</w:t>
            </w:r>
          </w:p>
        </w:tc>
        <w:tc>
          <w:tcPr>
            <w:tcW w:w="172" w:type="pct"/>
            <w:tcBorders>
              <w:top w:val="single" w:sz="8" w:space="0" w:color="auto"/>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40</w:t>
            </w:r>
          </w:p>
        </w:tc>
        <w:tc>
          <w:tcPr>
            <w:tcW w:w="172" w:type="pct"/>
            <w:tcBorders>
              <w:top w:val="single" w:sz="8" w:space="0" w:color="auto"/>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43</w:t>
            </w:r>
          </w:p>
        </w:tc>
        <w:tc>
          <w:tcPr>
            <w:tcW w:w="172" w:type="pct"/>
            <w:tcBorders>
              <w:top w:val="single" w:sz="8" w:space="0" w:color="auto"/>
              <w:left w:val="single" w:sz="4" w:space="0" w:color="auto"/>
              <w:bottom w:val="single" w:sz="4" w:space="0" w:color="auto"/>
              <w:right w:val="single" w:sz="1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2" w:type="pct"/>
            <w:tcBorders>
              <w:top w:val="single" w:sz="8" w:space="0" w:color="auto"/>
              <w:left w:val="single" w:sz="18" w:space="0" w:color="auto"/>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2"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2"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2"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2"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2"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2"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2"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3"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3"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3"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1"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1"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1"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1" w:type="pct"/>
            <w:tcBorders>
              <w:top w:val="single" w:sz="8" w:space="0" w:color="auto"/>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c>
          <w:tcPr>
            <w:tcW w:w="171" w:type="pct"/>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42</w:t>
            </w:r>
          </w:p>
        </w:tc>
      </w:tr>
      <w:tr w:rsidR="00FA3A49" w:rsidRPr="00FA3A49" w:rsidTr="00C64172">
        <w:trPr>
          <w:cantSplit/>
          <w:trHeight w:val="255"/>
        </w:trPr>
        <w:tc>
          <w:tcPr>
            <w:tcW w:w="745" w:type="pct"/>
            <w:gridSpan w:val="2"/>
            <w:tcBorders>
              <w:top w:val="single" w:sz="8" w:space="0" w:color="auto"/>
              <w:left w:val="single" w:sz="8" w:space="0" w:color="auto"/>
              <w:bottom w:val="single" w:sz="8" w:space="0" w:color="auto"/>
              <w:right w:val="single" w:sz="8" w:space="0" w:color="000000"/>
            </w:tcBorders>
            <w:shd w:val="clear" w:color="000000" w:fill="CCC0DA"/>
            <w:noWrap/>
            <w:vAlign w:val="center"/>
            <w:hideMark/>
          </w:tcPr>
          <w:p w:rsidR="005D6BAA" w:rsidRPr="00FA3A49" w:rsidRDefault="005D6BAA" w:rsidP="00776535">
            <w:pPr>
              <w:jc w:val="center"/>
              <w:rPr>
                <w:color w:val="000000"/>
                <w:sz w:val="14"/>
                <w:szCs w:val="20"/>
                <w:lang w:eastAsia="en-AU"/>
              </w:rPr>
            </w:pPr>
            <w:r w:rsidRPr="00FA3A49">
              <w:rPr>
                <w:color w:val="000000"/>
                <w:sz w:val="14"/>
                <w:szCs w:val="20"/>
                <w:lang w:eastAsia="en-AU"/>
              </w:rPr>
              <w:t>Partially comparable</w:t>
            </w:r>
          </w:p>
        </w:tc>
        <w:tc>
          <w:tcPr>
            <w:tcW w:w="173" w:type="pct"/>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73" w:type="pct"/>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72" w:type="pct"/>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72" w:type="pct"/>
            <w:tcBorders>
              <w:top w:val="nil"/>
              <w:left w:val="nil"/>
              <w:bottom w:val="nil"/>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49" w:type="pct"/>
            <w:tcBorders>
              <w:top w:val="nil"/>
              <w:left w:val="single" w:sz="4" w:space="0" w:color="auto"/>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40</w:t>
            </w:r>
          </w:p>
        </w:tc>
        <w:tc>
          <w:tcPr>
            <w:tcW w:w="149" w:type="pct"/>
            <w:tcBorders>
              <w:top w:val="nil"/>
              <w:left w:val="nil"/>
              <w:bottom w:val="single" w:sz="4"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43</w:t>
            </w:r>
          </w:p>
        </w:tc>
        <w:tc>
          <w:tcPr>
            <w:tcW w:w="172" w:type="pct"/>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38</w:t>
            </w:r>
          </w:p>
        </w:tc>
        <w:tc>
          <w:tcPr>
            <w:tcW w:w="172" w:type="pct"/>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22</w:t>
            </w:r>
          </w:p>
        </w:tc>
        <w:tc>
          <w:tcPr>
            <w:tcW w:w="172" w:type="pct"/>
            <w:tcBorders>
              <w:top w:val="nil"/>
              <w:left w:val="single" w:sz="4" w:space="0" w:color="auto"/>
              <w:bottom w:val="single" w:sz="8" w:space="0" w:color="auto"/>
              <w:right w:val="single" w:sz="1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2" w:type="pct"/>
            <w:tcBorders>
              <w:top w:val="nil"/>
              <w:left w:val="single" w:sz="18" w:space="0" w:color="auto"/>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2" w:type="pct"/>
            <w:tcBorders>
              <w:top w:val="nil"/>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2" w:type="pct"/>
            <w:tcBorders>
              <w:top w:val="nil"/>
              <w:left w:val="nil"/>
              <w:bottom w:val="single" w:sz="4"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2"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2"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2"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2"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2"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3"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3"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3"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1"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1"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1"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1" w:type="pct"/>
            <w:tcBorders>
              <w:top w:val="nil"/>
              <w:left w:val="nil"/>
              <w:bottom w:val="nil"/>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c>
          <w:tcPr>
            <w:tcW w:w="171" w:type="pct"/>
            <w:tcBorders>
              <w:top w:val="nil"/>
              <w:left w:val="nil"/>
              <w:bottom w:val="nil"/>
              <w:right w:val="single" w:sz="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30</w:t>
            </w:r>
          </w:p>
        </w:tc>
      </w:tr>
      <w:tr w:rsidR="00FA3A49" w:rsidRPr="00FA3A49" w:rsidTr="00C64172">
        <w:trPr>
          <w:cantSplit/>
          <w:trHeight w:val="255"/>
        </w:trPr>
        <w:tc>
          <w:tcPr>
            <w:tcW w:w="745" w:type="pct"/>
            <w:gridSpan w:val="2"/>
            <w:tcBorders>
              <w:top w:val="single" w:sz="8" w:space="0" w:color="auto"/>
              <w:left w:val="single" w:sz="8" w:space="0" w:color="auto"/>
              <w:bottom w:val="single" w:sz="8" w:space="0" w:color="auto"/>
              <w:right w:val="single" w:sz="8" w:space="0" w:color="000000"/>
            </w:tcBorders>
            <w:shd w:val="clear" w:color="000000" w:fill="B1A0C7"/>
            <w:noWrap/>
            <w:vAlign w:val="center"/>
            <w:hideMark/>
          </w:tcPr>
          <w:p w:rsidR="005D6BAA" w:rsidRPr="00FA3A49" w:rsidRDefault="005D6BAA" w:rsidP="00776535">
            <w:pPr>
              <w:jc w:val="center"/>
              <w:rPr>
                <w:color w:val="000000"/>
                <w:sz w:val="14"/>
                <w:szCs w:val="20"/>
                <w:lang w:eastAsia="en-AU"/>
              </w:rPr>
            </w:pPr>
            <w:proofErr w:type="spellStart"/>
            <w:r w:rsidRPr="00FA3A49">
              <w:rPr>
                <w:color w:val="000000"/>
                <w:sz w:val="14"/>
                <w:szCs w:val="20"/>
                <w:lang w:eastAsia="en-AU"/>
              </w:rPr>
              <w:t>OTS</w:t>
            </w:r>
            <w:proofErr w:type="spellEnd"/>
            <w:r w:rsidRPr="00FA3A49">
              <w:rPr>
                <w:color w:val="000000"/>
                <w:sz w:val="14"/>
                <w:szCs w:val="20"/>
                <w:lang w:eastAsia="en-AU"/>
              </w:rPr>
              <w:t xml:space="preserve"> trainees</w:t>
            </w:r>
          </w:p>
        </w:tc>
        <w:tc>
          <w:tcPr>
            <w:tcW w:w="173" w:type="pct"/>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73" w:type="pct"/>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72" w:type="pct"/>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72" w:type="pct"/>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49" w:type="pct"/>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49" w:type="pct"/>
            <w:tcBorders>
              <w:top w:val="nil"/>
              <w:left w:val="nil"/>
              <w:bottom w:val="single" w:sz="8" w:space="0" w:color="auto"/>
              <w:right w:val="nil"/>
            </w:tcBorders>
            <w:shd w:val="clear" w:color="000000" w:fill="F2F2F2"/>
            <w:noWrap/>
            <w:vAlign w:val="bottom"/>
            <w:hideMark/>
          </w:tcPr>
          <w:p w:rsidR="005D6BAA" w:rsidRPr="00FA3A49" w:rsidRDefault="005D6BAA" w:rsidP="005D6BAA">
            <w:pPr>
              <w:rPr>
                <w:color w:val="000000"/>
                <w:sz w:val="14"/>
                <w:szCs w:val="20"/>
                <w:lang w:eastAsia="en-AU"/>
              </w:rPr>
            </w:pPr>
            <w:r w:rsidRPr="00FA3A49">
              <w:rPr>
                <w:color w:val="000000"/>
                <w:sz w:val="14"/>
                <w:szCs w:val="20"/>
                <w:lang w:eastAsia="en-AU"/>
              </w:rPr>
              <w:t> </w:t>
            </w:r>
          </w:p>
        </w:tc>
        <w:tc>
          <w:tcPr>
            <w:tcW w:w="172" w:type="pct"/>
            <w:tcBorders>
              <w:top w:val="nil"/>
              <w:left w:val="single" w:sz="4" w:space="0" w:color="auto"/>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206</w:t>
            </w:r>
          </w:p>
        </w:tc>
        <w:tc>
          <w:tcPr>
            <w:tcW w:w="172" w:type="pct"/>
            <w:tcBorders>
              <w:top w:val="nil"/>
              <w:left w:val="nil"/>
              <w:bottom w:val="single" w:sz="8" w:space="0" w:color="auto"/>
              <w:right w:val="single" w:sz="4" w:space="0" w:color="auto"/>
            </w:tcBorders>
            <w:shd w:val="clear" w:color="000000" w:fill="FFFF99"/>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199</w:t>
            </w:r>
          </w:p>
        </w:tc>
        <w:tc>
          <w:tcPr>
            <w:tcW w:w="172" w:type="pct"/>
            <w:tcBorders>
              <w:top w:val="nil"/>
              <w:left w:val="nil"/>
              <w:bottom w:val="single" w:sz="8" w:space="0" w:color="auto"/>
              <w:right w:val="single" w:sz="1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2" w:type="pct"/>
            <w:tcBorders>
              <w:top w:val="nil"/>
              <w:left w:val="single" w:sz="18" w:space="0" w:color="auto"/>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2" w:type="pct"/>
            <w:tcBorders>
              <w:top w:val="nil"/>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2" w:type="pct"/>
            <w:tcBorders>
              <w:top w:val="nil"/>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2"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2"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2"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2"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2"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3"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3"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3"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1"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1"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1"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1" w:type="pct"/>
            <w:tcBorders>
              <w:top w:val="single" w:sz="8" w:space="0" w:color="auto"/>
              <w:left w:val="nil"/>
              <w:bottom w:val="single" w:sz="8" w:space="0" w:color="auto"/>
              <w:right w:val="single" w:sz="4"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c>
          <w:tcPr>
            <w:tcW w:w="171" w:type="pct"/>
            <w:tcBorders>
              <w:top w:val="single" w:sz="8" w:space="0" w:color="auto"/>
              <w:left w:val="nil"/>
              <w:bottom w:val="single" w:sz="8" w:space="0" w:color="auto"/>
              <w:right w:val="single" w:sz="8" w:space="0" w:color="auto"/>
            </w:tcBorders>
            <w:shd w:val="clear" w:color="000000" w:fill="FFFFFF"/>
            <w:noWrap/>
            <w:vAlign w:val="bottom"/>
            <w:hideMark/>
          </w:tcPr>
          <w:p w:rsidR="005D6BAA" w:rsidRPr="00FA3A49" w:rsidRDefault="005D6BAA" w:rsidP="005D6BAA">
            <w:pPr>
              <w:jc w:val="right"/>
              <w:rPr>
                <w:color w:val="000000"/>
                <w:sz w:val="14"/>
                <w:szCs w:val="20"/>
                <w:lang w:eastAsia="en-AU"/>
              </w:rPr>
            </w:pPr>
            <w:r w:rsidRPr="00FA3A49">
              <w:rPr>
                <w:color w:val="000000"/>
                <w:sz w:val="14"/>
                <w:szCs w:val="20"/>
                <w:lang w:eastAsia="en-AU"/>
              </w:rPr>
              <w:t>203</w:t>
            </w:r>
          </w:p>
        </w:tc>
      </w:tr>
      <w:tr w:rsidR="00FA3A49" w:rsidRPr="00FA3A49" w:rsidTr="00C64172">
        <w:trPr>
          <w:cantSplit/>
          <w:trHeight w:val="255"/>
        </w:trPr>
        <w:tc>
          <w:tcPr>
            <w:tcW w:w="745" w:type="pct"/>
            <w:gridSpan w:val="2"/>
            <w:tcBorders>
              <w:top w:val="single" w:sz="8" w:space="0" w:color="auto"/>
              <w:left w:val="single" w:sz="8" w:space="0" w:color="auto"/>
              <w:bottom w:val="single" w:sz="4" w:space="0" w:color="auto"/>
              <w:right w:val="single" w:sz="8" w:space="0" w:color="000000"/>
            </w:tcBorders>
            <w:shd w:val="clear" w:color="000000" w:fill="215967"/>
            <w:noWrap/>
            <w:vAlign w:val="center"/>
            <w:hideMark/>
          </w:tcPr>
          <w:p w:rsidR="00CB2C20" w:rsidRPr="00FA3A49" w:rsidRDefault="00CB2C20" w:rsidP="00776535">
            <w:pPr>
              <w:jc w:val="center"/>
              <w:rPr>
                <w:color w:val="FFFFFF"/>
                <w:sz w:val="14"/>
                <w:szCs w:val="22"/>
                <w:lang w:eastAsia="en-AU"/>
              </w:rPr>
            </w:pPr>
            <w:r w:rsidRPr="00FA3A49">
              <w:rPr>
                <w:color w:val="FFFFFF"/>
                <w:sz w:val="14"/>
                <w:szCs w:val="22"/>
                <w:lang w:eastAsia="en-AU"/>
              </w:rPr>
              <w:t>Domestic new fellows</w:t>
            </w:r>
          </w:p>
        </w:tc>
        <w:tc>
          <w:tcPr>
            <w:tcW w:w="173" w:type="pct"/>
            <w:tcBorders>
              <w:top w:val="single" w:sz="8" w:space="0" w:color="auto"/>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3" w:type="pct"/>
            <w:tcBorders>
              <w:top w:val="single" w:sz="8" w:space="0" w:color="auto"/>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2" w:type="pct"/>
            <w:tcBorders>
              <w:top w:val="single" w:sz="8" w:space="0" w:color="auto"/>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72" w:type="pct"/>
            <w:tcBorders>
              <w:top w:val="single" w:sz="8" w:space="0" w:color="auto"/>
              <w:left w:val="nil"/>
              <w:bottom w:val="nil"/>
              <w:right w:val="nil"/>
            </w:tcBorders>
            <w:shd w:val="clear" w:color="000000" w:fill="F2F2F2"/>
            <w:noWrap/>
            <w:vAlign w:val="bottom"/>
            <w:hideMark/>
          </w:tcPr>
          <w:p w:rsidR="00CB2C20" w:rsidRPr="00FA3A49" w:rsidRDefault="00CB2C20" w:rsidP="00CB2C20">
            <w:pPr>
              <w:rPr>
                <w:color w:val="000000"/>
                <w:sz w:val="14"/>
                <w:szCs w:val="22"/>
                <w:lang w:eastAsia="en-AU"/>
              </w:rPr>
            </w:pPr>
            <w:r w:rsidRPr="00FA3A49">
              <w:rPr>
                <w:color w:val="000000"/>
                <w:sz w:val="14"/>
                <w:szCs w:val="22"/>
                <w:lang w:eastAsia="en-AU"/>
              </w:rPr>
              <w:t> </w:t>
            </w:r>
          </w:p>
        </w:tc>
        <w:tc>
          <w:tcPr>
            <w:tcW w:w="149" w:type="pct"/>
            <w:tcBorders>
              <w:top w:val="single" w:sz="8" w:space="0" w:color="auto"/>
              <w:left w:val="single" w:sz="4" w:space="0" w:color="auto"/>
              <w:bottom w:val="single" w:sz="4" w:space="0" w:color="auto"/>
              <w:right w:val="single" w:sz="4" w:space="0" w:color="auto"/>
            </w:tcBorders>
            <w:shd w:val="clear" w:color="000000" w:fill="D8E4BC"/>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82</w:t>
            </w:r>
          </w:p>
        </w:tc>
        <w:tc>
          <w:tcPr>
            <w:tcW w:w="149" w:type="pct"/>
            <w:tcBorders>
              <w:top w:val="single" w:sz="8" w:space="0" w:color="auto"/>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72</w:t>
            </w:r>
          </w:p>
        </w:tc>
        <w:tc>
          <w:tcPr>
            <w:tcW w:w="172" w:type="pct"/>
            <w:tcBorders>
              <w:top w:val="single" w:sz="8" w:space="0" w:color="auto"/>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104</w:t>
            </w:r>
          </w:p>
        </w:tc>
        <w:tc>
          <w:tcPr>
            <w:tcW w:w="172" w:type="pct"/>
            <w:tcBorders>
              <w:top w:val="single" w:sz="8" w:space="0" w:color="auto"/>
              <w:left w:val="nil"/>
              <w:bottom w:val="single" w:sz="4" w:space="0" w:color="auto"/>
              <w:right w:val="single" w:sz="4" w:space="0" w:color="auto"/>
            </w:tcBorders>
            <w:shd w:val="clear" w:color="000000" w:fill="D8E4BC"/>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85</w:t>
            </w:r>
          </w:p>
        </w:tc>
        <w:tc>
          <w:tcPr>
            <w:tcW w:w="172" w:type="pct"/>
            <w:tcBorders>
              <w:top w:val="single" w:sz="8" w:space="0" w:color="auto"/>
              <w:left w:val="nil"/>
              <w:bottom w:val="single" w:sz="4" w:space="0" w:color="auto"/>
              <w:right w:val="single" w:sz="18" w:space="0" w:color="auto"/>
            </w:tcBorders>
            <w:shd w:val="clear" w:color="000000" w:fill="FDE9D9"/>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92</w:t>
            </w:r>
          </w:p>
        </w:tc>
        <w:tc>
          <w:tcPr>
            <w:tcW w:w="172" w:type="pct"/>
            <w:tcBorders>
              <w:top w:val="single" w:sz="8" w:space="0" w:color="auto"/>
              <w:left w:val="single" w:sz="18" w:space="0" w:color="auto"/>
              <w:bottom w:val="single" w:sz="4" w:space="0" w:color="auto"/>
              <w:right w:val="single" w:sz="4" w:space="0" w:color="auto"/>
            </w:tcBorders>
            <w:shd w:val="clear" w:color="000000" w:fill="FFFFFF"/>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95</w:t>
            </w:r>
          </w:p>
        </w:tc>
        <w:tc>
          <w:tcPr>
            <w:tcW w:w="172" w:type="pct"/>
            <w:tcBorders>
              <w:top w:val="single" w:sz="8" w:space="0" w:color="auto"/>
              <w:left w:val="nil"/>
              <w:bottom w:val="single" w:sz="4" w:space="0" w:color="auto"/>
              <w:right w:val="single" w:sz="4" w:space="0" w:color="auto"/>
            </w:tcBorders>
            <w:shd w:val="clear" w:color="000000" w:fill="FFFFFF"/>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106</w:t>
            </w:r>
          </w:p>
        </w:tc>
        <w:tc>
          <w:tcPr>
            <w:tcW w:w="172" w:type="pct"/>
            <w:tcBorders>
              <w:top w:val="single" w:sz="8" w:space="0" w:color="auto"/>
              <w:left w:val="nil"/>
              <w:bottom w:val="single" w:sz="4" w:space="0" w:color="auto"/>
              <w:right w:val="single" w:sz="4" w:space="0" w:color="auto"/>
            </w:tcBorders>
            <w:shd w:val="clear" w:color="000000" w:fill="FFFFFF"/>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113</w:t>
            </w:r>
          </w:p>
        </w:tc>
        <w:tc>
          <w:tcPr>
            <w:tcW w:w="172" w:type="pct"/>
            <w:tcBorders>
              <w:top w:val="single" w:sz="8" w:space="0" w:color="auto"/>
              <w:left w:val="nil"/>
              <w:bottom w:val="single" w:sz="4" w:space="0" w:color="auto"/>
              <w:right w:val="single" w:sz="4" w:space="0" w:color="auto"/>
            </w:tcBorders>
            <w:shd w:val="clear" w:color="000000" w:fill="00CC00"/>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117</w:t>
            </w:r>
          </w:p>
        </w:tc>
        <w:tc>
          <w:tcPr>
            <w:tcW w:w="172" w:type="pct"/>
            <w:tcBorders>
              <w:top w:val="single" w:sz="8" w:space="0" w:color="auto"/>
              <w:left w:val="nil"/>
              <w:bottom w:val="single" w:sz="4" w:space="0" w:color="auto"/>
              <w:right w:val="single" w:sz="4" w:space="0" w:color="auto"/>
            </w:tcBorders>
            <w:shd w:val="clear" w:color="000000" w:fill="996633"/>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120</w:t>
            </w:r>
          </w:p>
        </w:tc>
        <w:tc>
          <w:tcPr>
            <w:tcW w:w="172" w:type="pct"/>
            <w:tcBorders>
              <w:top w:val="single" w:sz="8" w:space="0" w:color="auto"/>
              <w:left w:val="nil"/>
              <w:bottom w:val="single" w:sz="4" w:space="0" w:color="auto"/>
              <w:right w:val="single" w:sz="4" w:space="0" w:color="auto"/>
            </w:tcBorders>
            <w:shd w:val="clear" w:color="000000" w:fill="FF5050"/>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122</w:t>
            </w:r>
          </w:p>
        </w:tc>
        <w:tc>
          <w:tcPr>
            <w:tcW w:w="172" w:type="pct"/>
            <w:tcBorders>
              <w:top w:val="single" w:sz="8" w:space="0" w:color="auto"/>
              <w:left w:val="nil"/>
              <w:bottom w:val="single" w:sz="4" w:space="0" w:color="auto"/>
              <w:right w:val="single" w:sz="4" w:space="0" w:color="auto"/>
            </w:tcBorders>
            <w:shd w:val="clear" w:color="000000" w:fill="00CCFF"/>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123</w:t>
            </w:r>
          </w:p>
        </w:tc>
        <w:tc>
          <w:tcPr>
            <w:tcW w:w="172" w:type="pct"/>
            <w:tcBorders>
              <w:top w:val="single" w:sz="8" w:space="0" w:color="auto"/>
              <w:left w:val="nil"/>
              <w:bottom w:val="single" w:sz="4" w:space="0" w:color="auto"/>
              <w:right w:val="single" w:sz="4" w:space="0" w:color="auto"/>
            </w:tcBorders>
            <w:shd w:val="clear" w:color="000000" w:fill="9966FF"/>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125</w:t>
            </w:r>
          </w:p>
        </w:tc>
        <w:tc>
          <w:tcPr>
            <w:tcW w:w="173" w:type="pct"/>
            <w:tcBorders>
              <w:top w:val="single" w:sz="8" w:space="0" w:color="auto"/>
              <w:left w:val="nil"/>
              <w:bottom w:val="single" w:sz="4" w:space="0" w:color="auto"/>
              <w:right w:val="single" w:sz="4" w:space="0" w:color="auto"/>
            </w:tcBorders>
            <w:shd w:val="clear" w:color="000000" w:fill="FFFF00"/>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127</w:t>
            </w:r>
          </w:p>
        </w:tc>
        <w:tc>
          <w:tcPr>
            <w:tcW w:w="173" w:type="pct"/>
            <w:tcBorders>
              <w:top w:val="single" w:sz="8" w:space="0" w:color="auto"/>
              <w:left w:val="nil"/>
              <w:bottom w:val="single" w:sz="4" w:space="0" w:color="auto"/>
              <w:right w:val="single" w:sz="4" w:space="0" w:color="auto"/>
            </w:tcBorders>
            <w:shd w:val="clear" w:color="000000" w:fill="66FF99"/>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128</w:t>
            </w:r>
          </w:p>
        </w:tc>
        <w:tc>
          <w:tcPr>
            <w:tcW w:w="173" w:type="pct"/>
            <w:tcBorders>
              <w:top w:val="single" w:sz="8" w:space="0" w:color="auto"/>
              <w:left w:val="nil"/>
              <w:bottom w:val="single" w:sz="4" w:space="0" w:color="auto"/>
              <w:right w:val="single" w:sz="4" w:space="0" w:color="auto"/>
            </w:tcBorders>
            <w:shd w:val="clear" w:color="000000" w:fill="C4BD97"/>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130</w:t>
            </w:r>
          </w:p>
        </w:tc>
        <w:tc>
          <w:tcPr>
            <w:tcW w:w="171" w:type="pct"/>
            <w:tcBorders>
              <w:top w:val="single" w:sz="8" w:space="0" w:color="auto"/>
              <w:left w:val="nil"/>
              <w:bottom w:val="single" w:sz="4" w:space="0" w:color="auto"/>
              <w:right w:val="single" w:sz="4" w:space="0" w:color="auto"/>
            </w:tcBorders>
            <w:shd w:val="clear" w:color="000000" w:fill="FF6699"/>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131</w:t>
            </w:r>
          </w:p>
        </w:tc>
        <w:tc>
          <w:tcPr>
            <w:tcW w:w="171" w:type="pct"/>
            <w:tcBorders>
              <w:top w:val="single" w:sz="8" w:space="0" w:color="auto"/>
              <w:left w:val="nil"/>
              <w:bottom w:val="single" w:sz="4" w:space="0" w:color="auto"/>
              <w:right w:val="single" w:sz="4" w:space="0" w:color="auto"/>
            </w:tcBorders>
            <w:shd w:val="clear" w:color="000000" w:fill="00FFCC"/>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133</w:t>
            </w:r>
          </w:p>
        </w:tc>
        <w:tc>
          <w:tcPr>
            <w:tcW w:w="171" w:type="pct"/>
            <w:tcBorders>
              <w:top w:val="single" w:sz="8" w:space="0" w:color="auto"/>
              <w:left w:val="nil"/>
              <w:bottom w:val="single" w:sz="4" w:space="0" w:color="auto"/>
              <w:right w:val="single" w:sz="4" w:space="0" w:color="auto"/>
            </w:tcBorders>
            <w:shd w:val="clear" w:color="000000" w:fill="9966FF"/>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134</w:t>
            </w:r>
          </w:p>
        </w:tc>
        <w:tc>
          <w:tcPr>
            <w:tcW w:w="171" w:type="pct"/>
            <w:tcBorders>
              <w:top w:val="single" w:sz="8" w:space="0" w:color="auto"/>
              <w:left w:val="nil"/>
              <w:bottom w:val="single" w:sz="4" w:space="0" w:color="auto"/>
              <w:right w:val="single" w:sz="4" w:space="0" w:color="auto"/>
            </w:tcBorders>
            <w:shd w:val="clear" w:color="000000" w:fill="FFFF99"/>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136</w:t>
            </w:r>
          </w:p>
        </w:tc>
        <w:tc>
          <w:tcPr>
            <w:tcW w:w="171" w:type="pct"/>
            <w:tcBorders>
              <w:top w:val="single" w:sz="8" w:space="0" w:color="auto"/>
              <w:left w:val="single" w:sz="4" w:space="0" w:color="auto"/>
              <w:bottom w:val="single" w:sz="4" w:space="0" w:color="auto"/>
              <w:right w:val="single" w:sz="8" w:space="0" w:color="auto"/>
            </w:tcBorders>
            <w:shd w:val="clear" w:color="000000" w:fill="FF9966"/>
            <w:noWrap/>
            <w:vAlign w:val="bottom"/>
            <w:hideMark/>
          </w:tcPr>
          <w:p w:rsidR="00CB2C20" w:rsidRPr="00FA3A49" w:rsidRDefault="00CB2C20" w:rsidP="00CB2C20">
            <w:pPr>
              <w:jc w:val="right"/>
              <w:rPr>
                <w:bCs/>
                <w:color w:val="000000"/>
                <w:sz w:val="14"/>
                <w:szCs w:val="22"/>
                <w:lang w:eastAsia="en-AU"/>
              </w:rPr>
            </w:pPr>
            <w:r w:rsidRPr="00FA3A49">
              <w:rPr>
                <w:bCs/>
                <w:color w:val="000000"/>
                <w:sz w:val="14"/>
                <w:szCs w:val="22"/>
                <w:lang w:eastAsia="en-AU"/>
              </w:rPr>
              <w:t>138</w:t>
            </w:r>
          </w:p>
        </w:tc>
      </w:tr>
      <w:tr w:rsidR="00C64172" w:rsidRPr="00FA3A49" w:rsidTr="00C64172">
        <w:trPr>
          <w:cantSplit/>
          <w:trHeight w:val="255"/>
        </w:trPr>
        <w:tc>
          <w:tcPr>
            <w:tcW w:w="745" w:type="pct"/>
            <w:gridSpan w:val="2"/>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C64172" w:rsidRPr="00FA3A49" w:rsidRDefault="00C64172" w:rsidP="00776535">
            <w:pPr>
              <w:jc w:val="center"/>
              <w:rPr>
                <w:color w:val="000000"/>
                <w:sz w:val="14"/>
                <w:szCs w:val="22"/>
                <w:lang w:eastAsia="en-AU"/>
              </w:rPr>
            </w:pPr>
            <w:proofErr w:type="spellStart"/>
            <w:r w:rsidRPr="00FA3A49">
              <w:rPr>
                <w:color w:val="000000"/>
                <w:sz w:val="14"/>
                <w:szCs w:val="22"/>
                <w:lang w:eastAsia="en-AU"/>
              </w:rPr>
              <w:t>OTS</w:t>
            </w:r>
            <w:proofErr w:type="spellEnd"/>
            <w:r w:rsidRPr="00FA3A49">
              <w:rPr>
                <w:color w:val="000000"/>
                <w:sz w:val="14"/>
                <w:szCs w:val="22"/>
                <w:lang w:eastAsia="en-AU"/>
              </w:rPr>
              <w:t xml:space="preserve"> new fellows</w:t>
            </w:r>
          </w:p>
        </w:tc>
        <w:tc>
          <w:tcPr>
            <w:tcW w:w="173" w:type="pct"/>
            <w:tcBorders>
              <w:top w:val="nil"/>
              <w:left w:val="nil"/>
              <w:bottom w:val="nil"/>
              <w:right w:val="nil"/>
            </w:tcBorders>
            <w:shd w:val="clear" w:color="000000" w:fill="F2F2F2"/>
            <w:noWrap/>
            <w:vAlign w:val="bottom"/>
            <w:hideMark/>
          </w:tcPr>
          <w:p w:rsidR="00C64172" w:rsidRPr="00FA3A49" w:rsidRDefault="00C64172" w:rsidP="00CB2C20">
            <w:pPr>
              <w:rPr>
                <w:color w:val="000000"/>
                <w:sz w:val="14"/>
                <w:szCs w:val="22"/>
                <w:lang w:eastAsia="en-AU"/>
              </w:rPr>
            </w:pPr>
            <w:r w:rsidRPr="00FA3A49">
              <w:rPr>
                <w:color w:val="000000"/>
                <w:sz w:val="14"/>
                <w:szCs w:val="22"/>
                <w:lang w:eastAsia="en-AU"/>
              </w:rPr>
              <w:t> </w:t>
            </w:r>
          </w:p>
        </w:tc>
        <w:tc>
          <w:tcPr>
            <w:tcW w:w="173" w:type="pct"/>
            <w:tcBorders>
              <w:top w:val="nil"/>
              <w:left w:val="nil"/>
              <w:bottom w:val="nil"/>
              <w:right w:val="nil"/>
            </w:tcBorders>
            <w:shd w:val="clear" w:color="000000" w:fill="F2F2F2"/>
            <w:noWrap/>
            <w:vAlign w:val="bottom"/>
            <w:hideMark/>
          </w:tcPr>
          <w:p w:rsidR="00C64172" w:rsidRPr="00FA3A49" w:rsidRDefault="00C64172" w:rsidP="00CB2C20">
            <w:pPr>
              <w:rPr>
                <w:color w:val="000000"/>
                <w:sz w:val="14"/>
                <w:szCs w:val="22"/>
                <w:lang w:eastAsia="en-AU"/>
              </w:rPr>
            </w:pPr>
            <w:r w:rsidRPr="00FA3A49">
              <w:rPr>
                <w:color w:val="000000"/>
                <w:sz w:val="14"/>
                <w:szCs w:val="22"/>
                <w:lang w:eastAsia="en-AU"/>
              </w:rPr>
              <w:t> </w:t>
            </w:r>
          </w:p>
        </w:tc>
        <w:tc>
          <w:tcPr>
            <w:tcW w:w="172" w:type="pct"/>
            <w:tcBorders>
              <w:top w:val="nil"/>
              <w:left w:val="nil"/>
              <w:bottom w:val="nil"/>
              <w:right w:val="nil"/>
            </w:tcBorders>
            <w:shd w:val="clear" w:color="000000" w:fill="F2F2F2"/>
            <w:noWrap/>
            <w:vAlign w:val="bottom"/>
            <w:hideMark/>
          </w:tcPr>
          <w:p w:rsidR="00C64172" w:rsidRPr="00FA3A49" w:rsidRDefault="00C64172" w:rsidP="00CB2C20">
            <w:pPr>
              <w:rPr>
                <w:color w:val="000000"/>
                <w:sz w:val="14"/>
                <w:szCs w:val="22"/>
                <w:lang w:eastAsia="en-AU"/>
              </w:rPr>
            </w:pPr>
            <w:r w:rsidRPr="00FA3A49">
              <w:rPr>
                <w:color w:val="000000"/>
                <w:sz w:val="14"/>
                <w:szCs w:val="22"/>
                <w:lang w:eastAsia="en-AU"/>
              </w:rPr>
              <w:t> </w:t>
            </w:r>
          </w:p>
        </w:tc>
        <w:tc>
          <w:tcPr>
            <w:tcW w:w="172" w:type="pct"/>
            <w:tcBorders>
              <w:top w:val="nil"/>
              <w:left w:val="nil"/>
              <w:bottom w:val="nil"/>
              <w:right w:val="nil"/>
            </w:tcBorders>
            <w:shd w:val="clear" w:color="000000" w:fill="F2F2F2"/>
            <w:noWrap/>
            <w:vAlign w:val="bottom"/>
            <w:hideMark/>
          </w:tcPr>
          <w:p w:rsidR="00C64172" w:rsidRPr="00FA3A49" w:rsidRDefault="00C64172" w:rsidP="00CB2C20">
            <w:pPr>
              <w:rPr>
                <w:color w:val="000000"/>
                <w:sz w:val="14"/>
                <w:szCs w:val="22"/>
                <w:lang w:eastAsia="en-AU"/>
              </w:rPr>
            </w:pPr>
            <w:r w:rsidRPr="00FA3A49">
              <w:rPr>
                <w:color w:val="000000"/>
                <w:sz w:val="14"/>
                <w:szCs w:val="22"/>
                <w:lang w:eastAsia="en-AU"/>
              </w:rPr>
              <w:t> </w:t>
            </w:r>
          </w:p>
        </w:tc>
        <w:tc>
          <w:tcPr>
            <w:tcW w:w="149" w:type="pct"/>
            <w:tcBorders>
              <w:top w:val="nil"/>
              <w:left w:val="single" w:sz="4" w:space="0" w:color="auto"/>
              <w:bottom w:val="single" w:sz="4" w:space="0" w:color="auto"/>
              <w:right w:val="single" w:sz="4" w:space="0" w:color="auto"/>
            </w:tcBorders>
            <w:shd w:val="clear" w:color="000000" w:fill="FFFF99"/>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72</w:t>
            </w:r>
          </w:p>
        </w:tc>
        <w:tc>
          <w:tcPr>
            <w:tcW w:w="149" w:type="pct"/>
            <w:tcBorders>
              <w:top w:val="nil"/>
              <w:left w:val="nil"/>
              <w:bottom w:val="single" w:sz="4" w:space="0" w:color="auto"/>
              <w:right w:val="single" w:sz="4" w:space="0" w:color="auto"/>
            </w:tcBorders>
            <w:shd w:val="clear" w:color="000000" w:fill="FFFF99"/>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59</w:t>
            </w:r>
          </w:p>
        </w:tc>
        <w:tc>
          <w:tcPr>
            <w:tcW w:w="172" w:type="pct"/>
            <w:tcBorders>
              <w:top w:val="nil"/>
              <w:left w:val="nil"/>
              <w:bottom w:val="single" w:sz="4" w:space="0" w:color="auto"/>
              <w:right w:val="single" w:sz="4" w:space="0" w:color="auto"/>
            </w:tcBorders>
            <w:shd w:val="clear" w:color="000000" w:fill="FFFF99"/>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32</w:t>
            </w:r>
          </w:p>
        </w:tc>
        <w:tc>
          <w:tcPr>
            <w:tcW w:w="172" w:type="pct"/>
            <w:tcBorders>
              <w:top w:val="nil"/>
              <w:left w:val="nil"/>
              <w:bottom w:val="single" w:sz="4" w:space="0" w:color="auto"/>
              <w:right w:val="single" w:sz="4" w:space="0" w:color="auto"/>
            </w:tcBorders>
            <w:shd w:val="clear" w:color="000000" w:fill="FFFF99"/>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56</w:t>
            </w:r>
          </w:p>
        </w:tc>
        <w:tc>
          <w:tcPr>
            <w:tcW w:w="172" w:type="pct"/>
            <w:tcBorders>
              <w:top w:val="nil"/>
              <w:left w:val="nil"/>
              <w:bottom w:val="nil"/>
              <w:right w:val="single" w:sz="18" w:space="0" w:color="auto"/>
            </w:tcBorders>
            <w:shd w:val="clear" w:color="000000" w:fill="FFFFFF"/>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54</w:t>
            </w:r>
          </w:p>
        </w:tc>
        <w:tc>
          <w:tcPr>
            <w:tcW w:w="172" w:type="pct"/>
            <w:tcBorders>
              <w:top w:val="nil"/>
              <w:left w:val="single" w:sz="18" w:space="0" w:color="auto"/>
              <w:bottom w:val="single" w:sz="4" w:space="0" w:color="auto"/>
              <w:right w:val="single" w:sz="4" w:space="0" w:color="auto"/>
            </w:tcBorders>
            <w:shd w:val="clear" w:color="000000" w:fill="FFFFFF"/>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2" w:type="pct"/>
            <w:tcBorders>
              <w:top w:val="nil"/>
              <w:left w:val="nil"/>
              <w:bottom w:val="single" w:sz="4" w:space="0" w:color="auto"/>
              <w:right w:val="single" w:sz="4" w:space="0" w:color="auto"/>
            </w:tcBorders>
            <w:shd w:val="clear" w:color="000000" w:fill="FFFFFF"/>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2" w:type="pct"/>
            <w:tcBorders>
              <w:top w:val="nil"/>
              <w:left w:val="nil"/>
              <w:bottom w:val="single" w:sz="4" w:space="0" w:color="auto"/>
              <w:right w:val="single" w:sz="4" w:space="0" w:color="auto"/>
            </w:tcBorders>
            <w:shd w:val="clear" w:color="000000" w:fill="FFFFFF"/>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2" w:type="pct"/>
            <w:tcBorders>
              <w:top w:val="nil"/>
              <w:left w:val="nil"/>
              <w:bottom w:val="single" w:sz="4" w:space="0" w:color="auto"/>
              <w:right w:val="single" w:sz="4" w:space="0" w:color="auto"/>
            </w:tcBorders>
            <w:shd w:val="clear" w:color="000000" w:fill="00CC00"/>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2" w:type="pct"/>
            <w:tcBorders>
              <w:top w:val="nil"/>
              <w:left w:val="nil"/>
              <w:bottom w:val="single" w:sz="4" w:space="0" w:color="auto"/>
              <w:right w:val="single" w:sz="4" w:space="0" w:color="auto"/>
            </w:tcBorders>
            <w:shd w:val="clear" w:color="000000" w:fill="996633"/>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2" w:type="pct"/>
            <w:tcBorders>
              <w:top w:val="nil"/>
              <w:left w:val="nil"/>
              <w:bottom w:val="single" w:sz="4" w:space="0" w:color="auto"/>
              <w:right w:val="single" w:sz="4" w:space="0" w:color="auto"/>
            </w:tcBorders>
            <w:shd w:val="clear" w:color="000000" w:fill="FF5050"/>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2" w:type="pct"/>
            <w:tcBorders>
              <w:top w:val="nil"/>
              <w:left w:val="nil"/>
              <w:bottom w:val="single" w:sz="4" w:space="0" w:color="auto"/>
              <w:right w:val="single" w:sz="4" w:space="0" w:color="auto"/>
            </w:tcBorders>
            <w:shd w:val="clear" w:color="000000" w:fill="00CCFF"/>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2" w:type="pct"/>
            <w:tcBorders>
              <w:top w:val="nil"/>
              <w:left w:val="nil"/>
              <w:bottom w:val="single" w:sz="4" w:space="0" w:color="auto"/>
              <w:right w:val="single" w:sz="4" w:space="0" w:color="auto"/>
            </w:tcBorders>
            <w:shd w:val="clear" w:color="000000" w:fill="9966FF"/>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3" w:type="pct"/>
            <w:tcBorders>
              <w:top w:val="nil"/>
              <w:left w:val="nil"/>
              <w:bottom w:val="single" w:sz="4" w:space="0" w:color="auto"/>
              <w:right w:val="single" w:sz="4" w:space="0" w:color="auto"/>
            </w:tcBorders>
            <w:shd w:val="clear" w:color="000000" w:fill="FFFF00"/>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3" w:type="pct"/>
            <w:tcBorders>
              <w:top w:val="nil"/>
              <w:left w:val="nil"/>
              <w:bottom w:val="single" w:sz="4" w:space="0" w:color="auto"/>
              <w:right w:val="single" w:sz="4" w:space="0" w:color="auto"/>
            </w:tcBorders>
            <w:shd w:val="clear" w:color="000000" w:fill="66FF99"/>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3" w:type="pct"/>
            <w:tcBorders>
              <w:top w:val="nil"/>
              <w:left w:val="nil"/>
              <w:bottom w:val="single" w:sz="4" w:space="0" w:color="auto"/>
              <w:right w:val="single" w:sz="4" w:space="0" w:color="auto"/>
            </w:tcBorders>
            <w:shd w:val="clear" w:color="000000" w:fill="C4BD97"/>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1" w:type="pct"/>
            <w:tcBorders>
              <w:top w:val="nil"/>
              <w:left w:val="nil"/>
              <w:bottom w:val="single" w:sz="4" w:space="0" w:color="auto"/>
              <w:right w:val="single" w:sz="4" w:space="0" w:color="auto"/>
            </w:tcBorders>
            <w:shd w:val="clear" w:color="000000" w:fill="FF6699"/>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1" w:type="pct"/>
            <w:tcBorders>
              <w:top w:val="nil"/>
              <w:left w:val="nil"/>
              <w:bottom w:val="single" w:sz="4" w:space="0" w:color="auto"/>
              <w:right w:val="single" w:sz="4" w:space="0" w:color="auto"/>
            </w:tcBorders>
            <w:shd w:val="clear" w:color="000000" w:fill="00FFCC"/>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1" w:type="pct"/>
            <w:tcBorders>
              <w:top w:val="nil"/>
              <w:left w:val="nil"/>
              <w:bottom w:val="single" w:sz="4" w:space="0" w:color="auto"/>
              <w:right w:val="single" w:sz="4" w:space="0" w:color="auto"/>
            </w:tcBorders>
            <w:shd w:val="clear" w:color="000000" w:fill="9966FF"/>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1" w:type="pct"/>
            <w:tcBorders>
              <w:top w:val="nil"/>
              <w:left w:val="nil"/>
              <w:bottom w:val="single" w:sz="4" w:space="0" w:color="auto"/>
              <w:right w:val="single" w:sz="4" w:space="0" w:color="auto"/>
            </w:tcBorders>
            <w:shd w:val="clear" w:color="000000" w:fill="FFFF99"/>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c>
          <w:tcPr>
            <w:tcW w:w="171" w:type="pct"/>
            <w:tcBorders>
              <w:top w:val="single" w:sz="4" w:space="0" w:color="auto"/>
              <w:left w:val="single" w:sz="4" w:space="0" w:color="auto"/>
              <w:bottom w:val="single" w:sz="4" w:space="0" w:color="auto"/>
              <w:right w:val="single" w:sz="8" w:space="0" w:color="auto"/>
            </w:tcBorders>
            <w:shd w:val="clear" w:color="000000" w:fill="FF9966"/>
            <w:noWrap/>
            <w:vAlign w:val="bottom"/>
            <w:hideMark/>
          </w:tcPr>
          <w:p w:rsidR="00C64172" w:rsidRPr="00FA3A49" w:rsidRDefault="00C64172" w:rsidP="009D2874">
            <w:pPr>
              <w:jc w:val="right"/>
              <w:rPr>
                <w:color w:val="000000"/>
                <w:sz w:val="14"/>
                <w:szCs w:val="20"/>
                <w:lang w:eastAsia="en-AU"/>
              </w:rPr>
            </w:pPr>
            <w:r w:rsidRPr="00FA3A49">
              <w:rPr>
                <w:color w:val="000000"/>
                <w:sz w:val="14"/>
                <w:szCs w:val="20"/>
                <w:lang w:eastAsia="en-AU"/>
              </w:rPr>
              <w:t>55</w:t>
            </w:r>
          </w:p>
        </w:tc>
      </w:tr>
      <w:tr w:rsidR="00AC3D8A" w:rsidRPr="00FA3A49" w:rsidTr="00C64172">
        <w:trPr>
          <w:cantSplit/>
          <w:trHeight w:val="255"/>
        </w:trPr>
        <w:tc>
          <w:tcPr>
            <w:tcW w:w="745" w:type="pct"/>
            <w:gridSpan w:val="2"/>
            <w:tcBorders>
              <w:top w:val="single" w:sz="4" w:space="0" w:color="auto"/>
              <w:left w:val="single" w:sz="8" w:space="0" w:color="auto"/>
              <w:bottom w:val="single" w:sz="8" w:space="0" w:color="auto"/>
              <w:right w:val="single" w:sz="8" w:space="0" w:color="000000"/>
            </w:tcBorders>
            <w:shd w:val="clear" w:color="000000" w:fill="D9D9D9"/>
            <w:noWrap/>
            <w:vAlign w:val="center"/>
            <w:hideMark/>
          </w:tcPr>
          <w:p w:rsidR="00AC3D8A" w:rsidRPr="00FA3A49" w:rsidRDefault="00AC3D8A" w:rsidP="00776535">
            <w:pPr>
              <w:jc w:val="center"/>
              <w:rPr>
                <w:color w:val="000000"/>
                <w:sz w:val="14"/>
                <w:szCs w:val="22"/>
                <w:lang w:eastAsia="en-AU"/>
              </w:rPr>
            </w:pPr>
            <w:r w:rsidRPr="00FA3A49">
              <w:rPr>
                <w:color w:val="000000"/>
                <w:sz w:val="14"/>
                <w:szCs w:val="22"/>
                <w:lang w:eastAsia="en-AU"/>
              </w:rPr>
              <w:t>Total New Fellows</w:t>
            </w:r>
          </w:p>
        </w:tc>
        <w:tc>
          <w:tcPr>
            <w:tcW w:w="173" w:type="pct"/>
            <w:tcBorders>
              <w:top w:val="single" w:sz="4" w:space="0" w:color="auto"/>
              <w:left w:val="nil"/>
              <w:bottom w:val="single" w:sz="8" w:space="0" w:color="auto"/>
              <w:right w:val="single" w:sz="4" w:space="0" w:color="auto"/>
            </w:tcBorders>
            <w:shd w:val="clear" w:color="000000" w:fill="FFFF99"/>
            <w:noWrap/>
            <w:vAlign w:val="bottom"/>
            <w:hideMark/>
          </w:tcPr>
          <w:p w:rsidR="00AC3D8A" w:rsidRPr="00AC3D8A" w:rsidRDefault="00AC3D8A">
            <w:pPr>
              <w:jc w:val="right"/>
              <w:rPr>
                <w:color w:val="000000"/>
                <w:sz w:val="14"/>
                <w:szCs w:val="22"/>
              </w:rPr>
            </w:pPr>
            <w:r w:rsidRPr="00AC3D8A">
              <w:rPr>
                <w:color w:val="000000"/>
                <w:sz w:val="14"/>
                <w:szCs w:val="22"/>
              </w:rPr>
              <w:t>90</w:t>
            </w:r>
          </w:p>
        </w:tc>
        <w:tc>
          <w:tcPr>
            <w:tcW w:w="173" w:type="pct"/>
            <w:tcBorders>
              <w:top w:val="single" w:sz="4" w:space="0" w:color="auto"/>
              <w:left w:val="nil"/>
              <w:bottom w:val="single" w:sz="8" w:space="0" w:color="auto"/>
              <w:right w:val="single" w:sz="4" w:space="0" w:color="auto"/>
            </w:tcBorders>
            <w:shd w:val="clear" w:color="000000" w:fill="FFFF99"/>
            <w:noWrap/>
            <w:vAlign w:val="bottom"/>
            <w:hideMark/>
          </w:tcPr>
          <w:p w:rsidR="00AC3D8A" w:rsidRPr="00AC3D8A" w:rsidRDefault="00AC3D8A">
            <w:pPr>
              <w:jc w:val="right"/>
              <w:rPr>
                <w:color w:val="000000"/>
                <w:sz w:val="14"/>
                <w:szCs w:val="22"/>
              </w:rPr>
            </w:pPr>
            <w:r w:rsidRPr="00AC3D8A">
              <w:rPr>
                <w:color w:val="000000"/>
                <w:sz w:val="14"/>
                <w:szCs w:val="22"/>
              </w:rPr>
              <w:t>72</w:t>
            </w:r>
          </w:p>
        </w:tc>
        <w:tc>
          <w:tcPr>
            <w:tcW w:w="172" w:type="pct"/>
            <w:tcBorders>
              <w:top w:val="single" w:sz="4" w:space="0" w:color="auto"/>
              <w:left w:val="nil"/>
              <w:bottom w:val="single" w:sz="8" w:space="0" w:color="auto"/>
              <w:right w:val="single" w:sz="4" w:space="0" w:color="auto"/>
            </w:tcBorders>
            <w:shd w:val="clear" w:color="000000" w:fill="FFFF99"/>
            <w:noWrap/>
            <w:vAlign w:val="bottom"/>
            <w:hideMark/>
          </w:tcPr>
          <w:p w:rsidR="00AC3D8A" w:rsidRPr="00AC3D8A" w:rsidRDefault="00AC3D8A">
            <w:pPr>
              <w:jc w:val="right"/>
              <w:rPr>
                <w:color w:val="000000"/>
                <w:sz w:val="14"/>
                <w:szCs w:val="22"/>
              </w:rPr>
            </w:pPr>
            <w:r w:rsidRPr="00AC3D8A">
              <w:rPr>
                <w:color w:val="000000"/>
                <w:sz w:val="14"/>
                <w:szCs w:val="22"/>
              </w:rPr>
              <w:t>147</w:t>
            </w:r>
          </w:p>
        </w:tc>
        <w:tc>
          <w:tcPr>
            <w:tcW w:w="172" w:type="pct"/>
            <w:tcBorders>
              <w:top w:val="single" w:sz="4" w:space="0" w:color="auto"/>
              <w:left w:val="nil"/>
              <w:bottom w:val="single" w:sz="8" w:space="0" w:color="auto"/>
              <w:right w:val="single" w:sz="4" w:space="0" w:color="auto"/>
            </w:tcBorders>
            <w:shd w:val="clear" w:color="000000" w:fill="FFFF99"/>
            <w:noWrap/>
            <w:vAlign w:val="bottom"/>
            <w:hideMark/>
          </w:tcPr>
          <w:p w:rsidR="00AC3D8A" w:rsidRPr="00AC3D8A" w:rsidRDefault="00AC3D8A">
            <w:pPr>
              <w:jc w:val="right"/>
              <w:rPr>
                <w:color w:val="000000"/>
                <w:sz w:val="14"/>
                <w:szCs w:val="22"/>
              </w:rPr>
            </w:pPr>
            <w:r w:rsidRPr="00AC3D8A">
              <w:rPr>
                <w:color w:val="000000"/>
                <w:sz w:val="14"/>
                <w:szCs w:val="22"/>
              </w:rPr>
              <w:t>125</w:t>
            </w:r>
          </w:p>
        </w:tc>
        <w:tc>
          <w:tcPr>
            <w:tcW w:w="149" w:type="pct"/>
            <w:tcBorders>
              <w:top w:val="nil"/>
              <w:left w:val="nil"/>
              <w:bottom w:val="single" w:sz="8" w:space="0" w:color="auto"/>
              <w:right w:val="single" w:sz="4" w:space="0" w:color="auto"/>
            </w:tcBorders>
            <w:shd w:val="clear" w:color="000000" w:fill="FFFF99"/>
            <w:noWrap/>
            <w:vAlign w:val="bottom"/>
            <w:hideMark/>
          </w:tcPr>
          <w:p w:rsidR="00AC3D8A" w:rsidRPr="00AC3D8A" w:rsidRDefault="00AC3D8A">
            <w:pPr>
              <w:jc w:val="right"/>
              <w:rPr>
                <w:color w:val="000000"/>
                <w:sz w:val="14"/>
                <w:szCs w:val="22"/>
              </w:rPr>
            </w:pPr>
            <w:r w:rsidRPr="00AC3D8A">
              <w:rPr>
                <w:color w:val="000000"/>
                <w:sz w:val="14"/>
                <w:szCs w:val="22"/>
              </w:rPr>
              <w:t>154</w:t>
            </w:r>
          </w:p>
        </w:tc>
        <w:tc>
          <w:tcPr>
            <w:tcW w:w="149" w:type="pct"/>
            <w:tcBorders>
              <w:top w:val="nil"/>
              <w:left w:val="nil"/>
              <w:bottom w:val="single" w:sz="8" w:space="0" w:color="auto"/>
              <w:right w:val="single" w:sz="4" w:space="0" w:color="auto"/>
            </w:tcBorders>
            <w:shd w:val="clear" w:color="000000" w:fill="FFFF99"/>
            <w:noWrap/>
            <w:vAlign w:val="bottom"/>
            <w:hideMark/>
          </w:tcPr>
          <w:p w:rsidR="00AC3D8A" w:rsidRPr="00AC3D8A" w:rsidRDefault="00AC3D8A">
            <w:pPr>
              <w:jc w:val="right"/>
              <w:rPr>
                <w:color w:val="000000"/>
                <w:sz w:val="14"/>
                <w:szCs w:val="22"/>
              </w:rPr>
            </w:pPr>
            <w:r w:rsidRPr="00AC3D8A">
              <w:rPr>
                <w:color w:val="000000"/>
                <w:sz w:val="14"/>
                <w:szCs w:val="22"/>
              </w:rPr>
              <w:t>131</w:t>
            </w:r>
          </w:p>
        </w:tc>
        <w:tc>
          <w:tcPr>
            <w:tcW w:w="172" w:type="pct"/>
            <w:tcBorders>
              <w:top w:val="nil"/>
              <w:left w:val="nil"/>
              <w:bottom w:val="single" w:sz="8" w:space="0" w:color="auto"/>
              <w:right w:val="single" w:sz="4" w:space="0" w:color="auto"/>
            </w:tcBorders>
            <w:shd w:val="clear" w:color="000000" w:fill="FFFF99"/>
            <w:noWrap/>
            <w:vAlign w:val="bottom"/>
            <w:hideMark/>
          </w:tcPr>
          <w:p w:rsidR="00AC3D8A" w:rsidRPr="00AC3D8A" w:rsidRDefault="00AC3D8A">
            <w:pPr>
              <w:jc w:val="right"/>
              <w:rPr>
                <w:color w:val="000000"/>
                <w:sz w:val="14"/>
                <w:szCs w:val="22"/>
              </w:rPr>
            </w:pPr>
            <w:r w:rsidRPr="00AC3D8A">
              <w:rPr>
                <w:color w:val="000000"/>
                <w:sz w:val="14"/>
                <w:szCs w:val="22"/>
              </w:rPr>
              <w:t>136</w:t>
            </w:r>
          </w:p>
        </w:tc>
        <w:tc>
          <w:tcPr>
            <w:tcW w:w="172" w:type="pct"/>
            <w:tcBorders>
              <w:top w:val="nil"/>
              <w:left w:val="nil"/>
              <w:bottom w:val="single" w:sz="8" w:space="0" w:color="auto"/>
              <w:right w:val="single" w:sz="4" w:space="0" w:color="auto"/>
            </w:tcBorders>
            <w:shd w:val="clear" w:color="000000" w:fill="FFFF99"/>
            <w:noWrap/>
            <w:vAlign w:val="bottom"/>
            <w:hideMark/>
          </w:tcPr>
          <w:p w:rsidR="00AC3D8A" w:rsidRPr="00AC3D8A" w:rsidRDefault="00AC3D8A">
            <w:pPr>
              <w:jc w:val="right"/>
              <w:rPr>
                <w:color w:val="000000"/>
                <w:sz w:val="14"/>
                <w:szCs w:val="22"/>
              </w:rPr>
            </w:pPr>
            <w:r w:rsidRPr="00AC3D8A">
              <w:rPr>
                <w:color w:val="000000"/>
                <w:sz w:val="14"/>
                <w:szCs w:val="22"/>
              </w:rPr>
              <w:t>141</w:t>
            </w:r>
          </w:p>
        </w:tc>
        <w:tc>
          <w:tcPr>
            <w:tcW w:w="172" w:type="pct"/>
            <w:tcBorders>
              <w:top w:val="single" w:sz="8" w:space="0" w:color="auto"/>
              <w:left w:val="nil"/>
              <w:bottom w:val="single" w:sz="4" w:space="0" w:color="auto"/>
              <w:right w:val="single" w:sz="18" w:space="0" w:color="auto"/>
            </w:tcBorders>
            <w:shd w:val="clear" w:color="000000" w:fill="D8E4BC"/>
            <w:noWrap/>
            <w:vAlign w:val="bottom"/>
            <w:hideMark/>
          </w:tcPr>
          <w:p w:rsidR="00AC3D8A" w:rsidRPr="00AC3D8A" w:rsidRDefault="00AC3D8A">
            <w:pPr>
              <w:jc w:val="right"/>
              <w:rPr>
                <w:color w:val="000000"/>
                <w:sz w:val="14"/>
                <w:szCs w:val="22"/>
              </w:rPr>
            </w:pPr>
            <w:r w:rsidRPr="00AC3D8A">
              <w:rPr>
                <w:color w:val="000000"/>
                <w:sz w:val="14"/>
                <w:szCs w:val="22"/>
              </w:rPr>
              <w:t>146</w:t>
            </w:r>
          </w:p>
        </w:tc>
        <w:tc>
          <w:tcPr>
            <w:tcW w:w="172" w:type="pct"/>
            <w:tcBorders>
              <w:top w:val="nil"/>
              <w:left w:val="single" w:sz="18" w:space="0" w:color="auto"/>
              <w:bottom w:val="single" w:sz="8" w:space="0" w:color="auto"/>
              <w:right w:val="single" w:sz="4" w:space="0" w:color="auto"/>
            </w:tcBorders>
            <w:shd w:val="clear" w:color="000000" w:fill="FFFFFF"/>
            <w:noWrap/>
            <w:vAlign w:val="bottom"/>
            <w:hideMark/>
          </w:tcPr>
          <w:p w:rsidR="00AC3D8A" w:rsidRPr="00AC3D8A" w:rsidRDefault="00AC3D8A">
            <w:pPr>
              <w:jc w:val="right"/>
              <w:rPr>
                <w:color w:val="000000"/>
                <w:sz w:val="14"/>
                <w:szCs w:val="22"/>
              </w:rPr>
            </w:pPr>
            <w:r w:rsidRPr="00AC3D8A">
              <w:rPr>
                <w:color w:val="000000"/>
                <w:sz w:val="14"/>
                <w:szCs w:val="22"/>
              </w:rPr>
              <w:t>150</w:t>
            </w:r>
          </w:p>
        </w:tc>
        <w:tc>
          <w:tcPr>
            <w:tcW w:w="172" w:type="pct"/>
            <w:tcBorders>
              <w:top w:val="nil"/>
              <w:left w:val="nil"/>
              <w:bottom w:val="single" w:sz="8" w:space="0" w:color="auto"/>
              <w:right w:val="single" w:sz="4" w:space="0" w:color="auto"/>
            </w:tcBorders>
            <w:shd w:val="clear" w:color="000000" w:fill="FFFFFF"/>
            <w:noWrap/>
            <w:vAlign w:val="bottom"/>
            <w:hideMark/>
          </w:tcPr>
          <w:p w:rsidR="00AC3D8A" w:rsidRPr="00AC3D8A" w:rsidRDefault="00AC3D8A">
            <w:pPr>
              <w:jc w:val="right"/>
              <w:rPr>
                <w:color w:val="000000"/>
                <w:sz w:val="14"/>
                <w:szCs w:val="22"/>
              </w:rPr>
            </w:pPr>
            <w:r w:rsidRPr="00AC3D8A">
              <w:rPr>
                <w:color w:val="000000"/>
                <w:sz w:val="14"/>
                <w:szCs w:val="22"/>
              </w:rPr>
              <w:t>161</w:t>
            </w:r>
          </w:p>
        </w:tc>
        <w:tc>
          <w:tcPr>
            <w:tcW w:w="172" w:type="pct"/>
            <w:tcBorders>
              <w:top w:val="nil"/>
              <w:left w:val="nil"/>
              <w:bottom w:val="single" w:sz="8" w:space="0" w:color="auto"/>
              <w:right w:val="single" w:sz="4" w:space="0" w:color="auto"/>
            </w:tcBorders>
            <w:shd w:val="clear" w:color="000000" w:fill="FFFFFF"/>
            <w:noWrap/>
            <w:vAlign w:val="bottom"/>
            <w:hideMark/>
          </w:tcPr>
          <w:p w:rsidR="00AC3D8A" w:rsidRPr="00AC3D8A" w:rsidRDefault="00AC3D8A">
            <w:pPr>
              <w:jc w:val="right"/>
              <w:rPr>
                <w:color w:val="000000"/>
                <w:sz w:val="14"/>
                <w:szCs w:val="22"/>
              </w:rPr>
            </w:pPr>
            <w:r w:rsidRPr="00AC3D8A">
              <w:rPr>
                <w:color w:val="000000"/>
                <w:sz w:val="14"/>
                <w:szCs w:val="22"/>
              </w:rPr>
              <w:t>168</w:t>
            </w:r>
          </w:p>
        </w:tc>
        <w:tc>
          <w:tcPr>
            <w:tcW w:w="172" w:type="pct"/>
            <w:tcBorders>
              <w:top w:val="nil"/>
              <w:left w:val="nil"/>
              <w:bottom w:val="single" w:sz="8" w:space="0" w:color="auto"/>
              <w:right w:val="single" w:sz="4" w:space="0" w:color="auto"/>
            </w:tcBorders>
            <w:shd w:val="clear" w:color="000000" w:fill="00CC00"/>
            <w:noWrap/>
            <w:vAlign w:val="bottom"/>
            <w:hideMark/>
          </w:tcPr>
          <w:p w:rsidR="00AC3D8A" w:rsidRPr="00AC3D8A" w:rsidRDefault="00AC3D8A">
            <w:pPr>
              <w:jc w:val="right"/>
              <w:rPr>
                <w:color w:val="000000"/>
                <w:sz w:val="14"/>
                <w:szCs w:val="22"/>
              </w:rPr>
            </w:pPr>
            <w:r w:rsidRPr="00AC3D8A">
              <w:rPr>
                <w:color w:val="000000"/>
                <w:sz w:val="14"/>
                <w:szCs w:val="22"/>
              </w:rPr>
              <w:t>172</w:t>
            </w:r>
          </w:p>
        </w:tc>
        <w:tc>
          <w:tcPr>
            <w:tcW w:w="172" w:type="pct"/>
            <w:tcBorders>
              <w:top w:val="nil"/>
              <w:left w:val="nil"/>
              <w:bottom w:val="single" w:sz="8" w:space="0" w:color="auto"/>
              <w:right w:val="single" w:sz="4" w:space="0" w:color="auto"/>
            </w:tcBorders>
            <w:shd w:val="clear" w:color="000000" w:fill="996633"/>
            <w:noWrap/>
            <w:vAlign w:val="bottom"/>
            <w:hideMark/>
          </w:tcPr>
          <w:p w:rsidR="00AC3D8A" w:rsidRPr="00AC3D8A" w:rsidRDefault="00AC3D8A">
            <w:pPr>
              <w:jc w:val="right"/>
              <w:rPr>
                <w:color w:val="000000"/>
                <w:sz w:val="14"/>
                <w:szCs w:val="22"/>
              </w:rPr>
            </w:pPr>
            <w:r w:rsidRPr="00AC3D8A">
              <w:rPr>
                <w:color w:val="000000"/>
                <w:sz w:val="14"/>
                <w:szCs w:val="22"/>
              </w:rPr>
              <w:t>175</w:t>
            </w:r>
          </w:p>
        </w:tc>
        <w:tc>
          <w:tcPr>
            <w:tcW w:w="172" w:type="pct"/>
            <w:tcBorders>
              <w:top w:val="nil"/>
              <w:left w:val="nil"/>
              <w:bottom w:val="single" w:sz="8" w:space="0" w:color="auto"/>
              <w:right w:val="single" w:sz="4" w:space="0" w:color="auto"/>
            </w:tcBorders>
            <w:shd w:val="clear" w:color="000000" w:fill="FF5050"/>
            <w:noWrap/>
            <w:vAlign w:val="bottom"/>
            <w:hideMark/>
          </w:tcPr>
          <w:p w:rsidR="00AC3D8A" w:rsidRPr="00AC3D8A" w:rsidRDefault="00AC3D8A">
            <w:pPr>
              <w:jc w:val="right"/>
              <w:rPr>
                <w:color w:val="000000"/>
                <w:sz w:val="14"/>
                <w:szCs w:val="22"/>
              </w:rPr>
            </w:pPr>
            <w:r w:rsidRPr="00AC3D8A">
              <w:rPr>
                <w:color w:val="000000"/>
                <w:sz w:val="14"/>
                <w:szCs w:val="22"/>
              </w:rPr>
              <w:t>177</w:t>
            </w:r>
          </w:p>
        </w:tc>
        <w:tc>
          <w:tcPr>
            <w:tcW w:w="172" w:type="pct"/>
            <w:tcBorders>
              <w:top w:val="nil"/>
              <w:left w:val="nil"/>
              <w:bottom w:val="single" w:sz="8" w:space="0" w:color="auto"/>
              <w:right w:val="single" w:sz="4" w:space="0" w:color="auto"/>
            </w:tcBorders>
            <w:shd w:val="clear" w:color="000000" w:fill="00CCFF"/>
            <w:noWrap/>
            <w:vAlign w:val="bottom"/>
            <w:hideMark/>
          </w:tcPr>
          <w:p w:rsidR="00AC3D8A" w:rsidRPr="00AC3D8A" w:rsidRDefault="00AC3D8A">
            <w:pPr>
              <w:jc w:val="right"/>
              <w:rPr>
                <w:color w:val="000000"/>
                <w:sz w:val="14"/>
                <w:szCs w:val="22"/>
              </w:rPr>
            </w:pPr>
            <w:r w:rsidRPr="00AC3D8A">
              <w:rPr>
                <w:color w:val="000000"/>
                <w:sz w:val="14"/>
                <w:szCs w:val="22"/>
              </w:rPr>
              <w:t>178</w:t>
            </w:r>
          </w:p>
        </w:tc>
        <w:tc>
          <w:tcPr>
            <w:tcW w:w="172" w:type="pct"/>
            <w:tcBorders>
              <w:top w:val="nil"/>
              <w:left w:val="nil"/>
              <w:bottom w:val="single" w:sz="8" w:space="0" w:color="auto"/>
              <w:right w:val="single" w:sz="4" w:space="0" w:color="auto"/>
            </w:tcBorders>
            <w:shd w:val="clear" w:color="000000" w:fill="9966FF"/>
            <w:noWrap/>
            <w:vAlign w:val="bottom"/>
            <w:hideMark/>
          </w:tcPr>
          <w:p w:rsidR="00AC3D8A" w:rsidRPr="00AC3D8A" w:rsidRDefault="00AC3D8A">
            <w:pPr>
              <w:jc w:val="right"/>
              <w:rPr>
                <w:color w:val="000000"/>
                <w:sz w:val="14"/>
                <w:szCs w:val="22"/>
              </w:rPr>
            </w:pPr>
            <w:r w:rsidRPr="00AC3D8A">
              <w:rPr>
                <w:color w:val="000000"/>
                <w:sz w:val="14"/>
                <w:szCs w:val="22"/>
              </w:rPr>
              <w:t>180</w:t>
            </w:r>
          </w:p>
        </w:tc>
        <w:tc>
          <w:tcPr>
            <w:tcW w:w="173" w:type="pct"/>
            <w:tcBorders>
              <w:top w:val="nil"/>
              <w:left w:val="nil"/>
              <w:bottom w:val="single" w:sz="8" w:space="0" w:color="auto"/>
              <w:right w:val="single" w:sz="4" w:space="0" w:color="auto"/>
            </w:tcBorders>
            <w:shd w:val="clear" w:color="000000" w:fill="FFFF00"/>
            <w:noWrap/>
            <w:vAlign w:val="bottom"/>
            <w:hideMark/>
          </w:tcPr>
          <w:p w:rsidR="00AC3D8A" w:rsidRPr="00AC3D8A" w:rsidRDefault="00AC3D8A">
            <w:pPr>
              <w:jc w:val="right"/>
              <w:rPr>
                <w:color w:val="000000"/>
                <w:sz w:val="14"/>
                <w:szCs w:val="22"/>
              </w:rPr>
            </w:pPr>
            <w:r w:rsidRPr="00AC3D8A">
              <w:rPr>
                <w:color w:val="000000"/>
                <w:sz w:val="14"/>
                <w:szCs w:val="22"/>
              </w:rPr>
              <w:t>182</w:t>
            </w:r>
          </w:p>
        </w:tc>
        <w:tc>
          <w:tcPr>
            <w:tcW w:w="173" w:type="pct"/>
            <w:tcBorders>
              <w:top w:val="nil"/>
              <w:left w:val="nil"/>
              <w:bottom w:val="single" w:sz="8" w:space="0" w:color="auto"/>
              <w:right w:val="single" w:sz="4" w:space="0" w:color="auto"/>
            </w:tcBorders>
            <w:shd w:val="clear" w:color="000000" w:fill="66FF99"/>
            <w:noWrap/>
            <w:vAlign w:val="bottom"/>
            <w:hideMark/>
          </w:tcPr>
          <w:p w:rsidR="00AC3D8A" w:rsidRPr="00AC3D8A" w:rsidRDefault="00AC3D8A">
            <w:pPr>
              <w:jc w:val="right"/>
              <w:rPr>
                <w:color w:val="000000"/>
                <w:sz w:val="14"/>
                <w:szCs w:val="22"/>
              </w:rPr>
            </w:pPr>
            <w:r w:rsidRPr="00AC3D8A">
              <w:rPr>
                <w:color w:val="000000"/>
                <w:sz w:val="14"/>
                <w:szCs w:val="22"/>
              </w:rPr>
              <w:t>183</w:t>
            </w:r>
          </w:p>
        </w:tc>
        <w:tc>
          <w:tcPr>
            <w:tcW w:w="173" w:type="pct"/>
            <w:tcBorders>
              <w:top w:val="nil"/>
              <w:left w:val="nil"/>
              <w:bottom w:val="single" w:sz="8" w:space="0" w:color="auto"/>
              <w:right w:val="single" w:sz="4" w:space="0" w:color="auto"/>
            </w:tcBorders>
            <w:shd w:val="clear" w:color="000000" w:fill="C4BD97"/>
            <w:noWrap/>
            <w:vAlign w:val="bottom"/>
            <w:hideMark/>
          </w:tcPr>
          <w:p w:rsidR="00AC3D8A" w:rsidRPr="00AC3D8A" w:rsidRDefault="00AC3D8A">
            <w:pPr>
              <w:jc w:val="right"/>
              <w:rPr>
                <w:color w:val="000000"/>
                <w:sz w:val="14"/>
                <w:szCs w:val="22"/>
              </w:rPr>
            </w:pPr>
            <w:r w:rsidRPr="00AC3D8A">
              <w:rPr>
                <w:color w:val="000000"/>
                <w:sz w:val="14"/>
                <w:szCs w:val="22"/>
              </w:rPr>
              <w:t>185</w:t>
            </w:r>
          </w:p>
        </w:tc>
        <w:tc>
          <w:tcPr>
            <w:tcW w:w="171" w:type="pct"/>
            <w:tcBorders>
              <w:top w:val="nil"/>
              <w:left w:val="nil"/>
              <w:bottom w:val="single" w:sz="8" w:space="0" w:color="auto"/>
              <w:right w:val="single" w:sz="4" w:space="0" w:color="auto"/>
            </w:tcBorders>
            <w:shd w:val="clear" w:color="000000" w:fill="FF6699"/>
            <w:noWrap/>
            <w:vAlign w:val="bottom"/>
            <w:hideMark/>
          </w:tcPr>
          <w:p w:rsidR="00AC3D8A" w:rsidRPr="00AC3D8A" w:rsidRDefault="00AC3D8A">
            <w:pPr>
              <w:jc w:val="right"/>
              <w:rPr>
                <w:color w:val="000000"/>
                <w:sz w:val="14"/>
                <w:szCs w:val="22"/>
              </w:rPr>
            </w:pPr>
            <w:r w:rsidRPr="00AC3D8A">
              <w:rPr>
                <w:color w:val="000000"/>
                <w:sz w:val="14"/>
                <w:szCs w:val="22"/>
              </w:rPr>
              <w:t>186</w:t>
            </w:r>
          </w:p>
        </w:tc>
        <w:tc>
          <w:tcPr>
            <w:tcW w:w="171" w:type="pct"/>
            <w:tcBorders>
              <w:top w:val="nil"/>
              <w:left w:val="nil"/>
              <w:bottom w:val="single" w:sz="8" w:space="0" w:color="auto"/>
              <w:right w:val="single" w:sz="4" w:space="0" w:color="auto"/>
            </w:tcBorders>
            <w:shd w:val="clear" w:color="000000" w:fill="00FFCC"/>
            <w:noWrap/>
            <w:vAlign w:val="bottom"/>
            <w:hideMark/>
          </w:tcPr>
          <w:p w:rsidR="00AC3D8A" w:rsidRPr="00AC3D8A" w:rsidRDefault="00AC3D8A">
            <w:pPr>
              <w:jc w:val="right"/>
              <w:rPr>
                <w:color w:val="000000"/>
                <w:sz w:val="14"/>
                <w:szCs w:val="22"/>
              </w:rPr>
            </w:pPr>
            <w:r w:rsidRPr="00AC3D8A">
              <w:rPr>
                <w:color w:val="000000"/>
                <w:sz w:val="14"/>
                <w:szCs w:val="22"/>
              </w:rPr>
              <w:t>188</w:t>
            </w:r>
          </w:p>
        </w:tc>
        <w:tc>
          <w:tcPr>
            <w:tcW w:w="171" w:type="pct"/>
            <w:tcBorders>
              <w:top w:val="nil"/>
              <w:left w:val="nil"/>
              <w:bottom w:val="single" w:sz="8" w:space="0" w:color="auto"/>
              <w:right w:val="single" w:sz="4" w:space="0" w:color="auto"/>
            </w:tcBorders>
            <w:shd w:val="clear" w:color="000000" w:fill="9966FF"/>
            <w:noWrap/>
            <w:vAlign w:val="bottom"/>
            <w:hideMark/>
          </w:tcPr>
          <w:p w:rsidR="00AC3D8A" w:rsidRPr="00AC3D8A" w:rsidRDefault="00AC3D8A">
            <w:pPr>
              <w:jc w:val="right"/>
              <w:rPr>
                <w:color w:val="000000"/>
                <w:sz w:val="14"/>
                <w:szCs w:val="22"/>
              </w:rPr>
            </w:pPr>
            <w:r w:rsidRPr="00AC3D8A">
              <w:rPr>
                <w:color w:val="000000"/>
                <w:sz w:val="14"/>
                <w:szCs w:val="22"/>
              </w:rPr>
              <w:t>189</w:t>
            </w:r>
          </w:p>
        </w:tc>
        <w:tc>
          <w:tcPr>
            <w:tcW w:w="171" w:type="pct"/>
            <w:tcBorders>
              <w:top w:val="nil"/>
              <w:left w:val="nil"/>
              <w:bottom w:val="single" w:sz="8" w:space="0" w:color="auto"/>
              <w:right w:val="single" w:sz="4" w:space="0" w:color="auto"/>
            </w:tcBorders>
            <w:shd w:val="clear" w:color="000000" w:fill="FFFF99"/>
            <w:noWrap/>
            <w:vAlign w:val="bottom"/>
            <w:hideMark/>
          </w:tcPr>
          <w:p w:rsidR="00AC3D8A" w:rsidRPr="00AC3D8A" w:rsidRDefault="00AC3D8A">
            <w:pPr>
              <w:jc w:val="right"/>
              <w:rPr>
                <w:color w:val="000000"/>
                <w:sz w:val="14"/>
                <w:szCs w:val="22"/>
              </w:rPr>
            </w:pPr>
            <w:r w:rsidRPr="00AC3D8A">
              <w:rPr>
                <w:color w:val="000000"/>
                <w:sz w:val="14"/>
                <w:szCs w:val="22"/>
              </w:rPr>
              <w:t>191</w:t>
            </w:r>
          </w:p>
        </w:tc>
        <w:tc>
          <w:tcPr>
            <w:tcW w:w="171" w:type="pct"/>
            <w:tcBorders>
              <w:top w:val="nil"/>
              <w:left w:val="single" w:sz="4" w:space="0" w:color="auto"/>
              <w:bottom w:val="single" w:sz="8" w:space="0" w:color="auto"/>
              <w:right w:val="single" w:sz="8" w:space="0" w:color="auto"/>
            </w:tcBorders>
            <w:shd w:val="clear" w:color="000000" w:fill="FF9966"/>
            <w:noWrap/>
            <w:vAlign w:val="bottom"/>
            <w:hideMark/>
          </w:tcPr>
          <w:p w:rsidR="00AC3D8A" w:rsidRPr="00AC3D8A" w:rsidRDefault="00AC3D8A">
            <w:pPr>
              <w:jc w:val="right"/>
              <w:rPr>
                <w:color w:val="000000"/>
                <w:sz w:val="14"/>
                <w:szCs w:val="22"/>
              </w:rPr>
            </w:pPr>
            <w:r w:rsidRPr="00AC3D8A">
              <w:rPr>
                <w:color w:val="000000"/>
                <w:sz w:val="14"/>
                <w:szCs w:val="22"/>
              </w:rPr>
              <w:t>193</w:t>
            </w:r>
          </w:p>
        </w:tc>
      </w:tr>
    </w:tbl>
    <w:p w:rsidR="00046511" w:rsidRPr="00FA3A49" w:rsidRDefault="006A5822" w:rsidP="00F12601">
      <w:pPr>
        <w:rPr>
          <w:rFonts w:eastAsia="Calibri"/>
          <w:b/>
          <w:szCs w:val="22"/>
        </w:rPr>
      </w:pPr>
      <w:r w:rsidRPr="00FA3A49">
        <w:rPr>
          <w:rFonts w:eastAsia="Calibri"/>
          <w:i/>
          <w:sz w:val="16"/>
          <w:szCs w:val="22"/>
        </w:rPr>
        <w:t>200</w:t>
      </w:r>
      <w:r w:rsidR="00446E07" w:rsidRPr="00FA3A49">
        <w:rPr>
          <w:rFonts w:eastAsia="Calibri"/>
          <w:i/>
          <w:sz w:val="16"/>
          <w:szCs w:val="22"/>
        </w:rPr>
        <w:t>6</w:t>
      </w:r>
      <w:r w:rsidRPr="00FA3A49">
        <w:rPr>
          <w:rFonts w:eastAsia="Calibri"/>
          <w:i/>
          <w:sz w:val="16"/>
          <w:szCs w:val="22"/>
        </w:rPr>
        <w:t xml:space="preserve"> to 2014 is historical</w:t>
      </w:r>
      <w:r w:rsidR="00446E07" w:rsidRPr="00FA3A49">
        <w:rPr>
          <w:rFonts w:eastAsia="Calibri"/>
          <w:i/>
          <w:sz w:val="16"/>
          <w:szCs w:val="22"/>
        </w:rPr>
        <w:t xml:space="preserve"> data from </w:t>
      </w:r>
      <w:proofErr w:type="spellStart"/>
      <w:r w:rsidR="00446E07" w:rsidRPr="00FA3A49">
        <w:rPr>
          <w:rFonts w:eastAsia="Calibri"/>
          <w:i/>
          <w:sz w:val="16"/>
          <w:szCs w:val="22"/>
        </w:rPr>
        <w:t>MTRP</w:t>
      </w:r>
      <w:proofErr w:type="spellEnd"/>
      <w:r w:rsidR="00446E07" w:rsidRPr="00FA3A49">
        <w:rPr>
          <w:rFonts w:eastAsia="Calibri"/>
          <w:i/>
          <w:sz w:val="16"/>
          <w:szCs w:val="22"/>
        </w:rPr>
        <w:t>/</w:t>
      </w:r>
      <w:proofErr w:type="spellStart"/>
      <w:r w:rsidR="00C2091C" w:rsidRPr="00FA3A49">
        <w:rPr>
          <w:rFonts w:eastAsia="Calibri"/>
          <w:i/>
          <w:sz w:val="16"/>
          <w:szCs w:val="22"/>
        </w:rPr>
        <w:t>RANZCP</w:t>
      </w:r>
      <w:proofErr w:type="spellEnd"/>
      <w:r w:rsidR="00C2091C" w:rsidRPr="00FA3A49">
        <w:rPr>
          <w:rFonts w:eastAsia="Calibri"/>
          <w:i/>
          <w:sz w:val="16"/>
          <w:szCs w:val="22"/>
        </w:rPr>
        <w:t xml:space="preserve"> (2013</w:t>
      </w:r>
      <w:r w:rsidRPr="00FA3A49">
        <w:rPr>
          <w:rFonts w:eastAsia="Calibri"/>
          <w:i/>
          <w:sz w:val="16"/>
          <w:szCs w:val="22"/>
        </w:rPr>
        <w:t xml:space="preserve"> to 201</w:t>
      </w:r>
      <w:r w:rsidR="00FD47D2" w:rsidRPr="00FA3A49">
        <w:rPr>
          <w:rFonts w:eastAsia="Calibri"/>
          <w:i/>
          <w:sz w:val="16"/>
          <w:szCs w:val="22"/>
        </w:rPr>
        <w:t>8</w:t>
      </w:r>
      <w:r w:rsidRPr="00FA3A49">
        <w:rPr>
          <w:rFonts w:eastAsia="Calibri"/>
          <w:i/>
          <w:sz w:val="16"/>
          <w:szCs w:val="22"/>
        </w:rPr>
        <w:t xml:space="preserve"> shows</w:t>
      </w:r>
      <w:r w:rsidR="00446E07" w:rsidRPr="00FA3A49">
        <w:rPr>
          <w:rFonts w:eastAsia="Calibri"/>
          <w:i/>
          <w:sz w:val="16"/>
          <w:szCs w:val="22"/>
        </w:rPr>
        <w:t xml:space="preserve"> the minimum </w:t>
      </w:r>
      <w:r w:rsidRPr="00FA3A49">
        <w:rPr>
          <w:rFonts w:eastAsia="Calibri"/>
          <w:i/>
          <w:sz w:val="16"/>
          <w:szCs w:val="22"/>
        </w:rPr>
        <w:t>time to complete training</w:t>
      </w:r>
      <w:r w:rsidR="00446E07" w:rsidRPr="00FA3A49">
        <w:rPr>
          <w:rFonts w:eastAsia="Calibri"/>
          <w:i/>
          <w:sz w:val="16"/>
          <w:szCs w:val="22"/>
        </w:rPr>
        <w:t xml:space="preserve"> with the historical rates applied to these future projections</w:t>
      </w:r>
      <w:r w:rsidRPr="00FA3A49">
        <w:rPr>
          <w:rFonts w:eastAsia="Calibri"/>
          <w:i/>
          <w:sz w:val="16"/>
          <w:szCs w:val="22"/>
        </w:rPr>
        <w:t>).</w:t>
      </w:r>
    </w:p>
    <w:p w:rsidR="00046511" w:rsidRPr="00FA3A49" w:rsidRDefault="00046511" w:rsidP="00F12601">
      <w:pPr>
        <w:rPr>
          <w:rFonts w:eastAsia="Calibri"/>
          <w:b/>
          <w:szCs w:val="22"/>
        </w:rPr>
        <w:sectPr w:rsidR="00046511" w:rsidRPr="00FA3A49" w:rsidSect="00223849">
          <w:pgSz w:w="16838" w:h="11906" w:orient="landscape"/>
          <w:pgMar w:top="1247" w:right="1021" w:bottom="1247" w:left="1021" w:header="709" w:footer="709" w:gutter="0"/>
          <w:cols w:space="708"/>
          <w:docGrid w:linePitch="360"/>
        </w:sectPr>
      </w:pPr>
    </w:p>
    <w:p w:rsidR="00083774" w:rsidRPr="002E6CA0" w:rsidRDefault="00083774" w:rsidP="002E6CA0">
      <w:pPr>
        <w:spacing w:before="120" w:after="120"/>
        <w:rPr>
          <w:szCs w:val="22"/>
        </w:rPr>
      </w:pPr>
      <w:r w:rsidRPr="002E6CA0">
        <w:rPr>
          <w:szCs w:val="22"/>
        </w:rPr>
        <w:lastRenderedPageBreak/>
        <w:t xml:space="preserve">Figure </w:t>
      </w:r>
      <w:r w:rsidR="008A7F68">
        <w:rPr>
          <w:szCs w:val="22"/>
        </w:rPr>
        <w:t>15</w:t>
      </w:r>
      <w:r w:rsidRPr="002E6CA0">
        <w:rPr>
          <w:szCs w:val="22"/>
        </w:rPr>
        <w:t xml:space="preserve">, below shows </w:t>
      </w:r>
      <w:r w:rsidR="00A320AE" w:rsidRPr="002E6CA0">
        <w:rPr>
          <w:szCs w:val="22"/>
        </w:rPr>
        <w:t xml:space="preserve">the number of </w:t>
      </w:r>
      <w:r w:rsidR="00CE7562">
        <w:rPr>
          <w:szCs w:val="22"/>
        </w:rPr>
        <w:t xml:space="preserve">basic and advanced </w:t>
      </w:r>
      <w:r w:rsidR="00A320AE" w:rsidRPr="002E6CA0">
        <w:rPr>
          <w:szCs w:val="22"/>
        </w:rPr>
        <w:t>trainees from 2010</w:t>
      </w:r>
      <w:r w:rsidRPr="002E6CA0">
        <w:rPr>
          <w:szCs w:val="22"/>
        </w:rPr>
        <w:t xml:space="preserve"> to 2014 from the </w:t>
      </w:r>
      <w:proofErr w:type="spellStart"/>
      <w:r w:rsidRPr="002E6CA0">
        <w:rPr>
          <w:szCs w:val="22"/>
        </w:rPr>
        <w:t>MTRP</w:t>
      </w:r>
      <w:proofErr w:type="spellEnd"/>
      <w:r w:rsidRPr="002E6CA0">
        <w:rPr>
          <w:szCs w:val="22"/>
        </w:rPr>
        <w:t xml:space="preserve"> reports. This increasing growth contributes to the greater number of new </w:t>
      </w:r>
      <w:r w:rsidR="00DE11D8">
        <w:rPr>
          <w:szCs w:val="22"/>
        </w:rPr>
        <w:t>F</w:t>
      </w:r>
      <w:r w:rsidRPr="002E6CA0">
        <w:rPr>
          <w:szCs w:val="22"/>
        </w:rPr>
        <w:t xml:space="preserve">ellows likely to be admitted to the </w:t>
      </w:r>
      <w:proofErr w:type="spellStart"/>
      <w:r w:rsidRPr="002E6CA0">
        <w:rPr>
          <w:szCs w:val="22"/>
        </w:rPr>
        <w:t>RANZCP</w:t>
      </w:r>
      <w:proofErr w:type="spellEnd"/>
      <w:r w:rsidRPr="002E6CA0">
        <w:rPr>
          <w:szCs w:val="22"/>
        </w:rPr>
        <w:t xml:space="preserve"> as </w:t>
      </w:r>
      <w:r w:rsidR="00DE11D8">
        <w:rPr>
          <w:szCs w:val="22"/>
        </w:rPr>
        <w:t>F</w:t>
      </w:r>
      <w:r w:rsidRPr="002E6CA0">
        <w:rPr>
          <w:szCs w:val="22"/>
        </w:rPr>
        <w:t>ellows in the future</w:t>
      </w:r>
      <w:r w:rsidR="00A320AE" w:rsidRPr="002E6CA0">
        <w:rPr>
          <w:szCs w:val="22"/>
        </w:rPr>
        <w:t>.</w:t>
      </w:r>
    </w:p>
    <w:p w:rsidR="00446E07" w:rsidRPr="00296E67" w:rsidRDefault="00446E07" w:rsidP="003C642E">
      <w:pPr>
        <w:pStyle w:val="Heading4"/>
        <w:jc w:val="left"/>
      </w:pPr>
      <w:r w:rsidRPr="00296E67">
        <w:t xml:space="preserve">Figure </w:t>
      </w:r>
      <w:r w:rsidR="004878FC">
        <w:t>15</w:t>
      </w:r>
      <w:r w:rsidR="008549B6">
        <w:t xml:space="preserve"> – Number of trainees, 2</w:t>
      </w:r>
      <w:r w:rsidR="00C77C4B">
        <w:t>010</w:t>
      </w:r>
      <w:r w:rsidRPr="00296E67">
        <w:t xml:space="preserve"> – 2014, </w:t>
      </w:r>
      <w:proofErr w:type="spellStart"/>
      <w:r w:rsidRPr="00296E67">
        <w:t>MTRP</w:t>
      </w:r>
      <w:proofErr w:type="spellEnd"/>
      <w:r w:rsidRPr="00296E67">
        <w:t xml:space="preserve"> Reports</w:t>
      </w:r>
    </w:p>
    <w:p w:rsidR="00446E07" w:rsidRPr="00DC0BBE" w:rsidRDefault="001D73A7" w:rsidP="00D84538">
      <w:pPr>
        <w:keepNext/>
        <w:spacing w:before="120"/>
        <w:rPr>
          <w:rFonts w:ascii="Arial" w:hAnsi="Arial" w:cs="Arial"/>
        </w:rPr>
      </w:pPr>
      <w:r w:rsidRPr="00DC0BBE">
        <w:rPr>
          <w:rFonts w:ascii="Arial" w:hAnsi="Arial" w:cs="Arial"/>
          <w:noProof/>
          <w:lang w:eastAsia="en-AU"/>
        </w:rPr>
        <w:drawing>
          <wp:inline distT="0" distB="0" distL="0" distR="0" wp14:anchorId="6A0AB4F2" wp14:editId="37CC96CF">
            <wp:extent cx="5731099" cy="2588653"/>
            <wp:effectExtent l="0" t="0" r="22225" b="21590"/>
            <wp:docPr id="7" name="Chart 7" descr="This provides data from 2010 to 2014 of the number of basic trainees compared to advanced trainees.&#10;&#10;in 2010 there were 677 basic trainess compared to 350 advnaced.&#10;In 2011 there were 661 basic trainees compared to 368 advanced.&#10;In 2012 there were 804 basic trainess compared to 417 advanced.&#10;In 2013 there were 833 basic trainees compared to 418 advanced.&#10;In 2014 there were 868 basic trainess compared to 418 advnaced," title="Figure 15 – Number of basic and advanced trainees, 20010 – 2014, MTRP Reports"/>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12601" w:rsidRPr="00FA3A49" w:rsidRDefault="00F12601" w:rsidP="00C64C65">
      <w:pPr>
        <w:spacing w:before="120"/>
        <w:rPr>
          <w:i/>
          <w:sz w:val="16"/>
          <w:szCs w:val="18"/>
        </w:rPr>
      </w:pPr>
      <w:r w:rsidRPr="00FA3A49">
        <w:rPr>
          <w:i/>
          <w:sz w:val="16"/>
          <w:szCs w:val="18"/>
        </w:rPr>
        <w:t xml:space="preserve">Source: </w:t>
      </w:r>
      <w:proofErr w:type="spellStart"/>
      <w:r w:rsidRPr="00FA3A49">
        <w:rPr>
          <w:i/>
          <w:sz w:val="16"/>
          <w:szCs w:val="18"/>
        </w:rPr>
        <w:t>MTRP</w:t>
      </w:r>
      <w:proofErr w:type="spellEnd"/>
      <w:r w:rsidRPr="00FA3A49">
        <w:rPr>
          <w:i/>
          <w:sz w:val="16"/>
          <w:szCs w:val="18"/>
        </w:rPr>
        <w:t xml:space="preserve"> reports (the advanced trainee numbers includes Fellows completing subspecialty advanced training certificates)</w:t>
      </w:r>
    </w:p>
    <w:p w:rsidR="00F12601" w:rsidRPr="002E6CA0" w:rsidRDefault="00DD4B7F" w:rsidP="002E6CA0">
      <w:pPr>
        <w:spacing w:before="120" w:after="120"/>
        <w:rPr>
          <w:szCs w:val="22"/>
        </w:rPr>
      </w:pPr>
      <w:r>
        <w:rPr>
          <w:szCs w:val="22"/>
        </w:rPr>
        <w:t>In 2014, t</w:t>
      </w:r>
      <w:r w:rsidR="00F12601" w:rsidRPr="002E6CA0">
        <w:rPr>
          <w:szCs w:val="22"/>
        </w:rPr>
        <w:t xml:space="preserve">here were 868 </w:t>
      </w:r>
      <w:r w:rsidR="00DE11D8">
        <w:rPr>
          <w:szCs w:val="22"/>
        </w:rPr>
        <w:t>B</w:t>
      </w:r>
      <w:r w:rsidR="00F12601" w:rsidRPr="002E6CA0">
        <w:rPr>
          <w:szCs w:val="22"/>
        </w:rPr>
        <w:t xml:space="preserve">asic trainees, which </w:t>
      </w:r>
      <w:proofErr w:type="gramStart"/>
      <w:r w:rsidR="00F12601" w:rsidRPr="002E6CA0">
        <w:rPr>
          <w:szCs w:val="22"/>
        </w:rPr>
        <w:t>aligns</w:t>
      </w:r>
      <w:proofErr w:type="gramEnd"/>
      <w:r w:rsidR="00F12601" w:rsidRPr="002E6CA0">
        <w:rPr>
          <w:szCs w:val="22"/>
        </w:rPr>
        <w:t xml:space="preserve"> with </w:t>
      </w:r>
      <w:r w:rsidR="00DE11D8">
        <w:rPr>
          <w:szCs w:val="22"/>
        </w:rPr>
        <w:t>S</w:t>
      </w:r>
      <w:r w:rsidR="00F12601" w:rsidRPr="002E6CA0">
        <w:rPr>
          <w:szCs w:val="22"/>
        </w:rPr>
        <w:t xml:space="preserve">tage 1 and </w:t>
      </w:r>
      <w:r w:rsidR="00DE11D8">
        <w:rPr>
          <w:szCs w:val="22"/>
        </w:rPr>
        <w:t xml:space="preserve">Stage </w:t>
      </w:r>
      <w:r w:rsidR="00F12601" w:rsidRPr="002E6CA0">
        <w:rPr>
          <w:szCs w:val="22"/>
        </w:rPr>
        <w:t>2</w:t>
      </w:r>
      <w:r>
        <w:rPr>
          <w:szCs w:val="22"/>
        </w:rPr>
        <w:t xml:space="preserve"> trainees, </w:t>
      </w:r>
      <w:r w:rsidR="00F12601" w:rsidRPr="002E6CA0">
        <w:rPr>
          <w:szCs w:val="22"/>
        </w:rPr>
        <w:t xml:space="preserve">and 204 </w:t>
      </w:r>
      <w:r w:rsidR="00DE11D8">
        <w:rPr>
          <w:szCs w:val="22"/>
        </w:rPr>
        <w:t>A</w:t>
      </w:r>
      <w:r w:rsidR="00F12601" w:rsidRPr="002E6CA0">
        <w:rPr>
          <w:szCs w:val="22"/>
        </w:rPr>
        <w:t>dvanced trainees</w:t>
      </w:r>
      <w:r>
        <w:rPr>
          <w:szCs w:val="22"/>
        </w:rPr>
        <w:t>,</w:t>
      </w:r>
      <w:r w:rsidR="00F12601" w:rsidRPr="002E6CA0">
        <w:rPr>
          <w:szCs w:val="22"/>
        </w:rPr>
        <w:t xml:space="preserve"> which aligns with </w:t>
      </w:r>
      <w:r w:rsidR="00DE11D8">
        <w:rPr>
          <w:szCs w:val="22"/>
        </w:rPr>
        <w:t>S</w:t>
      </w:r>
      <w:r w:rsidR="00F12601" w:rsidRPr="002E6CA0">
        <w:rPr>
          <w:szCs w:val="22"/>
        </w:rPr>
        <w:t>tage 3 trainees</w:t>
      </w:r>
      <w:r w:rsidR="00F12601" w:rsidRPr="005E18C0">
        <w:rPr>
          <w:szCs w:val="22"/>
          <w:vertAlign w:val="superscript"/>
        </w:rPr>
        <w:footnoteReference w:id="3"/>
      </w:r>
      <w:r w:rsidR="00F12601" w:rsidRPr="002E6CA0">
        <w:rPr>
          <w:szCs w:val="22"/>
        </w:rPr>
        <w:t xml:space="preserve">. The above transition rates have been kept constant over the projection period to 2030. The resulting projected new </w:t>
      </w:r>
      <w:r w:rsidR="00DE11D8">
        <w:rPr>
          <w:szCs w:val="22"/>
        </w:rPr>
        <w:t>F</w:t>
      </w:r>
      <w:r w:rsidR="00F12601" w:rsidRPr="002E6CA0">
        <w:rPr>
          <w:szCs w:val="22"/>
        </w:rPr>
        <w:t xml:space="preserve">ellows are used as inflows into the workforce each year for the workforce supply and demand over the projection period. Figure </w:t>
      </w:r>
      <w:bookmarkStart w:id="38" w:name="_GoBack"/>
      <w:bookmarkEnd w:id="38"/>
      <w:r w:rsidR="006F4189">
        <w:rPr>
          <w:szCs w:val="22"/>
        </w:rPr>
        <w:t>16</w:t>
      </w:r>
      <w:r w:rsidR="00F12601" w:rsidRPr="002E6CA0">
        <w:rPr>
          <w:szCs w:val="22"/>
        </w:rPr>
        <w:t xml:space="preserve"> shows the historical number of domestic and overseas trained new </w:t>
      </w:r>
      <w:r w:rsidR="00DE11D8">
        <w:rPr>
          <w:szCs w:val="22"/>
        </w:rPr>
        <w:t>F</w:t>
      </w:r>
      <w:r w:rsidR="00F12601" w:rsidRPr="002E6CA0">
        <w:rPr>
          <w:szCs w:val="22"/>
        </w:rPr>
        <w:t xml:space="preserve">ellows and the forecasted number of domestic and overseas trained new </w:t>
      </w:r>
      <w:r w:rsidR="00DE11D8">
        <w:rPr>
          <w:szCs w:val="22"/>
        </w:rPr>
        <w:t>F</w:t>
      </w:r>
      <w:r w:rsidR="00F12601" w:rsidRPr="002E6CA0">
        <w:rPr>
          <w:szCs w:val="22"/>
        </w:rPr>
        <w:t xml:space="preserve">ellows, based on the above transition rates. The overseas trained new </w:t>
      </w:r>
      <w:r w:rsidR="00E5784F">
        <w:rPr>
          <w:szCs w:val="22"/>
        </w:rPr>
        <w:t>F</w:t>
      </w:r>
      <w:r w:rsidR="00F12601" w:rsidRPr="002E6CA0">
        <w:rPr>
          <w:szCs w:val="22"/>
        </w:rPr>
        <w:t xml:space="preserve">ellows have been estimated based on an average percentage of previous year’s </w:t>
      </w:r>
      <w:proofErr w:type="spellStart"/>
      <w:r w:rsidR="006F0D48" w:rsidRPr="002E6CA0">
        <w:rPr>
          <w:szCs w:val="22"/>
        </w:rPr>
        <w:t>OTS</w:t>
      </w:r>
      <w:proofErr w:type="spellEnd"/>
      <w:r w:rsidR="00F12601" w:rsidRPr="002E6CA0">
        <w:rPr>
          <w:szCs w:val="22"/>
        </w:rPr>
        <w:t xml:space="preserve"> and this percentage has been attributed to the forecasted number of domestic new </w:t>
      </w:r>
      <w:r w:rsidR="00E5784F">
        <w:rPr>
          <w:szCs w:val="22"/>
        </w:rPr>
        <w:t>F</w:t>
      </w:r>
      <w:r w:rsidR="00F12601" w:rsidRPr="002E6CA0">
        <w:rPr>
          <w:szCs w:val="22"/>
        </w:rPr>
        <w:t>ellows.</w:t>
      </w:r>
    </w:p>
    <w:p w:rsidR="00EE5426" w:rsidRPr="00296E67" w:rsidRDefault="00EE5426" w:rsidP="00D84538">
      <w:pPr>
        <w:pStyle w:val="Heading4"/>
        <w:jc w:val="left"/>
      </w:pPr>
      <w:r w:rsidRPr="00296E67">
        <w:t xml:space="preserve">Figure </w:t>
      </w:r>
      <w:r w:rsidR="00214BBC">
        <w:t>16</w:t>
      </w:r>
      <w:r w:rsidRPr="00296E67">
        <w:t xml:space="preserve"> – New fellows Pipeline Projections</w:t>
      </w:r>
    </w:p>
    <w:p w:rsidR="00C64C65" w:rsidRDefault="00EE5426" w:rsidP="00C64C65">
      <w:pPr>
        <w:spacing w:before="120"/>
        <w:rPr>
          <w:i/>
          <w:sz w:val="16"/>
          <w:szCs w:val="18"/>
        </w:rPr>
      </w:pPr>
      <w:r w:rsidRPr="00DC0BBE">
        <w:rPr>
          <w:rFonts w:ascii="Arial" w:hAnsi="Arial" w:cs="Arial"/>
          <w:noProof/>
          <w:lang w:eastAsia="en-AU"/>
        </w:rPr>
        <w:drawing>
          <wp:inline distT="0" distB="0" distL="0" distR="0" wp14:anchorId="3EC25672" wp14:editId="407B25B0">
            <wp:extent cx="5731099" cy="2588653"/>
            <wp:effectExtent l="0" t="0" r="22225" b="21590"/>
            <wp:docPr id="16" name="Chart 16" descr="This shows the historical number of domestic and overseas trained new Fellows and the forecasted number of domestic and overseas trained new Fellows, based on the above transition rates.&#10;&#10;In 2010 the new fellow were at 154 dcreasing to 136 in 2012 the back up to 146 in 2014 and are projected to increase yearly up to 193 by 2030&#10;&#10;In 2010  domestic new fellow were 80 increasing to 104 in 2012 then decreasing down to 92 in 2014 and are projected to incerease yearly up to 138 by 2030&#10;&#10;In 2010 the overseas new fellow were 72, decreasing to 54 in 2014, this is projected to remain constant over the projection period with 55 by 2030." title="New fellows Pipeline Projec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A1436" w:rsidRPr="00FA3A49" w:rsidRDefault="00EA1436" w:rsidP="00C64C65">
      <w:pPr>
        <w:spacing w:before="120"/>
        <w:rPr>
          <w:i/>
          <w:sz w:val="16"/>
          <w:szCs w:val="18"/>
        </w:rPr>
      </w:pPr>
      <w:r>
        <w:rPr>
          <w:i/>
          <w:sz w:val="16"/>
          <w:szCs w:val="18"/>
        </w:rPr>
        <w:t xml:space="preserve">Source: </w:t>
      </w:r>
      <w:proofErr w:type="spellStart"/>
      <w:r>
        <w:rPr>
          <w:i/>
          <w:sz w:val="16"/>
          <w:szCs w:val="18"/>
        </w:rPr>
        <w:t>MTRP</w:t>
      </w:r>
      <w:proofErr w:type="spellEnd"/>
      <w:r>
        <w:rPr>
          <w:i/>
          <w:sz w:val="16"/>
          <w:szCs w:val="18"/>
        </w:rPr>
        <w:t xml:space="preserve"> reports and training pipeline projections based on historical trends</w:t>
      </w:r>
    </w:p>
    <w:p w:rsidR="00DD4B7F" w:rsidRDefault="00F12601" w:rsidP="002E6CA0">
      <w:pPr>
        <w:spacing w:before="120" w:after="120"/>
        <w:rPr>
          <w:szCs w:val="22"/>
        </w:rPr>
      </w:pPr>
      <w:r w:rsidRPr="002E6CA0">
        <w:rPr>
          <w:szCs w:val="22"/>
        </w:rPr>
        <w:lastRenderedPageBreak/>
        <w:t xml:space="preserve">The training pipeline analysis in </w:t>
      </w:r>
      <w:r w:rsidR="00F76044" w:rsidRPr="002E6CA0">
        <w:rPr>
          <w:szCs w:val="22"/>
        </w:rPr>
        <w:t xml:space="preserve">Table </w:t>
      </w:r>
      <w:r w:rsidR="00663EE7">
        <w:rPr>
          <w:szCs w:val="22"/>
        </w:rPr>
        <w:t>13</w:t>
      </w:r>
      <w:r w:rsidR="000E2A8C">
        <w:rPr>
          <w:szCs w:val="22"/>
        </w:rPr>
        <w:t xml:space="preserve"> </w:t>
      </w:r>
      <w:r w:rsidR="00F76044" w:rsidRPr="002E6CA0">
        <w:rPr>
          <w:szCs w:val="22"/>
        </w:rPr>
        <w:t>above</w:t>
      </w:r>
      <w:r w:rsidRPr="002E6CA0">
        <w:rPr>
          <w:szCs w:val="22"/>
        </w:rPr>
        <w:t xml:space="preserve"> uses historical data to </w:t>
      </w:r>
      <w:r w:rsidR="00F76044" w:rsidRPr="002E6CA0">
        <w:rPr>
          <w:szCs w:val="22"/>
        </w:rPr>
        <w:t>construct</w:t>
      </w:r>
      <w:r w:rsidRPr="002E6CA0">
        <w:rPr>
          <w:szCs w:val="22"/>
        </w:rPr>
        <w:t xml:space="preserve"> a future pipeline of trainees moving through the training program. This table shows the trainees actually transitioning through the training program, within the minimum required time. </w:t>
      </w:r>
    </w:p>
    <w:p w:rsidR="00F12601" w:rsidRPr="002E6CA0" w:rsidRDefault="00F12601" w:rsidP="002E6CA0">
      <w:pPr>
        <w:spacing w:before="120" w:after="120"/>
        <w:rPr>
          <w:szCs w:val="22"/>
        </w:rPr>
      </w:pPr>
      <w:r w:rsidRPr="002E6CA0">
        <w:rPr>
          <w:szCs w:val="22"/>
        </w:rPr>
        <w:t xml:space="preserve">The </w:t>
      </w:r>
      <w:proofErr w:type="spellStart"/>
      <w:r w:rsidRPr="002E6CA0">
        <w:rPr>
          <w:szCs w:val="22"/>
        </w:rPr>
        <w:t>RANZCP</w:t>
      </w:r>
      <w:proofErr w:type="spellEnd"/>
      <w:r w:rsidRPr="002E6CA0">
        <w:rPr>
          <w:szCs w:val="22"/>
        </w:rPr>
        <w:t xml:space="preserve"> is facing a period of transition between training programs. The 2003 Fellowship program will cease and all trainees will be transitioned across to the 2012 Fellowship program in 2016. This results in difficulties in tracking the progress and predicting movements through training. In addition, there are inherent risks in using 2003 and 2012 combined program data as </w:t>
      </w:r>
      <w:r w:rsidR="00DD4B7F">
        <w:rPr>
          <w:szCs w:val="22"/>
        </w:rPr>
        <w:t>the program</w:t>
      </w:r>
      <w:r w:rsidR="00DD4B7F" w:rsidRPr="002E6CA0">
        <w:rPr>
          <w:szCs w:val="22"/>
        </w:rPr>
        <w:t xml:space="preserve"> </w:t>
      </w:r>
      <w:r w:rsidRPr="002E6CA0">
        <w:rPr>
          <w:szCs w:val="22"/>
        </w:rPr>
        <w:t>will be in a state of flux until 2017:</w:t>
      </w:r>
    </w:p>
    <w:p w:rsidR="00F12601" w:rsidRPr="0090788F" w:rsidRDefault="00F12601" w:rsidP="00D510F1">
      <w:pPr>
        <w:numPr>
          <w:ilvl w:val="0"/>
          <w:numId w:val="3"/>
        </w:numPr>
        <w:spacing w:before="120" w:after="120"/>
        <w:ind w:left="426" w:hanging="426"/>
        <w:rPr>
          <w:szCs w:val="22"/>
        </w:rPr>
      </w:pPr>
      <w:r w:rsidRPr="0090788F">
        <w:rPr>
          <w:szCs w:val="22"/>
        </w:rPr>
        <w:t>Transition</w:t>
      </w:r>
      <w:r w:rsidR="006F0D48" w:rsidRPr="0090788F">
        <w:rPr>
          <w:szCs w:val="22"/>
        </w:rPr>
        <w:t xml:space="preserve">: </w:t>
      </w:r>
      <w:r w:rsidRPr="0090788F">
        <w:rPr>
          <w:szCs w:val="22"/>
        </w:rPr>
        <w:t>2003 program trainees will transition into the 2012 program during 2016 either into Stage 2 or Stage 3</w:t>
      </w:r>
      <w:r w:rsidR="005E18C0">
        <w:rPr>
          <w:szCs w:val="22"/>
        </w:rPr>
        <w:t xml:space="preserve"> (</w:t>
      </w:r>
      <w:r w:rsidR="005E18C0">
        <w:t>an estimated 800 trainees will transition between programs)</w:t>
      </w:r>
      <w:r w:rsidRPr="0090788F">
        <w:rPr>
          <w:szCs w:val="22"/>
        </w:rPr>
        <w:t>. This may result in a reduction of trainee numbers as they self-select out.</w:t>
      </w:r>
    </w:p>
    <w:p w:rsidR="006F0D48" w:rsidRPr="000D1E02" w:rsidRDefault="00F12601" w:rsidP="00D510F1">
      <w:pPr>
        <w:numPr>
          <w:ilvl w:val="0"/>
          <w:numId w:val="3"/>
        </w:numPr>
        <w:spacing w:before="120" w:after="120"/>
        <w:ind w:left="426" w:hanging="426"/>
        <w:rPr>
          <w:szCs w:val="22"/>
        </w:rPr>
      </w:pPr>
      <w:r w:rsidRPr="0090788F">
        <w:rPr>
          <w:szCs w:val="22"/>
        </w:rPr>
        <w:t xml:space="preserve">Failure to progress will apply to all trainees from 2016, </w:t>
      </w:r>
      <w:r w:rsidR="00DD4B7F">
        <w:rPr>
          <w:szCs w:val="22"/>
        </w:rPr>
        <w:t xml:space="preserve">so </w:t>
      </w:r>
      <w:r w:rsidRPr="0090788F">
        <w:rPr>
          <w:szCs w:val="22"/>
        </w:rPr>
        <w:t xml:space="preserve">this may also </w:t>
      </w:r>
      <w:r w:rsidR="00DD4B7F">
        <w:rPr>
          <w:szCs w:val="22"/>
        </w:rPr>
        <w:t>lead to</w:t>
      </w:r>
      <w:r w:rsidR="00DD4B7F" w:rsidRPr="0090788F">
        <w:rPr>
          <w:szCs w:val="22"/>
        </w:rPr>
        <w:t xml:space="preserve"> </w:t>
      </w:r>
      <w:r w:rsidRPr="0090788F">
        <w:rPr>
          <w:szCs w:val="22"/>
        </w:rPr>
        <w:t>a reduction in trainee numbers as ‘long term trainees’ who fail to progress are excluded/withdraw.</w:t>
      </w:r>
    </w:p>
    <w:p w:rsidR="006F0D48" w:rsidRDefault="00F12601" w:rsidP="002E6CA0">
      <w:pPr>
        <w:spacing w:before="120" w:after="120"/>
        <w:rPr>
          <w:szCs w:val="22"/>
        </w:rPr>
      </w:pPr>
      <w:r w:rsidRPr="002E6CA0">
        <w:rPr>
          <w:szCs w:val="22"/>
        </w:rPr>
        <w:t xml:space="preserve">The </w:t>
      </w:r>
      <w:r w:rsidR="00E5784F">
        <w:rPr>
          <w:szCs w:val="22"/>
        </w:rPr>
        <w:t>C</w:t>
      </w:r>
      <w:r w:rsidRPr="002E6CA0">
        <w:rPr>
          <w:szCs w:val="22"/>
        </w:rPr>
        <w:t xml:space="preserve">ollege has indicated that moving all trainees to the new program creates some difficulties due to the different stages of training and different situations. </w:t>
      </w:r>
      <w:r w:rsidR="00DD4B7F">
        <w:rPr>
          <w:szCs w:val="22"/>
        </w:rPr>
        <w:t>O</w:t>
      </w:r>
      <w:r w:rsidRPr="002E6CA0">
        <w:rPr>
          <w:szCs w:val="22"/>
        </w:rPr>
        <w:t>ne of the complexities</w:t>
      </w:r>
      <w:r w:rsidR="00DD4B7F">
        <w:rPr>
          <w:szCs w:val="22"/>
        </w:rPr>
        <w:t xml:space="preserve"> that arise</w:t>
      </w:r>
      <w:r w:rsidRPr="002E6CA0">
        <w:rPr>
          <w:szCs w:val="22"/>
        </w:rPr>
        <w:t xml:space="preserve"> involves creating new trainee records for all trainees at all stages of the training program that transfer across to the new program. A key difficulty is assessing each trainee’s current stage of training and where they will continue within the structure of the new program; often this will be a case by case basis and will take time. Historically</w:t>
      </w:r>
      <w:r w:rsidR="00DD4B7F">
        <w:rPr>
          <w:szCs w:val="22"/>
        </w:rPr>
        <w:t>,</w:t>
      </w:r>
      <w:r w:rsidRPr="002E6CA0">
        <w:rPr>
          <w:szCs w:val="22"/>
        </w:rPr>
        <w:t xml:space="preserve"> there has been a transition rate of 48 percent of final year trainees admitted to </w:t>
      </w:r>
      <w:proofErr w:type="gramStart"/>
      <w:r w:rsidR="00E5784F">
        <w:rPr>
          <w:szCs w:val="22"/>
        </w:rPr>
        <w:t>F</w:t>
      </w:r>
      <w:r w:rsidRPr="002E6CA0">
        <w:rPr>
          <w:szCs w:val="22"/>
        </w:rPr>
        <w:t>ellowship</w:t>
      </w:r>
      <w:r w:rsidR="00DD4B7F">
        <w:rPr>
          <w:szCs w:val="22"/>
        </w:rPr>
        <w:t>,</w:t>
      </w:r>
      <w:proofErr w:type="gramEnd"/>
      <w:r w:rsidRPr="002E6CA0">
        <w:rPr>
          <w:szCs w:val="22"/>
        </w:rPr>
        <w:t xml:space="preserve"> therefore growing the pipeline of trainees is critical to</w:t>
      </w:r>
      <w:r w:rsidR="006F0D48" w:rsidRPr="002E6CA0">
        <w:rPr>
          <w:szCs w:val="22"/>
        </w:rPr>
        <w:t xml:space="preserve"> boost</w:t>
      </w:r>
      <w:r w:rsidR="00DD4B7F">
        <w:rPr>
          <w:szCs w:val="22"/>
        </w:rPr>
        <w:t>ing</w:t>
      </w:r>
      <w:r w:rsidR="006F0D48" w:rsidRPr="002E6CA0">
        <w:rPr>
          <w:szCs w:val="22"/>
        </w:rPr>
        <w:t xml:space="preserve"> the psychiatry workforce.</w:t>
      </w:r>
    </w:p>
    <w:p w:rsidR="00E82A2F" w:rsidRDefault="00E82A2F" w:rsidP="002E6CA0">
      <w:pPr>
        <w:spacing w:before="120" w:after="120"/>
      </w:pPr>
      <w:r>
        <w:t xml:space="preserve">The </w:t>
      </w:r>
      <w:proofErr w:type="spellStart"/>
      <w:r>
        <w:t>RANZCP</w:t>
      </w:r>
      <w:proofErr w:type="spellEnd"/>
      <w:r>
        <w:t xml:space="preserve"> believes that the application of the 2012 Fellowship program structure will assist the pipelining for the </w:t>
      </w:r>
      <w:proofErr w:type="spellStart"/>
      <w:r>
        <w:t>NMTAN</w:t>
      </w:r>
      <w:proofErr w:type="spellEnd"/>
      <w:r>
        <w:t xml:space="preserve">. In particular, using Stage 1, Stage 2, and Stage 3 as key groupings would fit with the training program dimensions. Assessing the time to complete (allowing for part time and break in training) the stages and overall training program allows for the identification of barriers and sticking points. It is important to note that the </w:t>
      </w:r>
      <w:proofErr w:type="spellStart"/>
      <w:r>
        <w:t>RANZ</w:t>
      </w:r>
      <w:r w:rsidR="00F51818">
        <w:t>C</w:t>
      </w:r>
      <w:r>
        <w:t>P</w:t>
      </w:r>
      <w:proofErr w:type="spellEnd"/>
      <w:r>
        <w:t xml:space="preserve"> training programs have a minimum of 5 years to complete. This is not </w:t>
      </w:r>
      <w:r w:rsidR="00DD4B7F">
        <w:t xml:space="preserve">the </w:t>
      </w:r>
      <w:r>
        <w:t>recommended timeframe for completion</w:t>
      </w:r>
      <w:r w:rsidR="00DD4B7F">
        <w:t>,</w:t>
      </w:r>
      <w:r>
        <w:t xml:space="preserve"> just the minimum time. A maximum of 13 years will be allowed for trainees to complete the program, allowing for lifestyle factors to be incorporated. The new training program tightens the rules around time to complete and implements a failure to progress policy to identify those that are not progressing in an adequate timeframe. Once transition has occurred</w:t>
      </w:r>
      <w:r w:rsidR="00DD4B7F">
        <w:t>,</w:t>
      </w:r>
      <w:r>
        <w:t xml:space="preserve"> it will be easier for the </w:t>
      </w:r>
      <w:proofErr w:type="spellStart"/>
      <w:r>
        <w:t>RANZCP</w:t>
      </w:r>
      <w:proofErr w:type="spellEnd"/>
      <w:r>
        <w:t xml:space="preserve"> to map out the trajectory to Fellowship. It is acknowledged that patterns will not emerge until substantial numbers have attained Fellowship through the new program.</w:t>
      </w:r>
    </w:p>
    <w:p w:rsidR="00A93254" w:rsidRDefault="00A93254" w:rsidP="00B831A8">
      <w:pPr>
        <w:pStyle w:val="Heading3"/>
      </w:pPr>
      <w:bookmarkStart w:id="39" w:name="_Toc445986954"/>
      <w:r>
        <w:t>Key findings</w:t>
      </w:r>
      <w:bookmarkEnd w:id="39"/>
    </w:p>
    <w:p w:rsidR="00A93254" w:rsidRPr="00A93254" w:rsidRDefault="00A93254" w:rsidP="00A93254">
      <w:r w:rsidRPr="002E6CA0">
        <w:t>Given that a new training program has been introduced (</w:t>
      </w:r>
      <w:r>
        <w:t xml:space="preserve">the </w:t>
      </w:r>
      <w:r w:rsidRPr="002E6CA0">
        <w:t xml:space="preserve">2012 </w:t>
      </w:r>
      <w:r>
        <w:t>F</w:t>
      </w:r>
      <w:r w:rsidRPr="002E6CA0">
        <w:t>ellowship program)</w:t>
      </w:r>
      <w:r>
        <w:t>,</w:t>
      </w:r>
      <w:r w:rsidRPr="002E6CA0">
        <w:t xml:space="preserve"> the future pipelin</w:t>
      </w:r>
      <w:r>
        <w:t>e</w:t>
      </w:r>
      <w:r w:rsidRPr="002E6CA0">
        <w:t xml:space="preserve"> will need to be reviewed once all the trainees have been migrated onto the new training program in 2016 and data becomes available in 2017. This will allow the 2012 </w:t>
      </w:r>
      <w:r>
        <w:t>F</w:t>
      </w:r>
      <w:r w:rsidRPr="002E6CA0">
        <w:t xml:space="preserve">ellowship program to stabilise and </w:t>
      </w:r>
      <w:r>
        <w:t xml:space="preserve">provide better information on </w:t>
      </w:r>
      <w:r w:rsidRPr="002E6CA0">
        <w:t xml:space="preserve">how trainees are transitioning through the program. In the meantime, it can be seen that historically there has been a trainee bottleneck from </w:t>
      </w:r>
      <w:r>
        <w:t>B</w:t>
      </w:r>
      <w:r w:rsidRPr="002E6CA0">
        <w:t xml:space="preserve">asic to </w:t>
      </w:r>
      <w:r>
        <w:t>A</w:t>
      </w:r>
      <w:r w:rsidRPr="002E6CA0">
        <w:t xml:space="preserve">dvanced </w:t>
      </w:r>
      <w:r>
        <w:t>T</w:t>
      </w:r>
      <w:r w:rsidRPr="002E6CA0">
        <w:t xml:space="preserve">raining, but with the introduction of the 2012 </w:t>
      </w:r>
      <w:r>
        <w:t>F</w:t>
      </w:r>
      <w:r w:rsidRPr="002E6CA0">
        <w:t>ellowship program the clinical exam is no longer the critical limiting factor for moving through the program.</w:t>
      </w:r>
    </w:p>
    <w:p w:rsidR="00F15144" w:rsidRDefault="00F15144">
      <w:pPr>
        <w:jc w:val="left"/>
        <w:rPr>
          <w:rFonts w:eastAsia="Calibri" w:cs="Arial"/>
          <w:b/>
          <w:bCs/>
          <w:iCs/>
          <w:color w:val="000080"/>
          <w:sz w:val="26"/>
          <w:szCs w:val="28"/>
        </w:rPr>
      </w:pPr>
      <w:bookmarkStart w:id="40" w:name="_Toc424050477"/>
      <w:r>
        <w:br w:type="page"/>
      </w:r>
    </w:p>
    <w:p w:rsidR="00BF39C6" w:rsidRPr="00F27660" w:rsidRDefault="00417FB5" w:rsidP="00B831A8">
      <w:pPr>
        <w:pStyle w:val="Heading2"/>
      </w:pPr>
      <w:bookmarkStart w:id="41" w:name="_Toc445986955"/>
      <w:r w:rsidRPr="00F27660">
        <w:lastRenderedPageBreak/>
        <w:t>C</w:t>
      </w:r>
      <w:r w:rsidR="00F27660">
        <w:t>apacity</w:t>
      </w:r>
      <w:r w:rsidR="00C86503">
        <w:t xml:space="preserve"> and d</w:t>
      </w:r>
      <w:r w:rsidR="00BF39C6" w:rsidRPr="00F27660">
        <w:t xml:space="preserve">istribution for </w:t>
      </w:r>
      <w:r w:rsidR="00C86503">
        <w:t>v</w:t>
      </w:r>
      <w:r w:rsidR="00F27660">
        <w:t xml:space="preserve">ocational </w:t>
      </w:r>
      <w:r w:rsidR="00C86503">
        <w:t>t</w:t>
      </w:r>
      <w:r w:rsidR="00BF39C6" w:rsidRPr="00F27660">
        <w:t>raining</w:t>
      </w:r>
      <w:bookmarkEnd w:id="40"/>
      <w:bookmarkEnd w:id="41"/>
    </w:p>
    <w:p w:rsidR="00BF39C6" w:rsidRPr="009309E3" w:rsidRDefault="00BF39C6" w:rsidP="009309E3">
      <w:pPr>
        <w:spacing w:before="120" w:after="120"/>
        <w:rPr>
          <w:szCs w:val="22"/>
        </w:rPr>
      </w:pPr>
      <w:r w:rsidRPr="009309E3">
        <w:rPr>
          <w:szCs w:val="22"/>
        </w:rPr>
        <w:t xml:space="preserve">Vocational medical training is undertaken by most medical practitioners. </w:t>
      </w:r>
      <w:r w:rsidR="00DD4B7F">
        <w:rPr>
          <w:szCs w:val="22"/>
        </w:rPr>
        <w:t>The</w:t>
      </w:r>
      <w:r w:rsidRPr="009309E3">
        <w:rPr>
          <w:szCs w:val="22"/>
        </w:rPr>
        <w:t xml:space="preserve"> process </w:t>
      </w:r>
      <w:r w:rsidR="00DD4B7F">
        <w:rPr>
          <w:szCs w:val="22"/>
        </w:rPr>
        <w:t>of</w:t>
      </w:r>
      <w:r w:rsidR="00DD4B7F" w:rsidRPr="009309E3">
        <w:rPr>
          <w:szCs w:val="22"/>
        </w:rPr>
        <w:t xml:space="preserve"> </w:t>
      </w:r>
      <w:r w:rsidRPr="009309E3">
        <w:rPr>
          <w:szCs w:val="22"/>
        </w:rPr>
        <w:t>gain</w:t>
      </w:r>
      <w:r w:rsidR="00DD4B7F">
        <w:rPr>
          <w:szCs w:val="22"/>
        </w:rPr>
        <w:t>ing</w:t>
      </w:r>
      <w:r w:rsidRPr="009309E3">
        <w:rPr>
          <w:szCs w:val="22"/>
        </w:rPr>
        <w:t xml:space="preserve"> a vocational training position</w:t>
      </w:r>
      <w:r w:rsidR="00DD4B7F">
        <w:rPr>
          <w:szCs w:val="22"/>
        </w:rPr>
        <w:t xml:space="preserve"> is competitive</w:t>
      </w:r>
      <w:r w:rsidRPr="009309E3">
        <w:rPr>
          <w:szCs w:val="22"/>
        </w:rPr>
        <w:t xml:space="preserve">, with training provided through the </w:t>
      </w:r>
      <w:r w:rsidR="00E27565">
        <w:rPr>
          <w:szCs w:val="22"/>
        </w:rPr>
        <w:t>C</w:t>
      </w:r>
      <w:r w:rsidRPr="009309E3">
        <w:rPr>
          <w:szCs w:val="22"/>
        </w:rPr>
        <w:t xml:space="preserve">ollege. The vocational medical training pipeline enables the number of training positions required under various scenarios to be modelled. It provides a representation of the medical workforce from the graduate level through to psychiatry specialty </w:t>
      </w:r>
      <w:r w:rsidR="00E27565">
        <w:rPr>
          <w:szCs w:val="22"/>
        </w:rPr>
        <w:t>F</w:t>
      </w:r>
      <w:r w:rsidRPr="009309E3">
        <w:rPr>
          <w:szCs w:val="22"/>
        </w:rPr>
        <w:t>ellowship. The model draws together the known flows and inter-dependencies at each stage of the medical education and training pipeline in a dynamic, system wide projection of each component over the period to 2030.</w:t>
      </w:r>
    </w:p>
    <w:p w:rsidR="00BF39C6" w:rsidRPr="009309E3" w:rsidRDefault="00BF39C6" w:rsidP="009309E3">
      <w:pPr>
        <w:spacing w:before="120" w:after="120"/>
        <w:rPr>
          <w:szCs w:val="22"/>
        </w:rPr>
      </w:pPr>
      <w:r w:rsidRPr="009309E3">
        <w:rPr>
          <w:szCs w:val="22"/>
        </w:rPr>
        <w:t>Graduate numbers are only one component of the medical education pathway</w:t>
      </w:r>
      <w:r w:rsidR="00DD4B7F">
        <w:rPr>
          <w:szCs w:val="22"/>
        </w:rPr>
        <w:t>, with m</w:t>
      </w:r>
      <w:r w:rsidRPr="009309E3">
        <w:rPr>
          <w:szCs w:val="22"/>
        </w:rPr>
        <w:t xml:space="preserve">any medical practitioners </w:t>
      </w:r>
      <w:r w:rsidR="00DD4B7F">
        <w:rPr>
          <w:szCs w:val="22"/>
        </w:rPr>
        <w:t>choosing</w:t>
      </w:r>
      <w:r w:rsidR="00DD4B7F" w:rsidRPr="009309E3">
        <w:rPr>
          <w:szCs w:val="22"/>
        </w:rPr>
        <w:t xml:space="preserve"> </w:t>
      </w:r>
      <w:r w:rsidRPr="009309E3">
        <w:rPr>
          <w:szCs w:val="22"/>
        </w:rPr>
        <w:t xml:space="preserve">to pursue vocational training. The vocational medical training pipeline analysis highlights that, based on the existing demand for specialist services being carried forward (and other factors such as the number of expected graduates and a continued migration flow being held constant), there will be more medical practitioners seeking a vocational training position than places available. </w:t>
      </w:r>
    </w:p>
    <w:p w:rsidR="00ED70F2" w:rsidRDefault="00BF39C6" w:rsidP="009309E3">
      <w:pPr>
        <w:spacing w:before="120" w:after="120"/>
        <w:rPr>
          <w:szCs w:val="22"/>
        </w:rPr>
      </w:pPr>
      <w:r w:rsidRPr="009309E3">
        <w:rPr>
          <w:szCs w:val="22"/>
        </w:rPr>
        <w:t xml:space="preserve">Training capacity also impacts on vocational medical training. It recognises training capacity pressures are increasing as the larger cohorts of medial graduates move from intern to prevocational to vocational training positions. This is reflected in </w:t>
      </w:r>
      <w:r w:rsidRPr="001D02AD">
        <w:rPr>
          <w:szCs w:val="22"/>
        </w:rPr>
        <w:t xml:space="preserve">the </w:t>
      </w:r>
      <w:r w:rsidR="00F27660">
        <w:rPr>
          <w:szCs w:val="22"/>
        </w:rPr>
        <w:t>31</w:t>
      </w:r>
      <w:r w:rsidRPr="009309E3">
        <w:rPr>
          <w:szCs w:val="22"/>
        </w:rPr>
        <w:t xml:space="preserve"> per cent increase in the total number of vocational training positions that ha</w:t>
      </w:r>
      <w:r w:rsidR="005457FA">
        <w:rPr>
          <w:szCs w:val="22"/>
        </w:rPr>
        <w:t>s occurred between 2010 and 201</w:t>
      </w:r>
      <w:r w:rsidRPr="009309E3">
        <w:footnoteReference w:id="4"/>
      </w:r>
      <w:r w:rsidRPr="009309E3">
        <w:rPr>
          <w:szCs w:val="22"/>
        </w:rPr>
        <w:t xml:space="preserve">. The continued reliance on </w:t>
      </w:r>
      <w:proofErr w:type="spellStart"/>
      <w:r w:rsidR="00301C47">
        <w:rPr>
          <w:szCs w:val="22"/>
        </w:rPr>
        <w:t>OTD</w:t>
      </w:r>
      <w:r w:rsidRPr="009309E3">
        <w:rPr>
          <w:szCs w:val="22"/>
        </w:rPr>
        <w:t>s</w:t>
      </w:r>
      <w:proofErr w:type="spellEnd"/>
      <w:r w:rsidRPr="009309E3">
        <w:rPr>
          <w:szCs w:val="22"/>
        </w:rPr>
        <w:t xml:space="preserve"> places additional burden on the training capacity of the system. </w:t>
      </w:r>
    </w:p>
    <w:p w:rsidR="00820553" w:rsidRDefault="00BF39C6" w:rsidP="009309E3">
      <w:pPr>
        <w:spacing w:before="120" w:after="120"/>
        <w:rPr>
          <w:szCs w:val="22"/>
        </w:rPr>
      </w:pPr>
      <w:r w:rsidRPr="009309E3">
        <w:rPr>
          <w:szCs w:val="22"/>
        </w:rPr>
        <w:t xml:space="preserve">The </w:t>
      </w:r>
      <w:r w:rsidR="00820553">
        <w:rPr>
          <w:szCs w:val="22"/>
        </w:rPr>
        <w:t>C</w:t>
      </w:r>
      <w:r w:rsidRPr="009309E3">
        <w:rPr>
          <w:szCs w:val="22"/>
        </w:rPr>
        <w:t xml:space="preserve">ommonwealth has continued to support the initiative to expand training capacity through the commitment to continue funding for the </w:t>
      </w:r>
      <w:proofErr w:type="spellStart"/>
      <w:r w:rsidRPr="009309E3">
        <w:rPr>
          <w:szCs w:val="22"/>
        </w:rPr>
        <w:t>STP</w:t>
      </w:r>
      <w:proofErr w:type="spellEnd"/>
      <w:r w:rsidR="00820553">
        <w:rPr>
          <w:szCs w:val="22"/>
        </w:rPr>
        <w:t>, which</w:t>
      </w:r>
      <w:r w:rsidRPr="009309E3">
        <w:rPr>
          <w:szCs w:val="22"/>
        </w:rPr>
        <w:t xml:space="preserve"> provides funding for specialist training positions in expanded settings for 900 training rotations a year in 2014 and to be continued to 2017. </w:t>
      </w:r>
    </w:p>
    <w:p w:rsidR="00BF39C6" w:rsidRDefault="00820553" w:rsidP="009309E3">
      <w:pPr>
        <w:spacing w:before="120" w:after="120"/>
        <w:rPr>
          <w:szCs w:val="22"/>
        </w:rPr>
      </w:pPr>
      <w:r>
        <w:rPr>
          <w:szCs w:val="22"/>
        </w:rPr>
        <w:t xml:space="preserve">However, the Commonwealth is only a small contributor to the overall number of training places nationally through funding of the </w:t>
      </w:r>
      <w:proofErr w:type="spellStart"/>
      <w:r>
        <w:rPr>
          <w:szCs w:val="22"/>
        </w:rPr>
        <w:t>STP</w:t>
      </w:r>
      <w:proofErr w:type="spellEnd"/>
      <w:r>
        <w:rPr>
          <w:szCs w:val="22"/>
        </w:rPr>
        <w:t xml:space="preserve"> posts. Responsibility </w:t>
      </w:r>
      <w:r w:rsidR="00BF39C6" w:rsidRPr="009309E3">
        <w:rPr>
          <w:szCs w:val="22"/>
        </w:rPr>
        <w:t xml:space="preserve">for funding </w:t>
      </w:r>
      <w:r>
        <w:rPr>
          <w:szCs w:val="22"/>
        </w:rPr>
        <w:t xml:space="preserve">of </w:t>
      </w:r>
      <w:r w:rsidR="00BF39C6" w:rsidRPr="009309E3">
        <w:rPr>
          <w:szCs w:val="22"/>
        </w:rPr>
        <w:t>and organising vocational training lies with many parties</w:t>
      </w:r>
      <w:r>
        <w:rPr>
          <w:szCs w:val="22"/>
        </w:rPr>
        <w:t xml:space="preserve">: </w:t>
      </w:r>
      <w:r w:rsidR="00BF39C6" w:rsidRPr="009309E3">
        <w:rPr>
          <w:szCs w:val="22"/>
        </w:rPr>
        <w:t xml:space="preserve">jurisdictions (for post-graduate and specialist training in the public sector) and </w:t>
      </w:r>
      <w:r w:rsidR="00E27565">
        <w:rPr>
          <w:szCs w:val="22"/>
        </w:rPr>
        <w:t>C</w:t>
      </w:r>
      <w:r w:rsidR="00BF39C6" w:rsidRPr="009309E3">
        <w:rPr>
          <w:szCs w:val="22"/>
        </w:rPr>
        <w:t>olleges (who operate in Australia and New Zealand wide). To add to the complexity</w:t>
      </w:r>
      <w:r>
        <w:rPr>
          <w:szCs w:val="22"/>
        </w:rPr>
        <w:t xml:space="preserve">, </w:t>
      </w:r>
      <w:r w:rsidR="00BF39C6" w:rsidRPr="009309E3">
        <w:rPr>
          <w:szCs w:val="22"/>
        </w:rPr>
        <w:t>medical practitioners will often cross jurisdictional, sectoral, specialty college and international boundaries throughout their training pathway. As a result of the division of responsibilities and the potential myriad of individual medical practitioner’s pathways, imbalances in the vocational training pipeline are complex to manage and resolve</w:t>
      </w:r>
      <w:r>
        <w:rPr>
          <w:szCs w:val="22"/>
        </w:rPr>
        <w:t>, and will require partnerships between governments, employers, the College and professional bodies</w:t>
      </w:r>
      <w:r w:rsidR="00BF39C6" w:rsidRPr="009309E3">
        <w:rPr>
          <w:szCs w:val="22"/>
        </w:rPr>
        <w:t xml:space="preserve">. </w:t>
      </w:r>
    </w:p>
    <w:p w:rsidR="00DB5D26" w:rsidRDefault="00ED70F2" w:rsidP="00B831A8">
      <w:pPr>
        <w:pStyle w:val="Heading3"/>
      </w:pPr>
      <w:bookmarkStart w:id="42" w:name="_Toc445986956"/>
      <w:r>
        <w:t>Capacity Analysis</w:t>
      </w:r>
      <w:bookmarkEnd w:id="42"/>
    </w:p>
    <w:p w:rsidR="00DB5D26" w:rsidRPr="00DB5D26" w:rsidRDefault="00DB5D26" w:rsidP="00DB5D26">
      <w:pPr>
        <w:spacing w:before="120" w:after="120"/>
        <w:rPr>
          <w:szCs w:val="22"/>
        </w:rPr>
      </w:pPr>
      <w:r w:rsidRPr="00DB5D26">
        <w:rPr>
          <w:szCs w:val="22"/>
        </w:rPr>
        <w:t xml:space="preserve">With the completion of the training pipeline analysis and supply and demand analysis, it is clear that while the number of trainees entering the training program and the number of new </w:t>
      </w:r>
      <w:r w:rsidR="00240F1A">
        <w:rPr>
          <w:szCs w:val="22"/>
        </w:rPr>
        <w:t>F</w:t>
      </w:r>
      <w:r w:rsidRPr="00DB5D26">
        <w:rPr>
          <w:szCs w:val="22"/>
        </w:rPr>
        <w:t>ellows is increasing</w:t>
      </w:r>
      <w:r w:rsidR="00820553">
        <w:rPr>
          <w:szCs w:val="22"/>
        </w:rPr>
        <w:t xml:space="preserve">, </w:t>
      </w:r>
      <w:r w:rsidRPr="00DB5D26">
        <w:rPr>
          <w:szCs w:val="22"/>
        </w:rPr>
        <w:t>this still appears to be insufficient to meet the demand for services. There appear to be a number of barriers in the trainee’s movement through the program.</w:t>
      </w:r>
    </w:p>
    <w:p w:rsidR="00DB5D26" w:rsidRDefault="00DB5D26" w:rsidP="00DB5D26">
      <w:pPr>
        <w:spacing w:before="120" w:after="120"/>
        <w:rPr>
          <w:szCs w:val="22"/>
        </w:rPr>
      </w:pPr>
      <w:r w:rsidRPr="00DB5D26">
        <w:rPr>
          <w:szCs w:val="22"/>
        </w:rPr>
        <w:t xml:space="preserve">This </w:t>
      </w:r>
      <w:r w:rsidR="00685093">
        <w:rPr>
          <w:szCs w:val="22"/>
        </w:rPr>
        <w:t xml:space="preserve">next </w:t>
      </w:r>
      <w:r w:rsidRPr="00DB5D26">
        <w:rPr>
          <w:szCs w:val="22"/>
        </w:rPr>
        <w:t xml:space="preserve">section aims to define the current training requirements and provide analysis of any gaps that are impeding </w:t>
      </w:r>
      <w:r w:rsidR="00820553">
        <w:rPr>
          <w:szCs w:val="22"/>
        </w:rPr>
        <w:t xml:space="preserve">a </w:t>
      </w:r>
      <w:r w:rsidRPr="00DB5D26">
        <w:rPr>
          <w:szCs w:val="22"/>
        </w:rPr>
        <w:t xml:space="preserve">trainee’s progress through the </w:t>
      </w:r>
      <w:r w:rsidR="00F4033C">
        <w:rPr>
          <w:szCs w:val="22"/>
        </w:rPr>
        <w:t xml:space="preserve">training </w:t>
      </w:r>
      <w:r w:rsidRPr="00DB5D26">
        <w:rPr>
          <w:szCs w:val="22"/>
        </w:rPr>
        <w:t xml:space="preserve">program within the minimum timeframe. </w:t>
      </w:r>
    </w:p>
    <w:p w:rsidR="00F15144" w:rsidRDefault="00F15144">
      <w:pPr>
        <w:jc w:val="left"/>
        <w:rPr>
          <w:szCs w:val="22"/>
        </w:rPr>
      </w:pPr>
      <w:r>
        <w:rPr>
          <w:szCs w:val="22"/>
        </w:rPr>
        <w:br w:type="page"/>
      </w:r>
    </w:p>
    <w:p w:rsidR="00AC3D8A" w:rsidRDefault="00FF63E9" w:rsidP="00DB5D26">
      <w:pPr>
        <w:spacing w:before="120" w:after="120"/>
        <w:rPr>
          <w:rStyle w:val="apple-converted-space"/>
          <w:shd w:val="clear" w:color="auto" w:fill="FFFFFF"/>
        </w:rPr>
      </w:pPr>
      <w:r>
        <w:rPr>
          <w:szCs w:val="22"/>
        </w:rPr>
        <w:lastRenderedPageBreak/>
        <w:t>An analysis tool called the Capacity Analysis Tool (</w:t>
      </w:r>
      <w:proofErr w:type="spellStart"/>
      <w:r>
        <w:rPr>
          <w:szCs w:val="22"/>
        </w:rPr>
        <w:t>CATool</w:t>
      </w:r>
      <w:proofErr w:type="spellEnd"/>
      <w:r>
        <w:rPr>
          <w:szCs w:val="22"/>
        </w:rPr>
        <w:t>) was developed</w:t>
      </w:r>
      <w:r w:rsidR="00820553">
        <w:rPr>
          <w:szCs w:val="22"/>
        </w:rPr>
        <w:t>,</w:t>
      </w:r>
      <w:r>
        <w:rPr>
          <w:szCs w:val="22"/>
        </w:rPr>
        <w:t xml:space="preserve"> which </w:t>
      </w:r>
      <w:r w:rsidR="00820553">
        <w:rPr>
          <w:szCs w:val="22"/>
        </w:rPr>
        <w:t xml:space="preserve">is </w:t>
      </w:r>
      <w:r>
        <w:rPr>
          <w:szCs w:val="22"/>
        </w:rPr>
        <w:t xml:space="preserve">essentially a </w:t>
      </w:r>
      <w:r>
        <w:rPr>
          <w:rStyle w:val="apple-converted-space"/>
          <w:shd w:val="clear" w:color="auto" w:fill="FFFFFF"/>
        </w:rPr>
        <w:t xml:space="preserve">dynamic dashboard </w:t>
      </w:r>
      <w:r w:rsidR="00820553">
        <w:rPr>
          <w:rStyle w:val="apple-converted-space"/>
          <w:shd w:val="clear" w:color="auto" w:fill="FFFFFF"/>
        </w:rPr>
        <w:t xml:space="preserve">that </w:t>
      </w:r>
      <w:r>
        <w:rPr>
          <w:rStyle w:val="apple-converted-space"/>
          <w:shd w:val="clear" w:color="auto" w:fill="FFFFFF"/>
        </w:rPr>
        <w:t>enable</w:t>
      </w:r>
      <w:r w:rsidR="00F4033C">
        <w:rPr>
          <w:rStyle w:val="apple-converted-space"/>
          <w:shd w:val="clear" w:color="auto" w:fill="FFFFFF"/>
        </w:rPr>
        <w:t>s</w:t>
      </w:r>
      <w:r>
        <w:rPr>
          <w:rStyle w:val="apple-converted-space"/>
          <w:shd w:val="clear" w:color="auto" w:fill="FFFFFF"/>
        </w:rPr>
        <w:t xml:space="preserve"> the interrogation of vast amounts of data </w:t>
      </w:r>
      <w:r w:rsidR="00F4033C">
        <w:rPr>
          <w:rStyle w:val="apple-converted-space"/>
          <w:shd w:val="clear" w:color="auto" w:fill="FFFFFF"/>
        </w:rPr>
        <w:t>to</w:t>
      </w:r>
      <w:r>
        <w:rPr>
          <w:rStyle w:val="apple-converted-space"/>
          <w:shd w:val="clear" w:color="auto" w:fill="FFFFFF"/>
        </w:rPr>
        <w:t xml:space="preserve"> find meaningful insights</w:t>
      </w:r>
      <w:r w:rsidR="00685093">
        <w:rPr>
          <w:rStyle w:val="apple-converted-space"/>
          <w:shd w:val="clear" w:color="auto" w:fill="FFFFFF"/>
        </w:rPr>
        <w:t xml:space="preserve"> through interactive data visualisations.</w:t>
      </w:r>
      <w:r w:rsidR="00AC3D8A">
        <w:rPr>
          <w:rStyle w:val="apple-converted-space"/>
          <w:shd w:val="clear" w:color="auto" w:fill="FFFFFF"/>
        </w:rPr>
        <w:t xml:space="preserve"> More information regarding the </w:t>
      </w:r>
      <w:proofErr w:type="spellStart"/>
      <w:r w:rsidR="00AC3D8A">
        <w:rPr>
          <w:rStyle w:val="apple-converted-space"/>
          <w:shd w:val="clear" w:color="auto" w:fill="FFFFFF"/>
        </w:rPr>
        <w:t>CATool</w:t>
      </w:r>
      <w:proofErr w:type="spellEnd"/>
      <w:r w:rsidR="00AC3D8A">
        <w:rPr>
          <w:rStyle w:val="apple-converted-space"/>
          <w:shd w:val="clear" w:color="auto" w:fill="FFFFFF"/>
        </w:rPr>
        <w:t xml:space="preserve"> can be found in Appendix 2. </w:t>
      </w:r>
    </w:p>
    <w:p w:rsidR="0080579F" w:rsidRPr="00CE65DE" w:rsidRDefault="0080579F" w:rsidP="00B831A8">
      <w:pPr>
        <w:pStyle w:val="Heading3"/>
      </w:pPr>
      <w:bookmarkStart w:id="43" w:name="_Toc445986957"/>
      <w:bookmarkStart w:id="44" w:name="_Toc424050478"/>
      <w:r w:rsidRPr="00CE65DE">
        <w:t xml:space="preserve">Results of the </w:t>
      </w:r>
      <w:r w:rsidR="00C86503" w:rsidRPr="00CE65DE">
        <w:t>a</w:t>
      </w:r>
      <w:r w:rsidRPr="00CE65DE">
        <w:t>nalysis</w:t>
      </w:r>
      <w:bookmarkEnd w:id="43"/>
    </w:p>
    <w:p w:rsidR="005457FA" w:rsidRPr="00C85E2D" w:rsidRDefault="005457FA" w:rsidP="00B831A8">
      <w:pPr>
        <w:pStyle w:val="Heading3"/>
      </w:pPr>
      <w:bookmarkStart w:id="45" w:name="_Toc424050480"/>
      <w:bookmarkStart w:id="46" w:name="_Toc445986958"/>
      <w:bookmarkEnd w:id="44"/>
      <w:r w:rsidRPr="00C85E2D">
        <w:t>Supervisory capacity requirements</w:t>
      </w:r>
      <w:bookmarkEnd w:id="45"/>
      <w:bookmarkEnd w:id="46"/>
    </w:p>
    <w:p w:rsidR="00820553" w:rsidRDefault="00D21B8F" w:rsidP="005C57F8">
      <w:pPr>
        <w:spacing w:before="240" w:after="240"/>
      </w:pPr>
      <w:r>
        <w:t xml:space="preserve">The </w:t>
      </w:r>
      <w:proofErr w:type="spellStart"/>
      <w:r>
        <w:t>RANZCP</w:t>
      </w:r>
      <w:proofErr w:type="spellEnd"/>
      <w:r>
        <w:t xml:space="preserve"> sets supervision requirements. The accreditation visits review and assess supervision conditions; however, the allocation of supervision time/capacity is driven by workplace needs. The </w:t>
      </w:r>
      <w:proofErr w:type="spellStart"/>
      <w:r>
        <w:t>RANZCP</w:t>
      </w:r>
      <w:proofErr w:type="spellEnd"/>
      <w:r>
        <w:t xml:space="preserve"> can make recommendations and set standards but cannot enforce supervision; this is completed by </w:t>
      </w:r>
      <w:r w:rsidR="00F51818">
        <w:t xml:space="preserve">the </w:t>
      </w:r>
      <w:r>
        <w:t xml:space="preserve">relevant workforce authority. The </w:t>
      </w:r>
      <w:proofErr w:type="spellStart"/>
      <w:r>
        <w:t>RANZCP</w:t>
      </w:r>
      <w:proofErr w:type="spellEnd"/>
      <w:r>
        <w:t xml:space="preserve"> c</w:t>
      </w:r>
      <w:r w:rsidR="00AC3D8A">
        <w:t>an only monitor and review what</w:t>
      </w:r>
      <w:r w:rsidR="00820553">
        <w:t xml:space="preserve"> i</w:t>
      </w:r>
      <w:r w:rsidR="00AC3D8A">
        <w:t xml:space="preserve">s occurring, </w:t>
      </w:r>
      <w:r w:rsidR="00820553">
        <w:t xml:space="preserve">with </w:t>
      </w:r>
      <w:r w:rsidR="00AC3D8A">
        <w:t xml:space="preserve">patient </w:t>
      </w:r>
      <w:r>
        <w:t>and trainee safety the priority.</w:t>
      </w:r>
    </w:p>
    <w:p w:rsidR="00D21B8F" w:rsidRDefault="00D21B8F" w:rsidP="005C57F8">
      <w:pPr>
        <w:spacing w:before="240" w:after="240"/>
        <w:rPr>
          <w:szCs w:val="22"/>
        </w:rPr>
      </w:pPr>
      <w:r>
        <w:t xml:space="preserve">The </w:t>
      </w:r>
      <w:proofErr w:type="spellStart"/>
      <w:r>
        <w:t>RANZCP</w:t>
      </w:r>
      <w:proofErr w:type="spellEnd"/>
      <w:r>
        <w:t xml:space="preserve"> sets a number of standards regarding the physical infrastructure provided for trainees and supervisors. The accreditation visits assess the site</w:t>
      </w:r>
      <w:r w:rsidR="00820553">
        <w:t>’</w:t>
      </w:r>
      <w:r>
        <w:t xml:space="preserve">s </w:t>
      </w:r>
      <w:r w:rsidR="006D101F">
        <w:t>capacity to meet</w:t>
      </w:r>
      <w:r>
        <w:t xml:space="preserve"> these standards, however, the </w:t>
      </w:r>
      <w:proofErr w:type="spellStart"/>
      <w:r>
        <w:t>RANZCP</w:t>
      </w:r>
      <w:proofErr w:type="spellEnd"/>
      <w:r>
        <w:t xml:space="preserve"> can only recommend that changes are made and do not have the capacity or authority to request for </w:t>
      </w:r>
      <w:r w:rsidR="006D101F">
        <w:t xml:space="preserve">additional </w:t>
      </w:r>
      <w:r>
        <w:t xml:space="preserve">physical infrastructure to meet the standards. The </w:t>
      </w:r>
      <w:proofErr w:type="spellStart"/>
      <w:r>
        <w:t>RANZCP</w:t>
      </w:r>
      <w:proofErr w:type="spellEnd"/>
      <w:r>
        <w:t xml:space="preserve"> can only make suggestions or recommendations aimed at improving the workplace conditions. In addition, the </w:t>
      </w:r>
      <w:proofErr w:type="spellStart"/>
      <w:r>
        <w:t>RANZCP</w:t>
      </w:r>
      <w:proofErr w:type="spellEnd"/>
      <w:r>
        <w:t xml:space="preserve"> can de-accredit sites if standards are not met, </w:t>
      </w:r>
      <w:r w:rsidR="00820553">
        <w:t xml:space="preserve">noting that </w:t>
      </w:r>
      <w:r>
        <w:t xml:space="preserve">this is a rare occurrence but within the powers of the accreditation site visits and </w:t>
      </w:r>
      <w:r w:rsidR="00240F1A">
        <w:t>C</w:t>
      </w:r>
      <w:r>
        <w:t>ollege governance</w:t>
      </w:r>
      <w:r w:rsidR="006D101F">
        <w:t xml:space="preserve"> arrangements</w:t>
      </w:r>
      <w:r>
        <w:t xml:space="preserve">. </w:t>
      </w:r>
    </w:p>
    <w:p w:rsidR="00551675" w:rsidRDefault="005457FA" w:rsidP="00551675">
      <w:pPr>
        <w:spacing w:before="120" w:after="120"/>
        <w:rPr>
          <w:szCs w:val="22"/>
        </w:rPr>
      </w:pPr>
      <w:r w:rsidRPr="009B675E">
        <w:rPr>
          <w:szCs w:val="22"/>
        </w:rPr>
        <w:t xml:space="preserve">The </w:t>
      </w:r>
      <w:proofErr w:type="spellStart"/>
      <w:r w:rsidR="00551675">
        <w:rPr>
          <w:szCs w:val="22"/>
        </w:rPr>
        <w:t>CATool</w:t>
      </w:r>
      <w:proofErr w:type="spellEnd"/>
      <w:r w:rsidR="00551675">
        <w:rPr>
          <w:szCs w:val="22"/>
        </w:rPr>
        <w:t xml:space="preserve"> ha</w:t>
      </w:r>
      <w:r w:rsidR="00495966">
        <w:rPr>
          <w:szCs w:val="22"/>
        </w:rPr>
        <w:t>s</w:t>
      </w:r>
      <w:r w:rsidR="00551675">
        <w:rPr>
          <w:szCs w:val="22"/>
        </w:rPr>
        <w:t xml:space="preserve"> the ability to map </w:t>
      </w:r>
      <w:r w:rsidR="00495966">
        <w:rPr>
          <w:szCs w:val="22"/>
        </w:rPr>
        <w:t>the location of supervisor’s</w:t>
      </w:r>
      <w:r w:rsidR="000F1DD1">
        <w:rPr>
          <w:szCs w:val="22"/>
        </w:rPr>
        <w:t xml:space="preserve"> </w:t>
      </w:r>
      <w:r w:rsidR="00495966">
        <w:rPr>
          <w:szCs w:val="22"/>
        </w:rPr>
        <w:t>main</w:t>
      </w:r>
      <w:r w:rsidR="008117B8">
        <w:rPr>
          <w:szCs w:val="22"/>
        </w:rPr>
        <w:t xml:space="preserve"> </w:t>
      </w:r>
      <w:r w:rsidR="00C86503">
        <w:rPr>
          <w:szCs w:val="22"/>
        </w:rPr>
        <w:t>job location</w:t>
      </w:r>
      <w:r w:rsidR="00495966">
        <w:rPr>
          <w:szCs w:val="22"/>
        </w:rPr>
        <w:t xml:space="preserve"> in </w:t>
      </w:r>
      <w:r w:rsidR="00C86503">
        <w:rPr>
          <w:szCs w:val="22"/>
        </w:rPr>
        <w:t>2013</w:t>
      </w:r>
      <w:r w:rsidR="00495966">
        <w:rPr>
          <w:szCs w:val="22"/>
        </w:rPr>
        <w:t xml:space="preserve">, in addition to all the specialist clinicians, the </w:t>
      </w:r>
      <w:proofErr w:type="spellStart"/>
      <w:r w:rsidR="00495966">
        <w:rPr>
          <w:szCs w:val="22"/>
        </w:rPr>
        <w:t>OTS</w:t>
      </w:r>
      <w:proofErr w:type="spellEnd"/>
      <w:r w:rsidR="00495966">
        <w:rPr>
          <w:szCs w:val="22"/>
        </w:rPr>
        <w:t xml:space="preserve"> (exemptions) and the trainees. </w:t>
      </w:r>
      <w:r w:rsidR="00820553">
        <w:rPr>
          <w:szCs w:val="22"/>
        </w:rPr>
        <w:t>T</w:t>
      </w:r>
      <w:r w:rsidR="00495966">
        <w:rPr>
          <w:szCs w:val="22"/>
        </w:rPr>
        <w:t xml:space="preserve">he </w:t>
      </w:r>
      <w:proofErr w:type="spellStart"/>
      <w:r w:rsidR="00495966">
        <w:rPr>
          <w:szCs w:val="22"/>
        </w:rPr>
        <w:t>CATool</w:t>
      </w:r>
      <w:proofErr w:type="spellEnd"/>
      <w:r w:rsidR="00820553">
        <w:rPr>
          <w:szCs w:val="22"/>
        </w:rPr>
        <w:t xml:space="preserve"> can be </w:t>
      </w:r>
      <w:r w:rsidR="0090238C">
        <w:rPr>
          <w:szCs w:val="22"/>
        </w:rPr>
        <w:t xml:space="preserve">quickly </w:t>
      </w:r>
      <w:r w:rsidR="00495966">
        <w:rPr>
          <w:szCs w:val="22"/>
        </w:rPr>
        <w:t xml:space="preserve">interrogated to determine the particular workforce composition at a point in time at a certain location. </w:t>
      </w:r>
    </w:p>
    <w:p w:rsidR="00001ADC" w:rsidRDefault="00C86503" w:rsidP="00C86503">
      <w:pPr>
        <w:spacing w:before="120" w:after="120"/>
        <w:rPr>
          <w:szCs w:val="22"/>
        </w:rPr>
      </w:pPr>
      <w:r>
        <w:rPr>
          <w:szCs w:val="22"/>
        </w:rPr>
        <w:t xml:space="preserve">The </w:t>
      </w:r>
      <w:r w:rsidR="0090238C">
        <w:rPr>
          <w:szCs w:val="22"/>
        </w:rPr>
        <w:t xml:space="preserve">overall </w:t>
      </w:r>
      <w:r w:rsidR="00495966">
        <w:rPr>
          <w:szCs w:val="22"/>
        </w:rPr>
        <w:t>aim</w:t>
      </w:r>
      <w:r w:rsidR="0090238C">
        <w:rPr>
          <w:szCs w:val="22"/>
        </w:rPr>
        <w:t xml:space="preserve"> of this section </w:t>
      </w:r>
      <w:r>
        <w:rPr>
          <w:szCs w:val="22"/>
        </w:rPr>
        <w:t xml:space="preserve">was to </w:t>
      </w:r>
      <w:r w:rsidR="0090238C">
        <w:rPr>
          <w:szCs w:val="22"/>
        </w:rPr>
        <w:t xml:space="preserve">have the ability to </w:t>
      </w:r>
      <w:r>
        <w:rPr>
          <w:szCs w:val="22"/>
        </w:rPr>
        <w:t xml:space="preserve">conduct further analysis of the supervisors and the </w:t>
      </w:r>
      <w:r w:rsidR="0090238C">
        <w:rPr>
          <w:szCs w:val="22"/>
        </w:rPr>
        <w:t>FTE supervision hours</w:t>
      </w:r>
      <w:r>
        <w:rPr>
          <w:szCs w:val="22"/>
        </w:rPr>
        <w:t>.</w:t>
      </w:r>
      <w:r w:rsidR="0090238C">
        <w:rPr>
          <w:szCs w:val="22"/>
        </w:rPr>
        <w:t xml:space="preserve"> But as is the case with many colleges</w:t>
      </w:r>
      <w:r w:rsidR="00820553">
        <w:rPr>
          <w:szCs w:val="22"/>
        </w:rPr>
        <w:t>,</w:t>
      </w:r>
      <w:r w:rsidR="00001ADC">
        <w:rPr>
          <w:szCs w:val="22"/>
        </w:rPr>
        <w:t xml:space="preserve"> the FTE for supervision was </w:t>
      </w:r>
      <w:r w:rsidR="00001ADC" w:rsidRPr="00001ADC">
        <w:rPr>
          <w:szCs w:val="22"/>
        </w:rPr>
        <w:t>not available as this item would be dependent upon local jurisdiction and employment details</w:t>
      </w:r>
      <w:r w:rsidR="00820553">
        <w:rPr>
          <w:szCs w:val="22"/>
        </w:rPr>
        <w:t>, a</w:t>
      </w:r>
      <w:r>
        <w:rPr>
          <w:szCs w:val="22"/>
        </w:rPr>
        <w:t xml:space="preserve">s well as </w:t>
      </w:r>
      <w:r w:rsidR="00820553">
        <w:rPr>
          <w:szCs w:val="22"/>
        </w:rPr>
        <w:t xml:space="preserve">needing to have </w:t>
      </w:r>
      <w:r>
        <w:rPr>
          <w:szCs w:val="22"/>
        </w:rPr>
        <w:t>the ability to o</w:t>
      </w:r>
      <w:r w:rsidRPr="0080579F">
        <w:rPr>
          <w:szCs w:val="22"/>
        </w:rPr>
        <w:t>verlay supervisory requirements a</w:t>
      </w:r>
      <w:r>
        <w:rPr>
          <w:szCs w:val="22"/>
        </w:rPr>
        <w:t>nd capacity on a facility basis</w:t>
      </w:r>
      <w:r w:rsidR="00001ADC">
        <w:rPr>
          <w:szCs w:val="22"/>
        </w:rPr>
        <w:t xml:space="preserve">. </w:t>
      </w:r>
      <w:r w:rsidR="00820553">
        <w:rPr>
          <w:szCs w:val="22"/>
        </w:rPr>
        <w:t>The Department was</w:t>
      </w:r>
      <w:r w:rsidR="00001ADC">
        <w:rPr>
          <w:szCs w:val="22"/>
        </w:rPr>
        <w:t xml:space="preserve"> also only able to </w:t>
      </w:r>
      <w:r>
        <w:rPr>
          <w:szCs w:val="22"/>
        </w:rPr>
        <w:t xml:space="preserve">reconcile </w:t>
      </w:r>
      <w:r w:rsidR="00001ADC">
        <w:rPr>
          <w:szCs w:val="22"/>
        </w:rPr>
        <w:t xml:space="preserve">about 70 per cent of the </w:t>
      </w:r>
      <w:r>
        <w:rPr>
          <w:szCs w:val="22"/>
        </w:rPr>
        <w:t xml:space="preserve">data for supervisors. </w:t>
      </w:r>
      <w:r w:rsidR="00001ADC">
        <w:rPr>
          <w:szCs w:val="22"/>
        </w:rPr>
        <w:t xml:space="preserve">Another limitation of the current data is that some supervisors have up to four work locations which </w:t>
      </w:r>
      <w:r w:rsidR="00CE65DE">
        <w:rPr>
          <w:szCs w:val="22"/>
        </w:rPr>
        <w:t>create</w:t>
      </w:r>
      <w:r w:rsidR="00001ADC">
        <w:rPr>
          <w:szCs w:val="22"/>
        </w:rPr>
        <w:t xml:space="preserve"> difficulties for </w:t>
      </w:r>
      <w:r w:rsidR="000D2A5A">
        <w:rPr>
          <w:szCs w:val="22"/>
        </w:rPr>
        <w:t xml:space="preserve">current </w:t>
      </w:r>
      <w:r w:rsidR="00001ADC">
        <w:rPr>
          <w:szCs w:val="22"/>
        </w:rPr>
        <w:t xml:space="preserve">data analysis. </w:t>
      </w:r>
    </w:p>
    <w:p w:rsidR="00001ADC" w:rsidRDefault="00ED70F2" w:rsidP="00B831A8">
      <w:pPr>
        <w:pStyle w:val="Heading4"/>
      </w:pPr>
      <w:r w:rsidRPr="00101017">
        <w:t xml:space="preserve">Key Findings </w:t>
      </w:r>
      <w:r w:rsidR="00001ADC" w:rsidRPr="00101017">
        <w:t xml:space="preserve"> </w:t>
      </w:r>
    </w:p>
    <w:p w:rsidR="00BB6C31" w:rsidRPr="00BB6C31" w:rsidRDefault="00BB6C31" w:rsidP="00D510F1">
      <w:pPr>
        <w:pStyle w:val="ListParagraph"/>
        <w:numPr>
          <w:ilvl w:val="0"/>
          <w:numId w:val="16"/>
        </w:numPr>
        <w:ind w:left="426"/>
      </w:pPr>
      <w:r>
        <w:t xml:space="preserve">As </w:t>
      </w:r>
      <w:r w:rsidRPr="009625FC">
        <w:rPr>
          <w:szCs w:val="20"/>
        </w:rPr>
        <w:t xml:space="preserve">the number of trainees increases, the number of supervisors required will increase and this will also impact on supervisor training and support. </w:t>
      </w:r>
      <w:r>
        <w:rPr>
          <w:szCs w:val="20"/>
        </w:rPr>
        <w:t>All stakeholders need to collaborate to identify new supervisors and to ensure that they are adequately supported</w:t>
      </w:r>
      <w:r w:rsidRPr="009625FC">
        <w:rPr>
          <w:szCs w:val="20"/>
        </w:rPr>
        <w:t>. Development of resources such as online modules and peer support activities would provide additional support for supervisors</w:t>
      </w:r>
      <w:r>
        <w:rPr>
          <w:szCs w:val="20"/>
        </w:rPr>
        <w:t>, including</w:t>
      </w:r>
      <w:r w:rsidRPr="009625FC">
        <w:rPr>
          <w:szCs w:val="20"/>
        </w:rPr>
        <w:t xml:space="preserve"> in rural and remote areas.</w:t>
      </w:r>
    </w:p>
    <w:p w:rsidR="00BB6C31" w:rsidRPr="00BB6C31" w:rsidRDefault="00BB6C31" w:rsidP="00D510F1">
      <w:pPr>
        <w:pStyle w:val="ListParagraph"/>
        <w:numPr>
          <w:ilvl w:val="0"/>
          <w:numId w:val="16"/>
        </w:numPr>
        <w:ind w:left="426"/>
      </w:pPr>
      <w:r>
        <w:t xml:space="preserve">Given </w:t>
      </w:r>
      <w:r w:rsidRPr="00726570">
        <w:rPr>
          <w:szCs w:val="22"/>
        </w:rPr>
        <w:t>the fact that trainees will be trained in multiple areas of practice, both mandatory and elective, it is unlikely that they will have the same supervisor throughout training. It is therefore difficult to match supervisors to trainees and provide meaningful data in this area</w:t>
      </w:r>
      <w:r>
        <w:rPr>
          <w:szCs w:val="22"/>
        </w:rPr>
        <w:t>.</w:t>
      </w:r>
    </w:p>
    <w:p w:rsidR="00BB6C31" w:rsidRPr="00BB6C31" w:rsidRDefault="00BB6C31" w:rsidP="00D510F1">
      <w:pPr>
        <w:pStyle w:val="ListParagraph"/>
        <w:numPr>
          <w:ilvl w:val="0"/>
          <w:numId w:val="16"/>
        </w:numPr>
        <w:ind w:left="426"/>
      </w:pPr>
      <w:r>
        <w:rPr>
          <w:szCs w:val="22"/>
        </w:rPr>
        <w:t xml:space="preserve">Improved local </w:t>
      </w:r>
      <w:r w:rsidRPr="00A34F22">
        <w:rPr>
          <w:szCs w:val="22"/>
        </w:rPr>
        <w:t xml:space="preserve">data from </w:t>
      </w:r>
      <w:r>
        <w:rPr>
          <w:szCs w:val="22"/>
        </w:rPr>
        <w:t>each jurisdiction</w:t>
      </w:r>
      <w:r w:rsidRPr="00A34F22">
        <w:rPr>
          <w:szCs w:val="22"/>
        </w:rPr>
        <w:t xml:space="preserve"> </w:t>
      </w:r>
      <w:r>
        <w:rPr>
          <w:szCs w:val="22"/>
        </w:rPr>
        <w:t>would</w:t>
      </w:r>
      <w:r w:rsidRPr="00A34F22">
        <w:rPr>
          <w:szCs w:val="22"/>
        </w:rPr>
        <w:t xml:space="preserve"> ensure a greater ability to identify supervisors </w:t>
      </w:r>
      <w:r>
        <w:rPr>
          <w:szCs w:val="22"/>
        </w:rPr>
        <w:t xml:space="preserve">and </w:t>
      </w:r>
      <w:r w:rsidRPr="00A34F22">
        <w:rPr>
          <w:szCs w:val="22"/>
        </w:rPr>
        <w:t>FTE for supervision at various work locations</w:t>
      </w:r>
      <w:r>
        <w:rPr>
          <w:szCs w:val="22"/>
        </w:rPr>
        <w:t>.</w:t>
      </w:r>
    </w:p>
    <w:p w:rsidR="00BB6C31" w:rsidRPr="00BB6C31" w:rsidRDefault="00BB6C31" w:rsidP="00D510F1">
      <w:pPr>
        <w:pStyle w:val="ListParagraph"/>
        <w:numPr>
          <w:ilvl w:val="0"/>
          <w:numId w:val="16"/>
        </w:numPr>
        <w:ind w:left="426"/>
      </w:pPr>
      <w:r>
        <w:rPr>
          <w:szCs w:val="22"/>
        </w:rPr>
        <w:t xml:space="preserve">Consideration </w:t>
      </w:r>
      <w:r w:rsidRPr="001D6F53">
        <w:rPr>
          <w:szCs w:val="20"/>
        </w:rPr>
        <w:t xml:space="preserve">needs to be given to strategies to recruit and support supervisors in private practice and rural locations, and/or to trial remote supervision of trainees. </w:t>
      </w:r>
      <w:r w:rsidRPr="001D6F53">
        <w:rPr>
          <w:szCs w:val="22"/>
        </w:rPr>
        <w:t xml:space="preserve">Blended and innovative models of supervision may be considered to ensure that trainees </w:t>
      </w:r>
      <w:r>
        <w:rPr>
          <w:szCs w:val="22"/>
        </w:rPr>
        <w:t>can receive</w:t>
      </w:r>
      <w:r w:rsidRPr="001D6F53">
        <w:rPr>
          <w:szCs w:val="22"/>
        </w:rPr>
        <w:t xml:space="preserve"> </w:t>
      </w:r>
      <w:r w:rsidRPr="001D6F53">
        <w:rPr>
          <w:szCs w:val="22"/>
        </w:rPr>
        <w:lastRenderedPageBreak/>
        <w:t xml:space="preserve">appropriate supervision available </w:t>
      </w:r>
      <w:r>
        <w:rPr>
          <w:szCs w:val="22"/>
        </w:rPr>
        <w:t xml:space="preserve">to train </w:t>
      </w:r>
      <w:r w:rsidRPr="001D6F53">
        <w:rPr>
          <w:szCs w:val="22"/>
        </w:rPr>
        <w:t xml:space="preserve">in rural/remote areas. </w:t>
      </w:r>
      <w:r w:rsidRPr="001D6F53">
        <w:rPr>
          <w:szCs w:val="20"/>
        </w:rPr>
        <w:t xml:space="preserve">There is a review of </w:t>
      </w:r>
      <w:proofErr w:type="spellStart"/>
      <w:r w:rsidRPr="001D6F53">
        <w:rPr>
          <w:szCs w:val="20"/>
        </w:rPr>
        <w:t>STP</w:t>
      </w:r>
      <w:proofErr w:type="spellEnd"/>
      <w:r w:rsidRPr="001D6F53">
        <w:rPr>
          <w:szCs w:val="20"/>
        </w:rPr>
        <w:t xml:space="preserve"> occurring, which may be one mechanism to consider strategies to address this finding</w:t>
      </w:r>
      <w:r>
        <w:rPr>
          <w:szCs w:val="20"/>
        </w:rPr>
        <w:t>.</w:t>
      </w:r>
    </w:p>
    <w:p w:rsidR="00BB6C31" w:rsidRPr="00BB6C31" w:rsidRDefault="00BB6C31" w:rsidP="00D510F1">
      <w:pPr>
        <w:pStyle w:val="ListParagraph"/>
        <w:numPr>
          <w:ilvl w:val="0"/>
          <w:numId w:val="16"/>
        </w:numPr>
        <w:ind w:left="426"/>
      </w:pPr>
      <w:r>
        <w:rPr>
          <w:szCs w:val="20"/>
        </w:rPr>
        <w:t>Administrative support for Branch Training Committees who oversee the jurisdictional training program will also require review.</w:t>
      </w:r>
    </w:p>
    <w:p w:rsidR="00BB6C31" w:rsidRPr="00BB6C31" w:rsidRDefault="00BB6C31" w:rsidP="00BB6C31"/>
    <w:p w:rsidR="005457FA" w:rsidRPr="00DC0BBE" w:rsidRDefault="005457FA" w:rsidP="00B831A8">
      <w:pPr>
        <w:pStyle w:val="Heading3"/>
      </w:pPr>
      <w:bookmarkStart w:id="47" w:name="_Toc424050483"/>
      <w:bookmarkStart w:id="48" w:name="_Toc445986959"/>
      <w:r w:rsidRPr="00DC0BBE">
        <w:t>Mapping of training capacity</w:t>
      </w:r>
      <w:bookmarkEnd w:id="47"/>
      <w:bookmarkEnd w:id="48"/>
    </w:p>
    <w:p w:rsidR="00290475" w:rsidRDefault="002323EB" w:rsidP="00D21B8F">
      <w:pPr>
        <w:spacing w:before="120" w:after="120"/>
        <w:rPr>
          <w:szCs w:val="22"/>
        </w:rPr>
      </w:pPr>
      <w:r>
        <w:rPr>
          <w:szCs w:val="22"/>
        </w:rPr>
        <w:t xml:space="preserve">Using the </w:t>
      </w:r>
      <w:proofErr w:type="spellStart"/>
      <w:r>
        <w:rPr>
          <w:szCs w:val="22"/>
        </w:rPr>
        <w:t>CATool</w:t>
      </w:r>
      <w:proofErr w:type="spellEnd"/>
      <w:r>
        <w:rPr>
          <w:szCs w:val="22"/>
        </w:rPr>
        <w:t xml:space="preserve">, the trainees were mapped along with the </w:t>
      </w:r>
      <w:r w:rsidR="00290475">
        <w:rPr>
          <w:szCs w:val="22"/>
        </w:rPr>
        <w:t>other workforce types</w:t>
      </w:r>
      <w:r>
        <w:rPr>
          <w:szCs w:val="22"/>
        </w:rPr>
        <w:t>.</w:t>
      </w:r>
      <w:r w:rsidR="00F475F2">
        <w:rPr>
          <w:szCs w:val="22"/>
        </w:rPr>
        <w:t xml:space="preserve"> </w:t>
      </w:r>
      <w:r w:rsidR="007267DA">
        <w:rPr>
          <w:szCs w:val="22"/>
        </w:rPr>
        <w:t xml:space="preserve">It gave </w:t>
      </w:r>
      <w:r w:rsidR="00B70DD3">
        <w:rPr>
          <w:szCs w:val="22"/>
        </w:rPr>
        <w:t>information about</w:t>
      </w:r>
      <w:r w:rsidR="007267DA">
        <w:rPr>
          <w:szCs w:val="22"/>
        </w:rPr>
        <w:t xml:space="preserve"> where the trainees were located </w:t>
      </w:r>
      <w:r w:rsidR="00B70DD3">
        <w:rPr>
          <w:szCs w:val="22"/>
        </w:rPr>
        <w:t xml:space="preserve">compared with </w:t>
      </w:r>
      <w:r w:rsidR="007267DA">
        <w:rPr>
          <w:szCs w:val="22"/>
        </w:rPr>
        <w:t xml:space="preserve">supervisors, specialist clinicians, </w:t>
      </w:r>
      <w:proofErr w:type="spellStart"/>
      <w:r w:rsidR="007267DA">
        <w:rPr>
          <w:szCs w:val="22"/>
        </w:rPr>
        <w:t>OTS</w:t>
      </w:r>
      <w:proofErr w:type="spellEnd"/>
      <w:r w:rsidR="007267DA">
        <w:rPr>
          <w:szCs w:val="22"/>
        </w:rPr>
        <w:t xml:space="preserve">, </w:t>
      </w:r>
      <w:proofErr w:type="spellStart"/>
      <w:r w:rsidR="007267DA">
        <w:rPr>
          <w:szCs w:val="22"/>
        </w:rPr>
        <w:t>STP</w:t>
      </w:r>
      <w:proofErr w:type="spellEnd"/>
      <w:r w:rsidR="007267DA">
        <w:rPr>
          <w:szCs w:val="22"/>
        </w:rPr>
        <w:t xml:space="preserve"> posts as well as the facilities and the services being delivered – at a national, state and suburb level. </w:t>
      </w:r>
    </w:p>
    <w:p w:rsidR="00DF13F5" w:rsidRDefault="00204763" w:rsidP="00204763">
      <w:pPr>
        <w:spacing w:before="120" w:after="120"/>
        <w:rPr>
          <w:szCs w:val="22"/>
        </w:rPr>
      </w:pPr>
      <w:r>
        <w:rPr>
          <w:szCs w:val="22"/>
        </w:rPr>
        <w:t>But the</w:t>
      </w:r>
      <w:r w:rsidR="00C44822">
        <w:rPr>
          <w:szCs w:val="22"/>
        </w:rPr>
        <w:t>se</w:t>
      </w:r>
      <w:r>
        <w:rPr>
          <w:szCs w:val="22"/>
        </w:rPr>
        <w:t xml:space="preserve"> map</w:t>
      </w:r>
      <w:r w:rsidR="00C44822">
        <w:rPr>
          <w:szCs w:val="22"/>
        </w:rPr>
        <w:t>s need</w:t>
      </w:r>
      <w:r>
        <w:rPr>
          <w:szCs w:val="22"/>
        </w:rPr>
        <w:t xml:space="preserve"> to be interpreted with care</w:t>
      </w:r>
      <w:r w:rsidR="00334ABD">
        <w:rPr>
          <w:szCs w:val="22"/>
        </w:rPr>
        <w:t xml:space="preserve">, </w:t>
      </w:r>
      <w:r>
        <w:rPr>
          <w:szCs w:val="22"/>
        </w:rPr>
        <w:t xml:space="preserve">as it does not give the ability to simply </w:t>
      </w:r>
      <w:r w:rsidR="00334ABD">
        <w:rPr>
          <w:szCs w:val="22"/>
        </w:rPr>
        <w:t xml:space="preserve">draw the conclusion </w:t>
      </w:r>
      <w:r>
        <w:rPr>
          <w:szCs w:val="22"/>
        </w:rPr>
        <w:t xml:space="preserve">that there are some supervisors that </w:t>
      </w:r>
      <w:r w:rsidR="00334ABD">
        <w:rPr>
          <w:szCs w:val="22"/>
        </w:rPr>
        <w:t xml:space="preserve">do not </w:t>
      </w:r>
      <w:r>
        <w:rPr>
          <w:szCs w:val="22"/>
        </w:rPr>
        <w:t xml:space="preserve">have trainees </w:t>
      </w:r>
      <w:r w:rsidR="00334ABD">
        <w:rPr>
          <w:szCs w:val="22"/>
        </w:rPr>
        <w:t xml:space="preserve">and </w:t>
      </w:r>
      <w:r>
        <w:rPr>
          <w:szCs w:val="22"/>
        </w:rPr>
        <w:t xml:space="preserve">therefore there is still capacity for more trainees to be placed in those locations. There are many factors that need to be taken into consideration that have not been able to be included in this version of the </w:t>
      </w:r>
      <w:proofErr w:type="spellStart"/>
      <w:r>
        <w:rPr>
          <w:szCs w:val="22"/>
        </w:rPr>
        <w:t>CATool</w:t>
      </w:r>
      <w:proofErr w:type="spellEnd"/>
      <w:r>
        <w:rPr>
          <w:szCs w:val="22"/>
        </w:rPr>
        <w:t>. These include but are not limited t</w:t>
      </w:r>
      <w:r w:rsidR="00DF13F5">
        <w:rPr>
          <w:szCs w:val="22"/>
        </w:rPr>
        <w:t>o:</w:t>
      </w:r>
    </w:p>
    <w:p w:rsidR="005B2693" w:rsidRDefault="005B2693" w:rsidP="00B831A8">
      <w:pPr>
        <w:pStyle w:val="Heading3"/>
      </w:pPr>
      <w:bookmarkStart w:id="49" w:name="_Toc445986960"/>
      <w:r w:rsidRPr="005B2693">
        <w:t>Infrastructure</w:t>
      </w:r>
      <w:bookmarkEnd w:id="49"/>
    </w:p>
    <w:p w:rsidR="005B2693" w:rsidRDefault="00C44822" w:rsidP="00D510F1">
      <w:pPr>
        <w:pStyle w:val="ListParagraph"/>
        <w:numPr>
          <w:ilvl w:val="0"/>
          <w:numId w:val="6"/>
        </w:numPr>
        <w:spacing w:before="120" w:after="120"/>
        <w:ind w:left="426" w:hanging="426"/>
        <w:rPr>
          <w:szCs w:val="20"/>
        </w:rPr>
      </w:pPr>
      <w:r>
        <w:rPr>
          <w:szCs w:val="20"/>
        </w:rPr>
        <w:t>Where t</w:t>
      </w:r>
      <w:r w:rsidR="005B2693" w:rsidRPr="005B2693">
        <w:rPr>
          <w:szCs w:val="20"/>
        </w:rPr>
        <w:t xml:space="preserve">here is currently limited </w:t>
      </w:r>
      <w:r w:rsidR="005B2693">
        <w:rPr>
          <w:szCs w:val="20"/>
        </w:rPr>
        <w:t xml:space="preserve">physical </w:t>
      </w:r>
      <w:r w:rsidR="005B2693" w:rsidRPr="005B2693">
        <w:rPr>
          <w:szCs w:val="20"/>
        </w:rPr>
        <w:t>space for trainees in some locations to practice and in some instances they are sharing rooms with other specialist trainees.</w:t>
      </w:r>
    </w:p>
    <w:p w:rsidR="005B2693" w:rsidRDefault="005B2693" w:rsidP="00B831A8">
      <w:pPr>
        <w:pStyle w:val="Heading3"/>
      </w:pPr>
      <w:bookmarkStart w:id="50" w:name="_Toc445986961"/>
      <w:r w:rsidRPr="005B2693">
        <w:t>Capacity for rotations</w:t>
      </w:r>
      <w:bookmarkEnd w:id="50"/>
    </w:p>
    <w:p w:rsidR="005B2693" w:rsidRDefault="005B2693" w:rsidP="00D510F1">
      <w:pPr>
        <w:numPr>
          <w:ilvl w:val="0"/>
          <w:numId w:val="3"/>
        </w:numPr>
        <w:spacing w:before="120" w:after="120"/>
        <w:ind w:left="426" w:hanging="426"/>
        <w:rPr>
          <w:szCs w:val="20"/>
        </w:rPr>
      </w:pPr>
      <w:r w:rsidRPr="005B2693">
        <w:rPr>
          <w:szCs w:val="20"/>
        </w:rPr>
        <w:t>The CAP and CL rotations (6 months FTE) are more difficult to access in some locations. These rotations are completed on average between 28 and 30 months from the start of training.</w:t>
      </w:r>
    </w:p>
    <w:p w:rsidR="00D00554" w:rsidRPr="00967945" w:rsidRDefault="00334ABD" w:rsidP="00D510F1">
      <w:pPr>
        <w:numPr>
          <w:ilvl w:val="0"/>
          <w:numId w:val="3"/>
        </w:numPr>
        <w:spacing w:before="120" w:after="120"/>
        <w:ind w:left="426" w:hanging="426"/>
        <w:rPr>
          <w:szCs w:val="22"/>
        </w:rPr>
      </w:pPr>
      <w:r>
        <w:rPr>
          <w:szCs w:val="22"/>
        </w:rPr>
        <w:t>M</w:t>
      </w:r>
      <w:r w:rsidR="00967945" w:rsidRPr="00967945">
        <w:rPr>
          <w:szCs w:val="22"/>
        </w:rPr>
        <w:t xml:space="preserve">easures </w:t>
      </w:r>
      <w:r>
        <w:rPr>
          <w:szCs w:val="22"/>
        </w:rPr>
        <w:t>are needed</w:t>
      </w:r>
      <w:r w:rsidR="00967945" w:rsidRPr="00967945">
        <w:rPr>
          <w:szCs w:val="22"/>
        </w:rPr>
        <w:t xml:space="preserve"> to ensure that the</w:t>
      </w:r>
      <w:r w:rsidR="00D00554" w:rsidRPr="00967945">
        <w:rPr>
          <w:szCs w:val="22"/>
        </w:rPr>
        <w:t xml:space="preserve"> advanced training certificate </w:t>
      </w:r>
      <w:r w:rsidR="004A309D">
        <w:rPr>
          <w:szCs w:val="22"/>
        </w:rPr>
        <w:t>F</w:t>
      </w:r>
      <w:r w:rsidR="00967945" w:rsidRPr="00967945">
        <w:rPr>
          <w:szCs w:val="22"/>
        </w:rPr>
        <w:t xml:space="preserve">ellows </w:t>
      </w:r>
      <w:r w:rsidR="00D00554" w:rsidRPr="00967945">
        <w:rPr>
          <w:szCs w:val="22"/>
        </w:rPr>
        <w:t xml:space="preserve">are not in </w:t>
      </w:r>
      <w:r w:rsidR="00967945" w:rsidRPr="00967945">
        <w:rPr>
          <w:szCs w:val="22"/>
        </w:rPr>
        <w:t xml:space="preserve">a </w:t>
      </w:r>
      <w:proofErr w:type="spellStart"/>
      <w:r w:rsidR="00D00554" w:rsidRPr="00967945">
        <w:rPr>
          <w:szCs w:val="22"/>
        </w:rPr>
        <w:t>STP</w:t>
      </w:r>
      <w:proofErr w:type="spellEnd"/>
      <w:r w:rsidR="00D00554" w:rsidRPr="00967945">
        <w:rPr>
          <w:szCs w:val="22"/>
        </w:rPr>
        <w:t xml:space="preserve"> </w:t>
      </w:r>
      <w:r w:rsidR="00967945" w:rsidRPr="00967945">
        <w:rPr>
          <w:szCs w:val="22"/>
        </w:rPr>
        <w:t xml:space="preserve">rotation that has been identified as </w:t>
      </w:r>
      <w:r w:rsidR="00D00554" w:rsidRPr="00967945">
        <w:rPr>
          <w:szCs w:val="22"/>
        </w:rPr>
        <w:t>CAP or CL</w:t>
      </w:r>
      <w:r w:rsidR="00967945" w:rsidRPr="00967945">
        <w:rPr>
          <w:szCs w:val="22"/>
        </w:rPr>
        <w:t>.</w:t>
      </w:r>
      <w:r w:rsidR="00D00554" w:rsidRPr="00967945">
        <w:rPr>
          <w:szCs w:val="22"/>
        </w:rPr>
        <w:t xml:space="preserve"> </w:t>
      </w:r>
    </w:p>
    <w:p w:rsidR="005B2693" w:rsidRPr="009B675E" w:rsidRDefault="005B2693" w:rsidP="00D510F1">
      <w:pPr>
        <w:numPr>
          <w:ilvl w:val="0"/>
          <w:numId w:val="3"/>
        </w:numPr>
        <w:spacing w:before="120" w:after="120"/>
        <w:ind w:left="426" w:hanging="426"/>
        <w:rPr>
          <w:szCs w:val="22"/>
        </w:rPr>
      </w:pPr>
      <w:r w:rsidRPr="009B675E">
        <w:rPr>
          <w:szCs w:val="22"/>
        </w:rPr>
        <w:t xml:space="preserve">The limited </w:t>
      </w:r>
      <w:r w:rsidR="00334ABD">
        <w:rPr>
          <w:szCs w:val="22"/>
        </w:rPr>
        <w:t xml:space="preserve">number of </w:t>
      </w:r>
      <w:r w:rsidRPr="009B675E">
        <w:rPr>
          <w:szCs w:val="22"/>
        </w:rPr>
        <w:t xml:space="preserve">posts </w:t>
      </w:r>
      <w:r w:rsidR="00334ABD">
        <w:rPr>
          <w:szCs w:val="22"/>
        </w:rPr>
        <w:t>are</w:t>
      </w:r>
      <w:r w:rsidR="00334ABD" w:rsidRPr="009B675E">
        <w:rPr>
          <w:szCs w:val="22"/>
        </w:rPr>
        <w:t xml:space="preserve"> </w:t>
      </w:r>
      <w:r w:rsidRPr="009B675E">
        <w:rPr>
          <w:szCs w:val="22"/>
        </w:rPr>
        <w:t xml:space="preserve">restricting training intake </w:t>
      </w:r>
      <w:r w:rsidR="00334ABD">
        <w:rPr>
          <w:szCs w:val="22"/>
        </w:rPr>
        <w:t xml:space="preserve">in many </w:t>
      </w:r>
      <w:r w:rsidRPr="009B675E">
        <w:rPr>
          <w:szCs w:val="22"/>
        </w:rPr>
        <w:t>locations</w:t>
      </w:r>
      <w:r w:rsidR="00334ABD">
        <w:rPr>
          <w:szCs w:val="22"/>
        </w:rPr>
        <w:t xml:space="preserve"> at present</w:t>
      </w:r>
      <w:r w:rsidRPr="009B675E">
        <w:rPr>
          <w:szCs w:val="22"/>
        </w:rPr>
        <w:t>. In other words</w:t>
      </w:r>
      <w:r w:rsidR="00334ABD">
        <w:rPr>
          <w:szCs w:val="22"/>
        </w:rPr>
        <w:t>,</w:t>
      </w:r>
      <w:r w:rsidRPr="009B675E">
        <w:rPr>
          <w:szCs w:val="22"/>
        </w:rPr>
        <w:t xml:space="preserve"> only a limited number of trainees are being accepted as </w:t>
      </w:r>
      <w:r w:rsidR="00334ABD">
        <w:rPr>
          <w:szCs w:val="22"/>
        </w:rPr>
        <w:t>there are not</w:t>
      </w:r>
      <w:r w:rsidRPr="009B675E">
        <w:rPr>
          <w:szCs w:val="22"/>
        </w:rPr>
        <w:t xml:space="preserve"> enough posts for them. This has flow on effects for </w:t>
      </w:r>
      <w:r w:rsidR="004A309D">
        <w:rPr>
          <w:szCs w:val="22"/>
        </w:rPr>
        <w:t>A</w:t>
      </w:r>
      <w:r w:rsidRPr="009B675E">
        <w:rPr>
          <w:szCs w:val="22"/>
        </w:rPr>
        <w:t xml:space="preserve">dvanced </w:t>
      </w:r>
      <w:r w:rsidR="004A309D">
        <w:rPr>
          <w:szCs w:val="22"/>
        </w:rPr>
        <w:t>T</w:t>
      </w:r>
      <w:r w:rsidRPr="009B675E">
        <w:rPr>
          <w:szCs w:val="22"/>
        </w:rPr>
        <w:t>raining</w:t>
      </w:r>
      <w:r w:rsidR="00334ABD">
        <w:rPr>
          <w:szCs w:val="22"/>
        </w:rPr>
        <w:t>,</w:t>
      </w:r>
      <w:r w:rsidRPr="009B675E">
        <w:rPr>
          <w:szCs w:val="22"/>
        </w:rPr>
        <w:t xml:space="preserve"> as those wanting to complete a sub-speciality in CAP or CL have limited access as they require the same post for a longer period of time.</w:t>
      </w:r>
    </w:p>
    <w:p w:rsidR="005B2693" w:rsidRPr="009B675E" w:rsidRDefault="005B2693" w:rsidP="00D510F1">
      <w:pPr>
        <w:numPr>
          <w:ilvl w:val="0"/>
          <w:numId w:val="3"/>
        </w:numPr>
        <w:spacing w:before="120" w:after="120"/>
        <w:ind w:left="426" w:hanging="426"/>
        <w:rPr>
          <w:szCs w:val="22"/>
        </w:rPr>
      </w:pPr>
      <w:r w:rsidRPr="009B675E">
        <w:rPr>
          <w:szCs w:val="22"/>
        </w:rPr>
        <w:t>The future increase in the number of trainees will create further bottlenecks as the capacity to place them in training posts does not match.</w:t>
      </w:r>
    </w:p>
    <w:p w:rsidR="003D6B16" w:rsidRDefault="00334ABD" w:rsidP="00D510F1">
      <w:pPr>
        <w:numPr>
          <w:ilvl w:val="0"/>
          <w:numId w:val="3"/>
        </w:numPr>
        <w:spacing w:before="120" w:after="120"/>
        <w:ind w:left="426" w:hanging="426"/>
        <w:rPr>
          <w:szCs w:val="20"/>
        </w:rPr>
      </w:pPr>
      <w:r>
        <w:rPr>
          <w:szCs w:val="20"/>
        </w:rPr>
        <w:t>There is a s</w:t>
      </w:r>
      <w:r w:rsidR="003D6B16" w:rsidRPr="003D6B16">
        <w:rPr>
          <w:szCs w:val="20"/>
        </w:rPr>
        <w:t xml:space="preserve">hortage of Child and Adolescent Psychiatrists, </w:t>
      </w:r>
      <w:r>
        <w:rPr>
          <w:szCs w:val="20"/>
        </w:rPr>
        <w:t>as well as a</w:t>
      </w:r>
      <w:r w:rsidRPr="003D6B16">
        <w:rPr>
          <w:szCs w:val="20"/>
        </w:rPr>
        <w:t xml:space="preserve"> </w:t>
      </w:r>
      <w:r w:rsidR="003D6B16" w:rsidRPr="003D6B16">
        <w:rPr>
          <w:szCs w:val="20"/>
        </w:rPr>
        <w:t>shortage of CAP posts, which will create a barrier to progression as trainee numbers increase</w:t>
      </w:r>
      <w:r w:rsidR="002C467C">
        <w:rPr>
          <w:szCs w:val="20"/>
        </w:rPr>
        <w:t>,</w:t>
      </w:r>
      <w:r w:rsidR="003D6B16" w:rsidRPr="003D6B16">
        <w:rPr>
          <w:szCs w:val="20"/>
        </w:rPr>
        <w:t xml:space="preserve"> as </w:t>
      </w:r>
      <w:r>
        <w:rPr>
          <w:szCs w:val="20"/>
        </w:rPr>
        <w:t>this</w:t>
      </w:r>
      <w:r w:rsidRPr="003D6B16">
        <w:rPr>
          <w:szCs w:val="20"/>
        </w:rPr>
        <w:t xml:space="preserve"> </w:t>
      </w:r>
      <w:r w:rsidR="003D6B16" w:rsidRPr="003D6B16">
        <w:rPr>
          <w:szCs w:val="20"/>
        </w:rPr>
        <w:t>is a mandatory requirement in Stage 2.</w:t>
      </w:r>
    </w:p>
    <w:p w:rsidR="003D6B16" w:rsidRPr="003D6B16" w:rsidRDefault="002C467C" w:rsidP="00D510F1">
      <w:pPr>
        <w:numPr>
          <w:ilvl w:val="0"/>
          <w:numId w:val="3"/>
        </w:numPr>
        <w:spacing w:before="120" w:after="120"/>
        <w:ind w:left="426" w:hanging="426"/>
        <w:rPr>
          <w:szCs w:val="20"/>
        </w:rPr>
      </w:pPr>
      <w:r>
        <w:rPr>
          <w:szCs w:val="20"/>
        </w:rPr>
        <w:t>The</w:t>
      </w:r>
      <w:r w:rsidR="00334ABD">
        <w:rPr>
          <w:szCs w:val="20"/>
        </w:rPr>
        <w:t xml:space="preserve"> s</w:t>
      </w:r>
      <w:r w:rsidR="003D6B16" w:rsidRPr="003D6B16">
        <w:rPr>
          <w:szCs w:val="20"/>
        </w:rPr>
        <w:t xml:space="preserve">hortage of </w:t>
      </w:r>
      <w:r w:rsidR="00967945">
        <w:rPr>
          <w:szCs w:val="20"/>
        </w:rPr>
        <w:t>CL</w:t>
      </w:r>
      <w:r w:rsidR="003D6B16" w:rsidRPr="003D6B16">
        <w:rPr>
          <w:szCs w:val="20"/>
        </w:rPr>
        <w:t xml:space="preserve"> posts will create a barrier to progression as trainee numbers increase</w:t>
      </w:r>
      <w:r>
        <w:rPr>
          <w:szCs w:val="20"/>
        </w:rPr>
        <w:t>,</w:t>
      </w:r>
      <w:r w:rsidR="003D6B16" w:rsidRPr="003D6B16">
        <w:rPr>
          <w:szCs w:val="20"/>
        </w:rPr>
        <w:t xml:space="preserve"> as </w:t>
      </w:r>
      <w:r>
        <w:rPr>
          <w:szCs w:val="20"/>
        </w:rPr>
        <w:t>this</w:t>
      </w:r>
      <w:r w:rsidRPr="003D6B16">
        <w:rPr>
          <w:szCs w:val="20"/>
        </w:rPr>
        <w:t xml:space="preserve"> </w:t>
      </w:r>
      <w:r w:rsidR="003D6B16" w:rsidRPr="003D6B16">
        <w:rPr>
          <w:szCs w:val="20"/>
        </w:rPr>
        <w:t>is a mandatory requirement in Stage 2.</w:t>
      </w:r>
    </w:p>
    <w:p w:rsidR="005B2693" w:rsidRPr="003D6B16" w:rsidRDefault="005B2693" w:rsidP="00D510F1">
      <w:pPr>
        <w:numPr>
          <w:ilvl w:val="0"/>
          <w:numId w:val="3"/>
        </w:numPr>
        <w:spacing w:before="120" w:after="120"/>
        <w:ind w:left="426" w:hanging="426"/>
        <w:rPr>
          <w:szCs w:val="22"/>
        </w:rPr>
      </w:pPr>
      <w:r w:rsidRPr="003D6B16">
        <w:rPr>
          <w:szCs w:val="22"/>
        </w:rPr>
        <w:t>Specific locations may not be accessible</w:t>
      </w:r>
      <w:r w:rsidR="002C467C">
        <w:rPr>
          <w:szCs w:val="22"/>
        </w:rPr>
        <w:t>,</w:t>
      </w:r>
      <w:r w:rsidRPr="003D6B16">
        <w:rPr>
          <w:szCs w:val="22"/>
        </w:rPr>
        <w:t xml:space="preserve"> </w:t>
      </w:r>
      <w:r w:rsidR="002C467C">
        <w:rPr>
          <w:szCs w:val="22"/>
        </w:rPr>
        <w:t>where</w:t>
      </w:r>
      <w:r w:rsidR="002C467C" w:rsidRPr="003D6B16">
        <w:rPr>
          <w:szCs w:val="22"/>
        </w:rPr>
        <w:t xml:space="preserve"> </w:t>
      </w:r>
      <w:r w:rsidRPr="003D6B16">
        <w:rPr>
          <w:szCs w:val="22"/>
        </w:rPr>
        <w:t>the issue is across a region and not a specific location</w:t>
      </w:r>
      <w:r w:rsidR="002C467C">
        <w:rPr>
          <w:szCs w:val="22"/>
        </w:rPr>
        <w:t>; for example</w:t>
      </w:r>
      <w:r w:rsidRPr="003D6B16">
        <w:rPr>
          <w:szCs w:val="22"/>
        </w:rPr>
        <w:t>, the ACT has limited access to CAP posts. The actual location of the posts is not the issue</w:t>
      </w:r>
      <w:r w:rsidR="002C467C">
        <w:rPr>
          <w:szCs w:val="22"/>
        </w:rPr>
        <w:t>;</w:t>
      </w:r>
      <w:r w:rsidRPr="003D6B16">
        <w:rPr>
          <w:szCs w:val="22"/>
        </w:rPr>
        <w:t xml:space="preserve"> it is the broader access to the posts within that particular health jurisdiction</w:t>
      </w:r>
      <w:r w:rsidRPr="003D6B16">
        <w:rPr>
          <w:rFonts w:cs="Arial"/>
          <w:color w:val="365F91" w:themeColor="accent1" w:themeShade="BF"/>
          <w:szCs w:val="22"/>
        </w:rPr>
        <w:t>.</w:t>
      </w:r>
    </w:p>
    <w:p w:rsidR="003D6B16" w:rsidRPr="003D6B16" w:rsidRDefault="003D6B16" w:rsidP="00D510F1">
      <w:pPr>
        <w:numPr>
          <w:ilvl w:val="0"/>
          <w:numId w:val="3"/>
        </w:numPr>
        <w:spacing w:before="120" w:after="120"/>
        <w:ind w:left="426" w:hanging="426"/>
        <w:rPr>
          <w:szCs w:val="20"/>
        </w:rPr>
      </w:pPr>
      <w:r w:rsidRPr="005B2693">
        <w:rPr>
          <w:szCs w:val="20"/>
        </w:rPr>
        <w:t>The College does not have data on barriers to progression in the new 2012 training program as yet. It is anticipated there will be fewer barriers and may be more related to availability of posts in mandatory rotations</w:t>
      </w:r>
      <w:r w:rsidR="002C467C">
        <w:rPr>
          <w:szCs w:val="20"/>
        </w:rPr>
        <w:t>, for example,</w:t>
      </w:r>
      <w:r w:rsidRPr="005B2693">
        <w:rPr>
          <w:szCs w:val="20"/>
        </w:rPr>
        <w:t xml:space="preserve"> CAP and CL.</w:t>
      </w:r>
    </w:p>
    <w:p w:rsidR="005B2693" w:rsidRDefault="005B2693" w:rsidP="00B831A8">
      <w:pPr>
        <w:pStyle w:val="Heading3"/>
      </w:pPr>
      <w:bookmarkStart w:id="51" w:name="_Toc445986962"/>
      <w:r w:rsidRPr="005B2693">
        <w:lastRenderedPageBreak/>
        <w:t>Exams</w:t>
      </w:r>
      <w:bookmarkEnd w:id="51"/>
    </w:p>
    <w:p w:rsidR="005B2693" w:rsidRDefault="005B2693" w:rsidP="00D510F1">
      <w:pPr>
        <w:numPr>
          <w:ilvl w:val="0"/>
          <w:numId w:val="3"/>
        </w:numPr>
        <w:spacing w:before="120" w:after="120"/>
        <w:ind w:left="426" w:hanging="426"/>
        <w:rPr>
          <w:szCs w:val="20"/>
        </w:rPr>
      </w:pPr>
      <w:r w:rsidRPr="005B2693">
        <w:rPr>
          <w:szCs w:val="20"/>
        </w:rPr>
        <w:t>Trainees are delaying attempting the psychological methods case and clinical exams.</w:t>
      </w:r>
    </w:p>
    <w:p w:rsidR="005B2693" w:rsidRPr="005B2693" w:rsidRDefault="005B2693" w:rsidP="00D510F1">
      <w:pPr>
        <w:numPr>
          <w:ilvl w:val="0"/>
          <w:numId w:val="3"/>
        </w:numPr>
        <w:spacing w:before="120"/>
        <w:ind w:left="426" w:hanging="426"/>
        <w:rPr>
          <w:szCs w:val="20"/>
        </w:rPr>
      </w:pPr>
      <w:r w:rsidRPr="005B2693">
        <w:rPr>
          <w:szCs w:val="20"/>
        </w:rPr>
        <w:t>The clinical exams</w:t>
      </w:r>
      <w:r w:rsidR="002C467C">
        <w:rPr>
          <w:szCs w:val="20"/>
        </w:rPr>
        <w:t>,</w:t>
      </w:r>
      <w:r w:rsidRPr="005B2693">
        <w:rPr>
          <w:szCs w:val="20"/>
        </w:rPr>
        <w:t xml:space="preserve"> especially the </w:t>
      </w:r>
      <w:r w:rsidR="00101017" w:rsidRPr="005B2693">
        <w:rPr>
          <w:szCs w:val="20"/>
        </w:rPr>
        <w:t>O</w:t>
      </w:r>
      <w:r w:rsidR="00101017">
        <w:rPr>
          <w:szCs w:val="20"/>
        </w:rPr>
        <w:t>bserved</w:t>
      </w:r>
      <w:r w:rsidR="00692FB1">
        <w:rPr>
          <w:szCs w:val="20"/>
        </w:rPr>
        <w:t xml:space="preserve"> Clinical Interview</w:t>
      </w:r>
      <w:r w:rsidR="002C467C">
        <w:rPr>
          <w:szCs w:val="20"/>
        </w:rPr>
        <w:t>,</w:t>
      </w:r>
      <w:r w:rsidRPr="005B2693">
        <w:rPr>
          <w:szCs w:val="20"/>
        </w:rPr>
        <w:t xml:space="preserve"> are more difficult to attain</w:t>
      </w:r>
      <w:r w:rsidR="002C467C">
        <w:rPr>
          <w:szCs w:val="20"/>
        </w:rPr>
        <w:t>,</w:t>
      </w:r>
      <w:r w:rsidRPr="005B2693">
        <w:rPr>
          <w:szCs w:val="20"/>
        </w:rPr>
        <w:t xml:space="preserve"> with candidates taking more attempts to pass. </w:t>
      </w:r>
      <w:r w:rsidR="002C467C">
        <w:rPr>
          <w:szCs w:val="20"/>
        </w:rPr>
        <w:t>The o</w:t>
      </w:r>
      <w:r w:rsidRPr="005B2693">
        <w:rPr>
          <w:szCs w:val="20"/>
        </w:rPr>
        <w:t>verall pass rate for 2013 was 52%. On average</w:t>
      </w:r>
      <w:r w:rsidR="002C467C">
        <w:rPr>
          <w:szCs w:val="20"/>
        </w:rPr>
        <w:t>,</w:t>
      </w:r>
      <w:r w:rsidRPr="005B2693">
        <w:rPr>
          <w:szCs w:val="20"/>
        </w:rPr>
        <w:t xml:space="preserve"> 92% </w:t>
      </w:r>
      <w:r w:rsidR="002C467C">
        <w:rPr>
          <w:szCs w:val="20"/>
        </w:rPr>
        <w:t xml:space="preserve">of trainees </w:t>
      </w:r>
      <w:r w:rsidRPr="005B2693">
        <w:rPr>
          <w:szCs w:val="20"/>
        </w:rPr>
        <w:t>pass by their 3rd attempt.</w:t>
      </w:r>
    </w:p>
    <w:p w:rsidR="00E82A2F" w:rsidRDefault="00E82A2F" w:rsidP="005F7836">
      <w:pPr>
        <w:rPr>
          <w:szCs w:val="22"/>
        </w:rPr>
      </w:pPr>
    </w:p>
    <w:p w:rsidR="00675C33" w:rsidRPr="002C467C" w:rsidRDefault="00204763" w:rsidP="005F7836">
      <w:pPr>
        <w:spacing w:after="120"/>
      </w:pPr>
      <w:r w:rsidRPr="002C467C">
        <w:t>Therefore</w:t>
      </w:r>
      <w:r w:rsidR="002C467C" w:rsidRPr="002C467C">
        <w:t>,</w:t>
      </w:r>
      <w:r w:rsidRPr="002C467C">
        <w:t xml:space="preserve"> at this point in time</w:t>
      </w:r>
      <w:r w:rsidR="002C467C" w:rsidRPr="002C467C">
        <w:t>,</w:t>
      </w:r>
      <w:r w:rsidRPr="002C467C">
        <w:t xml:space="preserve"> </w:t>
      </w:r>
      <w:r w:rsidR="002C467C" w:rsidRPr="002C467C">
        <w:t>it is not possible</w:t>
      </w:r>
      <w:r w:rsidRPr="002C467C">
        <w:t xml:space="preserve"> to identify gaps in service, as the data does </w:t>
      </w:r>
      <w:r w:rsidR="002C467C" w:rsidRPr="002C467C">
        <w:t xml:space="preserve">not </w:t>
      </w:r>
      <w:r w:rsidRPr="002C467C">
        <w:t xml:space="preserve">allow </w:t>
      </w:r>
      <w:r w:rsidR="002C467C" w:rsidRPr="002C467C">
        <w:t>for accurate measurement of</w:t>
      </w:r>
      <w:r w:rsidRPr="002C467C">
        <w:t xml:space="preserve"> the current level of supervision and trainee at the same</w:t>
      </w:r>
      <w:r w:rsidR="00101017">
        <w:t xml:space="preserve"> point in time</w:t>
      </w:r>
      <w:r w:rsidRPr="002C467C">
        <w:t>.</w:t>
      </w:r>
      <w:r w:rsidR="00675C33" w:rsidRPr="002C467C">
        <w:t xml:space="preserve"> In addition</w:t>
      </w:r>
      <w:r w:rsidR="002C467C" w:rsidRPr="002C467C">
        <w:t>, it is not possible consider within this analysis</w:t>
      </w:r>
      <w:r w:rsidR="00675C33" w:rsidRPr="002C467C">
        <w:t xml:space="preserve"> the non-workforce influences that contribute to the hold up of a trainee </w:t>
      </w:r>
      <w:r w:rsidR="00741B1C" w:rsidRPr="002C467C">
        <w:t>obtaining</w:t>
      </w:r>
      <w:r w:rsidR="00675C33" w:rsidRPr="002C467C">
        <w:t xml:space="preserve"> </w:t>
      </w:r>
      <w:r w:rsidR="004A309D" w:rsidRPr="002C467C">
        <w:t>F</w:t>
      </w:r>
      <w:r w:rsidR="00675C33" w:rsidRPr="002C467C">
        <w:t xml:space="preserve">ellowship. </w:t>
      </w:r>
    </w:p>
    <w:p w:rsidR="00204763" w:rsidRPr="002C467C" w:rsidRDefault="002C467C" w:rsidP="00204763">
      <w:pPr>
        <w:spacing w:before="120" w:after="120"/>
      </w:pPr>
      <w:r w:rsidRPr="002C467C">
        <w:t>T</w:t>
      </w:r>
      <w:r w:rsidR="00204763" w:rsidRPr="002C467C">
        <w:t>emporary and permanent solutions will still need to be considered in the future</w:t>
      </w:r>
      <w:r w:rsidRPr="002C467C">
        <w:t>, a</w:t>
      </w:r>
      <w:r w:rsidR="00204763" w:rsidRPr="002C467C">
        <w:t xml:space="preserve">s some rural/remote areas will continue to be filled by an </w:t>
      </w:r>
      <w:proofErr w:type="spellStart"/>
      <w:r w:rsidR="00204763" w:rsidRPr="002C467C">
        <w:t>OTS</w:t>
      </w:r>
      <w:proofErr w:type="spellEnd"/>
      <w:r w:rsidR="00204763" w:rsidRPr="002C467C">
        <w:t xml:space="preserve"> o</w:t>
      </w:r>
      <w:r w:rsidR="00DF13F5" w:rsidRPr="002C467C">
        <w:t>r</w:t>
      </w:r>
      <w:r w:rsidR="00204763" w:rsidRPr="002C467C">
        <w:t xml:space="preserve"> those on a 19AB restriction</w:t>
      </w:r>
      <w:r w:rsidRPr="002C467C">
        <w:t xml:space="preserve">. That is, the area has been identified as having </w:t>
      </w:r>
      <w:r w:rsidR="00204763" w:rsidRPr="002C467C">
        <w:t xml:space="preserve">no capacity for trainees </w:t>
      </w:r>
      <w:r w:rsidRPr="002C467C">
        <w:t>due to lack of capacity</w:t>
      </w:r>
      <w:r w:rsidR="00204763" w:rsidRPr="002C467C">
        <w:t xml:space="preserve"> to provide supervision. </w:t>
      </w:r>
    </w:p>
    <w:p w:rsidR="003276E5" w:rsidRDefault="003276E5" w:rsidP="00B831A8">
      <w:pPr>
        <w:pStyle w:val="Heading4"/>
      </w:pPr>
      <w:bookmarkStart w:id="52" w:name="_Toc424050486"/>
      <w:r w:rsidRPr="00101017">
        <w:t xml:space="preserve">Key Findings  </w:t>
      </w:r>
    </w:p>
    <w:p w:rsidR="00114D56" w:rsidRPr="00F145E3" w:rsidRDefault="00F145E3" w:rsidP="00D510F1">
      <w:pPr>
        <w:pStyle w:val="ListParagraph"/>
        <w:numPr>
          <w:ilvl w:val="0"/>
          <w:numId w:val="17"/>
        </w:numPr>
        <w:ind w:left="426" w:hanging="426"/>
      </w:pPr>
      <w:r w:rsidRPr="009B675E">
        <w:rPr>
          <w:szCs w:val="22"/>
        </w:rPr>
        <w:t xml:space="preserve">Currently, careful management of posts is required as there are </w:t>
      </w:r>
      <w:r w:rsidRPr="00843A13">
        <w:rPr>
          <w:szCs w:val="22"/>
        </w:rPr>
        <w:t>often limits to the number of training posts in particular areas of practice.</w:t>
      </w:r>
      <w:r w:rsidRPr="009B675E">
        <w:rPr>
          <w:szCs w:val="22"/>
        </w:rPr>
        <w:t xml:space="preserve"> To guarantee access to posts</w:t>
      </w:r>
      <w:r>
        <w:rPr>
          <w:szCs w:val="22"/>
        </w:rPr>
        <w:t>,</w:t>
      </w:r>
      <w:r w:rsidRPr="009B675E">
        <w:rPr>
          <w:szCs w:val="22"/>
        </w:rPr>
        <w:t xml:space="preserve"> trainees are </w:t>
      </w:r>
      <w:r>
        <w:rPr>
          <w:szCs w:val="22"/>
        </w:rPr>
        <w:t xml:space="preserve">often </w:t>
      </w:r>
      <w:r w:rsidRPr="009B675E">
        <w:rPr>
          <w:szCs w:val="22"/>
        </w:rPr>
        <w:t xml:space="preserve">rotated to other specialties first and may </w:t>
      </w:r>
      <w:r>
        <w:rPr>
          <w:szCs w:val="22"/>
        </w:rPr>
        <w:t xml:space="preserve">have to </w:t>
      </w:r>
      <w:r w:rsidRPr="009B675E">
        <w:rPr>
          <w:szCs w:val="22"/>
        </w:rPr>
        <w:t>complete the CAP or CL posts</w:t>
      </w:r>
      <w:r>
        <w:rPr>
          <w:szCs w:val="22"/>
        </w:rPr>
        <w:t xml:space="preserve"> (which need to be completed by the end of Stage 2)</w:t>
      </w:r>
      <w:r w:rsidRPr="009B675E">
        <w:rPr>
          <w:szCs w:val="22"/>
        </w:rPr>
        <w:t xml:space="preserve"> at a later date.</w:t>
      </w:r>
      <w:r>
        <w:rPr>
          <w:szCs w:val="22"/>
        </w:rPr>
        <w:t xml:space="preserve"> It is important to have the ability to quantify and plan for the number of trainees that require CAP and CL rotation.</w:t>
      </w:r>
    </w:p>
    <w:p w:rsidR="00F145E3" w:rsidRPr="00F145E3" w:rsidRDefault="00F145E3" w:rsidP="00D510F1">
      <w:pPr>
        <w:pStyle w:val="ListParagraph"/>
        <w:numPr>
          <w:ilvl w:val="0"/>
          <w:numId w:val="17"/>
        </w:numPr>
        <w:ind w:left="426" w:hanging="426"/>
      </w:pPr>
      <w:r>
        <w:rPr>
          <w:szCs w:val="22"/>
        </w:rPr>
        <w:t xml:space="preserve">Careful consideration needs to be given to the impact of increasing the number of trainees entering the program and the flow on effects on training in all areas of practice, in particular the availability of advanced training posts in areas of practice other than CAP and CL. This will also require consideration of the supervision requirements in Advanced Training and the impact on </w:t>
      </w:r>
      <w:proofErr w:type="spellStart"/>
      <w:r>
        <w:rPr>
          <w:szCs w:val="22"/>
        </w:rPr>
        <w:t>DOTs</w:t>
      </w:r>
      <w:proofErr w:type="spellEnd"/>
      <w:r>
        <w:rPr>
          <w:szCs w:val="22"/>
        </w:rPr>
        <w:t xml:space="preserve"> and local post administration.</w:t>
      </w:r>
    </w:p>
    <w:p w:rsidR="00F145E3" w:rsidRPr="00F145E3" w:rsidRDefault="00F145E3" w:rsidP="00D510F1">
      <w:pPr>
        <w:pStyle w:val="ListParagraph"/>
        <w:numPr>
          <w:ilvl w:val="0"/>
          <w:numId w:val="17"/>
        </w:numPr>
        <w:ind w:left="426" w:hanging="426"/>
      </w:pPr>
      <w:r>
        <w:rPr>
          <w:szCs w:val="22"/>
        </w:rPr>
        <w:t>Given the new training program is a competency based training program, considering other ways of learning and different settings to fulfil the CAP and CL rotations could be a possibility to minimise the bottleneck of trainees moving through the rotations.</w:t>
      </w:r>
    </w:p>
    <w:p w:rsidR="00F145E3" w:rsidRPr="00F145E3" w:rsidRDefault="00F145E3" w:rsidP="00D510F1">
      <w:pPr>
        <w:pStyle w:val="ListParagraph"/>
        <w:numPr>
          <w:ilvl w:val="0"/>
          <w:numId w:val="17"/>
        </w:numPr>
        <w:ind w:left="426" w:hanging="426"/>
      </w:pPr>
      <w:r w:rsidRPr="00D57CAC">
        <w:rPr>
          <w:szCs w:val="22"/>
        </w:rPr>
        <w:t>It is important to note that psychiatry workforce shortages will not be solved by simply creating more training posts in Stage 1. There must be an equivalent increase in Stage 2 and 3 posts and these should be established according to local needs</w:t>
      </w:r>
      <w:r>
        <w:rPr>
          <w:szCs w:val="22"/>
        </w:rPr>
        <w:t xml:space="preserve">. For example, </w:t>
      </w:r>
      <w:r w:rsidRPr="00D57CAC">
        <w:rPr>
          <w:szCs w:val="22"/>
        </w:rPr>
        <w:t xml:space="preserve">WA may need more </w:t>
      </w:r>
      <w:r>
        <w:rPr>
          <w:szCs w:val="22"/>
        </w:rPr>
        <w:t xml:space="preserve">Psychiatry </w:t>
      </w:r>
      <w:r w:rsidRPr="00D57CAC">
        <w:rPr>
          <w:szCs w:val="22"/>
        </w:rPr>
        <w:t xml:space="preserve">Old Age posts while ACT </w:t>
      </w:r>
      <w:proofErr w:type="gramStart"/>
      <w:r w:rsidRPr="00D57CAC">
        <w:rPr>
          <w:szCs w:val="22"/>
        </w:rPr>
        <w:t>may need</w:t>
      </w:r>
      <w:proofErr w:type="gramEnd"/>
      <w:r w:rsidRPr="00D57CAC">
        <w:rPr>
          <w:szCs w:val="22"/>
        </w:rPr>
        <w:t xml:space="preserve"> more CAP. </w:t>
      </w:r>
      <w:r>
        <w:rPr>
          <w:szCs w:val="22"/>
        </w:rPr>
        <w:t>S</w:t>
      </w:r>
      <w:r w:rsidRPr="00D57CAC">
        <w:rPr>
          <w:szCs w:val="22"/>
        </w:rPr>
        <w:t xml:space="preserve">upervisors, </w:t>
      </w:r>
      <w:proofErr w:type="spellStart"/>
      <w:r w:rsidRPr="00D57CAC">
        <w:rPr>
          <w:szCs w:val="22"/>
        </w:rPr>
        <w:t>DOTs</w:t>
      </w:r>
      <w:proofErr w:type="spellEnd"/>
      <w:r w:rsidRPr="00D57CAC">
        <w:rPr>
          <w:szCs w:val="22"/>
        </w:rPr>
        <w:t xml:space="preserve"> and </w:t>
      </w:r>
      <w:proofErr w:type="spellStart"/>
      <w:r w:rsidRPr="00D57CAC">
        <w:rPr>
          <w:szCs w:val="22"/>
        </w:rPr>
        <w:t>BTCs</w:t>
      </w:r>
      <w:proofErr w:type="spellEnd"/>
      <w:r w:rsidRPr="00D57CAC">
        <w:rPr>
          <w:szCs w:val="22"/>
        </w:rPr>
        <w:t>, both professional and administrative</w:t>
      </w:r>
      <w:r>
        <w:rPr>
          <w:szCs w:val="22"/>
        </w:rPr>
        <w:t xml:space="preserve"> will need to be support in this work.</w:t>
      </w:r>
    </w:p>
    <w:p w:rsidR="005457FA" w:rsidRDefault="005457FA" w:rsidP="00B831A8">
      <w:pPr>
        <w:pStyle w:val="Heading3"/>
      </w:pPr>
      <w:bookmarkStart w:id="53" w:name="_Toc445986963"/>
      <w:r w:rsidRPr="00DC0BBE">
        <w:t>S</w:t>
      </w:r>
      <w:r w:rsidR="005B2693">
        <w:t xml:space="preserve">pecialist </w:t>
      </w:r>
      <w:r w:rsidRPr="00DC0BBE">
        <w:t>T</w:t>
      </w:r>
      <w:r w:rsidR="005B2693">
        <w:t xml:space="preserve">raining </w:t>
      </w:r>
      <w:r w:rsidRPr="00DC0BBE">
        <w:t>P</w:t>
      </w:r>
      <w:bookmarkEnd w:id="52"/>
      <w:r w:rsidR="005B2693">
        <w:t>rogramme</w:t>
      </w:r>
      <w:bookmarkEnd w:id="53"/>
      <w:r w:rsidR="005B2693">
        <w:t xml:space="preserve"> </w:t>
      </w:r>
    </w:p>
    <w:p w:rsidR="000457E9" w:rsidRDefault="008D0E4A" w:rsidP="000457E9">
      <w:pPr>
        <w:spacing w:before="120" w:after="120" w:line="276" w:lineRule="auto"/>
        <w:rPr>
          <w:szCs w:val="22"/>
        </w:rPr>
      </w:pPr>
      <w:r>
        <w:rPr>
          <w:rFonts w:cs="Arial"/>
          <w:color w:val="212121"/>
        </w:rPr>
        <w:t xml:space="preserve">Commonwealth funding of the </w:t>
      </w:r>
      <w:proofErr w:type="spellStart"/>
      <w:r>
        <w:rPr>
          <w:rFonts w:cs="Arial"/>
          <w:color w:val="212121"/>
        </w:rPr>
        <w:t>STP</w:t>
      </w:r>
      <w:proofErr w:type="spellEnd"/>
      <w:r>
        <w:rPr>
          <w:rFonts w:cs="Arial"/>
          <w:color w:val="212121"/>
        </w:rPr>
        <w:t xml:space="preserve"> provides an important, albeit small overall, contribution to the total number of training places available nationally, with </w:t>
      </w:r>
      <w:proofErr w:type="spellStart"/>
      <w:r w:rsidR="003D6B16" w:rsidRPr="00DC0BBE">
        <w:rPr>
          <w:rFonts w:cs="Arial"/>
          <w:color w:val="212121"/>
        </w:rPr>
        <w:t>STP</w:t>
      </w:r>
      <w:proofErr w:type="spellEnd"/>
      <w:r w:rsidR="003D6B16" w:rsidRPr="00DC0BBE">
        <w:rPr>
          <w:rFonts w:cs="Arial"/>
          <w:color w:val="212121"/>
        </w:rPr>
        <w:t xml:space="preserve"> posts </w:t>
      </w:r>
      <w:r>
        <w:rPr>
          <w:rFonts w:cs="Arial"/>
          <w:color w:val="212121"/>
        </w:rPr>
        <w:t xml:space="preserve">supporting </w:t>
      </w:r>
      <w:r w:rsidR="003D6B16" w:rsidRPr="00DC0BBE">
        <w:rPr>
          <w:rFonts w:cs="Arial"/>
          <w:color w:val="212121"/>
        </w:rPr>
        <w:t>the</w:t>
      </w:r>
      <w:r w:rsidR="000457E9">
        <w:rPr>
          <w:rFonts w:cs="Arial"/>
          <w:color w:val="212121"/>
        </w:rPr>
        <w:t xml:space="preserve"> training</w:t>
      </w:r>
      <w:r w:rsidR="003D6B16" w:rsidRPr="00DC0BBE">
        <w:rPr>
          <w:rFonts w:cs="Arial"/>
          <w:color w:val="212121"/>
        </w:rPr>
        <w:t xml:space="preserve"> program as trainee numbers increase </w:t>
      </w:r>
      <w:r>
        <w:rPr>
          <w:rFonts w:cs="Arial"/>
          <w:color w:val="212121"/>
        </w:rPr>
        <w:t>and providing</w:t>
      </w:r>
      <w:r w:rsidR="003D6B16" w:rsidRPr="00DC0BBE">
        <w:rPr>
          <w:rFonts w:cs="Arial"/>
          <w:color w:val="212121"/>
        </w:rPr>
        <w:t xml:space="preserve"> trainee exposure to high prevalence-low acuity disorders, which may not be as available in public hospital settings.</w:t>
      </w:r>
      <w:r w:rsidR="000457E9">
        <w:rPr>
          <w:rFonts w:cs="Arial"/>
          <w:color w:val="212121"/>
        </w:rPr>
        <w:t xml:space="preserve"> </w:t>
      </w:r>
      <w:r w:rsidRPr="00DC0BBE">
        <w:rPr>
          <w:rFonts w:cs="Arial"/>
          <w:color w:val="212121"/>
        </w:rPr>
        <w:t xml:space="preserve">The </w:t>
      </w:r>
      <w:proofErr w:type="spellStart"/>
      <w:r w:rsidRPr="00DC0BBE">
        <w:rPr>
          <w:rFonts w:cs="Arial"/>
          <w:color w:val="212121"/>
        </w:rPr>
        <w:t>RANZCP</w:t>
      </w:r>
      <w:proofErr w:type="spellEnd"/>
      <w:r w:rsidRPr="00DC0BBE">
        <w:rPr>
          <w:rFonts w:cs="Arial"/>
          <w:color w:val="212121"/>
        </w:rPr>
        <w:t xml:space="preserve"> currently has</w:t>
      </w:r>
      <w:r>
        <w:rPr>
          <w:rFonts w:cs="Arial"/>
          <w:color w:val="212121"/>
        </w:rPr>
        <w:t xml:space="preserve"> contracts with </w:t>
      </w:r>
      <w:r w:rsidRPr="00DC0BBE">
        <w:rPr>
          <w:rFonts w:cs="Arial"/>
          <w:color w:val="212121"/>
        </w:rPr>
        <w:t xml:space="preserve">178 </w:t>
      </w:r>
      <w:proofErr w:type="spellStart"/>
      <w:r w:rsidRPr="00DC0BBE">
        <w:rPr>
          <w:rFonts w:cs="Arial"/>
          <w:color w:val="212121"/>
        </w:rPr>
        <w:t>STP</w:t>
      </w:r>
      <w:proofErr w:type="spellEnd"/>
      <w:r w:rsidRPr="00DC0BBE">
        <w:rPr>
          <w:rFonts w:cs="Arial"/>
          <w:color w:val="212121"/>
        </w:rPr>
        <w:t xml:space="preserve"> posts</w:t>
      </w:r>
      <w:r>
        <w:rPr>
          <w:rFonts w:cs="Arial"/>
          <w:color w:val="212121"/>
        </w:rPr>
        <w:t xml:space="preserve"> to achieve a target of 160 FTE filled</w:t>
      </w:r>
      <w:r w:rsidRPr="00DC0BBE">
        <w:rPr>
          <w:rFonts w:cs="Arial"/>
          <w:color w:val="212121"/>
        </w:rPr>
        <w:t xml:space="preserve">. </w:t>
      </w:r>
      <w:r w:rsidR="00881BB9">
        <w:rPr>
          <w:rFonts w:cs="Arial"/>
          <w:color w:val="212121"/>
        </w:rPr>
        <w:t xml:space="preserve">Funding for </w:t>
      </w:r>
      <w:proofErr w:type="spellStart"/>
      <w:r w:rsidR="000457E9" w:rsidRPr="002C6F0E">
        <w:rPr>
          <w:szCs w:val="22"/>
        </w:rPr>
        <w:t>STP</w:t>
      </w:r>
      <w:proofErr w:type="spellEnd"/>
      <w:r w:rsidR="000457E9" w:rsidRPr="002C6F0E">
        <w:rPr>
          <w:szCs w:val="22"/>
        </w:rPr>
        <w:t xml:space="preserve"> posts </w:t>
      </w:r>
      <w:r w:rsidR="00881BB9" w:rsidRPr="009950E7">
        <w:rPr>
          <w:szCs w:val="22"/>
        </w:rPr>
        <w:t xml:space="preserve">is </w:t>
      </w:r>
      <w:r w:rsidR="002C6F0E" w:rsidRPr="009950E7">
        <w:rPr>
          <w:szCs w:val="22"/>
        </w:rPr>
        <w:t xml:space="preserve">distributed by the </w:t>
      </w:r>
      <w:proofErr w:type="spellStart"/>
      <w:proofErr w:type="gramStart"/>
      <w:r w:rsidR="002C6F0E" w:rsidRPr="009950E7">
        <w:rPr>
          <w:szCs w:val="22"/>
        </w:rPr>
        <w:t>RANZCP</w:t>
      </w:r>
      <w:proofErr w:type="spellEnd"/>
      <w:r w:rsidR="00C52429">
        <w:rPr>
          <w:szCs w:val="22"/>
        </w:rPr>
        <w:t>,</w:t>
      </w:r>
      <w:proofErr w:type="gramEnd"/>
      <w:r w:rsidR="002C6F0E" w:rsidRPr="009950E7">
        <w:rPr>
          <w:szCs w:val="22"/>
        </w:rPr>
        <w:t xml:space="preserve"> however the </w:t>
      </w:r>
      <w:r w:rsidR="00455161" w:rsidRPr="00455161">
        <w:rPr>
          <w:szCs w:val="22"/>
        </w:rPr>
        <w:t>positions</w:t>
      </w:r>
      <w:r w:rsidR="002C6F0E" w:rsidRPr="009950E7">
        <w:rPr>
          <w:szCs w:val="22"/>
        </w:rPr>
        <w:t xml:space="preserve"> are</w:t>
      </w:r>
      <w:r w:rsidR="00D2390D">
        <w:rPr>
          <w:szCs w:val="22"/>
        </w:rPr>
        <w:t xml:space="preserve"> </w:t>
      </w:r>
      <w:r w:rsidR="000457E9" w:rsidRPr="00455161">
        <w:rPr>
          <w:szCs w:val="22"/>
        </w:rPr>
        <w:t>primarily controlled by branches and health services. So it is essentially an employment</w:t>
      </w:r>
      <w:r w:rsidR="00881BB9" w:rsidRPr="009950E7">
        <w:rPr>
          <w:szCs w:val="22"/>
        </w:rPr>
        <w:t xml:space="preserve"> and branch</w:t>
      </w:r>
      <w:r w:rsidR="000457E9" w:rsidRPr="002C6F0E">
        <w:rPr>
          <w:szCs w:val="22"/>
        </w:rPr>
        <w:t xml:space="preserve"> decision on </w:t>
      </w:r>
      <w:r w:rsidR="002C6F0E" w:rsidRPr="009950E7">
        <w:rPr>
          <w:szCs w:val="22"/>
        </w:rPr>
        <w:t xml:space="preserve">the type/location of positions that apply for </w:t>
      </w:r>
      <w:r w:rsidR="00881BB9" w:rsidRPr="009950E7">
        <w:rPr>
          <w:szCs w:val="22"/>
        </w:rPr>
        <w:t xml:space="preserve">funding under </w:t>
      </w:r>
      <w:proofErr w:type="spellStart"/>
      <w:r w:rsidR="00881BB9" w:rsidRPr="009950E7">
        <w:rPr>
          <w:szCs w:val="22"/>
        </w:rPr>
        <w:t>STP</w:t>
      </w:r>
      <w:proofErr w:type="spellEnd"/>
      <w:r w:rsidR="00881BB9" w:rsidRPr="009950E7">
        <w:rPr>
          <w:szCs w:val="22"/>
        </w:rPr>
        <w:t>.</w:t>
      </w:r>
      <w:r w:rsidR="002C6F0E" w:rsidRPr="009950E7" w:rsidDel="002C6F0E">
        <w:rPr>
          <w:szCs w:val="22"/>
        </w:rPr>
        <w:t xml:space="preserve"> </w:t>
      </w:r>
    </w:p>
    <w:p w:rsidR="00950DA9" w:rsidRDefault="00FB37D1" w:rsidP="009950E7">
      <w:pPr>
        <w:spacing w:before="120" w:after="120" w:line="276" w:lineRule="auto"/>
        <w:rPr>
          <w:szCs w:val="22"/>
        </w:rPr>
      </w:pPr>
      <w:r>
        <w:rPr>
          <w:szCs w:val="22"/>
        </w:rPr>
        <w:t>T</w:t>
      </w:r>
      <w:r w:rsidR="00A846F8">
        <w:rPr>
          <w:szCs w:val="22"/>
        </w:rPr>
        <w:t xml:space="preserve">he </w:t>
      </w:r>
      <w:proofErr w:type="spellStart"/>
      <w:r w:rsidR="00A846F8">
        <w:rPr>
          <w:szCs w:val="22"/>
        </w:rPr>
        <w:t>CATool</w:t>
      </w:r>
      <w:proofErr w:type="spellEnd"/>
      <w:r w:rsidR="00A846F8">
        <w:rPr>
          <w:szCs w:val="22"/>
        </w:rPr>
        <w:t xml:space="preserve"> </w:t>
      </w:r>
      <w:r w:rsidR="000457E9">
        <w:rPr>
          <w:szCs w:val="22"/>
        </w:rPr>
        <w:t xml:space="preserve">shows the difference between the trainees </w:t>
      </w:r>
      <w:r>
        <w:rPr>
          <w:szCs w:val="22"/>
        </w:rPr>
        <w:t xml:space="preserve">and the </w:t>
      </w:r>
      <w:proofErr w:type="spellStart"/>
      <w:r>
        <w:rPr>
          <w:szCs w:val="22"/>
        </w:rPr>
        <w:t>STP</w:t>
      </w:r>
      <w:proofErr w:type="spellEnd"/>
      <w:r>
        <w:rPr>
          <w:szCs w:val="22"/>
        </w:rPr>
        <w:t xml:space="preserve"> posts.  In </w:t>
      </w:r>
      <w:r w:rsidR="00EA5D5C">
        <w:rPr>
          <w:szCs w:val="22"/>
        </w:rPr>
        <w:t>Queensland</w:t>
      </w:r>
      <w:r w:rsidR="00FD1D78">
        <w:rPr>
          <w:szCs w:val="22"/>
        </w:rPr>
        <w:t xml:space="preserve"> </w:t>
      </w:r>
      <w:r w:rsidR="00950DA9">
        <w:rPr>
          <w:szCs w:val="22"/>
        </w:rPr>
        <w:t xml:space="preserve">the number of trainees </w:t>
      </w:r>
      <w:r>
        <w:rPr>
          <w:szCs w:val="22"/>
        </w:rPr>
        <w:t>was</w:t>
      </w:r>
      <w:r w:rsidR="00950DA9">
        <w:rPr>
          <w:szCs w:val="22"/>
        </w:rPr>
        <w:t xml:space="preserve"> </w:t>
      </w:r>
      <w:r w:rsidR="00A846F8">
        <w:rPr>
          <w:szCs w:val="22"/>
        </w:rPr>
        <w:t>greater</w:t>
      </w:r>
      <w:r w:rsidR="00950DA9">
        <w:rPr>
          <w:szCs w:val="22"/>
        </w:rPr>
        <w:t xml:space="preserve"> than the number of </w:t>
      </w:r>
      <w:proofErr w:type="spellStart"/>
      <w:r w:rsidR="00950DA9">
        <w:rPr>
          <w:szCs w:val="22"/>
        </w:rPr>
        <w:t>STP</w:t>
      </w:r>
      <w:proofErr w:type="spellEnd"/>
      <w:r w:rsidR="00950DA9">
        <w:rPr>
          <w:szCs w:val="22"/>
        </w:rPr>
        <w:t xml:space="preserve"> posts</w:t>
      </w:r>
      <w:r w:rsidR="008D0E4A">
        <w:rPr>
          <w:szCs w:val="22"/>
        </w:rPr>
        <w:t>;</w:t>
      </w:r>
      <w:r w:rsidR="00950DA9">
        <w:rPr>
          <w:szCs w:val="22"/>
        </w:rPr>
        <w:t xml:space="preserve"> not all trainees </w:t>
      </w:r>
      <w:r>
        <w:rPr>
          <w:szCs w:val="22"/>
        </w:rPr>
        <w:t>were</w:t>
      </w:r>
      <w:r w:rsidR="00950DA9">
        <w:rPr>
          <w:szCs w:val="22"/>
        </w:rPr>
        <w:t xml:space="preserve"> located at an </w:t>
      </w:r>
      <w:proofErr w:type="spellStart"/>
      <w:r w:rsidR="00950DA9">
        <w:rPr>
          <w:szCs w:val="22"/>
        </w:rPr>
        <w:t>STP</w:t>
      </w:r>
      <w:proofErr w:type="spellEnd"/>
      <w:r w:rsidR="00950DA9">
        <w:rPr>
          <w:szCs w:val="22"/>
        </w:rPr>
        <w:t xml:space="preserve"> post</w:t>
      </w:r>
      <w:r w:rsidR="008D0E4A">
        <w:rPr>
          <w:szCs w:val="22"/>
        </w:rPr>
        <w:t>,</w:t>
      </w:r>
      <w:r w:rsidR="00950DA9">
        <w:rPr>
          <w:szCs w:val="22"/>
        </w:rPr>
        <w:t xml:space="preserve"> and in fact there </w:t>
      </w:r>
      <w:r>
        <w:rPr>
          <w:szCs w:val="22"/>
        </w:rPr>
        <w:t>were</w:t>
      </w:r>
      <w:r w:rsidR="00950DA9">
        <w:rPr>
          <w:szCs w:val="22"/>
        </w:rPr>
        <w:t xml:space="preserve"> an additional 177 trainees that </w:t>
      </w:r>
      <w:r>
        <w:rPr>
          <w:szCs w:val="22"/>
        </w:rPr>
        <w:t>were</w:t>
      </w:r>
      <w:r w:rsidR="00950DA9">
        <w:rPr>
          <w:szCs w:val="22"/>
        </w:rPr>
        <w:t xml:space="preserve"> located at facilities </w:t>
      </w:r>
      <w:r w:rsidR="00950DA9">
        <w:rPr>
          <w:szCs w:val="22"/>
        </w:rPr>
        <w:lastRenderedPageBreak/>
        <w:t xml:space="preserve">that </w:t>
      </w:r>
      <w:r>
        <w:rPr>
          <w:szCs w:val="22"/>
        </w:rPr>
        <w:t>were</w:t>
      </w:r>
      <w:r w:rsidR="00950DA9">
        <w:rPr>
          <w:szCs w:val="22"/>
        </w:rPr>
        <w:t xml:space="preserve"> funded through Queensland </w:t>
      </w:r>
      <w:r w:rsidR="003276E5">
        <w:rPr>
          <w:szCs w:val="22"/>
        </w:rPr>
        <w:t>Health</w:t>
      </w:r>
      <w:r w:rsidR="00950DA9">
        <w:rPr>
          <w:szCs w:val="22"/>
        </w:rPr>
        <w:t xml:space="preserve">. Data was requested from all jurisdictions on their number of publically funded training posts. </w:t>
      </w:r>
      <w:r w:rsidR="008D0E4A">
        <w:rPr>
          <w:szCs w:val="22"/>
        </w:rPr>
        <w:t>Note the Department was</w:t>
      </w:r>
      <w:r w:rsidR="00950DA9">
        <w:rPr>
          <w:szCs w:val="22"/>
        </w:rPr>
        <w:t xml:space="preserve"> unable to map all the training posts as not all jurisdiction provided data for this to be </w:t>
      </w:r>
      <w:r w:rsidR="008D0E4A">
        <w:rPr>
          <w:szCs w:val="22"/>
        </w:rPr>
        <w:t>done</w:t>
      </w:r>
      <w:r w:rsidR="00950DA9">
        <w:rPr>
          <w:szCs w:val="22"/>
        </w:rPr>
        <w:t xml:space="preserve">. </w:t>
      </w:r>
      <w:r w:rsidR="008D0E4A">
        <w:rPr>
          <w:szCs w:val="22"/>
        </w:rPr>
        <w:t xml:space="preserve">However, </w:t>
      </w:r>
      <w:r w:rsidR="00950DA9">
        <w:rPr>
          <w:szCs w:val="22"/>
        </w:rPr>
        <w:t xml:space="preserve">Queensland did provide data and reported 230 registrars training at a Queensland Health facility. </w:t>
      </w:r>
    </w:p>
    <w:p w:rsidR="000457E9" w:rsidRPr="008D0E4A" w:rsidRDefault="005F7836" w:rsidP="008D0E4A">
      <w:proofErr w:type="spellStart"/>
      <w:r w:rsidRPr="008D0E4A">
        <w:t>STP</w:t>
      </w:r>
      <w:proofErr w:type="spellEnd"/>
      <w:r w:rsidRPr="008D0E4A">
        <w:t xml:space="preserve"> funding agreements vary between colleges, as does the number of support</w:t>
      </w:r>
      <w:r w:rsidR="00AF1F43" w:rsidRPr="008D0E4A">
        <w:t>ed</w:t>
      </w:r>
      <w:r w:rsidRPr="008D0E4A">
        <w:t xml:space="preserve"> </w:t>
      </w:r>
      <w:proofErr w:type="spellStart"/>
      <w:r w:rsidRPr="008D0E4A">
        <w:t>STP</w:t>
      </w:r>
      <w:proofErr w:type="spellEnd"/>
      <w:r w:rsidRPr="008D0E4A">
        <w:t xml:space="preserve"> posts. There are a number of </w:t>
      </w:r>
      <w:proofErr w:type="spellStart"/>
      <w:r w:rsidRPr="008D0E4A">
        <w:t>STP</w:t>
      </w:r>
      <w:proofErr w:type="spellEnd"/>
      <w:r w:rsidRPr="008D0E4A">
        <w:t xml:space="preserve"> support projects </w:t>
      </w:r>
      <w:r w:rsidR="00A846F8" w:rsidRPr="008D0E4A">
        <w:t xml:space="preserve">for psychiatry </w:t>
      </w:r>
      <w:r w:rsidRPr="008D0E4A">
        <w:t xml:space="preserve">that </w:t>
      </w:r>
      <w:r w:rsidR="00C64172" w:rsidRPr="008D0E4A">
        <w:t>t</w:t>
      </w:r>
      <w:r w:rsidR="00741B1C" w:rsidRPr="008D0E4A">
        <w:t>he C</w:t>
      </w:r>
      <w:r w:rsidR="00C64172" w:rsidRPr="008D0E4A">
        <w:t xml:space="preserve">ommonwealth funds, which will be considered as part of the </w:t>
      </w:r>
      <w:proofErr w:type="spellStart"/>
      <w:r w:rsidR="00C64172" w:rsidRPr="008D0E4A">
        <w:t>STP</w:t>
      </w:r>
      <w:proofErr w:type="spellEnd"/>
      <w:r w:rsidR="00C64172" w:rsidRPr="008D0E4A">
        <w:t xml:space="preserve"> review</w:t>
      </w:r>
      <w:r w:rsidR="008D0E4A" w:rsidRPr="008D0E4A">
        <w:t>. T</w:t>
      </w:r>
      <w:r w:rsidR="00741B1C" w:rsidRPr="008D0E4A">
        <w:t>hese programs include</w:t>
      </w:r>
      <w:r w:rsidR="004F18E9" w:rsidRPr="008D0E4A">
        <w:t>:</w:t>
      </w:r>
    </w:p>
    <w:p w:rsidR="00E82A2F" w:rsidRPr="008D0E4A" w:rsidRDefault="00E82A2F" w:rsidP="00D510F1">
      <w:pPr>
        <w:pStyle w:val="ListParagraph"/>
        <w:numPr>
          <w:ilvl w:val="0"/>
          <w:numId w:val="7"/>
        </w:numPr>
        <w:ind w:left="426" w:hanging="426"/>
        <w:rPr>
          <w:color w:val="212121"/>
        </w:rPr>
      </w:pPr>
      <w:r w:rsidRPr="008D0E4A">
        <w:rPr>
          <w:color w:val="212121"/>
        </w:rPr>
        <w:t>Current support for rural trainees (mentor</w:t>
      </w:r>
      <w:r w:rsidR="00A846F8" w:rsidRPr="008D0E4A">
        <w:rPr>
          <w:color w:val="212121"/>
        </w:rPr>
        <w:t>ing, webinars, exam preparation and</w:t>
      </w:r>
      <w:r w:rsidRPr="008D0E4A">
        <w:rPr>
          <w:color w:val="212121"/>
        </w:rPr>
        <w:t xml:space="preserve"> rural grants) to enhance the rural experience and therefore encourage uptake of rural training posts/post Fellowship employment.</w:t>
      </w:r>
    </w:p>
    <w:p w:rsidR="005F7836" w:rsidRPr="008D0E4A" w:rsidRDefault="00E82A2F" w:rsidP="00D510F1">
      <w:pPr>
        <w:pStyle w:val="ListParagraph"/>
        <w:numPr>
          <w:ilvl w:val="0"/>
          <w:numId w:val="7"/>
        </w:numPr>
        <w:ind w:left="426" w:hanging="426"/>
        <w:rPr>
          <w:color w:val="212121"/>
        </w:rPr>
      </w:pPr>
      <w:r w:rsidRPr="008D0E4A">
        <w:rPr>
          <w:color w:val="212121"/>
        </w:rPr>
        <w:t>Recruitment into psychiatry (short courses, competitions, scholarships to congress, psychiatry interest forum)</w:t>
      </w:r>
      <w:r w:rsidR="008D0E4A" w:rsidRPr="008D0E4A">
        <w:rPr>
          <w:color w:val="212121"/>
        </w:rPr>
        <w:t>, which</w:t>
      </w:r>
      <w:r w:rsidRPr="008D0E4A">
        <w:rPr>
          <w:color w:val="212121"/>
        </w:rPr>
        <w:t xml:space="preserve"> has increased the profile of psychiatry among medical students and junior doctors. The </w:t>
      </w:r>
      <w:proofErr w:type="spellStart"/>
      <w:r w:rsidRPr="008D0E4A">
        <w:rPr>
          <w:color w:val="212121"/>
        </w:rPr>
        <w:t>RANZCP</w:t>
      </w:r>
      <w:proofErr w:type="spellEnd"/>
      <w:r w:rsidRPr="008D0E4A">
        <w:rPr>
          <w:color w:val="212121"/>
        </w:rPr>
        <w:t xml:space="preserve"> currently has 1</w:t>
      </w:r>
      <w:r w:rsidR="00A846F8" w:rsidRPr="008D0E4A">
        <w:rPr>
          <w:color w:val="212121"/>
        </w:rPr>
        <w:t>,</w:t>
      </w:r>
      <w:r w:rsidR="00097DE1" w:rsidRPr="008D0E4A">
        <w:rPr>
          <w:color w:val="212121"/>
        </w:rPr>
        <w:t>323</w:t>
      </w:r>
      <w:r w:rsidRPr="008D0E4A">
        <w:rPr>
          <w:color w:val="212121"/>
        </w:rPr>
        <w:t xml:space="preserve"> Psychiatry interest forum (</w:t>
      </w:r>
      <w:proofErr w:type="spellStart"/>
      <w:r w:rsidRPr="008D0E4A">
        <w:rPr>
          <w:color w:val="212121"/>
        </w:rPr>
        <w:t>PIF</w:t>
      </w:r>
      <w:proofErr w:type="spellEnd"/>
      <w:r w:rsidRPr="008D0E4A">
        <w:rPr>
          <w:color w:val="212121"/>
        </w:rPr>
        <w:t>) members; 8</w:t>
      </w:r>
      <w:r w:rsidR="00097DE1" w:rsidRPr="008D0E4A">
        <w:rPr>
          <w:color w:val="212121"/>
        </w:rPr>
        <w:t>1</w:t>
      </w:r>
      <w:r w:rsidRPr="008D0E4A">
        <w:rPr>
          <w:color w:val="212121"/>
        </w:rPr>
        <w:t xml:space="preserve"> </w:t>
      </w:r>
      <w:proofErr w:type="spellStart"/>
      <w:r w:rsidRPr="008D0E4A">
        <w:rPr>
          <w:color w:val="212121"/>
        </w:rPr>
        <w:t>PIF</w:t>
      </w:r>
      <w:proofErr w:type="spellEnd"/>
      <w:r w:rsidRPr="008D0E4A">
        <w:rPr>
          <w:color w:val="212121"/>
        </w:rPr>
        <w:t xml:space="preserve"> members have joined the training program</w:t>
      </w:r>
      <w:r w:rsidR="00097DE1" w:rsidRPr="008D0E4A">
        <w:rPr>
          <w:color w:val="212121"/>
        </w:rPr>
        <w:t xml:space="preserve"> (24% of those deemed eligible)</w:t>
      </w:r>
      <w:r w:rsidRPr="008D0E4A">
        <w:rPr>
          <w:color w:val="212121"/>
        </w:rPr>
        <w:t xml:space="preserve"> </w:t>
      </w:r>
      <w:r w:rsidR="009950E7" w:rsidRPr="008D0E4A">
        <w:rPr>
          <w:color w:val="212121"/>
        </w:rPr>
        <w:t xml:space="preserve">with more conversions </w:t>
      </w:r>
      <w:r w:rsidRPr="008D0E4A">
        <w:rPr>
          <w:color w:val="212121"/>
        </w:rPr>
        <w:t>anticipate</w:t>
      </w:r>
      <w:r w:rsidR="009950E7" w:rsidRPr="008D0E4A">
        <w:rPr>
          <w:color w:val="212121"/>
        </w:rPr>
        <w:t>d</w:t>
      </w:r>
      <w:r w:rsidRPr="008D0E4A">
        <w:rPr>
          <w:color w:val="212121"/>
        </w:rPr>
        <w:t xml:space="preserve"> in the future. Introduction to psychiatry short courses have been held for </w:t>
      </w:r>
      <w:r w:rsidR="00097DE1" w:rsidRPr="008D0E4A">
        <w:rPr>
          <w:color w:val="212121"/>
        </w:rPr>
        <w:t xml:space="preserve">106 </w:t>
      </w:r>
      <w:r w:rsidRPr="008D0E4A">
        <w:rPr>
          <w:color w:val="212121"/>
        </w:rPr>
        <w:t xml:space="preserve">participants, the majority of whom state that this has encouraged them to consider a future in psychiatry. </w:t>
      </w:r>
    </w:p>
    <w:p w:rsidR="00C64172" w:rsidRPr="008D0E4A" w:rsidRDefault="00E82A2F" w:rsidP="00D510F1">
      <w:pPr>
        <w:pStyle w:val="ListParagraph"/>
        <w:numPr>
          <w:ilvl w:val="0"/>
          <w:numId w:val="7"/>
        </w:numPr>
        <w:ind w:left="426" w:hanging="426"/>
        <w:rPr>
          <w:color w:val="212121"/>
        </w:rPr>
      </w:pPr>
      <w:r w:rsidRPr="008D0E4A">
        <w:rPr>
          <w:color w:val="212121"/>
        </w:rPr>
        <w:t>Support for Directors of Training</w:t>
      </w:r>
      <w:r w:rsidR="00C64172" w:rsidRPr="008D0E4A">
        <w:rPr>
          <w:color w:val="212121"/>
        </w:rPr>
        <w:t xml:space="preserve"> – t</w:t>
      </w:r>
      <w:r w:rsidRPr="008D0E4A">
        <w:rPr>
          <w:color w:val="212121"/>
        </w:rPr>
        <w:t xml:space="preserve">he </w:t>
      </w:r>
      <w:proofErr w:type="spellStart"/>
      <w:r w:rsidRPr="008D0E4A">
        <w:rPr>
          <w:color w:val="212121"/>
        </w:rPr>
        <w:t>RANZCP</w:t>
      </w:r>
      <w:proofErr w:type="spellEnd"/>
      <w:r w:rsidRPr="008D0E4A">
        <w:rPr>
          <w:color w:val="212121"/>
        </w:rPr>
        <w:t xml:space="preserve"> </w:t>
      </w:r>
      <w:r w:rsidR="008D0E4A">
        <w:rPr>
          <w:color w:val="212121"/>
        </w:rPr>
        <w:t>c</w:t>
      </w:r>
      <w:r w:rsidR="008D0E4A" w:rsidRPr="008D0E4A">
        <w:rPr>
          <w:color w:val="212121"/>
        </w:rPr>
        <w:t xml:space="preserve">alculates </w:t>
      </w:r>
      <w:r w:rsidRPr="008D0E4A">
        <w:rPr>
          <w:color w:val="212121"/>
        </w:rPr>
        <w:t xml:space="preserve">the amount of administrative support and funding for a DOT based on a formula related to the total number of trainees and involvement in course conduction. The amount of funding differs due to different numbers of trainees and different health systems. The formula is 0.5 FTE DOT time for every 20 trainees for training support, teaching, remediation, and administration, 0.4 FTE if there is a separate Formal Education Course or </w:t>
      </w:r>
      <w:r w:rsidR="00A34F47" w:rsidRPr="008D0E4A">
        <w:rPr>
          <w:color w:val="212121"/>
        </w:rPr>
        <w:t>Master’s</w:t>
      </w:r>
      <w:r w:rsidRPr="008D0E4A">
        <w:rPr>
          <w:color w:val="212121"/>
        </w:rPr>
        <w:t xml:space="preserve"> program. Administrative support is 0.4 FTE </w:t>
      </w:r>
      <w:r w:rsidR="00A34F47" w:rsidRPr="008D0E4A">
        <w:rPr>
          <w:color w:val="212121"/>
        </w:rPr>
        <w:t>administrations</w:t>
      </w:r>
      <w:r w:rsidRPr="008D0E4A">
        <w:rPr>
          <w:color w:val="212121"/>
        </w:rPr>
        <w:t xml:space="preserve"> staffing per 20 trainees.</w:t>
      </w:r>
    </w:p>
    <w:p w:rsidR="00101017" w:rsidRDefault="00101017" w:rsidP="00B831A8">
      <w:pPr>
        <w:pStyle w:val="Heading4"/>
      </w:pPr>
      <w:r w:rsidRPr="00101017">
        <w:t>Key findings</w:t>
      </w:r>
    </w:p>
    <w:p w:rsidR="00FB37D1" w:rsidRPr="00FB37D1" w:rsidRDefault="00FB37D1" w:rsidP="00D510F1">
      <w:pPr>
        <w:pStyle w:val="ListParagraph"/>
        <w:numPr>
          <w:ilvl w:val="0"/>
          <w:numId w:val="18"/>
        </w:numPr>
        <w:ind w:left="426" w:hanging="426"/>
      </w:pPr>
      <w:r w:rsidRPr="00B42DC2">
        <w:rPr>
          <w:szCs w:val="22"/>
        </w:rPr>
        <w:t>Investigate the pre-requisites to increasing the amount of training undertaken in the pri</w:t>
      </w:r>
      <w:r>
        <w:rPr>
          <w:szCs w:val="22"/>
        </w:rPr>
        <w:t>vate sector, in primary care,</w:t>
      </w:r>
      <w:r w:rsidRPr="00B42DC2">
        <w:rPr>
          <w:szCs w:val="22"/>
        </w:rPr>
        <w:t xml:space="preserve"> in rural and remote locations</w:t>
      </w:r>
      <w:r>
        <w:rPr>
          <w:szCs w:val="22"/>
        </w:rPr>
        <w:t xml:space="preserve"> and assistance to </w:t>
      </w:r>
      <w:proofErr w:type="spellStart"/>
      <w:r>
        <w:rPr>
          <w:szCs w:val="22"/>
        </w:rPr>
        <w:t>DOTs</w:t>
      </w:r>
      <w:proofErr w:type="spellEnd"/>
      <w:r>
        <w:rPr>
          <w:szCs w:val="22"/>
        </w:rPr>
        <w:t>.</w:t>
      </w:r>
    </w:p>
    <w:p w:rsidR="00FB37D1" w:rsidRPr="00FB37D1" w:rsidRDefault="00FB37D1" w:rsidP="00D510F1">
      <w:pPr>
        <w:pStyle w:val="ListParagraph"/>
        <w:numPr>
          <w:ilvl w:val="0"/>
          <w:numId w:val="18"/>
        </w:numPr>
        <w:ind w:left="426" w:hanging="426"/>
      </w:pPr>
      <w:r w:rsidRPr="008D0E4A">
        <w:rPr>
          <w:szCs w:val="22"/>
        </w:rPr>
        <w:t xml:space="preserve">In order to fully support any newly created training posts and ensure the ongoing success of existing ones, it is important to consider that the funding allocated to </w:t>
      </w:r>
      <w:proofErr w:type="spellStart"/>
      <w:r w:rsidRPr="008D0E4A">
        <w:rPr>
          <w:szCs w:val="22"/>
        </w:rPr>
        <w:t>STP</w:t>
      </w:r>
      <w:proofErr w:type="spellEnd"/>
      <w:r w:rsidRPr="008D0E4A">
        <w:rPr>
          <w:szCs w:val="22"/>
        </w:rPr>
        <w:t xml:space="preserve"> posts does not cover the actual costs to the service of maintaining the posts. This will be an important factor in encouraging more private sector and rural and remote training</w:t>
      </w:r>
      <w:r>
        <w:rPr>
          <w:szCs w:val="22"/>
        </w:rPr>
        <w:t>.</w:t>
      </w:r>
    </w:p>
    <w:p w:rsidR="00FB37D1" w:rsidRDefault="00FB37D1" w:rsidP="00D510F1">
      <w:pPr>
        <w:pStyle w:val="ListParagraph"/>
        <w:numPr>
          <w:ilvl w:val="0"/>
          <w:numId w:val="18"/>
        </w:numPr>
        <w:spacing w:before="120" w:after="120"/>
        <w:ind w:left="426" w:hanging="426"/>
        <w:rPr>
          <w:szCs w:val="22"/>
        </w:rPr>
      </w:pPr>
      <w:r w:rsidRPr="00510B3F">
        <w:rPr>
          <w:szCs w:val="22"/>
        </w:rPr>
        <w:t xml:space="preserve">Other support projects to ensure adequate </w:t>
      </w:r>
      <w:r>
        <w:rPr>
          <w:szCs w:val="22"/>
        </w:rPr>
        <w:t xml:space="preserve">distribution, </w:t>
      </w:r>
      <w:r w:rsidRPr="00510B3F">
        <w:rPr>
          <w:szCs w:val="22"/>
        </w:rPr>
        <w:t>recruitment, retention, professional development and job satisfaction should build on the projects already under</w:t>
      </w:r>
      <w:r>
        <w:rPr>
          <w:szCs w:val="22"/>
        </w:rPr>
        <w:t xml:space="preserve"> the </w:t>
      </w:r>
      <w:proofErr w:type="spellStart"/>
      <w:r>
        <w:rPr>
          <w:szCs w:val="22"/>
        </w:rPr>
        <w:t>STP</w:t>
      </w:r>
      <w:proofErr w:type="spellEnd"/>
      <w:r w:rsidRPr="00510B3F">
        <w:rPr>
          <w:szCs w:val="22"/>
        </w:rPr>
        <w:t xml:space="preserve">, </w:t>
      </w:r>
      <w:r>
        <w:rPr>
          <w:szCs w:val="22"/>
        </w:rPr>
        <w:t>including</w:t>
      </w:r>
      <w:r w:rsidRPr="00510B3F">
        <w:rPr>
          <w:szCs w:val="22"/>
        </w:rPr>
        <w:t>:</w:t>
      </w:r>
    </w:p>
    <w:p w:rsidR="00FB37D1" w:rsidRDefault="00FB37D1" w:rsidP="00D510F1">
      <w:pPr>
        <w:pStyle w:val="ListParagraph"/>
        <w:numPr>
          <w:ilvl w:val="1"/>
          <w:numId w:val="20"/>
        </w:numPr>
        <w:spacing w:before="120" w:after="120"/>
        <w:ind w:left="851" w:hanging="425"/>
        <w:rPr>
          <w:szCs w:val="22"/>
        </w:rPr>
      </w:pPr>
      <w:r w:rsidRPr="002D1719">
        <w:rPr>
          <w:szCs w:val="22"/>
        </w:rPr>
        <w:t xml:space="preserve">Rural Support: </w:t>
      </w:r>
    </w:p>
    <w:p w:rsidR="00FB37D1" w:rsidRDefault="00FB37D1" w:rsidP="00D510F1">
      <w:pPr>
        <w:pStyle w:val="ListParagraph"/>
        <w:numPr>
          <w:ilvl w:val="2"/>
          <w:numId w:val="11"/>
        </w:numPr>
        <w:spacing w:before="120" w:after="120"/>
        <w:ind w:left="1276" w:hanging="425"/>
        <w:rPr>
          <w:szCs w:val="22"/>
        </w:rPr>
      </w:pPr>
      <w:r w:rsidRPr="002D1719">
        <w:rPr>
          <w:szCs w:val="22"/>
        </w:rPr>
        <w:t>Provide additional support for rural areas</w:t>
      </w:r>
      <w:r>
        <w:rPr>
          <w:szCs w:val="22"/>
        </w:rPr>
        <w:t>, for example</w:t>
      </w:r>
      <w:r w:rsidRPr="002D1719">
        <w:rPr>
          <w:szCs w:val="22"/>
        </w:rPr>
        <w:t xml:space="preserve"> </w:t>
      </w:r>
      <w:r>
        <w:rPr>
          <w:szCs w:val="22"/>
        </w:rPr>
        <w:t xml:space="preserve">piloting remote supervision models, </w:t>
      </w:r>
      <w:r w:rsidRPr="002D1719">
        <w:rPr>
          <w:szCs w:val="22"/>
        </w:rPr>
        <w:t xml:space="preserve">the expansion of rural webinars, practice visits, networking, mentoring, peer support groups, supervisor access, and grants for educational support. </w:t>
      </w:r>
    </w:p>
    <w:p w:rsidR="00FB37D1" w:rsidRDefault="00FB37D1" w:rsidP="00D510F1">
      <w:pPr>
        <w:pStyle w:val="ListParagraph"/>
        <w:numPr>
          <w:ilvl w:val="2"/>
          <w:numId w:val="11"/>
        </w:numPr>
        <w:spacing w:before="120" w:after="120"/>
        <w:ind w:left="1276" w:hanging="425"/>
        <w:rPr>
          <w:szCs w:val="22"/>
        </w:rPr>
      </w:pPr>
      <w:r>
        <w:rPr>
          <w:szCs w:val="22"/>
        </w:rPr>
        <w:t>Examining remote and innovative supervision models.</w:t>
      </w:r>
    </w:p>
    <w:p w:rsidR="00FB37D1" w:rsidRPr="001D6F53" w:rsidRDefault="00FB37D1" w:rsidP="00D510F1">
      <w:pPr>
        <w:pStyle w:val="ListParagraph"/>
        <w:numPr>
          <w:ilvl w:val="1"/>
          <w:numId w:val="21"/>
        </w:numPr>
        <w:spacing w:before="120" w:after="120"/>
        <w:ind w:left="851" w:hanging="425"/>
        <w:rPr>
          <w:szCs w:val="22"/>
        </w:rPr>
      </w:pPr>
      <w:r w:rsidRPr="001D6F53">
        <w:rPr>
          <w:rFonts w:eastAsia="Calibri"/>
        </w:rPr>
        <w:t>Online Learning Modules</w:t>
      </w:r>
    </w:p>
    <w:p w:rsidR="00FB37D1" w:rsidRPr="00101017" w:rsidRDefault="00FB37D1" w:rsidP="00D510F1">
      <w:pPr>
        <w:pStyle w:val="ListParagraph"/>
        <w:numPr>
          <w:ilvl w:val="2"/>
          <w:numId w:val="11"/>
        </w:numPr>
        <w:spacing w:before="120" w:after="120"/>
        <w:ind w:left="1276" w:hanging="425"/>
        <w:rPr>
          <w:rFonts w:eastAsia="Calibri"/>
        </w:rPr>
      </w:pPr>
      <w:r w:rsidRPr="00101017">
        <w:rPr>
          <w:rFonts w:eastAsia="Calibri"/>
        </w:rPr>
        <w:t>Investigate the options for the expansion of further online learning material for training and professional development of psychiatrists.</w:t>
      </w:r>
    </w:p>
    <w:p w:rsidR="00FB37D1" w:rsidRPr="00101017" w:rsidRDefault="00FB37D1" w:rsidP="00D510F1">
      <w:pPr>
        <w:pStyle w:val="ListParagraph"/>
        <w:numPr>
          <w:ilvl w:val="1"/>
          <w:numId w:val="22"/>
        </w:numPr>
        <w:spacing w:before="120" w:after="120"/>
        <w:ind w:left="851" w:hanging="425"/>
        <w:rPr>
          <w:szCs w:val="22"/>
        </w:rPr>
      </w:pPr>
      <w:r w:rsidRPr="00101017">
        <w:rPr>
          <w:rFonts w:eastAsia="Calibri"/>
        </w:rPr>
        <w:t>Improvements to Data</w:t>
      </w:r>
    </w:p>
    <w:p w:rsidR="00FB37D1" w:rsidRDefault="00FB37D1" w:rsidP="00D510F1">
      <w:pPr>
        <w:pStyle w:val="ListParagraph"/>
        <w:numPr>
          <w:ilvl w:val="2"/>
          <w:numId w:val="11"/>
        </w:numPr>
        <w:spacing w:before="120" w:after="120"/>
        <w:ind w:left="1276" w:hanging="425"/>
        <w:rPr>
          <w:szCs w:val="22"/>
        </w:rPr>
      </w:pPr>
      <w:r w:rsidRPr="00101017">
        <w:rPr>
          <w:szCs w:val="22"/>
        </w:rPr>
        <w:t>Options for improving the quality and collection of data to assist with monitoring future training demand and distribution of training posts. This should be in the form of the college expanding the data they receive from state offices on the overall training program requirements including supervision hours, number and duration of each trainee rotating through each post.</w:t>
      </w:r>
    </w:p>
    <w:p w:rsidR="00FB37D1" w:rsidRPr="00021347" w:rsidRDefault="00FB37D1" w:rsidP="00D510F1">
      <w:pPr>
        <w:pStyle w:val="ListParagraph"/>
        <w:numPr>
          <w:ilvl w:val="1"/>
          <w:numId w:val="23"/>
        </w:numPr>
        <w:spacing w:before="120" w:after="120"/>
        <w:ind w:left="851" w:hanging="425"/>
        <w:rPr>
          <w:szCs w:val="22"/>
        </w:rPr>
      </w:pPr>
      <w:r w:rsidRPr="00021347">
        <w:rPr>
          <w:szCs w:val="22"/>
        </w:rPr>
        <w:lastRenderedPageBreak/>
        <w:t xml:space="preserve">Recruitment in Psychiatry: </w:t>
      </w:r>
      <w:r>
        <w:rPr>
          <w:szCs w:val="22"/>
        </w:rPr>
        <w:t>i</w:t>
      </w:r>
      <w:r w:rsidRPr="00021347">
        <w:rPr>
          <w:szCs w:val="22"/>
        </w:rPr>
        <w:t>ncrease and expand existing recruitment into psychiatry projects.</w:t>
      </w:r>
    </w:p>
    <w:p w:rsidR="00FB37D1" w:rsidRPr="00021347" w:rsidRDefault="00FB37D1" w:rsidP="00D510F1">
      <w:pPr>
        <w:pStyle w:val="ListParagraph"/>
        <w:numPr>
          <w:ilvl w:val="2"/>
          <w:numId w:val="10"/>
        </w:numPr>
        <w:spacing w:before="120" w:after="120"/>
        <w:ind w:left="1276" w:hanging="425"/>
        <w:rPr>
          <w:szCs w:val="22"/>
        </w:rPr>
      </w:pPr>
      <w:r w:rsidRPr="00021347">
        <w:rPr>
          <w:szCs w:val="22"/>
        </w:rPr>
        <w:t>For example, through the Psychiatry Interest Forum (</w:t>
      </w:r>
      <w:proofErr w:type="spellStart"/>
      <w:r w:rsidRPr="00021347">
        <w:rPr>
          <w:szCs w:val="22"/>
        </w:rPr>
        <w:t>PIF</w:t>
      </w:r>
      <w:proofErr w:type="spellEnd"/>
      <w:r w:rsidRPr="00021347">
        <w:rPr>
          <w:szCs w:val="22"/>
        </w:rPr>
        <w:t xml:space="preserve">), by continuing to expand upon the current </w:t>
      </w:r>
      <w:proofErr w:type="spellStart"/>
      <w:r w:rsidRPr="00021347">
        <w:rPr>
          <w:szCs w:val="22"/>
        </w:rPr>
        <w:t>PIF</w:t>
      </w:r>
      <w:proofErr w:type="spellEnd"/>
      <w:r w:rsidRPr="00021347">
        <w:rPr>
          <w:szCs w:val="22"/>
        </w:rPr>
        <w:t xml:space="preserve"> membership to include additional medical students and junior doctors, and providing information to high-school students regarding the role of the psychiatrist and career pathways in psychiatry </w:t>
      </w:r>
    </w:p>
    <w:p w:rsidR="00FB37D1" w:rsidRPr="002D1719" w:rsidRDefault="00FB37D1" w:rsidP="00D510F1">
      <w:pPr>
        <w:pStyle w:val="ListParagraph"/>
        <w:numPr>
          <w:ilvl w:val="1"/>
          <w:numId w:val="24"/>
        </w:numPr>
        <w:spacing w:before="120" w:after="120"/>
        <w:ind w:left="851" w:hanging="425"/>
        <w:rPr>
          <w:szCs w:val="22"/>
        </w:rPr>
      </w:pPr>
      <w:r w:rsidRPr="002D1719">
        <w:rPr>
          <w:rFonts w:eastAsia="Calibri"/>
        </w:rPr>
        <w:t>Developing Capacity in the Private Sector</w:t>
      </w:r>
    </w:p>
    <w:p w:rsidR="00FB37D1" w:rsidRPr="001D6F53" w:rsidRDefault="00FB37D1" w:rsidP="00D510F1">
      <w:pPr>
        <w:pStyle w:val="ListParagraph"/>
        <w:numPr>
          <w:ilvl w:val="2"/>
          <w:numId w:val="12"/>
        </w:numPr>
        <w:spacing w:before="120" w:after="120"/>
        <w:ind w:left="1276" w:hanging="425"/>
        <w:rPr>
          <w:szCs w:val="22"/>
        </w:rPr>
      </w:pPr>
      <w:r w:rsidRPr="002D1719">
        <w:rPr>
          <w:rFonts w:eastAsia="Calibri"/>
        </w:rPr>
        <w:t>Investigate the development and capacity of the private sector to provide additional training posts with an emphasis on posts where there is an area of practice shortage.</w:t>
      </w:r>
    </w:p>
    <w:p w:rsidR="00FB37D1" w:rsidRPr="006C0282" w:rsidRDefault="00FB37D1" w:rsidP="00D510F1">
      <w:pPr>
        <w:pStyle w:val="ListParagraph"/>
        <w:numPr>
          <w:ilvl w:val="1"/>
          <w:numId w:val="25"/>
        </w:numPr>
        <w:spacing w:before="120" w:after="120"/>
        <w:ind w:left="851" w:hanging="425"/>
        <w:rPr>
          <w:szCs w:val="22"/>
        </w:rPr>
      </w:pPr>
      <w:r w:rsidRPr="006C0282">
        <w:rPr>
          <w:rFonts w:eastAsia="Calibri"/>
        </w:rPr>
        <w:t>Coaching and Mentoring</w:t>
      </w:r>
    </w:p>
    <w:p w:rsidR="00FB37D1" w:rsidRPr="00FB37D1" w:rsidRDefault="00FB37D1" w:rsidP="00D510F1">
      <w:pPr>
        <w:pStyle w:val="ListParagraph"/>
        <w:numPr>
          <w:ilvl w:val="0"/>
          <w:numId w:val="19"/>
        </w:numPr>
        <w:ind w:left="1276" w:hanging="425"/>
      </w:pPr>
      <w:r w:rsidRPr="001D6F53">
        <w:rPr>
          <w:rFonts w:eastAsia="Calibri"/>
        </w:rPr>
        <w:t>Investigate the expansion of mentoring and coaching to provide one-on-one support for trainees on the pathway to Fellowship</w:t>
      </w:r>
      <w:r>
        <w:rPr>
          <w:rFonts w:eastAsia="Calibri"/>
        </w:rPr>
        <w:t>.</w:t>
      </w:r>
    </w:p>
    <w:p w:rsidR="00985EBD" w:rsidRDefault="00985EBD">
      <w:pPr>
        <w:jc w:val="left"/>
      </w:pPr>
      <w:r>
        <w:br w:type="page"/>
      </w:r>
    </w:p>
    <w:p w:rsidR="00981823" w:rsidRPr="00A34F47" w:rsidRDefault="00981823" w:rsidP="00B831A8">
      <w:pPr>
        <w:pStyle w:val="Heading2"/>
      </w:pPr>
      <w:bookmarkStart w:id="54" w:name="_Toc429580770"/>
      <w:bookmarkStart w:id="55" w:name="_Toc445986964"/>
      <w:r w:rsidRPr="00A34F47">
        <w:lastRenderedPageBreak/>
        <w:t>Appendices</w:t>
      </w:r>
      <w:bookmarkEnd w:id="54"/>
      <w:bookmarkEnd w:id="55"/>
    </w:p>
    <w:p w:rsidR="00247A87" w:rsidRPr="00B831A8" w:rsidRDefault="002F18E7" w:rsidP="00B831A8">
      <w:pPr>
        <w:pStyle w:val="Heading3"/>
      </w:pPr>
      <w:bookmarkStart w:id="56" w:name="_Toc445986965"/>
      <w:r w:rsidRPr="00B831A8">
        <w:t>Appendix 1</w:t>
      </w:r>
      <w:r w:rsidR="00EA1436" w:rsidRPr="00B831A8">
        <w:t xml:space="preserve">: </w:t>
      </w:r>
      <w:r w:rsidR="00247A87" w:rsidRPr="00B831A8">
        <w:t>Updating supply and demand</w:t>
      </w:r>
      <w:bookmarkEnd w:id="56"/>
    </w:p>
    <w:p w:rsidR="00247A87" w:rsidRPr="0090788F" w:rsidRDefault="00247A87" w:rsidP="0090788F">
      <w:pPr>
        <w:spacing w:before="120" w:after="120"/>
        <w:rPr>
          <w:szCs w:val="22"/>
        </w:rPr>
      </w:pPr>
      <w:r w:rsidRPr="0090788F">
        <w:rPr>
          <w:szCs w:val="22"/>
        </w:rPr>
        <w:t xml:space="preserve">The supply side of the planning equation is determined using the characteristics of the known current workforce and projecting this forward with known and projected trainee inflows and exit trends from the workforce. The demand side uses historical service utilisation patterns and projects these forward based on population growth. It also relies on other factors that have shown to influence the utilisation patterns i.e. funding of specific programs that have either increased or decreased usage of services or seasonal patterns. </w:t>
      </w:r>
    </w:p>
    <w:p w:rsidR="00247A87" w:rsidRPr="00342341" w:rsidRDefault="00247A87" w:rsidP="00B831A8">
      <w:pPr>
        <w:pStyle w:val="Heading4"/>
      </w:pPr>
      <w:r w:rsidRPr="00342341">
        <w:t>Descriptive characteristics of the psychiatry workforce</w:t>
      </w:r>
    </w:p>
    <w:p w:rsidR="00247A87" w:rsidRPr="0090788F" w:rsidRDefault="00247A87" w:rsidP="0090788F">
      <w:pPr>
        <w:spacing w:before="120" w:after="120"/>
        <w:rPr>
          <w:szCs w:val="22"/>
        </w:rPr>
      </w:pPr>
      <w:r w:rsidRPr="0090788F">
        <w:rPr>
          <w:szCs w:val="22"/>
        </w:rPr>
        <w:t xml:space="preserve">The demographic characteristics of the current psychiatry workforce are outlined as well </w:t>
      </w:r>
      <w:r w:rsidR="00612802">
        <w:rPr>
          <w:szCs w:val="22"/>
        </w:rPr>
        <w:t xml:space="preserve">as </w:t>
      </w:r>
      <w:r w:rsidRPr="0090788F">
        <w:rPr>
          <w:szCs w:val="22"/>
        </w:rPr>
        <w:t xml:space="preserve">describing the trainees and those intending to train. It is an important component in understanding the current supply and what is likely to be required into the future.  </w:t>
      </w:r>
    </w:p>
    <w:p w:rsidR="00247A87" w:rsidRPr="00CF64CD" w:rsidRDefault="00247A87" w:rsidP="00B831A8">
      <w:pPr>
        <w:pStyle w:val="Heading4"/>
      </w:pPr>
      <w:r w:rsidRPr="00CF64CD">
        <w:t>Capacity</w:t>
      </w:r>
    </w:p>
    <w:p w:rsidR="00247A87" w:rsidRPr="0090788F" w:rsidRDefault="00247A87" w:rsidP="0090788F">
      <w:pPr>
        <w:spacing w:before="120" w:after="120"/>
        <w:rPr>
          <w:szCs w:val="22"/>
        </w:rPr>
      </w:pPr>
      <w:r w:rsidRPr="0090788F">
        <w:rPr>
          <w:szCs w:val="22"/>
        </w:rPr>
        <w:t>The rapid growth in domestic medical graduates will continue to place pressure on medical training capacity. A significant amount of work has occurred to expand clinical training capacity across professional entry, intern and vocational training levels and additional work is underway to explore internships, however more needs to be done. While there have been recent expansions in medical training in alternate settings, medical training has traditionally been highly concentrated in public hospitals and in particular acute wards. It is important as medical training requirements continue to grow that capacity to expand medical training is considered.</w:t>
      </w:r>
    </w:p>
    <w:p w:rsidR="00247A87" w:rsidRPr="00CF64CD" w:rsidRDefault="00247A87" w:rsidP="00B831A8">
      <w:pPr>
        <w:pStyle w:val="Heading4"/>
      </w:pPr>
      <w:r w:rsidRPr="00CF64CD">
        <w:t>Distribution</w:t>
      </w:r>
    </w:p>
    <w:p w:rsidR="00247A87" w:rsidRPr="0090788F" w:rsidRDefault="00247A87" w:rsidP="0090788F">
      <w:pPr>
        <w:spacing w:before="120" w:after="120"/>
        <w:rPr>
          <w:szCs w:val="22"/>
        </w:rPr>
      </w:pPr>
      <w:r w:rsidRPr="0090788F">
        <w:rPr>
          <w:szCs w:val="22"/>
        </w:rPr>
        <w:t>The growth in domestically trained medical graduates also presents an opportunity to distribute domestically trained doctors more effectively both geographically and into the traditionally less popular specialties. It has been argued that changing the distribution of medical training might contribute to an improvement in the distribution of the medical workforce. Based on evidence collected by Australian Rural Clinical Schools, it is proposed that if in the course of their training doctors could spend more time in rural locations or in primary care settings, they may be more likely to stay and practice in those settings.</w:t>
      </w:r>
    </w:p>
    <w:p w:rsidR="009F1AA1" w:rsidRPr="00CF64CD" w:rsidRDefault="00247A87" w:rsidP="00B831A8">
      <w:pPr>
        <w:pStyle w:val="Heading4"/>
      </w:pPr>
      <w:r w:rsidRPr="00CF64CD">
        <w:t>M</w:t>
      </w:r>
      <w:r w:rsidR="009F1AA1" w:rsidRPr="00CF64CD">
        <w:t xml:space="preserve">odelling </w:t>
      </w:r>
      <w:r w:rsidR="00C65861" w:rsidRPr="00CF64CD">
        <w:t xml:space="preserve">inputs </w:t>
      </w:r>
    </w:p>
    <w:p w:rsidR="00860743" w:rsidRPr="0090788F" w:rsidRDefault="004A789B" w:rsidP="0090788F">
      <w:pPr>
        <w:spacing w:before="120" w:after="120"/>
        <w:rPr>
          <w:szCs w:val="22"/>
        </w:rPr>
      </w:pPr>
      <w:r w:rsidRPr="0090788F">
        <w:rPr>
          <w:szCs w:val="22"/>
        </w:rPr>
        <w:t xml:space="preserve">The following information details the inputs that will be used in undertaking the modelling for the psychiatry workforce. </w:t>
      </w:r>
      <w:r w:rsidR="00860743" w:rsidRPr="0090788F">
        <w:rPr>
          <w:szCs w:val="22"/>
        </w:rPr>
        <w:t xml:space="preserve">The psychiatry workforce is defined by those medical practitioners that have an accreditation in psychiatry and have identified psychiatry as their main speciality by age, gender and average hours worked, along with the number of new </w:t>
      </w:r>
      <w:r w:rsidR="00AF1F43">
        <w:rPr>
          <w:szCs w:val="22"/>
        </w:rPr>
        <w:t>F</w:t>
      </w:r>
      <w:r w:rsidR="00860743" w:rsidRPr="0090788F">
        <w:rPr>
          <w:szCs w:val="22"/>
        </w:rPr>
        <w:t>ellows and the number of active trainees by year of training.</w:t>
      </w:r>
    </w:p>
    <w:p w:rsidR="004A789B" w:rsidRPr="0090788F" w:rsidRDefault="004A789B" w:rsidP="0090788F">
      <w:pPr>
        <w:spacing w:before="120" w:after="120"/>
        <w:rPr>
          <w:szCs w:val="22"/>
        </w:rPr>
      </w:pPr>
      <w:r w:rsidRPr="0090788F">
        <w:rPr>
          <w:szCs w:val="22"/>
        </w:rPr>
        <w:t>The following parameters were specified as inputs for the projection modelling:</w:t>
      </w:r>
    </w:p>
    <w:p w:rsidR="004A789B" w:rsidRPr="00CF64CD" w:rsidRDefault="004A789B" w:rsidP="00B831A8">
      <w:pPr>
        <w:pStyle w:val="Heading4"/>
      </w:pPr>
      <w:r w:rsidRPr="00CF64CD">
        <w:t>Flows in</w:t>
      </w:r>
    </w:p>
    <w:p w:rsidR="004A789B" w:rsidRPr="00021E21" w:rsidRDefault="004A789B" w:rsidP="00D510F1">
      <w:pPr>
        <w:numPr>
          <w:ilvl w:val="0"/>
          <w:numId w:val="3"/>
        </w:numPr>
        <w:spacing w:after="120"/>
        <w:ind w:left="426" w:hanging="426"/>
        <w:contextualSpacing/>
        <w:rPr>
          <w:szCs w:val="22"/>
        </w:rPr>
      </w:pPr>
      <w:r w:rsidRPr="00021E21">
        <w:rPr>
          <w:szCs w:val="22"/>
        </w:rPr>
        <w:t>Workforce stock</w:t>
      </w:r>
    </w:p>
    <w:p w:rsidR="004A789B" w:rsidRPr="00021E21" w:rsidRDefault="004A789B" w:rsidP="00D510F1">
      <w:pPr>
        <w:numPr>
          <w:ilvl w:val="0"/>
          <w:numId w:val="3"/>
        </w:numPr>
        <w:spacing w:after="120"/>
        <w:ind w:left="426" w:hanging="426"/>
        <w:contextualSpacing/>
        <w:rPr>
          <w:szCs w:val="22"/>
        </w:rPr>
      </w:pPr>
      <w:r w:rsidRPr="00021E21">
        <w:rPr>
          <w:szCs w:val="22"/>
        </w:rPr>
        <w:t xml:space="preserve">Domestic new </w:t>
      </w:r>
      <w:r w:rsidR="00AF1F43">
        <w:rPr>
          <w:szCs w:val="22"/>
        </w:rPr>
        <w:t>F</w:t>
      </w:r>
      <w:r w:rsidRPr="00021E21">
        <w:rPr>
          <w:szCs w:val="22"/>
        </w:rPr>
        <w:t>ellows</w:t>
      </w:r>
    </w:p>
    <w:p w:rsidR="004A789B" w:rsidRPr="00021E21" w:rsidRDefault="004A789B" w:rsidP="00D510F1">
      <w:pPr>
        <w:numPr>
          <w:ilvl w:val="0"/>
          <w:numId w:val="3"/>
        </w:numPr>
        <w:spacing w:after="120"/>
        <w:ind w:left="426" w:hanging="426"/>
        <w:contextualSpacing/>
        <w:rPr>
          <w:szCs w:val="22"/>
        </w:rPr>
      </w:pPr>
      <w:r w:rsidRPr="00021E21">
        <w:rPr>
          <w:szCs w:val="22"/>
        </w:rPr>
        <w:t xml:space="preserve">International new </w:t>
      </w:r>
      <w:r w:rsidR="00AF1F43">
        <w:rPr>
          <w:szCs w:val="22"/>
        </w:rPr>
        <w:t>F</w:t>
      </w:r>
      <w:r w:rsidRPr="00021E21">
        <w:rPr>
          <w:szCs w:val="22"/>
        </w:rPr>
        <w:t>ellows</w:t>
      </w:r>
    </w:p>
    <w:p w:rsidR="004A789B" w:rsidRPr="00021E21" w:rsidRDefault="004A789B" w:rsidP="00D510F1">
      <w:pPr>
        <w:numPr>
          <w:ilvl w:val="0"/>
          <w:numId w:val="3"/>
        </w:numPr>
        <w:spacing w:after="120"/>
        <w:ind w:left="426" w:hanging="426"/>
        <w:contextualSpacing/>
        <w:rPr>
          <w:szCs w:val="22"/>
        </w:rPr>
      </w:pPr>
      <w:r w:rsidRPr="00021E21">
        <w:rPr>
          <w:szCs w:val="22"/>
        </w:rPr>
        <w:t>Temporary migration (held at a constant total level)</w:t>
      </w:r>
    </w:p>
    <w:p w:rsidR="004A789B" w:rsidRPr="00021E21" w:rsidRDefault="004A789B" w:rsidP="00D510F1">
      <w:pPr>
        <w:numPr>
          <w:ilvl w:val="0"/>
          <w:numId w:val="3"/>
        </w:numPr>
        <w:spacing w:after="120"/>
        <w:ind w:left="426" w:hanging="426"/>
        <w:contextualSpacing/>
        <w:rPr>
          <w:szCs w:val="22"/>
        </w:rPr>
      </w:pPr>
      <w:r w:rsidRPr="00021E21">
        <w:rPr>
          <w:szCs w:val="22"/>
        </w:rPr>
        <w:t>Skilled migration</w:t>
      </w:r>
      <w:r w:rsidR="00A40507" w:rsidRPr="00021E21">
        <w:rPr>
          <w:szCs w:val="22"/>
        </w:rPr>
        <w:t xml:space="preserve"> (exemptions)</w:t>
      </w:r>
    </w:p>
    <w:p w:rsidR="004A789B" w:rsidRPr="00CF64CD" w:rsidRDefault="004A789B" w:rsidP="00B831A8">
      <w:pPr>
        <w:pStyle w:val="Heading4"/>
      </w:pPr>
      <w:r w:rsidRPr="00CF64CD">
        <w:t>Flows out</w:t>
      </w:r>
    </w:p>
    <w:p w:rsidR="004A789B" w:rsidRPr="00021E21" w:rsidRDefault="004A789B" w:rsidP="00D510F1">
      <w:pPr>
        <w:numPr>
          <w:ilvl w:val="0"/>
          <w:numId w:val="3"/>
        </w:numPr>
        <w:spacing w:before="120" w:after="120"/>
        <w:ind w:left="426" w:hanging="426"/>
        <w:rPr>
          <w:szCs w:val="22"/>
        </w:rPr>
      </w:pPr>
      <w:r w:rsidRPr="00021E21">
        <w:rPr>
          <w:szCs w:val="22"/>
        </w:rPr>
        <w:t>Exits from the workforce include all permanent and temporary flows out of the workforce.</w:t>
      </w:r>
    </w:p>
    <w:p w:rsidR="004A789B" w:rsidRPr="00CF64CD" w:rsidRDefault="004A789B" w:rsidP="00B831A8">
      <w:pPr>
        <w:pStyle w:val="Heading4"/>
      </w:pPr>
      <w:r w:rsidRPr="00CF64CD">
        <w:lastRenderedPageBreak/>
        <w:t>Supply assumptions</w:t>
      </w:r>
    </w:p>
    <w:p w:rsidR="00A40507" w:rsidRPr="00021E21" w:rsidRDefault="00C65861" w:rsidP="00D510F1">
      <w:pPr>
        <w:numPr>
          <w:ilvl w:val="0"/>
          <w:numId w:val="3"/>
        </w:numPr>
        <w:spacing w:before="120" w:after="120"/>
        <w:ind w:left="426" w:hanging="426"/>
        <w:rPr>
          <w:szCs w:val="22"/>
        </w:rPr>
      </w:pPr>
      <w:r w:rsidRPr="00021E21">
        <w:rPr>
          <w:szCs w:val="22"/>
        </w:rPr>
        <w:t>Medical practitioners</w:t>
      </w:r>
      <w:r w:rsidR="004A789B" w:rsidRPr="00021E21">
        <w:rPr>
          <w:szCs w:val="22"/>
        </w:rPr>
        <w:t xml:space="preserve"> who are registered as a </w:t>
      </w:r>
      <w:r w:rsidR="00A40507" w:rsidRPr="00021E21">
        <w:rPr>
          <w:szCs w:val="22"/>
        </w:rPr>
        <w:t>psychiatrist</w:t>
      </w:r>
      <w:r w:rsidR="004A789B" w:rsidRPr="00021E21">
        <w:rPr>
          <w:szCs w:val="22"/>
        </w:rPr>
        <w:t xml:space="preserve"> through Australian Health Practitioner Regulation Agency (</w:t>
      </w:r>
      <w:proofErr w:type="spellStart"/>
      <w:r w:rsidR="004A789B" w:rsidRPr="00021E21">
        <w:rPr>
          <w:szCs w:val="22"/>
        </w:rPr>
        <w:t>AHPRA</w:t>
      </w:r>
      <w:proofErr w:type="spellEnd"/>
      <w:r w:rsidR="004A789B" w:rsidRPr="00021E21">
        <w:rPr>
          <w:szCs w:val="22"/>
        </w:rPr>
        <w:t>) have been identified through the use of the National Health Workforce Data Set (</w:t>
      </w:r>
      <w:proofErr w:type="spellStart"/>
      <w:r w:rsidR="004A789B" w:rsidRPr="00021E21">
        <w:rPr>
          <w:szCs w:val="22"/>
        </w:rPr>
        <w:t>NHWDS</w:t>
      </w:r>
      <w:proofErr w:type="spellEnd"/>
      <w:r w:rsidR="004A789B" w:rsidRPr="00021E21">
        <w:rPr>
          <w:szCs w:val="22"/>
        </w:rPr>
        <w:t>), which includes the registrants and the labour force survey (</w:t>
      </w:r>
      <w:proofErr w:type="spellStart"/>
      <w:r w:rsidR="004A789B" w:rsidRPr="00021E21">
        <w:rPr>
          <w:szCs w:val="22"/>
        </w:rPr>
        <w:t>LFS</w:t>
      </w:r>
      <w:proofErr w:type="spellEnd"/>
      <w:r w:rsidR="004A789B" w:rsidRPr="00021E21">
        <w:rPr>
          <w:szCs w:val="22"/>
        </w:rPr>
        <w:t>).</w:t>
      </w:r>
    </w:p>
    <w:p w:rsidR="00A40507" w:rsidRPr="00021E21" w:rsidRDefault="00860743" w:rsidP="00D510F1">
      <w:pPr>
        <w:numPr>
          <w:ilvl w:val="0"/>
          <w:numId w:val="3"/>
        </w:numPr>
        <w:spacing w:before="120" w:after="120"/>
        <w:ind w:left="426" w:hanging="426"/>
        <w:rPr>
          <w:szCs w:val="22"/>
        </w:rPr>
      </w:pPr>
      <w:r w:rsidRPr="00021E21">
        <w:rPr>
          <w:szCs w:val="22"/>
        </w:rPr>
        <w:t>The psychiatry workforce is defined as those that:</w:t>
      </w:r>
    </w:p>
    <w:p w:rsidR="00A40507" w:rsidRPr="00EC654C" w:rsidRDefault="00860743" w:rsidP="00D510F1">
      <w:pPr>
        <w:numPr>
          <w:ilvl w:val="1"/>
          <w:numId w:val="3"/>
        </w:numPr>
        <w:spacing w:before="120" w:after="120"/>
        <w:ind w:left="851" w:hanging="425"/>
        <w:rPr>
          <w:szCs w:val="22"/>
        </w:rPr>
      </w:pPr>
      <w:r w:rsidRPr="00EC654C">
        <w:rPr>
          <w:szCs w:val="22"/>
        </w:rPr>
        <w:t xml:space="preserve">Are employed (excluding those on leave for more than </w:t>
      </w:r>
      <w:r w:rsidR="00A40507" w:rsidRPr="00EC654C">
        <w:rPr>
          <w:szCs w:val="22"/>
        </w:rPr>
        <w:t>three</w:t>
      </w:r>
      <w:r w:rsidRPr="00EC654C">
        <w:rPr>
          <w:szCs w:val="22"/>
        </w:rPr>
        <w:t xml:space="preserve"> months)</w:t>
      </w:r>
    </w:p>
    <w:p w:rsidR="00A40507" w:rsidRPr="00EC654C" w:rsidRDefault="00860743" w:rsidP="00D510F1">
      <w:pPr>
        <w:numPr>
          <w:ilvl w:val="1"/>
          <w:numId w:val="3"/>
        </w:numPr>
        <w:spacing w:before="120" w:after="120"/>
        <w:ind w:left="851" w:hanging="425"/>
        <w:rPr>
          <w:szCs w:val="22"/>
        </w:rPr>
      </w:pPr>
      <w:r w:rsidRPr="00EC654C">
        <w:rPr>
          <w:szCs w:val="22"/>
        </w:rPr>
        <w:t>Have clinician status</w:t>
      </w:r>
    </w:p>
    <w:p w:rsidR="00A40507" w:rsidRPr="00EC654C" w:rsidRDefault="00860743" w:rsidP="00D510F1">
      <w:pPr>
        <w:numPr>
          <w:ilvl w:val="1"/>
          <w:numId w:val="3"/>
        </w:numPr>
        <w:spacing w:before="120" w:after="120"/>
        <w:ind w:left="851" w:hanging="425"/>
        <w:rPr>
          <w:szCs w:val="22"/>
        </w:rPr>
      </w:pPr>
      <w:r w:rsidRPr="00EC654C">
        <w:rPr>
          <w:szCs w:val="22"/>
        </w:rPr>
        <w:t>Have specialist accreditation in psychiatry</w:t>
      </w:r>
    </w:p>
    <w:p w:rsidR="00860743" w:rsidRPr="00EC654C" w:rsidRDefault="00860743" w:rsidP="00D510F1">
      <w:pPr>
        <w:numPr>
          <w:ilvl w:val="1"/>
          <w:numId w:val="3"/>
        </w:numPr>
        <w:spacing w:before="120" w:after="120"/>
        <w:ind w:left="851" w:hanging="425"/>
        <w:rPr>
          <w:szCs w:val="22"/>
        </w:rPr>
      </w:pPr>
      <w:r w:rsidRPr="00EC654C">
        <w:rPr>
          <w:szCs w:val="22"/>
        </w:rPr>
        <w:t>Work the most or second most hours in the specialty field of psychiatry, and only include practitioners who have one or two accredited specialities in total (with one of them being psychiatry).</w:t>
      </w:r>
    </w:p>
    <w:p w:rsidR="004A789B" w:rsidRPr="00021E21" w:rsidRDefault="004A789B" w:rsidP="00D510F1">
      <w:pPr>
        <w:numPr>
          <w:ilvl w:val="0"/>
          <w:numId w:val="3"/>
        </w:numPr>
        <w:spacing w:before="120" w:after="120"/>
        <w:ind w:left="426" w:hanging="426"/>
        <w:rPr>
          <w:szCs w:val="22"/>
        </w:rPr>
      </w:pPr>
      <w:r w:rsidRPr="00021E21">
        <w:rPr>
          <w:szCs w:val="22"/>
        </w:rPr>
        <w:t xml:space="preserve">Inputs to the </w:t>
      </w:r>
      <w:r w:rsidR="00A40507" w:rsidRPr="00021E21">
        <w:rPr>
          <w:szCs w:val="22"/>
        </w:rPr>
        <w:t>psychiatry</w:t>
      </w:r>
      <w:r w:rsidRPr="00021E21">
        <w:rPr>
          <w:szCs w:val="22"/>
        </w:rPr>
        <w:t xml:space="preserve"> workforce are based on 2013 </w:t>
      </w:r>
      <w:r w:rsidR="00A40507" w:rsidRPr="00021E21">
        <w:rPr>
          <w:szCs w:val="22"/>
        </w:rPr>
        <w:t xml:space="preserve">data </w:t>
      </w:r>
      <w:r w:rsidRPr="00021E21">
        <w:rPr>
          <w:szCs w:val="22"/>
        </w:rPr>
        <w:t xml:space="preserve">and additional data from the </w:t>
      </w:r>
      <w:proofErr w:type="spellStart"/>
      <w:r w:rsidR="00A40507" w:rsidRPr="00021E21">
        <w:rPr>
          <w:szCs w:val="22"/>
        </w:rPr>
        <w:t>RANZCP</w:t>
      </w:r>
      <w:proofErr w:type="spellEnd"/>
      <w:r w:rsidRPr="00021E21">
        <w:rPr>
          <w:szCs w:val="22"/>
        </w:rPr>
        <w:t xml:space="preserve"> as required. </w:t>
      </w:r>
    </w:p>
    <w:p w:rsidR="00A40507" w:rsidRPr="00021E21" w:rsidRDefault="00A40507" w:rsidP="00D510F1">
      <w:pPr>
        <w:numPr>
          <w:ilvl w:val="0"/>
          <w:numId w:val="3"/>
        </w:numPr>
        <w:spacing w:before="120" w:after="120"/>
        <w:ind w:left="426" w:hanging="426"/>
        <w:rPr>
          <w:szCs w:val="22"/>
        </w:rPr>
      </w:pPr>
      <w:r w:rsidRPr="00021E21">
        <w:rPr>
          <w:szCs w:val="22"/>
        </w:rPr>
        <w:t xml:space="preserve">The trainees that have been identified through the </w:t>
      </w:r>
      <w:proofErr w:type="spellStart"/>
      <w:r w:rsidRPr="00021E21">
        <w:rPr>
          <w:szCs w:val="22"/>
        </w:rPr>
        <w:t>LFS</w:t>
      </w:r>
      <w:proofErr w:type="spellEnd"/>
      <w:r w:rsidRPr="00021E21">
        <w:rPr>
          <w:szCs w:val="22"/>
        </w:rPr>
        <w:t xml:space="preserve"> have been defined through the following methodology, that assumes that they:</w:t>
      </w:r>
    </w:p>
    <w:p w:rsidR="00A40507" w:rsidRPr="00EC654C" w:rsidRDefault="00A40507" w:rsidP="00D510F1">
      <w:pPr>
        <w:numPr>
          <w:ilvl w:val="1"/>
          <w:numId w:val="3"/>
        </w:numPr>
        <w:spacing w:before="120" w:after="120"/>
        <w:ind w:left="851" w:hanging="425"/>
        <w:rPr>
          <w:szCs w:val="22"/>
        </w:rPr>
      </w:pPr>
      <w:r w:rsidRPr="00EC654C">
        <w:rPr>
          <w:szCs w:val="22"/>
        </w:rPr>
        <w:t>Are employed (excluding those on leave for more than three months)</w:t>
      </w:r>
    </w:p>
    <w:p w:rsidR="00A40507" w:rsidRPr="00EC654C" w:rsidRDefault="00A40507" w:rsidP="00D510F1">
      <w:pPr>
        <w:numPr>
          <w:ilvl w:val="1"/>
          <w:numId w:val="3"/>
        </w:numPr>
        <w:spacing w:before="120" w:after="120"/>
        <w:ind w:left="851" w:hanging="425"/>
        <w:rPr>
          <w:szCs w:val="22"/>
        </w:rPr>
      </w:pPr>
      <w:r w:rsidRPr="00EC654C">
        <w:rPr>
          <w:szCs w:val="22"/>
        </w:rPr>
        <w:t>Currently undertaking specialist training in psychiatry a</w:t>
      </w:r>
      <w:r w:rsidR="002F18E7" w:rsidRPr="00EC654C">
        <w:rPr>
          <w:szCs w:val="22"/>
        </w:rPr>
        <w:t>s their first field of training (excluding the second specialty field)</w:t>
      </w:r>
    </w:p>
    <w:p w:rsidR="002F18E7" w:rsidRPr="00EC654C" w:rsidRDefault="002F18E7" w:rsidP="00D510F1">
      <w:pPr>
        <w:numPr>
          <w:ilvl w:val="1"/>
          <w:numId w:val="3"/>
        </w:numPr>
        <w:spacing w:before="120" w:after="120"/>
        <w:ind w:left="851" w:hanging="425"/>
        <w:rPr>
          <w:szCs w:val="22"/>
        </w:rPr>
      </w:pPr>
      <w:r w:rsidRPr="00EC654C">
        <w:rPr>
          <w:szCs w:val="22"/>
        </w:rPr>
        <w:t xml:space="preserve">Include those who have transitioned from trainee to holding a specialist accreditation in psychiatry due to timing issues of registration and </w:t>
      </w:r>
      <w:proofErr w:type="spellStart"/>
      <w:r w:rsidRPr="00EC654C">
        <w:rPr>
          <w:szCs w:val="22"/>
        </w:rPr>
        <w:t>LFS</w:t>
      </w:r>
      <w:proofErr w:type="spellEnd"/>
      <w:r w:rsidRPr="00EC654C">
        <w:rPr>
          <w:szCs w:val="22"/>
        </w:rPr>
        <w:t>.</w:t>
      </w:r>
    </w:p>
    <w:p w:rsidR="002F18E7" w:rsidRPr="00EC654C" w:rsidRDefault="002F18E7" w:rsidP="00D510F1">
      <w:pPr>
        <w:numPr>
          <w:ilvl w:val="1"/>
          <w:numId w:val="3"/>
        </w:numPr>
        <w:spacing w:before="120" w:after="120"/>
        <w:ind w:left="851" w:hanging="425"/>
        <w:rPr>
          <w:szCs w:val="22"/>
        </w:rPr>
      </w:pPr>
      <w:r w:rsidRPr="00EC654C">
        <w:rPr>
          <w:szCs w:val="22"/>
        </w:rPr>
        <w:t xml:space="preserve">Includes those who were originally classified as intentions and trainees, these were considered to be trainees only (due to </w:t>
      </w:r>
      <w:proofErr w:type="spellStart"/>
      <w:r w:rsidRPr="00EC654C">
        <w:rPr>
          <w:szCs w:val="22"/>
        </w:rPr>
        <w:t>AIHW</w:t>
      </w:r>
      <w:proofErr w:type="spellEnd"/>
      <w:r w:rsidRPr="00EC654C">
        <w:rPr>
          <w:szCs w:val="22"/>
        </w:rPr>
        <w:t xml:space="preserve"> imputation)</w:t>
      </w:r>
    </w:p>
    <w:p w:rsidR="002F18E7" w:rsidRPr="00EC654C" w:rsidRDefault="002F18E7" w:rsidP="00D510F1">
      <w:pPr>
        <w:numPr>
          <w:ilvl w:val="1"/>
          <w:numId w:val="3"/>
        </w:numPr>
        <w:spacing w:before="120" w:after="120"/>
        <w:ind w:left="851" w:hanging="425"/>
        <w:rPr>
          <w:szCs w:val="22"/>
        </w:rPr>
      </w:pPr>
      <w:r w:rsidRPr="00EC654C">
        <w:rPr>
          <w:szCs w:val="22"/>
        </w:rPr>
        <w:t>Includes those who were originally classified as trainee and specialist clinicians, if:</w:t>
      </w:r>
    </w:p>
    <w:p w:rsidR="002F18E7" w:rsidRPr="00021E21" w:rsidRDefault="002F18E7" w:rsidP="00D510F1">
      <w:pPr>
        <w:numPr>
          <w:ilvl w:val="2"/>
          <w:numId w:val="26"/>
        </w:numPr>
        <w:spacing w:before="120" w:after="120"/>
        <w:ind w:left="1276" w:hanging="425"/>
        <w:rPr>
          <w:szCs w:val="22"/>
        </w:rPr>
      </w:pPr>
      <w:r w:rsidRPr="00021E21">
        <w:rPr>
          <w:szCs w:val="22"/>
        </w:rPr>
        <w:t>They don’t have specialist accreditation, or</w:t>
      </w:r>
    </w:p>
    <w:p w:rsidR="002F18E7" w:rsidRPr="00021E21" w:rsidRDefault="002F18E7" w:rsidP="00D510F1">
      <w:pPr>
        <w:numPr>
          <w:ilvl w:val="2"/>
          <w:numId w:val="26"/>
        </w:numPr>
        <w:spacing w:before="120" w:after="120"/>
        <w:ind w:left="1276" w:hanging="425"/>
        <w:rPr>
          <w:szCs w:val="22"/>
        </w:rPr>
      </w:pPr>
      <w:r w:rsidRPr="00021E21">
        <w:rPr>
          <w:szCs w:val="22"/>
        </w:rPr>
        <w:t>If they do have specialist accreditation, then the principal area of their main job in medicine was not specialist</w:t>
      </w:r>
    </w:p>
    <w:p w:rsidR="004A789B" w:rsidRPr="00EC654C" w:rsidRDefault="00A40507" w:rsidP="00D510F1">
      <w:pPr>
        <w:numPr>
          <w:ilvl w:val="0"/>
          <w:numId w:val="3"/>
        </w:numPr>
        <w:spacing w:before="120" w:after="120"/>
        <w:ind w:left="426" w:hanging="426"/>
        <w:rPr>
          <w:szCs w:val="22"/>
        </w:rPr>
      </w:pPr>
      <w:r w:rsidRPr="00EC654C">
        <w:rPr>
          <w:szCs w:val="22"/>
        </w:rPr>
        <w:t xml:space="preserve">Overseas trained specialists </w:t>
      </w:r>
      <w:r w:rsidR="004A789B" w:rsidRPr="00EC654C">
        <w:rPr>
          <w:szCs w:val="22"/>
        </w:rPr>
        <w:t xml:space="preserve">enter into the model through either the temporary or permanent migration streams. The inflow of </w:t>
      </w:r>
      <w:r w:rsidRPr="00EC654C">
        <w:rPr>
          <w:szCs w:val="22"/>
        </w:rPr>
        <w:t>psychiatrists</w:t>
      </w:r>
      <w:r w:rsidR="004A789B" w:rsidRPr="00EC654C">
        <w:rPr>
          <w:szCs w:val="22"/>
        </w:rPr>
        <w:t xml:space="preserve"> via migration is obtained from the Department of Immigration and Border Protection (</w:t>
      </w:r>
      <w:proofErr w:type="spellStart"/>
      <w:r w:rsidR="004A789B" w:rsidRPr="00EC654C">
        <w:rPr>
          <w:szCs w:val="22"/>
        </w:rPr>
        <w:t>DIBP</w:t>
      </w:r>
      <w:proofErr w:type="spellEnd"/>
      <w:r w:rsidR="004A789B" w:rsidRPr="00EC654C">
        <w:rPr>
          <w:szCs w:val="22"/>
        </w:rPr>
        <w:t xml:space="preserve">) and reconciled with </w:t>
      </w:r>
      <w:r w:rsidRPr="00EC654C">
        <w:rPr>
          <w:szCs w:val="22"/>
        </w:rPr>
        <w:t xml:space="preserve">the </w:t>
      </w:r>
      <w:proofErr w:type="spellStart"/>
      <w:r w:rsidRPr="00EC654C">
        <w:rPr>
          <w:szCs w:val="22"/>
        </w:rPr>
        <w:t>RANZCP</w:t>
      </w:r>
      <w:proofErr w:type="spellEnd"/>
      <w:r w:rsidR="004A789B" w:rsidRPr="00EC654C">
        <w:rPr>
          <w:szCs w:val="22"/>
        </w:rPr>
        <w:t xml:space="preserve"> data.</w:t>
      </w:r>
    </w:p>
    <w:p w:rsidR="004A789B" w:rsidRPr="00EC654C" w:rsidRDefault="004A789B" w:rsidP="00D510F1">
      <w:pPr>
        <w:numPr>
          <w:ilvl w:val="0"/>
          <w:numId w:val="3"/>
        </w:numPr>
        <w:spacing w:before="120" w:after="120"/>
        <w:ind w:left="426" w:hanging="426"/>
        <w:rPr>
          <w:szCs w:val="22"/>
        </w:rPr>
      </w:pPr>
      <w:r w:rsidRPr="00EC654C">
        <w:rPr>
          <w:szCs w:val="22"/>
        </w:rPr>
        <w:t xml:space="preserve">Hours worked are calculated and applied separately for each age/gender cohort for </w:t>
      </w:r>
      <w:r w:rsidR="00A40507" w:rsidRPr="00EC654C">
        <w:rPr>
          <w:szCs w:val="22"/>
        </w:rPr>
        <w:t>psychiatry</w:t>
      </w:r>
      <w:r w:rsidRPr="00EC654C">
        <w:rPr>
          <w:szCs w:val="22"/>
        </w:rPr>
        <w:t xml:space="preserve">. The data from which hours worked is calculated is taken from the hours reported by </w:t>
      </w:r>
      <w:r w:rsidR="00A40507" w:rsidRPr="00EC654C">
        <w:rPr>
          <w:szCs w:val="22"/>
        </w:rPr>
        <w:t>psychiatrists</w:t>
      </w:r>
      <w:r w:rsidRPr="00EC654C">
        <w:rPr>
          <w:szCs w:val="22"/>
        </w:rPr>
        <w:t xml:space="preserve"> on the relevant </w:t>
      </w:r>
      <w:proofErr w:type="spellStart"/>
      <w:r w:rsidRPr="00EC654C">
        <w:rPr>
          <w:szCs w:val="22"/>
        </w:rPr>
        <w:t>LFS</w:t>
      </w:r>
      <w:proofErr w:type="spellEnd"/>
      <w:r w:rsidRPr="00EC654C">
        <w:rPr>
          <w:szCs w:val="22"/>
        </w:rPr>
        <w:t xml:space="preserve"> items for 2013.</w:t>
      </w:r>
    </w:p>
    <w:p w:rsidR="004A789B" w:rsidRPr="00EC654C" w:rsidRDefault="004A789B" w:rsidP="00D510F1">
      <w:pPr>
        <w:numPr>
          <w:ilvl w:val="0"/>
          <w:numId w:val="3"/>
        </w:numPr>
        <w:spacing w:before="120" w:after="120"/>
        <w:ind w:left="426" w:hanging="426"/>
        <w:rPr>
          <w:szCs w:val="22"/>
        </w:rPr>
      </w:pPr>
      <w:r w:rsidRPr="00EC654C">
        <w:rPr>
          <w:szCs w:val="22"/>
        </w:rPr>
        <w:t xml:space="preserve">Exit rates are calculated on a unique basis for </w:t>
      </w:r>
      <w:r w:rsidR="00986D0C" w:rsidRPr="00EC654C">
        <w:rPr>
          <w:szCs w:val="22"/>
        </w:rPr>
        <w:t>psychiatrist</w:t>
      </w:r>
      <w:r w:rsidR="00F976E8">
        <w:rPr>
          <w:szCs w:val="22"/>
        </w:rPr>
        <w:t>s</w:t>
      </w:r>
      <w:r w:rsidRPr="00EC654C">
        <w:rPr>
          <w:szCs w:val="22"/>
        </w:rPr>
        <w:t xml:space="preserve"> for each five year age/gender cohort. </w:t>
      </w:r>
    </w:p>
    <w:p w:rsidR="004A789B" w:rsidRPr="00EC654C" w:rsidRDefault="004A789B" w:rsidP="00D510F1">
      <w:pPr>
        <w:numPr>
          <w:ilvl w:val="0"/>
          <w:numId w:val="3"/>
        </w:numPr>
        <w:spacing w:before="120" w:after="120"/>
        <w:ind w:left="426" w:hanging="426"/>
        <w:rPr>
          <w:szCs w:val="22"/>
        </w:rPr>
      </w:pPr>
      <w:r w:rsidRPr="00EC654C">
        <w:rPr>
          <w:szCs w:val="22"/>
        </w:rPr>
        <w:t>Exit rates are calculated by carrying forward the current distribution of ages of the workforce and assuming the same distribution in the future. The rates are based on observed retirements over recent years, not on retirement intentions.</w:t>
      </w:r>
    </w:p>
    <w:p w:rsidR="004A789B" w:rsidRPr="00EC654C" w:rsidRDefault="004A789B" w:rsidP="00D510F1">
      <w:pPr>
        <w:numPr>
          <w:ilvl w:val="0"/>
          <w:numId w:val="3"/>
        </w:numPr>
        <w:spacing w:before="120" w:after="120"/>
        <w:ind w:left="426" w:hanging="426"/>
        <w:rPr>
          <w:szCs w:val="22"/>
        </w:rPr>
      </w:pPr>
      <w:r w:rsidRPr="00EC654C">
        <w:rPr>
          <w:szCs w:val="22"/>
        </w:rPr>
        <w:t xml:space="preserve">Exit rates are a composite measure including all forms of removal from the workforce, permanent or temporary. </w:t>
      </w:r>
    </w:p>
    <w:p w:rsidR="004A789B" w:rsidRPr="00EC654C" w:rsidRDefault="004A789B" w:rsidP="00D510F1">
      <w:pPr>
        <w:numPr>
          <w:ilvl w:val="0"/>
          <w:numId w:val="3"/>
        </w:numPr>
        <w:spacing w:before="120" w:after="120"/>
        <w:ind w:left="426" w:hanging="426"/>
        <w:rPr>
          <w:szCs w:val="22"/>
        </w:rPr>
      </w:pPr>
      <w:r w:rsidRPr="00EC654C">
        <w:rPr>
          <w:szCs w:val="22"/>
        </w:rPr>
        <w:lastRenderedPageBreak/>
        <w:t xml:space="preserve">All </w:t>
      </w:r>
      <w:r w:rsidR="00986D0C" w:rsidRPr="00EC654C">
        <w:rPr>
          <w:szCs w:val="22"/>
        </w:rPr>
        <w:t>psychiatrists</w:t>
      </w:r>
      <w:r w:rsidRPr="00EC654C">
        <w:rPr>
          <w:szCs w:val="22"/>
        </w:rPr>
        <w:t xml:space="preserve"> are assumed to remain in the workforce, even in situations of oversupply. That is, exit rates are not adjusted to take account of possible movements away from a profession in an oversupply situation.</w:t>
      </w:r>
    </w:p>
    <w:p w:rsidR="004A789B" w:rsidRPr="00CF64CD" w:rsidRDefault="004A789B" w:rsidP="00B831A8">
      <w:pPr>
        <w:pStyle w:val="Heading4"/>
      </w:pPr>
      <w:r w:rsidRPr="00CF64CD">
        <w:t>Demand assumptions</w:t>
      </w:r>
    </w:p>
    <w:p w:rsidR="00860743" w:rsidRPr="00EC654C" w:rsidRDefault="00860743" w:rsidP="00D510F1">
      <w:pPr>
        <w:numPr>
          <w:ilvl w:val="0"/>
          <w:numId w:val="3"/>
        </w:numPr>
        <w:spacing w:before="120" w:after="120"/>
        <w:ind w:left="426" w:hanging="426"/>
        <w:rPr>
          <w:szCs w:val="22"/>
        </w:rPr>
      </w:pPr>
      <w:r w:rsidRPr="00EC654C">
        <w:rPr>
          <w:szCs w:val="22"/>
        </w:rPr>
        <w:t>The demand forecasts use a combination of acute inpatient hospital and Medicare Benefits Schedule (</w:t>
      </w:r>
      <w:proofErr w:type="spellStart"/>
      <w:r w:rsidRPr="00EC654C">
        <w:rPr>
          <w:szCs w:val="22"/>
        </w:rPr>
        <w:t>MBS</w:t>
      </w:r>
      <w:proofErr w:type="spellEnd"/>
      <w:r w:rsidRPr="00EC654C">
        <w:rPr>
          <w:szCs w:val="22"/>
        </w:rPr>
        <w:t xml:space="preserve">) data with the acute hospital inpatient data used to form the basis of the public component and </w:t>
      </w:r>
      <w:proofErr w:type="spellStart"/>
      <w:r w:rsidRPr="00EC654C">
        <w:rPr>
          <w:szCs w:val="22"/>
        </w:rPr>
        <w:t>MBS</w:t>
      </w:r>
      <w:proofErr w:type="spellEnd"/>
      <w:r w:rsidRPr="00EC654C">
        <w:rPr>
          <w:szCs w:val="22"/>
        </w:rPr>
        <w:t xml:space="preserve"> data the private component.  </w:t>
      </w:r>
    </w:p>
    <w:p w:rsidR="00860743" w:rsidRPr="00EC654C" w:rsidRDefault="00860743" w:rsidP="00D510F1">
      <w:pPr>
        <w:numPr>
          <w:ilvl w:val="0"/>
          <w:numId w:val="3"/>
        </w:numPr>
        <w:spacing w:before="120" w:after="120"/>
        <w:ind w:left="426" w:hanging="426"/>
        <w:rPr>
          <w:szCs w:val="22"/>
        </w:rPr>
      </w:pPr>
      <w:r w:rsidRPr="00EC654C">
        <w:rPr>
          <w:szCs w:val="22"/>
        </w:rPr>
        <w:t xml:space="preserve">This utilisation is assigned accordingly to the hours reported by the psychiatrists through the labour force survey.  </w:t>
      </w:r>
    </w:p>
    <w:p w:rsidR="00860743" w:rsidRPr="00EC654C" w:rsidRDefault="00860743" w:rsidP="00D510F1">
      <w:pPr>
        <w:numPr>
          <w:ilvl w:val="0"/>
          <w:numId w:val="3"/>
        </w:numPr>
        <w:spacing w:before="120" w:after="120"/>
        <w:ind w:left="426" w:hanging="426"/>
        <w:rPr>
          <w:szCs w:val="22"/>
        </w:rPr>
      </w:pPr>
      <w:r w:rsidRPr="00EC654C">
        <w:rPr>
          <w:szCs w:val="22"/>
        </w:rPr>
        <w:t xml:space="preserve">Projections of acute inpatient utilisation take into account population growth and ageing, as well as clinical trends, by projecting age by sex for same day or overnight stays, specialty-specific trends in admission rates and length of stay.  </w:t>
      </w:r>
    </w:p>
    <w:p w:rsidR="00860743" w:rsidRPr="00EC654C" w:rsidRDefault="00860743" w:rsidP="00D510F1">
      <w:pPr>
        <w:numPr>
          <w:ilvl w:val="0"/>
          <w:numId w:val="3"/>
        </w:numPr>
        <w:spacing w:before="120" w:after="120"/>
        <w:ind w:left="426" w:hanging="426"/>
        <w:rPr>
          <w:szCs w:val="22"/>
        </w:rPr>
      </w:pPr>
      <w:r w:rsidRPr="00EC654C">
        <w:rPr>
          <w:szCs w:val="22"/>
        </w:rPr>
        <w:t xml:space="preserve">Similarly the historical </w:t>
      </w:r>
      <w:proofErr w:type="spellStart"/>
      <w:r w:rsidRPr="00EC654C">
        <w:rPr>
          <w:szCs w:val="22"/>
        </w:rPr>
        <w:t>MBS</w:t>
      </w:r>
      <w:proofErr w:type="spellEnd"/>
      <w:r w:rsidRPr="00EC654C">
        <w:rPr>
          <w:szCs w:val="22"/>
        </w:rPr>
        <w:t xml:space="preserve"> data uses the number of services received by age of patient captured as a quarterly time series and forecasts the resulting estimates multiplied by the estimated residential population</w:t>
      </w:r>
      <w:r w:rsidRPr="001D6F53">
        <w:rPr>
          <w:sz w:val="12"/>
          <w:szCs w:val="12"/>
        </w:rPr>
        <w:footnoteReference w:id="5"/>
      </w:r>
      <w:r w:rsidRPr="00EC654C">
        <w:rPr>
          <w:szCs w:val="22"/>
        </w:rPr>
        <w:t>.</w:t>
      </w:r>
    </w:p>
    <w:p w:rsidR="00860743" w:rsidRPr="00EC654C" w:rsidRDefault="00860743" w:rsidP="00D510F1">
      <w:pPr>
        <w:numPr>
          <w:ilvl w:val="0"/>
          <w:numId w:val="3"/>
        </w:numPr>
        <w:spacing w:before="120" w:after="120"/>
        <w:ind w:left="426" w:hanging="426"/>
        <w:rPr>
          <w:szCs w:val="22"/>
        </w:rPr>
      </w:pPr>
      <w:r w:rsidRPr="00EC654C">
        <w:rPr>
          <w:szCs w:val="22"/>
        </w:rPr>
        <w:t>A constant, linear growth rate is then applied to the various age/gender cohorts. This provides for variation in demand as a result of different sizes of age/gender cohorts over time, but not due to different demand patterns within an age/gender cohort.</w:t>
      </w:r>
    </w:p>
    <w:p w:rsidR="00860743" w:rsidRPr="00EC654C" w:rsidRDefault="00860743" w:rsidP="00D510F1">
      <w:pPr>
        <w:numPr>
          <w:ilvl w:val="0"/>
          <w:numId w:val="3"/>
        </w:numPr>
        <w:spacing w:before="120" w:after="120"/>
        <w:ind w:left="426" w:hanging="426"/>
        <w:rPr>
          <w:szCs w:val="22"/>
        </w:rPr>
      </w:pPr>
      <w:r w:rsidRPr="00EC654C">
        <w:rPr>
          <w:szCs w:val="22"/>
        </w:rPr>
        <w:t>Demand and supply start from an ‘in balance’ position.</w:t>
      </w:r>
    </w:p>
    <w:p w:rsidR="0082718C" w:rsidRPr="001D6F53" w:rsidRDefault="00860743" w:rsidP="00D510F1">
      <w:pPr>
        <w:pStyle w:val="ListParagraph"/>
        <w:numPr>
          <w:ilvl w:val="1"/>
          <w:numId w:val="3"/>
        </w:numPr>
        <w:spacing w:before="60" w:after="120" w:line="276" w:lineRule="auto"/>
        <w:ind w:left="851" w:hanging="425"/>
        <w:rPr>
          <w:rFonts w:ascii="Arial" w:hAnsi="Arial" w:cs="Arial"/>
          <w:szCs w:val="22"/>
        </w:rPr>
      </w:pPr>
      <w:r w:rsidRPr="001D6F53">
        <w:rPr>
          <w:szCs w:val="22"/>
        </w:rPr>
        <w:t>The demand growth rate for psychiatry is currently in the range of 4.2 per annum.</w:t>
      </w:r>
    </w:p>
    <w:p w:rsidR="0080579F" w:rsidRDefault="0080579F" w:rsidP="00D510F1">
      <w:pPr>
        <w:spacing w:before="60" w:after="120" w:line="276" w:lineRule="auto"/>
        <w:ind w:left="851" w:hanging="425"/>
        <w:rPr>
          <w:rFonts w:ascii="Arial" w:hAnsi="Arial" w:cs="Arial"/>
          <w:szCs w:val="22"/>
        </w:rPr>
        <w:sectPr w:rsidR="0080579F" w:rsidSect="00A34F47">
          <w:headerReference w:type="even" r:id="rId39"/>
          <w:headerReference w:type="default" r:id="rId40"/>
          <w:headerReference w:type="first" r:id="rId41"/>
          <w:footerReference w:type="first" r:id="rId42"/>
          <w:pgSz w:w="11906" w:h="16838"/>
          <w:pgMar w:top="1247" w:right="1440" w:bottom="1247" w:left="1440" w:header="709" w:footer="709" w:gutter="0"/>
          <w:cols w:space="708"/>
          <w:titlePg/>
          <w:docGrid w:linePitch="360"/>
        </w:sectPr>
      </w:pPr>
    </w:p>
    <w:p w:rsidR="00ED70F2" w:rsidRDefault="0080579F" w:rsidP="00B831A8">
      <w:pPr>
        <w:pStyle w:val="Heading3"/>
        <w:rPr>
          <w:rStyle w:val="apple-converted-space"/>
          <w:shd w:val="clear" w:color="auto" w:fill="FFFFFF"/>
        </w:rPr>
      </w:pPr>
      <w:bookmarkStart w:id="57" w:name="_Toc425244973"/>
      <w:bookmarkStart w:id="58" w:name="_Toc445986966"/>
      <w:r>
        <w:lastRenderedPageBreak/>
        <w:t>Appendix 2</w:t>
      </w:r>
      <w:bookmarkEnd w:id="57"/>
      <w:r w:rsidR="00EA1436">
        <w:t xml:space="preserve">: </w:t>
      </w:r>
      <w:bookmarkStart w:id="59" w:name="_Toc425244974"/>
      <w:r w:rsidR="00ED70F2">
        <w:rPr>
          <w:rStyle w:val="apple-converted-space"/>
          <w:shd w:val="clear" w:color="auto" w:fill="FFFFFF"/>
        </w:rPr>
        <w:t>Capacity Analysis Tool (</w:t>
      </w:r>
      <w:proofErr w:type="spellStart"/>
      <w:r w:rsidR="00ED70F2">
        <w:rPr>
          <w:rStyle w:val="apple-converted-space"/>
          <w:shd w:val="clear" w:color="auto" w:fill="FFFFFF"/>
        </w:rPr>
        <w:t>CATool</w:t>
      </w:r>
      <w:proofErr w:type="spellEnd"/>
      <w:r w:rsidR="00ED70F2">
        <w:rPr>
          <w:rStyle w:val="apple-converted-space"/>
          <w:shd w:val="clear" w:color="auto" w:fill="FFFFFF"/>
        </w:rPr>
        <w:t>)</w:t>
      </w:r>
      <w:bookmarkEnd w:id="58"/>
    </w:p>
    <w:p w:rsidR="00F976E8" w:rsidRDefault="00ED70F2" w:rsidP="001D6F53">
      <w:pPr>
        <w:spacing w:before="120" w:after="120"/>
        <w:rPr>
          <w:szCs w:val="22"/>
        </w:rPr>
      </w:pPr>
      <w:r>
        <w:rPr>
          <w:rStyle w:val="apple-converted-space"/>
          <w:shd w:val="clear" w:color="auto" w:fill="FFFFFF"/>
        </w:rPr>
        <w:t xml:space="preserve">The software used to develop the </w:t>
      </w:r>
      <w:proofErr w:type="spellStart"/>
      <w:r>
        <w:rPr>
          <w:rStyle w:val="apple-converted-space"/>
          <w:shd w:val="clear" w:color="auto" w:fill="FFFFFF"/>
        </w:rPr>
        <w:t>CATool</w:t>
      </w:r>
      <w:proofErr w:type="spellEnd"/>
      <w:r>
        <w:rPr>
          <w:rStyle w:val="apple-converted-space"/>
          <w:shd w:val="clear" w:color="auto" w:fill="FFFFFF"/>
        </w:rPr>
        <w:t xml:space="preserve"> is called </w:t>
      </w:r>
      <w:proofErr w:type="spellStart"/>
      <w:r w:rsidRPr="00DB5D26">
        <w:rPr>
          <w:shd w:val="clear" w:color="auto" w:fill="FFFFFF"/>
        </w:rPr>
        <w:t>Qlik</w:t>
      </w:r>
      <w:proofErr w:type="spellEnd"/>
      <w:r w:rsidRPr="00DB5D26">
        <w:rPr>
          <w:bdr w:val="none" w:sz="0" w:space="0" w:color="auto" w:frame="1"/>
          <w:shd w:val="clear" w:color="auto" w:fill="FFFFFF"/>
          <w:vertAlign w:val="superscript"/>
        </w:rPr>
        <w:t>®</w:t>
      </w:r>
      <w:r w:rsidRPr="00DB5D26">
        <w:rPr>
          <w:rStyle w:val="apple-converted-space"/>
          <w:shd w:val="clear" w:color="auto" w:fill="FFFFFF"/>
        </w:rPr>
        <w:t> </w:t>
      </w:r>
      <w:r w:rsidRPr="00DB5D26">
        <w:rPr>
          <w:shd w:val="clear" w:color="auto" w:fill="FFFFFF"/>
        </w:rPr>
        <w:t>Sense Desktop</w:t>
      </w:r>
      <w:r w:rsidR="00F976E8">
        <w:rPr>
          <w:szCs w:val="22"/>
        </w:rPr>
        <w:t>.</w:t>
      </w:r>
    </w:p>
    <w:p w:rsidR="00ED70F2" w:rsidRDefault="00F976E8" w:rsidP="001D6F53">
      <w:pPr>
        <w:spacing w:before="120" w:after="120"/>
        <w:rPr>
          <w:szCs w:val="22"/>
        </w:rPr>
      </w:pPr>
      <w:r>
        <w:rPr>
          <w:szCs w:val="22"/>
        </w:rPr>
        <w:t>M</w:t>
      </w:r>
      <w:r w:rsidR="00ED70F2">
        <w:rPr>
          <w:szCs w:val="22"/>
        </w:rPr>
        <w:t xml:space="preserve">ultiple data sources were included in the </w:t>
      </w:r>
      <w:proofErr w:type="spellStart"/>
      <w:r w:rsidR="00ED70F2">
        <w:rPr>
          <w:szCs w:val="22"/>
        </w:rPr>
        <w:t>CATool</w:t>
      </w:r>
      <w:proofErr w:type="spellEnd"/>
      <w:r w:rsidR="00ED70F2">
        <w:rPr>
          <w:szCs w:val="22"/>
        </w:rPr>
        <w:t xml:space="preserve"> in order to combine the large amounts of data variables to create a visual representation of where the location of the workforce, supervisors, trainees, overseas trained specialists (exemptions) and services were being delivered,</w:t>
      </w:r>
      <w:r w:rsidR="00ED70F2" w:rsidRPr="004B1FDA">
        <w:rPr>
          <w:szCs w:val="22"/>
        </w:rPr>
        <w:t xml:space="preserve"> </w:t>
      </w:r>
      <w:r w:rsidR="00ED70F2" w:rsidRPr="009309E3">
        <w:rPr>
          <w:szCs w:val="22"/>
        </w:rPr>
        <w:t xml:space="preserve">albeit </w:t>
      </w:r>
      <w:r w:rsidR="00ED70F2">
        <w:rPr>
          <w:szCs w:val="22"/>
        </w:rPr>
        <w:t>o</w:t>
      </w:r>
      <w:r w:rsidR="00ED70F2" w:rsidRPr="009309E3">
        <w:rPr>
          <w:szCs w:val="22"/>
        </w:rPr>
        <w:t>nly a point in time</w:t>
      </w:r>
      <w:r w:rsidR="00985EBD">
        <w:rPr>
          <w:szCs w:val="22"/>
        </w:rPr>
        <w:t>.</w:t>
      </w:r>
    </w:p>
    <w:p w:rsidR="00ED70F2" w:rsidRDefault="00ED70F2" w:rsidP="00ED70F2">
      <w:pPr>
        <w:spacing w:before="120" w:after="120"/>
        <w:rPr>
          <w:szCs w:val="22"/>
        </w:rPr>
      </w:pPr>
      <w:r>
        <w:rPr>
          <w:szCs w:val="22"/>
        </w:rPr>
        <w:t xml:space="preserve">The following data variables were included in the </w:t>
      </w:r>
      <w:proofErr w:type="spellStart"/>
      <w:r>
        <w:rPr>
          <w:szCs w:val="22"/>
        </w:rPr>
        <w:t>CATool</w:t>
      </w:r>
      <w:proofErr w:type="spellEnd"/>
      <w:r>
        <w:rPr>
          <w:szCs w:val="22"/>
        </w:rPr>
        <w:t>:</w:t>
      </w:r>
    </w:p>
    <w:p w:rsidR="00ED70F2" w:rsidRPr="00B831A8" w:rsidRDefault="00ED70F2" w:rsidP="00D84538">
      <w:pPr>
        <w:pStyle w:val="Heading4"/>
        <w:spacing w:after="120"/>
        <w:jc w:val="left"/>
      </w:pPr>
      <w:r w:rsidRPr="00B831A8">
        <w:t xml:space="preserve">Table </w:t>
      </w:r>
      <w:r w:rsidR="00D52203" w:rsidRPr="00B831A8">
        <w:t>14</w:t>
      </w:r>
      <w:r w:rsidRPr="00B831A8">
        <w:t xml:space="preserve"> - Data variables and sources of the </w:t>
      </w:r>
      <w:proofErr w:type="spellStart"/>
      <w:r w:rsidRPr="00B831A8">
        <w:t>CATool</w:t>
      </w:r>
      <w:proofErr w:type="spellEnd"/>
    </w:p>
    <w:tbl>
      <w:tblPr>
        <w:tblStyle w:val="MediumShading2-Accent2"/>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Table 14: Data variables and sources of the CATool"/>
        <w:tblDescription w:val="Table 14 describes the data variables and sources for the CATool. The variables included in the CATool are: geography, population, socio-economic indexes for areas, MBS services, hospital separations, hospital facilities, specialist training programme posts, trainees, supervisors, specialist clinicians and overseas trained specialists."/>
      </w:tblPr>
      <w:tblGrid>
        <w:gridCol w:w="3396"/>
        <w:gridCol w:w="5738"/>
      </w:tblGrid>
      <w:tr w:rsidR="00ED70F2" w:rsidRPr="004D13D8" w:rsidTr="00110818">
        <w:trPr>
          <w:cnfStyle w:val="100000000000" w:firstRow="1" w:lastRow="0" w:firstColumn="0" w:lastColumn="0" w:oddVBand="0" w:evenVBand="0" w:oddHBand="0" w:evenHBand="0" w:firstRowFirstColumn="0" w:firstRowLastColumn="0" w:lastRowFirstColumn="0" w:lastRowLastColumn="0"/>
          <w:tblHeader/>
        </w:trPr>
        <w:tc>
          <w:tcPr>
            <w:tcW w:w="3654" w:type="dxa"/>
          </w:tcPr>
          <w:p w:rsidR="00ED70F2" w:rsidRPr="004D13D8" w:rsidRDefault="00ED70F2" w:rsidP="00ED70F2">
            <w:pPr>
              <w:spacing w:before="120" w:after="120"/>
              <w:rPr>
                <w:b/>
                <w:sz w:val="20"/>
                <w:szCs w:val="20"/>
              </w:rPr>
            </w:pPr>
            <w:r w:rsidRPr="004D13D8">
              <w:rPr>
                <w:b/>
                <w:sz w:val="20"/>
                <w:szCs w:val="20"/>
              </w:rPr>
              <w:t>Data variables</w:t>
            </w:r>
          </w:p>
        </w:tc>
        <w:tc>
          <w:tcPr>
            <w:tcW w:w="6200" w:type="dxa"/>
          </w:tcPr>
          <w:p w:rsidR="00ED70F2" w:rsidRPr="004D13D8" w:rsidRDefault="00ED70F2" w:rsidP="00ED70F2">
            <w:pPr>
              <w:spacing w:before="120" w:after="120"/>
              <w:rPr>
                <w:b/>
                <w:sz w:val="20"/>
                <w:szCs w:val="20"/>
              </w:rPr>
            </w:pPr>
            <w:r w:rsidRPr="004D13D8">
              <w:rPr>
                <w:b/>
                <w:sz w:val="20"/>
                <w:szCs w:val="20"/>
              </w:rPr>
              <w:t xml:space="preserve">Data sources </w:t>
            </w:r>
          </w:p>
        </w:tc>
      </w:tr>
      <w:tr w:rsidR="00ED70F2" w:rsidRPr="004D13D8" w:rsidTr="00110818">
        <w:trPr>
          <w:cnfStyle w:val="000000100000" w:firstRow="0" w:lastRow="0" w:firstColumn="0" w:lastColumn="0" w:oddVBand="0" w:evenVBand="0" w:oddHBand="1" w:evenHBand="0" w:firstRowFirstColumn="0" w:firstRowLastColumn="0" w:lastRowFirstColumn="0" w:lastRowLastColumn="0"/>
        </w:trPr>
        <w:tc>
          <w:tcPr>
            <w:tcW w:w="3654" w:type="dxa"/>
          </w:tcPr>
          <w:p w:rsidR="00ED70F2" w:rsidRPr="004D13D8" w:rsidRDefault="00ED70F2" w:rsidP="00ED70F2">
            <w:pPr>
              <w:spacing w:before="120" w:after="120"/>
              <w:jc w:val="left"/>
              <w:rPr>
                <w:sz w:val="20"/>
                <w:szCs w:val="20"/>
              </w:rPr>
            </w:pPr>
            <w:r w:rsidRPr="004D13D8">
              <w:rPr>
                <w:sz w:val="20"/>
                <w:szCs w:val="20"/>
              </w:rPr>
              <w:t>Geography</w:t>
            </w:r>
          </w:p>
        </w:tc>
        <w:tc>
          <w:tcPr>
            <w:tcW w:w="6200" w:type="dxa"/>
          </w:tcPr>
          <w:p w:rsidR="00ED70F2" w:rsidRPr="00C929CB" w:rsidRDefault="00ED70F2" w:rsidP="00D510F1">
            <w:pPr>
              <w:pStyle w:val="ListParagraph"/>
              <w:numPr>
                <w:ilvl w:val="0"/>
                <w:numId w:val="5"/>
              </w:numPr>
              <w:spacing w:before="120" w:after="120"/>
              <w:rPr>
                <w:rFonts w:eastAsiaTheme="minorHAnsi"/>
                <w:sz w:val="20"/>
                <w:szCs w:val="20"/>
                <w:lang w:eastAsia="en-AU"/>
              </w:rPr>
            </w:pPr>
            <w:r w:rsidRPr="00C929CB">
              <w:rPr>
                <w:sz w:val="20"/>
              </w:rPr>
              <w:t>1270.0.55.003 - Australian Statistical Geography Standard (</w:t>
            </w:r>
            <w:proofErr w:type="spellStart"/>
            <w:r w:rsidRPr="00C929CB">
              <w:rPr>
                <w:sz w:val="20"/>
              </w:rPr>
              <w:t>ASGS</w:t>
            </w:r>
            <w:proofErr w:type="spellEnd"/>
            <w:r w:rsidRPr="00C929CB">
              <w:rPr>
                <w:sz w:val="20"/>
              </w:rPr>
              <w:t xml:space="preserve">): Volume 3 - Non ABS Structures, July 2011(State Suburbs </w:t>
            </w:r>
            <w:proofErr w:type="spellStart"/>
            <w:r w:rsidRPr="00C929CB">
              <w:rPr>
                <w:sz w:val="20"/>
              </w:rPr>
              <w:t>ASGS</w:t>
            </w:r>
            <w:proofErr w:type="spellEnd"/>
            <w:r w:rsidRPr="00C929CB">
              <w:rPr>
                <w:sz w:val="20"/>
              </w:rPr>
              <w:t xml:space="preserve"> Non ABS Structures Ed 2011 Digital Bound</w:t>
            </w:r>
            <w:r>
              <w:rPr>
                <w:sz w:val="20"/>
              </w:rPr>
              <w:t xml:space="preserve">aries in </w:t>
            </w:r>
            <w:proofErr w:type="spellStart"/>
            <w:r>
              <w:rPr>
                <w:sz w:val="20"/>
              </w:rPr>
              <w:t>ESRI</w:t>
            </w:r>
            <w:proofErr w:type="spellEnd"/>
            <w:r>
              <w:rPr>
                <w:sz w:val="20"/>
              </w:rPr>
              <w:t xml:space="preserve"> </w:t>
            </w:r>
            <w:proofErr w:type="spellStart"/>
            <w:r>
              <w:rPr>
                <w:sz w:val="20"/>
              </w:rPr>
              <w:t>Shapefile</w:t>
            </w:r>
            <w:proofErr w:type="spellEnd"/>
            <w:r>
              <w:rPr>
                <w:sz w:val="20"/>
              </w:rPr>
              <w:t xml:space="preserve"> Format).</w:t>
            </w:r>
            <w:r w:rsidRPr="00C929CB">
              <w:rPr>
                <w:sz w:val="20"/>
              </w:rPr>
              <w:t> </w:t>
            </w:r>
          </w:p>
          <w:p w:rsidR="00ED70F2" w:rsidRPr="00C929CB" w:rsidRDefault="00ED70F2" w:rsidP="00D510F1">
            <w:pPr>
              <w:pStyle w:val="ListParagraph"/>
              <w:numPr>
                <w:ilvl w:val="0"/>
                <w:numId w:val="5"/>
              </w:numPr>
              <w:spacing w:before="120" w:after="120"/>
              <w:rPr>
                <w:sz w:val="20"/>
              </w:rPr>
            </w:pPr>
            <w:r w:rsidRPr="00C929CB">
              <w:rPr>
                <w:sz w:val="20"/>
              </w:rPr>
              <w:t xml:space="preserve">Geometric values – </w:t>
            </w:r>
            <w:proofErr w:type="spellStart"/>
            <w:r w:rsidRPr="00C929CB">
              <w:rPr>
                <w:sz w:val="20"/>
              </w:rPr>
              <w:t>XY</w:t>
            </w:r>
            <w:proofErr w:type="spellEnd"/>
            <w:r w:rsidRPr="00C929CB">
              <w:rPr>
                <w:sz w:val="20"/>
              </w:rPr>
              <w:t xml:space="preserve"> coordinates of the centroid using ABS digital boundaries</w:t>
            </w:r>
            <w:r>
              <w:rPr>
                <w:sz w:val="20"/>
              </w:rPr>
              <w:t>.</w:t>
            </w:r>
          </w:p>
        </w:tc>
      </w:tr>
      <w:tr w:rsidR="00ED70F2" w:rsidRPr="004D13D8" w:rsidTr="00110818">
        <w:tc>
          <w:tcPr>
            <w:tcW w:w="3654" w:type="dxa"/>
          </w:tcPr>
          <w:p w:rsidR="00ED70F2" w:rsidRPr="004D13D8" w:rsidRDefault="00ED70F2" w:rsidP="00ED70F2">
            <w:pPr>
              <w:spacing w:before="120" w:after="120"/>
              <w:jc w:val="left"/>
              <w:rPr>
                <w:sz w:val="20"/>
                <w:szCs w:val="20"/>
              </w:rPr>
            </w:pPr>
            <w:r w:rsidRPr="004D13D8">
              <w:rPr>
                <w:sz w:val="20"/>
                <w:szCs w:val="20"/>
              </w:rPr>
              <w:t xml:space="preserve">Population </w:t>
            </w:r>
          </w:p>
        </w:tc>
        <w:tc>
          <w:tcPr>
            <w:tcW w:w="6200" w:type="dxa"/>
          </w:tcPr>
          <w:p w:rsidR="00ED70F2" w:rsidRPr="00C929CB" w:rsidRDefault="00ED70F2" w:rsidP="00D510F1">
            <w:pPr>
              <w:pStyle w:val="ListParagraph"/>
              <w:numPr>
                <w:ilvl w:val="0"/>
                <w:numId w:val="5"/>
              </w:numPr>
              <w:spacing w:before="120" w:after="120"/>
              <w:rPr>
                <w:sz w:val="20"/>
              </w:rPr>
            </w:pPr>
            <w:r w:rsidRPr="00C929CB">
              <w:rPr>
                <w:sz w:val="20"/>
              </w:rPr>
              <w:t>Census of Population and Housing: Socio-Economic Indexes for Areas (</w:t>
            </w:r>
            <w:proofErr w:type="spellStart"/>
            <w:r w:rsidRPr="00C929CB">
              <w:rPr>
                <w:sz w:val="20"/>
              </w:rPr>
              <w:t>SEIFA</w:t>
            </w:r>
            <w:proofErr w:type="spellEnd"/>
            <w:r w:rsidRPr="00C929CB">
              <w:rPr>
                <w:sz w:val="20"/>
              </w:rPr>
              <w:t>), Australia, 2011, ABS 2033.0.55.001 (</w:t>
            </w:r>
            <w:proofErr w:type="spellStart"/>
            <w:r w:rsidRPr="00C929CB">
              <w:rPr>
                <w:sz w:val="20"/>
              </w:rPr>
              <w:t>datacube</w:t>
            </w:r>
            <w:proofErr w:type="spellEnd"/>
            <w:r w:rsidRPr="00C929CB">
              <w:rPr>
                <w:sz w:val="20"/>
              </w:rPr>
              <w:t xml:space="preserve"> - </w:t>
            </w:r>
            <w:proofErr w:type="spellStart"/>
            <w:r w:rsidRPr="00C929CB">
              <w:rPr>
                <w:sz w:val="20"/>
              </w:rPr>
              <w:t>SSC</w:t>
            </w:r>
            <w:proofErr w:type="spellEnd"/>
            <w:r w:rsidRPr="00C929CB">
              <w:rPr>
                <w:sz w:val="20"/>
              </w:rPr>
              <w:t xml:space="preserve"> indexes).</w:t>
            </w:r>
          </w:p>
        </w:tc>
      </w:tr>
      <w:tr w:rsidR="00ED70F2" w:rsidRPr="004D13D8" w:rsidTr="00110818">
        <w:trPr>
          <w:cnfStyle w:val="000000100000" w:firstRow="0" w:lastRow="0" w:firstColumn="0" w:lastColumn="0" w:oddVBand="0" w:evenVBand="0" w:oddHBand="1" w:evenHBand="0" w:firstRowFirstColumn="0" w:firstRowLastColumn="0" w:lastRowFirstColumn="0" w:lastRowLastColumn="0"/>
        </w:trPr>
        <w:tc>
          <w:tcPr>
            <w:tcW w:w="3654" w:type="dxa"/>
          </w:tcPr>
          <w:p w:rsidR="00ED70F2" w:rsidRPr="004D13D8" w:rsidRDefault="00ED70F2" w:rsidP="00ED70F2">
            <w:pPr>
              <w:spacing w:before="120" w:after="120"/>
              <w:jc w:val="left"/>
              <w:rPr>
                <w:sz w:val="20"/>
                <w:szCs w:val="20"/>
              </w:rPr>
            </w:pPr>
            <w:r w:rsidRPr="004D13D8">
              <w:rPr>
                <w:sz w:val="20"/>
                <w:szCs w:val="20"/>
              </w:rPr>
              <w:t xml:space="preserve">Socio-Economic Indexes for Areas </w:t>
            </w:r>
          </w:p>
        </w:tc>
        <w:tc>
          <w:tcPr>
            <w:tcW w:w="6200" w:type="dxa"/>
          </w:tcPr>
          <w:p w:rsidR="00ED70F2" w:rsidRPr="00C929CB" w:rsidRDefault="00ED70F2" w:rsidP="00D510F1">
            <w:pPr>
              <w:pStyle w:val="ListParagraph"/>
              <w:numPr>
                <w:ilvl w:val="0"/>
                <w:numId w:val="5"/>
              </w:numPr>
              <w:autoSpaceDE w:val="0"/>
              <w:autoSpaceDN w:val="0"/>
              <w:rPr>
                <w:sz w:val="20"/>
              </w:rPr>
            </w:pPr>
            <w:r w:rsidRPr="00C929CB">
              <w:rPr>
                <w:sz w:val="20"/>
              </w:rPr>
              <w:t>Census of Population and Housing: Socio-Economic Indexes for Areas (</w:t>
            </w:r>
            <w:proofErr w:type="spellStart"/>
            <w:r w:rsidRPr="00C929CB">
              <w:rPr>
                <w:sz w:val="20"/>
              </w:rPr>
              <w:t>SEIFA</w:t>
            </w:r>
            <w:proofErr w:type="spellEnd"/>
            <w:r w:rsidRPr="00C929CB">
              <w:rPr>
                <w:sz w:val="20"/>
              </w:rPr>
              <w:t>), Australia, 2011, ABS 2033.0.55.001 (</w:t>
            </w:r>
            <w:proofErr w:type="spellStart"/>
            <w:r w:rsidRPr="00C929CB">
              <w:rPr>
                <w:sz w:val="20"/>
              </w:rPr>
              <w:t>datacube</w:t>
            </w:r>
            <w:proofErr w:type="spellEnd"/>
            <w:r w:rsidRPr="00C929CB">
              <w:rPr>
                <w:sz w:val="20"/>
              </w:rPr>
              <w:t xml:space="preserve"> - </w:t>
            </w:r>
            <w:proofErr w:type="spellStart"/>
            <w:r w:rsidRPr="00C929CB">
              <w:rPr>
                <w:sz w:val="20"/>
              </w:rPr>
              <w:t>SSC</w:t>
            </w:r>
            <w:proofErr w:type="spellEnd"/>
            <w:r w:rsidRPr="00C929CB">
              <w:rPr>
                <w:sz w:val="20"/>
              </w:rPr>
              <w:t xml:space="preserve"> indexes).</w:t>
            </w:r>
          </w:p>
        </w:tc>
      </w:tr>
      <w:tr w:rsidR="00ED70F2" w:rsidRPr="004D13D8" w:rsidTr="00110818">
        <w:tc>
          <w:tcPr>
            <w:tcW w:w="3654" w:type="dxa"/>
          </w:tcPr>
          <w:p w:rsidR="00ED70F2" w:rsidRPr="004D13D8" w:rsidRDefault="00ED70F2" w:rsidP="00ED70F2">
            <w:pPr>
              <w:spacing w:before="120" w:after="120"/>
              <w:jc w:val="left"/>
              <w:rPr>
                <w:sz w:val="20"/>
                <w:szCs w:val="20"/>
              </w:rPr>
            </w:pPr>
            <w:proofErr w:type="spellStart"/>
            <w:r w:rsidRPr="004D13D8">
              <w:rPr>
                <w:sz w:val="20"/>
                <w:szCs w:val="20"/>
              </w:rPr>
              <w:t>MBS</w:t>
            </w:r>
            <w:proofErr w:type="spellEnd"/>
            <w:r w:rsidRPr="004D13D8">
              <w:rPr>
                <w:sz w:val="20"/>
                <w:szCs w:val="20"/>
              </w:rPr>
              <w:t xml:space="preserve"> services</w:t>
            </w:r>
          </w:p>
        </w:tc>
        <w:tc>
          <w:tcPr>
            <w:tcW w:w="6200" w:type="dxa"/>
          </w:tcPr>
          <w:p w:rsidR="00ED70F2" w:rsidRPr="00C929CB" w:rsidRDefault="00ED70F2" w:rsidP="00D510F1">
            <w:pPr>
              <w:pStyle w:val="ListParagraph"/>
              <w:numPr>
                <w:ilvl w:val="0"/>
                <w:numId w:val="5"/>
              </w:numPr>
              <w:spacing w:before="120" w:after="120"/>
              <w:rPr>
                <w:sz w:val="20"/>
              </w:rPr>
            </w:pPr>
            <w:r w:rsidRPr="00C929CB">
              <w:rPr>
                <w:sz w:val="20"/>
              </w:rPr>
              <w:t>Australia Government Department of Health, Medical Benefits Division</w:t>
            </w:r>
          </w:p>
        </w:tc>
      </w:tr>
      <w:tr w:rsidR="00ED70F2" w:rsidRPr="004D13D8" w:rsidTr="00110818">
        <w:trPr>
          <w:cnfStyle w:val="000000100000" w:firstRow="0" w:lastRow="0" w:firstColumn="0" w:lastColumn="0" w:oddVBand="0" w:evenVBand="0" w:oddHBand="1" w:evenHBand="0" w:firstRowFirstColumn="0" w:firstRowLastColumn="0" w:lastRowFirstColumn="0" w:lastRowLastColumn="0"/>
        </w:trPr>
        <w:tc>
          <w:tcPr>
            <w:tcW w:w="3654" w:type="dxa"/>
          </w:tcPr>
          <w:p w:rsidR="00ED70F2" w:rsidRPr="004D13D8" w:rsidRDefault="00ED70F2" w:rsidP="00ED70F2">
            <w:pPr>
              <w:spacing w:before="120" w:after="120"/>
              <w:jc w:val="left"/>
              <w:rPr>
                <w:sz w:val="20"/>
                <w:szCs w:val="20"/>
              </w:rPr>
            </w:pPr>
            <w:r>
              <w:rPr>
                <w:sz w:val="20"/>
                <w:szCs w:val="20"/>
              </w:rPr>
              <w:t xml:space="preserve">Hospital Separations </w:t>
            </w:r>
          </w:p>
        </w:tc>
        <w:tc>
          <w:tcPr>
            <w:tcW w:w="6200" w:type="dxa"/>
          </w:tcPr>
          <w:p w:rsidR="00ED70F2" w:rsidRPr="00C929CB" w:rsidRDefault="00ED70F2" w:rsidP="00D510F1">
            <w:pPr>
              <w:pStyle w:val="ListParagraph"/>
              <w:numPr>
                <w:ilvl w:val="0"/>
                <w:numId w:val="5"/>
              </w:numPr>
              <w:spacing w:before="120" w:after="120"/>
              <w:rPr>
                <w:sz w:val="20"/>
              </w:rPr>
            </w:pPr>
            <w:r w:rsidRPr="00C929CB">
              <w:rPr>
                <w:sz w:val="20"/>
              </w:rPr>
              <w:t>Australia Government Department of Health</w:t>
            </w:r>
            <w:r>
              <w:rPr>
                <w:sz w:val="20"/>
                <w:szCs w:val="20"/>
              </w:rPr>
              <w:t>, Acute Care Division</w:t>
            </w:r>
          </w:p>
        </w:tc>
      </w:tr>
      <w:tr w:rsidR="00ED70F2" w:rsidRPr="004D13D8" w:rsidTr="00110818">
        <w:tc>
          <w:tcPr>
            <w:tcW w:w="3654" w:type="dxa"/>
          </w:tcPr>
          <w:p w:rsidR="00ED70F2" w:rsidRDefault="00ED70F2" w:rsidP="00ED70F2">
            <w:pPr>
              <w:spacing w:before="120" w:after="120"/>
              <w:jc w:val="left"/>
              <w:rPr>
                <w:sz w:val="20"/>
                <w:szCs w:val="20"/>
              </w:rPr>
            </w:pPr>
            <w:r>
              <w:rPr>
                <w:sz w:val="20"/>
                <w:szCs w:val="20"/>
              </w:rPr>
              <w:t xml:space="preserve">Hospital Facilities </w:t>
            </w:r>
          </w:p>
        </w:tc>
        <w:tc>
          <w:tcPr>
            <w:tcW w:w="6200" w:type="dxa"/>
          </w:tcPr>
          <w:p w:rsidR="00ED70F2" w:rsidRPr="00C929CB" w:rsidRDefault="00ED70F2" w:rsidP="00D510F1">
            <w:pPr>
              <w:pStyle w:val="ListParagraph"/>
              <w:numPr>
                <w:ilvl w:val="0"/>
                <w:numId w:val="5"/>
              </w:numPr>
              <w:spacing w:before="120" w:after="120"/>
              <w:rPr>
                <w:sz w:val="20"/>
              </w:rPr>
            </w:pPr>
            <w:r w:rsidRPr="00C929CB">
              <w:rPr>
                <w:sz w:val="20"/>
              </w:rPr>
              <w:t>Australia Government Department of Health</w:t>
            </w:r>
            <w:r>
              <w:rPr>
                <w:sz w:val="20"/>
                <w:szCs w:val="20"/>
              </w:rPr>
              <w:t xml:space="preserve">, GIS server and included the category of facility by </w:t>
            </w:r>
            <w:proofErr w:type="spellStart"/>
            <w:r>
              <w:rPr>
                <w:sz w:val="20"/>
                <w:szCs w:val="20"/>
              </w:rPr>
              <w:t>XY</w:t>
            </w:r>
            <w:proofErr w:type="spellEnd"/>
            <w:r>
              <w:rPr>
                <w:sz w:val="20"/>
                <w:szCs w:val="20"/>
              </w:rPr>
              <w:t xml:space="preserve"> location.</w:t>
            </w:r>
          </w:p>
        </w:tc>
      </w:tr>
      <w:tr w:rsidR="00ED70F2" w:rsidRPr="004D13D8" w:rsidTr="00110818">
        <w:trPr>
          <w:cnfStyle w:val="000000100000" w:firstRow="0" w:lastRow="0" w:firstColumn="0" w:lastColumn="0" w:oddVBand="0" w:evenVBand="0" w:oddHBand="1" w:evenHBand="0" w:firstRowFirstColumn="0" w:firstRowLastColumn="0" w:lastRowFirstColumn="0" w:lastRowLastColumn="0"/>
        </w:trPr>
        <w:tc>
          <w:tcPr>
            <w:tcW w:w="3654" w:type="dxa"/>
          </w:tcPr>
          <w:p w:rsidR="00ED70F2" w:rsidRPr="004D13D8" w:rsidRDefault="00ED70F2" w:rsidP="00ED70F2">
            <w:pPr>
              <w:spacing w:before="120" w:after="120"/>
              <w:jc w:val="left"/>
              <w:rPr>
                <w:sz w:val="20"/>
                <w:szCs w:val="20"/>
              </w:rPr>
            </w:pPr>
            <w:r w:rsidRPr="004D13D8">
              <w:rPr>
                <w:sz w:val="20"/>
                <w:szCs w:val="20"/>
              </w:rPr>
              <w:t>Specialist Training Programme (</w:t>
            </w:r>
            <w:proofErr w:type="spellStart"/>
            <w:r w:rsidRPr="004D13D8">
              <w:rPr>
                <w:sz w:val="20"/>
                <w:szCs w:val="20"/>
              </w:rPr>
              <w:t>STP</w:t>
            </w:r>
            <w:proofErr w:type="spellEnd"/>
            <w:r w:rsidRPr="004D13D8">
              <w:rPr>
                <w:sz w:val="20"/>
                <w:szCs w:val="20"/>
              </w:rPr>
              <w:t>) posts</w:t>
            </w:r>
          </w:p>
        </w:tc>
        <w:tc>
          <w:tcPr>
            <w:tcW w:w="6200" w:type="dxa"/>
          </w:tcPr>
          <w:p w:rsidR="00ED70F2" w:rsidRPr="004D13D8" w:rsidRDefault="00ED70F2" w:rsidP="00D510F1">
            <w:pPr>
              <w:pStyle w:val="ListParagraph"/>
              <w:numPr>
                <w:ilvl w:val="0"/>
                <w:numId w:val="3"/>
              </w:numPr>
              <w:rPr>
                <w:sz w:val="20"/>
                <w:szCs w:val="20"/>
              </w:rPr>
            </w:pPr>
            <w:r w:rsidRPr="00C929CB">
              <w:rPr>
                <w:sz w:val="20"/>
              </w:rPr>
              <w:t>Australia Government Department of Health</w:t>
            </w:r>
            <w:r>
              <w:rPr>
                <w:sz w:val="20"/>
                <w:szCs w:val="20"/>
              </w:rPr>
              <w:t>, Health Training Branch</w:t>
            </w:r>
          </w:p>
        </w:tc>
      </w:tr>
      <w:tr w:rsidR="00ED70F2" w:rsidRPr="004D13D8" w:rsidTr="00110818">
        <w:tc>
          <w:tcPr>
            <w:tcW w:w="3654" w:type="dxa"/>
          </w:tcPr>
          <w:p w:rsidR="00ED70F2" w:rsidRPr="004D13D8" w:rsidRDefault="00ED70F2" w:rsidP="00ED70F2">
            <w:pPr>
              <w:spacing w:before="120" w:after="120"/>
              <w:jc w:val="left"/>
              <w:rPr>
                <w:sz w:val="20"/>
                <w:szCs w:val="20"/>
              </w:rPr>
            </w:pPr>
            <w:r w:rsidRPr="004D13D8">
              <w:rPr>
                <w:sz w:val="20"/>
                <w:szCs w:val="20"/>
              </w:rPr>
              <w:t>Trainees</w:t>
            </w:r>
          </w:p>
        </w:tc>
        <w:tc>
          <w:tcPr>
            <w:tcW w:w="6200" w:type="dxa"/>
          </w:tcPr>
          <w:p w:rsidR="00ED70F2" w:rsidRPr="004D13D8" w:rsidRDefault="00ED70F2" w:rsidP="00D510F1">
            <w:pPr>
              <w:pStyle w:val="ListParagraph"/>
              <w:numPr>
                <w:ilvl w:val="0"/>
                <w:numId w:val="3"/>
              </w:numPr>
              <w:spacing w:before="120" w:after="120"/>
              <w:rPr>
                <w:sz w:val="20"/>
                <w:szCs w:val="20"/>
              </w:rPr>
            </w:pPr>
            <w:proofErr w:type="spellStart"/>
            <w:r w:rsidRPr="004D13D8">
              <w:rPr>
                <w:sz w:val="20"/>
                <w:szCs w:val="20"/>
              </w:rPr>
              <w:t>RANZCP</w:t>
            </w:r>
            <w:proofErr w:type="spellEnd"/>
            <w:r w:rsidRPr="004D13D8">
              <w:rPr>
                <w:sz w:val="20"/>
                <w:szCs w:val="20"/>
              </w:rPr>
              <w:t xml:space="preserve"> 2014 and </w:t>
            </w:r>
            <w:proofErr w:type="spellStart"/>
            <w:r w:rsidRPr="004D13D8">
              <w:rPr>
                <w:sz w:val="20"/>
                <w:szCs w:val="20"/>
              </w:rPr>
              <w:t>NHWDS</w:t>
            </w:r>
            <w:proofErr w:type="spellEnd"/>
            <w:r w:rsidRPr="004D13D8">
              <w:rPr>
                <w:sz w:val="20"/>
                <w:szCs w:val="20"/>
              </w:rPr>
              <w:t xml:space="preserve"> </w:t>
            </w:r>
            <w:r>
              <w:rPr>
                <w:sz w:val="20"/>
                <w:szCs w:val="20"/>
              </w:rPr>
              <w:t xml:space="preserve">medical practitioner </w:t>
            </w:r>
            <w:r w:rsidRPr="004D13D8">
              <w:rPr>
                <w:sz w:val="20"/>
                <w:szCs w:val="20"/>
              </w:rPr>
              <w:t>2013</w:t>
            </w:r>
          </w:p>
        </w:tc>
      </w:tr>
      <w:tr w:rsidR="00ED70F2" w:rsidRPr="004D13D8" w:rsidTr="00110818">
        <w:trPr>
          <w:cnfStyle w:val="000000100000" w:firstRow="0" w:lastRow="0" w:firstColumn="0" w:lastColumn="0" w:oddVBand="0" w:evenVBand="0" w:oddHBand="1" w:evenHBand="0" w:firstRowFirstColumn="0" w:firstRowLastColumn="0" w:lastRowFirstColumn="0" w:lastRowLastColumn="0"/>
        </w:trPr>
        <w:tc>
          <w:tcPr>
            <w:tcW w:w="3654" w:type="dxa"/>
          </w:tcPr>
          <w:p w:rsidR="00ED70F2" w:rsidRPr="004D13D8" w:rsidRDefault="00ED70F2" w:rsidP="00ED70F2">
            <w:pPr>
              <w:spacing w:before="120" w:after="120"/>
              <w:jc w:val="left"/>
              <w:rPr>
                <w:sz w:val="20"/>
                <w:szCs w:val="20"/>
              </w:rPr>
            </w:pPr>
            <w:r w:rsidRPr="004D13D8">
              <w:rPr>
                <w:sz w:val="20"/>
                <w:szCs w:val="20"/>
              </w:rPr>
              <w:t>Supervisors</w:t>
            </w:r>
          </w:p>
        </w:tc>
        <w:tc>
          <w:tcPr>
            <w:tcW w:w="6200" w:type="dxa"/>
          </w:tcPr>
          <w:p w:rsidR="00ED70F2" w:rsidRPr="004D13D8" w:rsidRDefault="00ED70F2" w:rsidP="00D510F1">
            <w:pPr>
              <w:pStyle w:val="ListParagraph"/>
              <w:numPr>
                <w:ilvl w:val="0"/>
                <w:numId w:val="3"/>
              </w:numPr>
              <w:spacing w:before="120" w:after="120"/>
              <w:rPr>
                <w:sz w:val="20"/>
                <w:szCs w:val="20"/>
              </w:rPr>
            </w:pPr>
            <w:proofErr w:type="spellStart"/>
            <w:r w:rsidRPr="004D13D8">
              <w:rPr>
                <w:sz w:val="20"/>
                <w:szCs w:val="20"/>
              </w:rPr>
              <w:t>RANZCP</w:t>
            </w:r>
            <w:proofErr w:type="spellEnd"/>
            <w:r w:rsidRPr="004D13D8">
              <w:rPr>
                <w:sz w:val="20"/>
                <w:szCs w:val="20"/>
              </w:rPr>
              <w:t xml:space="preserve"> 2014 and </w:t>
            </w:r>
            <w:proofErr w:type="spellStart"/>
            <w:r w:rsidRPr="004D13D8">
              <w:rPr>
                <w:sz w:val="20"/>
                <w:szCs w:val="20"/>
              </w:rPr>
              <w:t>NHWDS</w:t>
            </w:r>
            <w:proofErr w:type="spellEnd"/>
            <w:r>
              <w:rPr>
                <w:sz w:val="20"/>
                <w:szCs w:val="20"/>
              </w:rPr>
              <w:t xml:space="preserve"> medical practitioner</w:t>
            </w:r>
            <w:r w:rsidRPr="004D13D8">
              <w:rPr>
                <w:sz w:val="20"/>
                <w:szCs w:val="20"/>
              </w:rPr>
              <w:t xml:space="preserve"> 2013</w:t>
            </w:r>
          </w:p>
        </w:tc>
      </w:tr>
      <w:tr w:rsidR="00ED70F2" w:rsidRPr="004D13D8" w:rsidTr="00110818">
        <w:tc>
          <w:tcPr>
            <w:tcW w:w="3654" w:type="dxa"/>
          </w:tcPr>
          <w:p w:rsidR="00ED70F2" w:rsidRPr="004D13D8" w:rsidRDefault="00ED70F2" w:rsidP="00ED70F2">
            <w:pPr>
              <w:spacing w:before="120" w:after="120"/>
              <w:jc w:val="left"/>
              <w:rPr>
                <w:sz w:val="20"/>
                <w:szCs w:val="20"/>
              </w:rPr>
            </w:pPr>
            <w:r w:rsidRPr="004D13D8">
              <w:rPr>
                <w:sz w:val="20"/>
                <w:szCs w:val="20"/>
              </w:rPr>
              <w:t>Specialist clinicians</w:t>
            </w:r>
          </w:p>
        </w:tc>
        <w:tc>
          <w:tcPr>
            <w:tcW w:w="6200" w:type="dxa"/>
          </w:tcPr>
          <w:p w:rsidR="00ED70F2" w:rsidRPr="004D13D8" w:rsidRDefault="00ED70F2" w:rsidP="00D510F1">
            <w:pPr>
              <w:pStyle w:val="ListParagraph"/>
              <w:numPr>
                <w:ilvl w:val="0"/>
                <w:numId w:val="3"/>
              </w:numPr>
              <w:spacing w:before="120" w:after="120"/>
              <w:rPr>
                <w:sz w:val="20"/>
                <w:szCs w:val="20"/>
              </w:rPr>
            </w:pPr>
            <w:proofErr w:type="spellStart"/>
            <w:r w:rsidRPr="004D13D8">
              <w:rPr>
                <w:sz w:val="20"/>
                <w:szCs w:val="20"/>
              </w:rPr>
              <w:t>NHWDS</w:t>
            </w:r>
            <w:proofErr w:type="spellEnd"/>
            <w:r w:rsidRPr="004D13D8">
              <w:rPr>
                <w:sz w:val="20"/>
                <w:szCs w:val="20"/>
              </w:rPr>
              <w:t xml:space="preserve"> </w:t>
            </w:r>
            <w:r>
              <w:rPr>
                <w:sz w:val="20"/>
                <w:szCs w:val="20"/>
              </w:rPr>
              <w:t xml:space="preserve">medical practitioner </w:t>
            </w:r>
            <w:r w:rsidRPr="004D13D8">
              <w:rPr>
                <w:sz w:val="20"/>
                <w:szCs w:val="20"/>
              </w:rPr>
              <w:t>2013</w:t>
            </w:r>
          </w:p>
        </w:tc>
      </w:tr>
      <w:tr w:rsidR="00ED70F2" w:rsidRPr="004D13D8" w:rsidTr="00110818">
        <w:trPr>
          <w:cnfStyle w:val="000000100000" w:firstRow="0" w:lastRow="0" w:firstColumn="0" w:lastColumn="0" w:oddVBand="0" w:evenVBand="0" w:oddHBand="1" w:evenHBand="0" w:firstRowFirstColumn="0" w:firstRowLastColumn="0" w:lastRowFirstColumn="0" w:lastRowLastColumn="0"/>
        </w:trPr>
        <w:tc>
          <w:tcPr>
            <w:tcW w:w="3654" w:type="dxa"/>
          </w:tcPr>
          <w:p w:rsidR="00ED70F2" w:rsidRPr="004D13D8" w:rsidRDefault="00ED70F2" w:rsidP="00ED70F2">
            <w:pPr>
              <w:spacing w:before="120" w:after="120"/>
              <w:jc w:val="left"/>
              <w:rPr>
                <w:sz w:val="20"/>
                <w:szCs w:val="20"/>
              </w:rPr>
            </w:pPr>
            <w:r w:rsidRPr="004D13D8">
              <w:rPr>
                <w:sz w:val="20"/>
                <w:szCs w:val="20"/>
              </w:rPr>
              <w:t xml:space="preserve">Overseas trained specialists </w:t>
            </w:r>
          </w:p>
        </w:tc>
        <w:tc>
          <w:tcPr>
            <w:tcW w:w="6200" w:type="dxa"/>
          </w:tcPr>
          <w:p w:rsidR="00ED70F2" w:rsidRPr="004D13D8" w:rsidRDefault="00ED70F2" w:rsidP="00D510F1">
            <w:pPr>
              <w:pStyle w:val="ListParagraph"/>
              <w:numPr>
                <w:ilvl w:val="0"/>
                <w:numId w:val="3"/>
              </w:numPr>
              <w:spacing w:before="120" w:after="120"/>
              <w:rPr>
                <w:sz w:val="20"/>
                <w:szCs w:val="20"/>
              </w:rPr>
            </w:pPr>
            <w:proofErr w:type="spellStart"/>
            <w:r w:rsidRPr="004D13D8">
              <w:rPr>
                <w:sz w:val="20"/>
                <w:szCs w:val="20"/>
              </w:rPr>
              <w:t>RANZCP</w:t>
            </w:r>
            <w:proofErr w:type="spellEnd"/>
            <w:r w:rsidRPr="004D13D8">
              <w:rPr>
                <w:sz w:val="20"/>
                <w:szCs w:val="20"/>
              </w:rPr>
              <w:t xml:space="preserve"> 2014 and </w:t>
            </w:r>
            <w:proofErr w:type="spellStart"/>
            <w:r w:rsidRPr="004D13D8">
              <w:rPr>
                <w:sz w:val="20"/>
                <w:szCs w:val="20"/>
              </w:rPr>
              <w:t>NHWDS</w:t>
            </w:r>
            <w:proofErr w:type="spellEnd"/>
            <w:r w:rsidRPr="004D13D8">
              <w:rPr>
                <w:sz w:val="20"/>
                <w:szCs w:val="20"/>
              </w:rPr>
              <w:t xml:space="preserve"> </w:t>
            </w:r>
            <w:r>
              <w:rPr>
                <w:sz w:val="20"/>
                <w:szCs w:val="20"/>
              </w:rPr>
              <w:t xml:space="preserve">medical practitioner </w:t>
            </w:r>
            <w:r w:rsidRPr="004D13D8">
              <w:rPr>
                <w:sz w:val="20"/>
                <w:szCs w:val="20"/>
              </w:rPr>
              <w:t>2013</w:t>
            </w:r>
          </w:p>
        </w:tc>
      </w:tr>
    </w:tbl>
    <w:p w:rsidR="00C64172" w:rsidRPr="00FE7551" w:rsidRDefault="00C64172" w:rsidP="00FE5BFB">
      <w:pPr>
        <w:pStyle w:val="Heading4"/>
      </w:pPr>
      <w:r w:rsidRPr="00FE7551">
        <w:t xml:space="preserve">Future consideration of the </w:t>
      </w:r>
      <w:proofErr w:type="spellStart"/>
      <w:r w:rsidRPr="00FE7551">
        <w:t>CATool</w:t>
      </w:r>
      <w:proofErr w:type="spellEnd"/>
      <w:r w:rsidRPr="00FE7551">
        <w:t xml:space="preserve"> </w:t>
      </w:r>
    </w:p>
    <w:p w:rsidR="00C64172" w:rsidRDefault="00C64172" w:rsidP="00C64172">
      <w:pPr>
        <w:spacing w:before="120" w:after="120"/>
        <w:rPr>
          <w:szCs w:val="22"/>
        </w:rPr>
      </w:pPr>
      <w:r>
        <w:rPr>
          <w:szCs w:val="22"/>
        </w:rPr>
        <w:t xml:space="preserve">While in its infancy the </w:t>
      </w:r>
      <w:proofErr w:type="spellStart"/>
      <w:r>
        <w:rPr>
          <w:szCs w:val="22"/>
        </w:rPr>
        <w:t>CATool</w:t>
      </w:r>
      <w:proofErr w:type="spellEnd"/>
      <w:r>
        <w:rPr>
          <w:szCs w:val="22"/>
        </w:rPr>
        <w:t xml:space="preserve"> gives the ability to visualise the data and build the evidence required to make informed decisions. Its intention is to be a </w:t>
      </w:r>
      <w:r w:rsidRPr="009309E3">
        <w:rPr>
          <w:szCs w:val="22"/>
        </w:rPr>
        <w:t xml:space="preserve">dynamic visual analytic tool that </w:t>
      </w:r>
      <w:r>
        <w:rPr>
          <w:szCs w:val="22"/>
        </w:rPr>
        <w:t xml:space="preserve">allows access to big datasets </w:t>
      </w:r>
      <w:r w:rsidR="00F976E8">
        <w:rPr>
          <w:szCs w:val="22"/>
        </w:rPr>
        <w:t>quickly</w:t>
      </w:r>
      <w:r w:rsidRPr="009309E3">
        <w:rPr>
          <w:szCs w:val="22"/>
        </w:rPr>
        <w:t xml:space="preserve"> and easily </w:t>
      </w:r>
      <w:r w:rsidR="00F976E8">
        <w:rPr>
          <w:szCs w:val="22"/>
        </w:rPr>
        <w:t xml:space="preserve">and </w:t>
      </w:r>
      <w:r>
        <w:rPr>
          <w:szCs w:val="22"/>
        </w:rPr>
        <w:t>that can identify specific areas of interest relevant to different stakeholders. As the recommendation</w:t>
      </w:r>
      <w:r w:rsidR="00F976E8">
        <w:rPr>
          <w:szCs w:val="22"/>
        </w:rPr>
        <w:t>s</w:t>
      </w:r>
      <w:r>
        <w:rPr>
          <w:szCs w:val="22"/>
        </w:rPr>
        <w:t xml:space="preserve"> above outline:</w:t>
      </w:r>
    </w:p>
    <w:p w:rsidR="00C64172" w:rsidRDefault="00C64172" w:rsidP="00D510F1">
      <w:pPr>
        <w:pStyle w:val="ListParagraph"/>
        <w:numPr>
          <w:ilvl w:val="0"/>
          <w:numId w:val="8"/>
        </w:numPr>
        <w:spacing w:before="120" w:after="120"/>
        <w:ind w:left="426" w:hanging="426"/>
        <w:rPr>
          <w:szCs w:val="22"/>
        </w:rPr>
      </w:pPr>
      <w:r>
        <w:rPr>
          <w:szCs w:val="22"/>
        </w:rPr>
        <w:t>F</w:t>
      </w:r>
      <w:r w:rsidRPr="00423612">
        <w:rPr>
          <w:szCs w:val="22"/>
        </w:rPr>
        <w:t xml:space="preserve">urther development of data </w:t>
      </w:r>
      <w:r w:rsidR="00F976E8">
        <w:rPr>
          <w:szCs w:val="22"/>
        </w:rPr>
        <w:t>is needed</w:t>
      </w:r>
      <w:r>
        <w:rPr>
          <w:szCs w:val="22"/>
        </w:rPr>
        <w:t>;</w:t>
      </w:r>
    </w:p>
    <w:p w:rsidR="00FB358E" w:rsidRPr="00FB358E" w:rsidRDefault="00C64172" w:rsidP="00D510F1">
      <w:pPr>
        <w:pStyle w:val="ListParagraph"/>
        <w:numPr>
          <w:ilvl w:val="0"/>
          <w:numId w:val="8"/>
        </w:numPr>
        <w:spacing w:before="120" w:after="120"/>
        <w:ind w:left="426" w:hanging="426"/>
      </w:pPr>
      <w:r>
        <w:rPr>
          <w:szCs w:val="22"/>
        </w:rPr>
        <w:t>T</w:t>
      </w:r>
      <w:r w:rsidRPr="00423612">
        <w:rPr>
          <w:szCs w:val="22"/>
        </w:rPr>
        <w:t xml:space="preserve">he margins of errors need to be </w:t>
      </w:r>
      <w:r w:rsidR="00F976E8">
        <w:rPr>
          <w:szCs w:val="22"/>
        </w:rPr>
        <w:t xml:space="preserve">further </w:t>
      </w:r>
      <w:r w:rsidRPr="00423612">
        <w:rPr>
          <w:szCs w:val="22"/>
        </w:rPr>
        <w:t>analysed</w:t>
      </w:r>
      <w:r>
        <w:rPr>
          <w:szCs w:val="22"/>
        </w:rPr>
        <w:t>;</w:t>
      </w:r>
    </w:p>
    <w:p w:rsidR="00ED70F2" w:rsidRDefault="00F976E8" w:rsidP="00D510F1">
      <w:pPr>
        <w:pStyle w:val="ListParagraph"/>
        <w:numPr>
          <w:ilvl w:val="0"/>
          <w:numId w:val="8"/>
        </w:numPr>
        <w:spacing w:before="120" w:after="120"/>
        <w:ind w:left="426" w:hanging="426"/>
      </w:pPr>
      <w:r>
        <w:rPr>
          <w:szCs w:val="22"/>
        </w:rPr>
        <w:t>Analysis requires working</w:t>
      </w:r>
      <w:r w:rsidR="00C64172" w:rsidRPr="00310357">
        <w:rPr>
          <w:szCs w:val="22"/>
        </w:rPr>
        <w:t xml:space="preserve"> closely with the </w:t>
      </w:r>
      <w:r w:rsidR="00A9034B" w:rsidRPr="00FB358E">
        <w:rPr>
          <w:szCs w:val="22"/>
        </w:rPr>
        <w:t>C</w:t>
      </w:r>
      <w:r w:rsidR="00C64172" w:rsidRPr="00FB358E">
        <w:rPr>
          <w:szCs w:val="22"/>
        </w:rPr>
        <w:t>ollege and</w:t>
      </w:r>
      <w:r>
        <w:rPr>
          <w:szCs w:val="22"/>
        </w:rPr>
        <w:t xml:space="preserve"> jurisdictions</w:t>
      </w:r>
      <w:r w:rsidR="00C64172" w:rsidRPr="00FB358E">
        <w:rPr>
          <w:szCs w:val="22"/>
        </w:rPr>
        <w:t>.</w:t>
      </w:r>
      <w:bookmarkEnd w:id="59"/>
    </w:p>
    <w:sectPr w:rsidR="00ED70F2" w:rsidSect="00A34F47">
      <w:pgSz w:w="11906" w:h="16838"/>
      <w:pgMar w:top="1247" w:right="1440" w:bottom="124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C13" w:rsidRDefault="00DE5C13" w:rsidP="00787645">
      <w:r>
        <w:separator/>
      </w:r>
    </w:p>
  </w:endnote>
  <w:endnote w:type="continuationSeparator" w:id="0">
    <w:p w:rsidR="00DE5C13" w:rsidRDefault="00DE5C13" w:rsidP="0078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99718463"/>
      <w:docPartObj>
        <w:docPartGallery w:val="Page Numbers (Bottom of Page)"/>
        <w:docPartUnique/>
      </w:docPartObj>
    </w:sdtPr>
    <w:sdtEndPr>
      <w:rPr>
        <w:noProof/>
      </w:rPr>
    </w:sdtEndPr>
    <w:sdtContent>
      <w:p w:rsidR="00DE5C13" w:rsidRPr="004558ED" w:rsidRDefault="00DE5C13">
        <w:pPr>
          <w:pStyle w:val="Footer"/>
          <w:jc w:val="right"/>
          <w:rPr>
            <w:sz w:val="20"/>
            <w:szCs w:val="20"/>
          </w:rPr>
        </w:pPr>
        <w:r w:rsidRPr="004558ED">
          <w:rPr>
            <w:sz w:val="20"/>
            <w:szCs w:val="20"/>
          </w:rPr>
          <w:fldChar w:fldCharType="begin"/>
        </w:r>
        <w:r w:rsidRPr="004558ED">
          <w:rPr>
            <w:sz w:val="20"/>
            <w:szCs w:val="20"/>
          </w:rPr>
          <w:instrText xml:space="preserve"> PAGE   \* MERGEFORMAT </w:instrText>
        </w:r>
        <w:r w:rsidRPr="004558ED">
          <w:rPr>
            <w:sz w:val="20"/>
            <w:szCs w:val="20"/>
          </w:rPr>
          <w:fldChar w:fldCharType="separate"/>
        </w:r>
        <w:r w:rsidR="008549B6">
          <w:rPr>
            <w:noProof/>
            <w:sz w:val="20"/>
            <w:szCs w:val="20"/>
          </w:rPr>
          <w:t>31</w:t>
        </w:r>
        <w:r w:rsidRPr="004558ED">
          <w:rPr>
            <w:noProof/>
            <w:sz w:val="20"/>
            <w:szCs w:val="20"/>
          </w:rPr>
          <w:fldChar w:fldCharType="end"/>
        </w:r>
      </w:p>
    </w:sdtContent>
  </w:sdt>
  <w:p w:rsidR="00DE5C13" w:rsidRPr="004558ED" w:rsidRDefault="00DE5C13">
    <w:pPr>
      <w:pStyle w:val="Footer"/>
      <w:rPr>
        <w:sz w:val="20"/>
        <w:szCs w:val="20"/>
      </w:rPr>
    </w:pPr>
    <w:r w:rsidRPr="004558ED">
      <w:rPr>
        <w:sz w:val="20"/>
        <w:szCs w:val="20"/>
      </w:rPr>
      <w:t>Australia’s Future Health Workforce - Psychiatry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02"/>
      <w:gridCol w:w="8754"/>
    </w:tblGrid>
    <w:tr w:rsidR="00DE5C13" w:rsidRPr="001C730C" w:rsidTr="00B80E49">
      <w:tc>
        <w:tcPr>
          <w:tcW w:w="271" w:type="pct"/>
          <w:shd w:val="clear" w:color="auto" w:fill="000080"/>
        </w:tcPr>
        <w:p w:rsidR="00DE5C13" w:rsidRPr="001C730C" w:rsidRDefault="00DE5C13" w:rsidP="005F2F57">
          <w:pPr>
            <w:pStyle w:val="Footer"/>
            <w:jc w:val="center"/>
            <w:rPr>
              <w:rFonts w:cs="Times New Roman"/>
              <w:b/>
              <w:bCs/>
              <w:color w:val="FFFFFF" w:themeColor="background1"/>
              <w:sz w:val="16"/>
              <w:szCs w:val="16"/>
            </w:rPr>
          </w:pPr>
          <w:r w:rsidRPr="001C730C">
            <w:rPr>
              <w:rFonts w:cs="Times New Roman"/>
              <w:sz w:val="16"/>
              <w:szCs w:val="16"/>
            </w:rPr>
            <w:fldChar w:fldCharType="begin"/>
          </w:r>
          <w:r w:rsidRPr="001C730C">
            <w:rPr>
              <w:rFonts w:cs="Times New Roman"/>
              <w:sz w:val="16"/>
              <w:szCs w:val="16"/>
            </w:rPr>
            <w:instrText xml:space="preserve"> PAGE   \* MERGEFORMAT </w:instrText>
          </w:r>
          <w:r w:rsidRPr="001C730C">
            <w:rPr>
              <w:rFonts w:cs="Times New Roman"/>
              <w:sz w:val="16"/>
              <w:szCs w:val="16"/>
            </w:rPr>
            <w:fldChar w:fldCharType="separate"/>
          </w:r>
          <w:r w:rsidRPr="00227D87">
            <w:rPr>
              <w:rFonts w:cs="Times New Roman"/>
              <w:noProof/>
              <w:color w:val="FFFFFF" w:themeColor="background1"/>
              <w:sz w:val="16"/>
              <w:szCs w:val="16"/>
            </w:rPr>
            <w:t>1</w:t>
          </w:r>
          <w:r w:rsidRPr="001C730C">
            <w:rPr>
              <w:rFonts w:cs="Times New Roman"/>
              <w:noProof/>
              <w:color w:val="FFFFFF" w:themeColor="background1"/>
              <w:sz w:val="16"/>
              <w:szCs w:val="16"/>
            </w:rPr>
            <w:fldChar w:fldCharType="end"/>
          </w:r>
        </w:p>
      </w:tc>
      <w:tc>
        <w:tcPr>
          <w:tcW w:w="4729" w:type="pct"/>
        </w:tcPr>
        <w:p w:rsidR="00DE5C13" w:rsidRPr="001C730C" w:rsidRDefault="00DE5C13" w:rsidP="001C730C">
          <w:pPr>
            <w:pStyle w:val="Footer"/>
            <w:jc w:val="left"/>
            <w:rPr>
              <w:rFonts w:cs="Times New Roman"/>
              <w:sz w:val="16"/>
              <w:szCs w:val="16"/>
            </w:rPr>
          </w:pPr>
          <w:r>
            <w:rPr>
              <w:rStyle w:val="NoSpacingChar"/>
              <w:sz w:val="16"/>
            </w:rPr>
            <w:t xml:space="preserve">Australia’s Future Health Workforce </w:t>
          </w:r>
          <w:r w:rsidRPr="001C730C">
            <w:rPr>
              <w:rFonts w:cs="Times New Roman"/>
              <w:sz w:val="16"/>
              <w:szCs w:val="16"/>
            </w:rPr>
            <w:t xml:space="preserve"> |  Psychiatry</w:t>
          </w:r>
          <w:r>
            <w:rPr>
              <w:rFonts w:cs="Times New Roman"/>
              <w:sz w:val="16"/>
              <w:szCs w:val="16"/>
            </w:rPr>
            <w:t xml:space="preserve"> </w:t>
          </w:r>
          <w:r w:rsidRPr="001C730C">
            <w:rPr>
              <w:rFonts w:cs="Times New Roman"/>
              <w:sz w:val="16"/>
              <w:szCs w:val="16"/>
            </w:rPr>
            <w:t xml:space="preserve"> </w:t>
          </w:r>
        </w:p>
      </w:tc>
    </w:tr>
  </w:tbl>
  <w:p w:rsidR="00DE5C13" w:rsidRPr="001C730C" w:rsidRDefault="00DE5C13">
    <w:pPr>
      <w:pStyle w:val="Foote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139406"/>
      <w:docPartObj>
        <w:docPartGallery w:val="Page Numbers (Bottom of Page)"/>
        <w:docPartUnique/>
      </w:docPartObj>
    </w:sdtPr>
    <w:sdtEndPr>
      <w:rPr>
        <w:noProof/>
        <w:sz w:val="20"/>
        <w:szCs w:val="20"/>
      </w:rPr>
    </w:sdtEndPr>
    <w:sdtContent>
      <w:p w:rsidR="00DE5C13" w:rsidRPr="00D52203" w:rsidRDefault="00DE5C13">
        <w:pPr>
          <w:pStyle w:val="Footer"/>
          <w:jc w:val="right"/>
          <w:rPr>
            <w:sz w:val="20"/>
            <w:szCs w:val="20"/>
          </w:rPr>
        </w:pPr>
        <w:r w:rsidRPr="00D52203">
          <w:rPr>
            <w:sz w:val="20"/>
            <w:szCs w:val="20"/>
          </w:rPr>
          <w:fldChar w:fldCharType="begin"/>
        </w:r>
        <w:r w:rsidRPr="00D52203">
          <w:rPr>
            <w:sz w:val="20"/>
            <w:szCs w:val="20"/>
          </w:rPr>
          <w:instrText xml:space="preserve"> PAGE   \* MERGEFORMAT </w:instrText>
        </w:r>
        <w:r w:rsidRPr="00D52203">
          <w:rPr>
            <w:sz w:val="20"/>
            <w:szCs w:val="20"/>
          </w:rPr>
          <w:fldChar w:fldCharType="separate"/>
        </w:r>
        <w:r w:rsidR="008549B6">
          <w:rPr>
            <w:noProof/>
            <w:sz w:val="20"/>
            <w:szCs w:val="20"/>
          </w:rPr>
          <w:t>30</w:t>
        </w:r>
        <w:r w:rsidRPr="00D52203">
          <w:rPr>
            <w:noProof/>
            <w:sz w:val="20"/>
            <w:szCs w:val="20"/>
          </w:rPr>
          <w:fldChar w:fldCharType="end"/>
        </w:r>
      </w:p>
    </w:sdtContent>
  </w:sdt>
  <w:p w:rsidR="00DE5C13" w:rsidRPr="004558ED" w:rsidRDefault="00DE5C13" w:rsidP="00D52203">
    <w:pPr>
      <w:pStyle w:val="Footer"/>
      <w:rPr>
        <w:sz w:val="20"/>
        <w:szCs w:val="20"/>
      </w:rPr>
    </w:pPr>
    <w:r w:rsidRPr="004558ED">
      <w:rPr>
        <w:sz w:val="20"/>
        <w:szCs w:val="20"/>
      </w:rPr>
      <w:t>Australia’s Future Health Workforce - Psychiatry</w:t>
    </w:r>
  </w:p>
  <w:p w:rsidR="00DE5C13" w:rsidRPr="00D52203" w:rsidRDefault="00DE5C1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C13" w:rsidRDefault="00DE5C13" w:rsidP="00787645">
      <w:r>
        <w:separator/>
      </w:r>
    </w:p>
  </w:footnote>
  <w:footnote w:type="continuationSeparator" w:id="0">
    <w:p w:rsidR="00DE5C13" w:rsidRDefault="00DE5C13" w:rsidP="00787645">
      <w:r>
        <w:continuationSeparator/>
      </w:r>
    </w:p>
  </w:footnote>
  <w:footnote w:id="1">
    <w:p w:rsidR="00DE5C13" w:rsidRPr="002B5C2B" w:rsidRDefault="00DE5C13" w:rsidP="00D547FF">
      <w:pPr>
        <w:rPr>
          <w:rFonts w:cs="Arial"/>
          <w:sz w:val="16"/>
          <w:szCs w:val="16"/>
        </w:rPr>
      </w:pPr>
      <w:r>
        <w:rPr>
          <w:rStyle w:val="FootnoteReference"/>
        </w:rPr>
        <w:footnoteRef/>
      </w:r>
      <w:r>
        <w:t xml:space="preserve"> </w:t>
      </w:r>
      <w:hyperlink r:id="rId1" w:history="1">
        <w:r w:rsidRPr="002B5C2B">
          <w:rPr>
            <w:rStyle w:val="Hyperlink"/>
            <w:rFonts w:cs="Arial"/>
            <w:sz w:val="16"/>
            <w:szCs w:val="16"/>
          </w:rPr>
          <w:t>www.ranzcp.org/Files/PreFellowship/2012-Fellowship-Program/RPP-PROGRESSION.aspx</w:t>
        </w:r>
      </w:hyperlink>
    </w:p>
    <w:p w:rsidR="00DE5C13" w:rsidRDefault="00DE5C13" w:rsidP="00D547FF">
      <w:pPr>
        <w:pStyle w:val="FootnoteText"/>
      </w:pPr>
    </w:p>
  </w:footnote>
  <w:footnote w:id="2">
    <w:p w:rsidR="00DE5C13" w:rsidRPr="00FF5313" w:rsidRDefault="00DE5C13">
      <w:pPr>
        <w:pStyle w:val="FootnoteText"/>
        <w:rPr>
          <w:sz w:val="16"/>
        </w:rPr>
      </w:pPr>
      <w:r w:rsidRPr="00FF5313">
        <w:rPr>
          <w:rStyle w:val="FootnoteReference"/>
          <w:sz w:val="16"/>
        </w:rPr>
        <w:footnoteRef/>
      </w:r>
      <w:r w:rsidRPr="00FF5313">
        <w:rPr>
          <w:sz w:val="16"/>
        </w:rPr>
        <w:t xml:space="preserve"> </w:t>
      </w:r>
      <w:r>
        <w:rPr>
          <w:rFonts w:cs="Arial"/>
          <w:sz w:val="16"/>
          <w:szCs w:val="22"/>
          <w:lang w:eastAsia="en-AU"/>
        </w:rPr>
        <w:t>F</w:t>
      </w:r>
      <w:r w:rsidRPr="00FF5313">
        <w:rPr>
          <w:rFonts w:cs="Arial"/>
          <w:sz w:val="16"/>
          <w:szCs w:val="22"/>
          <w:lang w:eastAsia="en-AU"/>
        </w:rPr>
        <w:t xml:space="preserve">orecast services use ABS catalogue 3222 </w:t>
      </w:r>
      <w:r>
        <w:rPr>
          <w:rFonts w:cs="Arial"/>
          <w:sz w:val="16"/>
          <w:szCs w:val="22"/>
          <w:lang w:eastAsia="en-AU"/>
        </w:rPr>
        <w:t>Population Projections S</w:t>
      </w:r>
      <w:r w:rsidRPr="00FF5313">
        <w:rPr>
          <w:rFonts w:cs="Arial"/>
          <w:sz w:val="16"/>
          <w:szCs w:val="22"/>
          <w:lang w:eastAsia="en-AU"/>
        </w:rPr>
        <w:t>eries B</w:t>
      </w:r>
      <w:r>
        <w:rPr>
          <w:rFonts w:cs="Arial"/>
          <w:sz w:val="16"/>
          <w:szCs w:val="22"/>
          <w:lang w:eastAsia="en-AU"/>
        </w:rPr>
        <w:t>.</w:t>
      </w:r>
    </w:p>
  </w:footnote>
  <w:footnote w:id="3">
    <w:p w:rsidR="00DE5C13" w:rsidRDefault="00DE5C13" w:rsidP="00F12601">
      <w:pPr>
        <w:pStyle w:val="FootnoteText"/>
      </w:pPr>
      <w:r>
        <w:rPr>
          <w:rStyle w:val="FootnoteReference"/>
        </w:rPr>
        <w:footnoteRef/>
      </w:r>
      <w:r>
        <w:t xml:space="preserve"> </w:t>
      </w:r>
      <w:proofErr w:type="spellStart"/>
      <w:r w:rsidRPr="00E342F3">
        <w:rPr>
          <w:sz w:val="16"/>
        </w:rPr>
        <w:t>MTRP</w:t>
      </w:r>
      <w:proofErr w:type="spellEnd"/>
      <w:r w:rsidRPr="00E342F3">
        <w:rPr>
          <w:sz w:val="16"/>
        </w:rPr>
        <w:t xml:space="preserve"> 18</w:t>
      </w:r>
      <w:r w:rsidRPr="00E342F3">
        <w:rPr>
          <w:sz w:val="16"/>
          <w:vertAlign w:val="superscript"/>
        </w:rPr>
        <w:t>th</w:t>
      </w:r>
      <w:r w:rsidRPr="00E342F3">
        <w:rPr>
          <w:sz w:val="16"/>
        </w:rPr>
        <w:t xml:space="preserve"> Report</w:t>
      </w:r>
      <w:r>
        <w:rPr>
          <w:sz w:val="16"/>
        </w:rPr>
        <w:t xml:space="preserve">, supplement with additional </w:t>
      </w:r>
      <w:proofErr w:type="spellStart"/>
      <w:r>
        <w:rPr>
          <w:sz w:val="16"/>
        </w:rPr>
        <w:t>RANZCP</w:t>
      </w:r>
      <w:proofErr w:type="spellEnd"/>
      <w:r>
        <w:rPr>
          <w:sz w:val="16"/>
        </w:rPr>
        <w:t xml:space="preserve"> data</w:t>
      </w:r>
      <w:r w:rsidRPr="00E342F3">
        <w:rPr>
          <w:sz w:val="16"/>
        </w:rPr>
        <w:t>.</w:t>
      </w:r>
    </w:p>
  </w:footnote>
  <w:footnote w:id="4">
    <w:p w:rsidR="00DE5C13" w:rsidRPr="005A1673" w:rsidRDefault="00DE5C13" w:rsidP="00BF39C6">
      <w:pPr>
        <w:pStyle w:val="FootnoteText"/>
        <w:rPr>
          <w:sz w:val="16"/>
        </w:rPr>
      </w:pPr>
      <w:r w:rsidRPr="005A1673">
        <w:rPr>
          <w:rStyle w:val="FootnoteReference"/>
          <w:sz w:val="16"/>
        </w:rPr>
        <w:footnoteRef/>
      </w:r>
      <w:r w:rsidRPr="005A1673">
        <w:rPr>
          <w:sz w:val="16"/>
        </w:rPr>
        <w:t xml:space="preserve"> Medical Training Review Panel Eighteenth Report, May 2015</w:t>
      </w:r>
    </w:p>
  </w:footnote>
  <w:footnote w:id="5">
    <w:p w:rsidR="00DE5C13" w:rsidRPr="00FF5313" w:rsidRDefault="00DE5C13" w:rsidP="00860743">
      <w:pPr>
        <w:pStyle w:val="FootnoteText"/>
        <w:rPr>
          <w:sz w:val="16"/>
        </w:rPr>
      </w:pPr>
      <w:r w:rsidRPr="00FF5313">
        <w:rPr>
          <w:rStyle w:val="FootnoteReference"/>
          <w:sz w:val="16"/>
        </w:rPr>
        <w:footnoteRef/>
      </w:r>
      <w:r w:rsidRPr="00FF5313">
        <w:rPr>
          <w:sz w:val="16"/>
        </w:rPr>
        <w:t xml:space="preserve"> </w:t>
      </w:r>
      <w:r>
        <w:rPr>
          <w:rFonts w:cs="Arial"/>
          <w:sz w:val="16"/>
          <w:szCs w:val="22"/>
          <w:lang w:eastAsia="en-AU"/>
        </w:rPr>
        <w:t>F</w:t>
      </w:r>
      <w:r w:rsidRPr="00FF5313">
        <w:rPr>
          <w:rFonts w:cs="Arial"/>
          <w:sz w:val="16"/>
          <w:szCs w:val="22"/>
          <w:lang w:eastAsia="en-AU"/>
        </w:rPr>
        <w:t xml:space="preserve">orecast services use ABS catalogue 3222 </w:t>
      </w:r>
      <w:r>
        <w:rPr>
          <w:rFonts w:cs="Arial"/>
          <w:sz w:val="16"/>
          <w:szCs w:val="22"/>
          <w:lang w:eastAsia="en-AU"/>
        </w:rPr>
        <w:t>Population Projections S</w:t>
      </w:r>
      <w:r w:rsidRPr="00FF5313">
        <w:rPr>
          <w:rFonts w:cs="Arial"/>
          <w:sz w:val="16"/>
          <w:szCs w:val="22"/>
          <w:lang w:eastAsia="en-AU"/>
        </w:rPr>
        <w:t>eries B</w:t>
      </w:r>
      <w:r>
        <w:rPr>
          <w:rFonts w:cs="Arial"/>
          <w:sz w:val="16"/>
          <w:szCs w:val="22"/>
          <w:lang w:eastAsia="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3" w:rsidRDefault="00DE5C13">
    <w:pPr>
      <w:pStyle w:val="Header"/>
    </w:pPr>
    <w:r>
      <w:rPr>
        <w:noProof/>
        <w:lang w:eastAsia="en-AU"/>
      </w:rPr>
      <mc:AlternateContent>
        <mc:Choice Requires="wps">
          <w:drawing>
            <wp:inline distT="0" distB="0" distL="0" distR="0">
              <wp:extent cx="7383145" cy="1342390"/>
              <wp:effectExtent l="0" t="2819400" r="0" b="2827655"/>
              <wp:docPr id="28"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83145" cy="1342390"/>
                      </a:xfrm>
                      <a:prstGeom prst="rect">
                        <a:avLst/>
                      </a:prstGeom>
                      <a:solidFill>
                        <a:srgbClr val="FF0000"/>
                      </a:solidFill>
                      <a:ln>
                        <a:solidFill>
                          <a:srgbClr val="FF0000"/>
                        </a:solidFill>
                      </a:ln>
                      <a:effectLst>
                        <a:glow rad="228600">
                          <a:schemeClr val="accent2">
                            <a:satMod val="175000"/>
                            <a:alpha val="40000"/>
                          </a:schemeClr>
                        </a:glow>
                      </a:effectLst>
                      <a:extLst/>
                    </wps:spPr>
                    <wps:txbx>
                      <w:txbxContent>
                        <w:p w:rsidR="00DE5C13" w:rsidRDefault="00DE5C13" w:rsidP="00FC7EA3">
                          <w:pPr>
                            <w:pStyle w:val="NormalWeb"/>
                            <w:spacing w:before="0" w:beforeAutospacing="0" w:after="0" w:afterAutospacing="0"/>
                            <w:jc w:val="center"/>
                          </w:pPr>
                          <w:r>
                            <w:rPr>
                              <w:color w:val="C0C0C0"/>
                              <w:sz w:val="2"/>
                              <w:szCs w:val="2"/>
                              <w14:textFill>
                                <w14:solidFill>
                                  <w14:srgbClr w14:val="C0C0C0">
                                    <w14:alpha w14:val="50000"/>
                                  </w14:srgbClr>
                                </w14:solidFill>
                              </w14:textFill>
                            </w:rPr>
                            <w:t>FINAL DRAFT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7" o:spid="_x0000_s1027" type="#_x0000_t202" style="width:581.35pt;height:105.7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" fillcolor="red" strokecolor="red">
              <o:lock v:ext="edit" text="t" shapetype="t"/>
              <v:textbox style="mso-fit-shape-to-text:t">
                <w:txbxContent>
                  <w:p w:rsidR="00DE5C13" w:rsidRDefault="00DE5C13" w:rsidP="00FC7EA3">
                    <w:pPr>
                      <w:pStyle w:val="NormalWeb"/>
                      <w:spacing w:before="0" w:beforeAutospacing="0" w:after="0" w:afterAutospacing="0"/>
                      <w:jc w:val="center"/>
                    </w:pPr>
                    <w:r>
                      <w:rPr>
                        <w:color w:val="C0C0C0"/>
                        <w:sz w:val="2"/>
                        <w:szCs w:val="2"/>
                        <w14:textFill>
                          <w14:solidFill>
                            <w14:srgbClr w14:val="C0C0C0">
                              <w14:alpha w14:val="50000"/>
                            </w14:srgbClr>
                          </w14:solidFill>
                        </w14:textFill>
                      </w:rPr>
                      <w:t>FINAL DRAFT</w:t>
                    </w:r>
                  </w:p>
                </w:txbxContent>
              </v:textbox>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535981"/>
      <w:docPartObj>
        <w:docPartGallery w:val="Page Numbers (Top of Page)"/>
        <w:docPartUnique/>
      </w:docPartObj>
    </w:sdtPr>
    <w:sdtEndPr>
      <w:rPr>
        <w:noProof/>
      </w:rPr>
    </w:sdtEndPr>
    <w:sdtContent>
      <w:p w:rsidR="00DE5C13" w:rsidRDefault="00DE5C13">
        <w:pPr>
          <w:pStyle w:val="Header"/>
          <w:jc w:val="right"/>
        </w:pPr>
        <w:r>
          <w:fldChar w:fldCharType="begin"/>
        </w:r>
        <w:r>
          <w:instrText xml:space="preserve"> PAGE   \* MERGEFORMAT </w:instrText>
        </w:r>
        <w:r>
          <w:fldChar w:fldCharType="separate"/>
        </w:r>
        <w:r w:rsidR="008549B6">
          <w:rPr>
            <w:noProof/>
          </w:rPr>
          <w:t>1</w:t>
        </w:r>
        <w:r>
          <w:rPr>
            <w:noProof/>
          </w:rPr>
          <w:fldChar w:fldCharType="end"/>
        </w:r>
      </w:p>
    </w:sdtContent>
  </w:sdt>
  <w:p w:rsidR="00DE5C13" w:rsidRDefault="00DE5C13" w:rsidP="007E125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3" w:rsidRDefault="00DE5C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3" w:rsidRPr="001340F6" w:rsidRDefault="00DE5C13" w:rsidP="001340F6">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3" w:rsidRPr="00FB4A07" w:rsidRDefault="00DE5C13" w:rsidP="00FB4A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3" w:rsidRDefault="00DE5C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3" w:rsidRDefault="00DE5C1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13" w:rsidRPr="00FB4A07" w:rsidRDefault="00DE5C13" w:rsidP="00FB4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134D"/>
    <w:multiLevelType w:val="hybridMultilevel"/>
    <w:tmpl w:val="5FB88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A80F36"/>
    <w:multiLevelType w:val="hybridMultilevel"/>
    <w:tmpl w:val="706ECAD8"/>
    <w:lvl w:ilvl="0" w:tplc="541E678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B">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02F631C"/>
    <w:multiLevelType w:val="hybridMultilevel"/>
    <w:tmpl w:val="AFF4C164"/>
    <w:lvl w:ilvl="0" w:tplc="541E6784">
      <w:start w:val="1"/>
      <w:numFmt w:val="bullet"/>
      <w:lvlText w:val=""/>
      <w:lvlJc w:val="left"/>
      <w:pPr>
        <w:ind w:left="360" w:hanging="360"/>
      </w:pPr>
      <w:rPr>
        <w:rFonts w:ascii="Symbol" w:hAnsi="Symbol" w:hint="default"/>
        <w:color w:val="auto"/>
      </w:rPr>
    </w:lvl>
    <w:lvl w:ilvl="1" w:tplc="0C090005">
      <w:start w:val="1"/>
      <w:numFmt w:val="bullet"/>
      <w:lvlText w:val=""/>
      <w:lvlJc w:val="left"/>
      <w:pPr>
        <w:ind w:left="1080" w:hanging="360"/>
      </w:pPr>
      <w:rPr>
        <w:rFonts w:ascii="Wingdings" w:hAnsi="Wingdings" w:hint="default"/>
      </w:rPr>
    </w:lvl>
    <w:lvl w:ilvl="2" w:tplc="0C09000B">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27E6AC0"/>
    <w:multiLevelType w:val="hybridMultilevel"/>
    <w:tmpl w:val="51548000"/>
    <w:lvl w:ilvl="0" w:tplc="541E678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B">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59A2D84"/>
    <w:multiLevelType w:val="hybridMultilevel"/>
    <w:tmpl w:val="D7A0A0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063128"/>
    <w:multiLevelType w:val="hybridMultilevel"/>
    <w:tmpl w:val="0874B35C"/>
    <w:lvl w:ilvl="0" w:tplc="541E678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B">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D542978"/>
    <w:multiLevelType w:val="hybridMultilevel"/>
    <w:tmpl w:val="48180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3362C8"/>
    <w:multiLevelType w:val="hybridMultilevel"/>
    <w:tmpl w:val="468CD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15958D1"/>
    <w:multiLevelType w:val="hybridMultilevel"/>
    <w:tmpl w:val="353A62CE"/>
    <w:lvl w:ilvl="0" w:tplc="541E678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B">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1CD31EB"/>
    <w:multiLevelType w:val="hybridMultilevel"/>
    <w:tmpl w:val="7D34CA7A"/>
    <w:lvl w:ilvl="0" w:tplc="0C090001">
      <w:start w:val="1"/>
      <w:numFmt w:val="bullet"/>
      <w:lvlText w:val=""/>
      <w:lvlJc w:val="left"/>
      <w:pPr>
        <w:ind w:left="360" w:hanging="360"/>
      </w:pPr>
      <w:rPr>
        <w:rFonts w:ascii="Symbol" w:hAnsi="Symbol" w:hint="default"/>
        <w:color w:val="CC33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2983EE9"/>
    <w:multiLevelType w:val="hybridMultilevel"/>
    <w:tmpl w:val="5038D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CD753BF"/>
    <w:multiLevelType w:val="hybridMultilevel"/>
    <w:tmpl w:val="0AE07660"/>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1DA1A7C"/>
    <w:multiLevelType w:val="hybridMultilevel"/>
    <w:tmpl w:val="89F64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B">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31D6B73"/>
    <w:multiLevelType w:val="hybridMultilevel"/>
    <w:tmpl w:val="D3C24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862269"/>
    <w:multiLevelType w:val="hybridMultilevel"/>
    <w:tmpl w:val="8C645C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7F430B1"/>
    <w:multiLevelType w:val="hybridMultilevel"/>
    <w:tmpl w:val="AD1EE91C"/>
    <w:lvl w:ilvl="0" w:tplc="541E6784">
      <w:start w:val="1"/>
      <w:numFmt w:val="bullet"/>
      <w:lvlText w:val=""/>
      <w:lvlJc w:val="left"/>
      <w:pPr>
        <w:ind w:left="360" w:hanging="360"/>
      </w:pPr>
      <w:rPr>
        <w:rFonts w:ascii="Symbol" w:hAnsi="Symbol" w:hint="default"/>
        <w:color w:val="auto"/>
      </w:rPr>
    </w:lvl>
    <w:lvl w:ilvl="1" w:tplc="0C090005">
      <w:start w:val="1"/>
      <w:numFmt w:val="bullet"/>
      <w:lvlText w:val=""/>
      <w:lvlJc w:val="left"/>
      <w:pPr>
        <w:ind w:left="1080" w:hanging="360"/>
      </w:pPr>
      <w:rPr>
        <w:rFonts w:ascii="Wingdings" w:hAnsi="Wingdings" w:hint="default"/>
      </w:rPr>
    </w:lvl>
    <w:lvl w:ilvl="2" w:tplc="0C09000B">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86E5AB3"/>
    <w:multiLevelType w:val="hybridMultilevel"/>
    <w:tmpl w:val="AB4C2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20B42CB"/>
    <w:multiLevelType w:val="hybridMultilevel"/>
    <w:tmpl w:val="4E5A2244"/>
    <w:lvl w:ilvl="0" w:tplc="541E678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B">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9C14BFD"/>
    <w:multiLevelType w:val="hybridMultilevel"/>
    <w:tmpl w:val="F944459C"/>
    <w:lvl w:ilvl="0" w:tplc="541E678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9EC53A6"/>
    <w:multiLevelType w:val="hybridMultilevel"/>
    <w:tmpl w:val="9CDC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4472E7"/>
    <w:multiLevelType w:val="hybridMultilevel"/>
    <w:tmpl w:val="D4102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8808C0"/>
    <w:multiLevelType w:val="hybridMultilevel"/>
    <w:tmpl w:val="A844C9E8"/>
    <w:lvl w:ilvl="0" w:tplc="21F40A12">
      <w:start w:val="1"/>
      <w:numFmt w:val="bullet"/>
      <w:lvlText w:val=""/>
      <w:lvlJc w:val="left"/>
      <w:pPr>
        <w:ind w:left="360" w:hanging="360"/>
      </w:pPr>
      <w:rPr>
        <w:rFonts w:ascii="Symbol" w:hAnsi="Symbol" w:hint="default"/>
        <w:color w:val="CC33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E173789"/>
    <w:multiLevelType w:val="hybridMultilevel"/>
    <w:tmpl w:val="645A303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46398C"/>
    <w:multiLevelType w:val="hybridMultilevel"/>
    <w:tmpl w:val="E1F03B06"/>
    <w:lvl w:ilvl="0" w:tplc="541E678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B">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E6C77AA"/>
    <w:multiLevelType w:val="hybridMultilevel"/>
    <w:tmpl w:val="1ABCF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047084"/>
    <w:multiLevelType w:val="hybridMultilevel"/>
    <w:tmpl w:val="B06CB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A1968EA"/>
    <w:multiLevelType w:val="hybridMultilevel"/>
    <w:tmpl w:val="A4281A3A"/>
    <w:lvl w:ilvl="0" w:tplc="0C09000B">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1"/>
  </w:num>
  <w:num w:numId="2">
    <w:abstractNumId w:val="9"/>
  </w:num>
  <w:num w:numId="3">
    <w:abstractNumId w:val="10"/>
  </w:num>
  <w:num w:numId="4">
    <w:abstractNumId w:val="4"/>
  </w:num>
  <w:num w:numId="5">
    <w:abstractNumId w:val="7"/>
  </w:num>
  <w:num w:numId="6">
    <w:abstractNumId w:val="25"/>
  </w:num>
  <w:num w:numId="7">
    <w:abstractNumId w:val="11"/>
  </w:num>
  <w:num w:numId="8">
    <w:abstractNumId w:val="16"/>
  </w:num>
  <w:num w:numId="9">
    <w:abstractNumId w:val="26"/>
  </w:num>
  <w:num w:numId="10">
    <w:abstractNumId w:val="8"/>
  </w:num>
  <w:num w:numId="11">
    <w:abstractNumId w:val="15"/>
  </w:num>
  <w:num w:numId="12">
    <w:abstractNumId w:val="2"/>
  </w:num>
  <w:num w:numId="13">
    <w:abstractNumId w:val="20"/>
  </w:num>
  <w:num w:numId="14">
    <w:abstractNumId w:val="24"/>
  </w:num>
  <w:num w:numId="15">
    <w:abstractNumId w:val="0"/>
  </w:num>
  <w:num w:numId="16">
    <w:abstractNumId w:val="13"/>
  </w:num>
  <w:num w:numId="17">
    <w:abstractNumId w:val="6"/>
  </w:num>
  <w:num w:numId="18">
    <w:abstractNumId w:val="19"/>
  </w:num>
  <w:num w:numId="19">
    <w:abstractNumId w:val="22"/>
  </w:num>
  <w:num w:numId="20">
    <w:abstractNumId w:val="18"/>
  </w:num>
  <w:num w:numId="21">
    <w:abstractNumId w:val="17"/>
  </w:num>
  <w:num w:numId="22">
    <w:abstractNumId w:val="1"/>
  </w:num>
  <w:num w:numId="23">
    <w:abstractNumId w:val="5"/>
  </w:num>
  <w:num w:numId="24">
    <w:abstractNumId w:val="23"/>
  </w:num>
  <w:num w:numId="25">
    <w:abstractNumId w:val="3"/>
  </w:num>
  <w:num w:numId="26">
    <w:abstractNumId w:val="12"/>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B1"/>
    <w:rsid w:val="00000CF8"/>
    <w:rsid w:val="00001ADC"/>
    <w:rsid w:val="00002054"/>
    <w:rsid w:val="00002588"/>
    <w:rsid w:val="00002D01"/>
    <w:rsid w:val="00003743"/>
    <w:rsid w:val="0000744A"/>
    <w:rsid w:val="00010F9F"/>
    <w:rsid w:val="00012A2C"/>
    <w:rsid w:val="00017DDA"/>
    <w:rsid w:val="00021347"/>
    <w:rsid w:val="00021E21"/>
    <w:rsid w:val="000232EA"/>
    <w:rsid w:val="00023B98"/>
    <w:rsid w:val="00023E0F"/>
    <w:rsid w:val="00024EE6"/>
    <w:rsid w:val="00032871"/>
    <w:rsid w:val="00035DA6"/>
    <w:rsid w:val="00040B8A"/>
    <w:rsid w:val="000421CE"/>
    <w:rsid w:val="000457E9"/>
    <w:rsid w:val="00046511"/>
    <w:rsid w:val="0004754F"/>
    <w:rsid w:val="00051317"/>
    <w:rsid w:val="00053372"/>
    <w:rsid w:val="00055F47"/>
    <w:rsid w:val="00067456"/>
    <w:rsid w:val="00067C93"/>
    <w:rsid w:val="00077710"/>
    <w:rsid w:val="00077AC8"/>
    <w:rsid w:val="00081952"/>
    <w:rsid w:val="000835AB"/>
    <w:rsid w:val="00083774"/>
    <w:rsid w:val="00091268"/>
    <w:rsid w:val="00091741"/>
    <w:rsid w:val="000944D0"/>
    <w:rsid w:val="00095BE6"/>
    <w:rsid w:val="0009727D"/>
    <w:rsid w:val="00097DE1"/>
    <w:rsid w:val="000A2091"/>
    <w:rsid w:val="000A3BED"/>
    <w:rsid w:val="000B0B0B"/>
    <w:rsid w:val="000B6CA8"/>
    <w:rsid w:val="000B6DD4"/>
    <w:rsid w:val="000C0CAD"/>
    <w:rsid w:val="000C1733"/>
    <w:rsid w:val="000C1D58"/>
    <w:rsid w:val="000C53B7"/>
    <w:rsid w:val="000C5A7E"/>
    <w:rsid w:val="000C77DB"/>
    <w:rsid w:val="000D1061"/>
    <w:rsid w:val="000D1428"/>
    <w:rsid w:val="000D19C7"/>
    <w:rsid w:val="000D1E02"/>
    <w:rsid w:val="000D2A5A"/>
    <w:rsid w:val="000D341F"/>
    <w:rsid w:val="000D519B"/>
    <w:rsid w:val="000D6A58"/>
    <w:rsid w:val="000E0792"/>
    <w:rsid w:val="000E2A8C"/>
    <w:rsid w:val="000E4A12"/>
    <w:rsid w:val="000E582F"/>
    <w:rsid w:val="000E5E0A"/>
    <w:rsid w:val="000E6391"/>
    <w:rsid w:val="000E72D3"/>
    <w:rsid w:val="000F0BBF"/>
    <w:rsid w:val="000F1DD1"/>
    <w:rsid w:val="000F21B1"/>
    <w:rsid w:val="000F347C"/>
    <w:rsid w:val="000F5DBE"/>
    <w:rsid w:val="000F6053"/>
    <w:rsid w:val="000F6E87"/>
    <w:rsid w:val="000F71A3"/>
    <w:rsid w:val="00101017"/>
    <w:rsid w:val="001010AE"/>
    <w:rsid w:val="00101B9E"/>
    <w:rsid w:val="00103107"/>
    <w:rsid w:val="00103733"/>
    <w:rsid w:val="00104976"/>
    <w:rsid w:val="00104DF6"/>
    <w:rsid w:val="00105F78"/>
    <w:rsid w:val="00110818"/>
    <w:rsid w:val="0011170C"/>
    <w:rsid w:val="001142CC"/>
    <w:rsid w:val="00114D56"/>
    <w:rsid w:val="0011591F"/>
    <w:rsid w:val="00120D81"/>
    <w:rsid w:val="00125CD0"/>
    <w:rsid w:val="00130C6E"/>
    <w:rsid w:val="0013159D"/>
    <w:rsid w:val="001316B7"/>
    <w:rsid w:val="00133EA9"/>
    <w:rsid w:val="001340F6"/>
    <w:rsid w:val="001360C1"/>
    <w:rsid w:val="00137333"/>
    <w:rsid w:val="001378F7"/>
    <w:rsid w:val="00140FBC"/>
    <w:rsid w:val="001417CD"/>
    <w:rsid w:val="00151E99"/>
    <w:rsid w:val="001521A7"/>
    <w:rsid w:val="00154E2E"/>
    <w:rsid w:val="0016016C"/>
    <w:rsid w:val="00167C75"/>
    <w:rsid w:val="00170FC2"/>
    <w:rsid w:val="001710D1"/>
    <w:rsid w:val="00171116"/>
    <w:rsid w:val="00181F8B"/>
    <w:rsid w:val="001833E6"/>
    <w:rsid w:val="0018493E"/>
    <w:rsid w:val="001856A7"/>
    <w:rsid w:val="00186BB1"/>
    <w:rsid w:val="00190C00"/>
    <w:rsid w:val="00193200"/>
    <w:rsid w:val="00194A13"/>
    <w:rsid w:val="00197247"/>
    <w:rsid w:val="001A2920"/>
    <w:rsid w:val="001A33C4"/>
    <w:rsid w:val="001B0F1C"/>
    <w:rsid w:val="001B33BF"/>
    <w:rsid w:val="001B3443"/>
    <w:rsid w:val="001B40E7"/>
    <w:rsid w:val="001B5D7C"/>
    <w:rsid w:val="001B696E"/>
    <w:rsid w:val="001B763B"/>
    <w:rsid w:val="001B7CA2"/>
    <w:rsid w:val="001C3747"/>
    <w:rsid w:val="001C3CAC"/>
    <w:rsid w:val="001C5576"/>
    <w:rsid w:val="001C730C"/>
    <w:rsid w:val="001D02AD"/>
    <w:rsid w:val="001D0E54"/>
    <w:rsid w:val="001D4440"/>
    <w:rsid w:val="001D56F5"/>
    <w:rsid w:val="001D6014"/>
    <w:rsid w:val="001D6F53"/>
    <w:rsid w:val="001D73A7"/>
    <w:rsid w:val="001D77A4"/>
    <w:rsid w:val="001E0BD7"/>
    <w:rsid w:val="001E28FC"/>
    <w:rsid w:val="001E2E85"/>
    <w:rsid w:val="001E42F2"/>
    <w:rsid w:val="001E57A4"/>
    <w:rsid w:val="001E6266"/>
    <w:rsid w:val="001F0F9E"/>
    <w:rsid w:val="001F1F48"/>
    <w:rsid w:val="001F2162"/>
    <w:rsid w:val="001F41AC"/>
    <w:rsid w:val="001F6D14"/>
    <w:rsid w:val="00200763"/>
    <w:rsid w:val="00201B77"/>
    <w:rsid w:val="00202390"/>
    <w:rsid w:val="00204763"/>
    <w:rsid w:val="002064A1"/>
    <w:rsid w:val="002068F2"/>
    <w:rsid w:val="00213B3E"/>
    <w:rsid w:val="0021435D"/>
    <w:rsid w:val="00214BBC"/>
    <w:rsid w:val="00215B01"/>
    <w:rsid w:val="00217A3A"/>
    <w:rsid w:val="00217AA9"/>
    <w:rsid w:val="00220E6C"/>
    <w:rsid w:val="002211D5"/>
    <w:rsid w:val="00223849"/>
    <w:rsid w:val="00227D87"/>
    <w:rsid w:val="002323EB"/>
    <w:rsid w:val="002353F3"/>
    <w:rsid w:val="00235637"/>
    <w:rsid w:val="00240F1A"/>
    <w:rsid w:val="00247A87"/>
    <w:rsid w:val="00251345"/>
    <w:rsid w:val="0025256B"/>
    <w:rsid w:val="002530F5"/>
    <w:rsid w:val="00257AB9"/>
    <w:rsid w:val="00260DE6"/>
    <w:rsid w:val="0026241A"/>
    <w:rsid w:val="002651D6"/>
    <w:rsid w:val="002714F7"/>
    <w:rsid w:val="00273007"/>
    <w:rsid w:val="0027604A"/>
    <w:rsid w:val="002779EE"/>
    <w:rsid w:val="00281139"/>
    <w:rsid w:val="00281517"/>
    <w:rsid w:val="00282A93"/>
    <w:rsid w:val="00282C4D"/>
    <w:rsid w:val="00283947"/>
    <w:rsid w:val="00284620"/>
    <w:rsid w:val="00285125"/>
    <w:rsid w:val="00290475"/>
    <w:rsid w:val="0029095C"/>
    <w:rsid w:val="00293017"/>
    <w:rsid w:val="00294097"/>
    <w:rsid w:val="0029565A"/>
    <w:rsid w:val="00296521"/>
    <w:rsid w:val="00296E67"/>
    <w:rsid w:val="00297E79"/>
    <w:rsid w:val="002A239B"/>
    <w:rsid w:val="002A2897"/>
    <w:rsid w:val="002A3619"/>
    <w:rsid w:val="002A371B"/>
    <w:rsid w:val="002B033B"/>
    <w:rsid w:val="002B5C2B"/>
    <w:rsid w:val="002C1AC9"/>
    <w:rsid w:val="002C1EA1"/>
    <w:rsid w:val="002C4533"/>
    <w:rsid w:val="002C467C"/>
    <w:rsid w:val="002C46F2"/>
    <w:rsid w:val="002C5749"/>
    <w:rsid w:val="002C65F1"/>
    <w:rsid w:val="002C6F0E"/>
    <w:rsid w:val="002D1719"/>
    <w:rsid w:val="002D23E1"/>
    <w:rsid w:val="002D46E9"/>
    <w:rsid w:val="002E2FB6"/>
    <w:rsid w:val="002E3B23"/>
    <w:rsid w:val="002E4971"/>
    <w:rsid w:val="002E4DE9"/>
    <w:rsid w:val="002E6CA0"/>
    <w:rsid w:val="002E7381"/>
    <w:rsid w:val="002F02F7"/>
    <w:rsid w:val="002F18E7"/>
    <w:rsid w:val="002F20DA"/>
    <w:rsid w:val="002F3517"/>
    <w:rsid w:val="002F3D31"/>
    <w:rsid w:val="00300F7F"/>
    <w:rsid w:val="00301C47"/>
    <w:rsid w:val="00303C7A"/>
    <w:rsid w:val="0030786C"/>
    <w:rsid w:val="00310357"/>
    <w:rsid w:val="00310736"/>
    <w:rsid w:val="003113CD"/>
    <w:rsid w:val="00311E55"/>
    <w:rsid w:val="003135C8"/>
    <w:rsid w:val="00315386"/>
    <w:rsid w:val="003203D9"/>
    <w:rsid w:val="00321690"/>
    <w:rsid w:val="00324F2A"/>
    <w:rsid w:val="003255E2"/>
    <w:rsid w:val="003276E5"/>
    <w:rsid w:val="00331A29"/>
    <w:rsid w:val="003348F5"/>
    <w:rsid w:val="00334ABD"/>
    <w:rsid w:val="003401CD"/>
    <w:rsid w:val="003404A0"/>
    <w:rsid w:val="00342341"/>
    <w:rsid w:val="003424B8"/>
    <w:rsid w:val="003434A0"/>
    <w:rsid w:val="0034371F"/>
    <w:rsid w:val="00345C0C"/>
    <w:rsid w:val="00347324"/>
    <w:rsid w:val="003511EB"/>
    <w:rsid w:val="00351E1A"/>
    <w:rsid w:val="00354E71"/>
    <w:rsid w:val="0035664E"/>
    <w:rsid w:val="00360A85"/>
    <w:rsid w:val="00362AC0"/>
    <w:rsid w:val="00362C0F"/>
    <w:rsid w:val="0036336D"/>
    <w:rsid w:val="00366A28"/>
    <w:rsid w:val="003745D1"/>
    <w:rsid w:val="00381664"/>
    <w:rsid w:val="00382695"/>
    <w:rsid w:val="00382943"/>
    <w:rsid w:val="0039088E"/>
    <w:rsid w:val="003929C3"/>
    <w:rsid w:val="003978DD"/>
    <w:rsid w:val="003A13B6"/>
    <w:rsid w:val="003A3857"/>
    <w:rsid w:val="003A3DCC"/>
    <w:rsid w:val="003A509A"/>
    <w:rsid w:val="003A6CCF"/>
    <w:rsid w:val="003B17A0"/>
    <w:rsid w:val="003B35E6"/>
    <w:rsid w:val="003B6DD0"/>
    <w:rsid w:val="003C03C8"/>
    <w:rsid w:val="003C5DCB"/>
    <w:rsid w:val="003C642E"/>
    <w:rsid w:val="003C65D5"/>
    <w:rsid w:val="003C7B5B"/>
    <w:rsid w:val="003D17F9"/>
    <w:rsid w:val="003D2172"/>
    <w:rsid w:val="003D3407"/>
    <w:rsid w:val="003D6B16"/>
    <w:rsid w:val="003D6C96"/>
    <w:rsid w:val="003E0A7C"/>
    <w:rsid w:val="003E1743"/>
    <w:rsid w:val="003E7C29"/>
    <w:rsid w:val="003E7DFC"/>
    <w:rsid w:val="003F09EE"/>
    <w:rsid w:val="003F18F4"/>
    <w:rsid w:val="003F1DF6"/>
    <w:rsid w:val="004027EA"/>
    <w:rsid w:val="00402C29"/>
    <w:rsid w:val="0040742D"/>
    <w:rsid w:val="00410673"/>
    <w:rsid w:val="00410B64"/>
    <w:rsid w:val="00410DDC"/>
    <w:rsid w:val="00412DC9"/>
    <w:rsid w:val="004140C6"/>
    <w:rsid w:val="00414AD2"/>
    <w:rsid w:val="00416919"/>
    <w:rsid w:val="00417FB5"/>
    <w:rsid w:val="00423612"/>
    <w:rsid w:val="00425843"/>
    <w:rsid w:val="00426FDF"/>
    <w:rsid w:val="00427238"/>
    <w:rsid w:val="00441936"/>
    <w:rsid w:val="00441E1C"/>
    <w:rsid w:val="004422D7"/>
    <w:rsid w:val="00442A54"/>
    <w:rsid w:val="00442EFC"/>
    <w:rsid w:val="00443669"/>
    <w:rsid w:val="0044477B"/>
    <w:rsid w:val="004469E1"/>
    <w:rsid w:val="00446E07"/>
    <w:rsid w:val="00455161"/>
    <w:rsid w:val="004558ED"/>
    <w:rsid w:val="00455EB1"/>
    <w:rsid w:val="0046736C"/>
    <w:rsid w:val="004706C3"/>
    <w:rsid w:val="00471283"/>
    <w:rsid w:val="00473F7D"/>
    <w:rsid w:val="00475D7B"/>
    <w:rsid w:val="00475DC1"/>
    <w:rsid w:val="00475DCF"/>
    <w:rsid w:val="00480D07"/>
    <w:rsid w:val="00482364"/>
    <w:rsid w:val="00483528"/>
    <w:rsid w:val="00484304"/>
    <w:rsid w:val="00484910"/>
    <w:rsid w:val="004856C8"/>
    <w:rsid w:val="004867E2"/>
    <w:rsid w:val="004878FC"/>
    <w:rsid w:val="00487C8E"/>
    <w:rsid w:val="00490886"/>
    <w:rsid w:val="00495966"/>
    <w:rsid w:val="00496285"/>
    <w:rsid w:val="00497304"/>
    <w:rsid w:val="00497D00"/>
    <w:rsid w:val="004A2C37"/>
    <w:rsid w:val="004A309D"/>
    <w:rsid w:val="004A44A6"/>
    <w:rsid w:val="004A4B74"/>
    <w:rsid w:val="004A789B"/>
    <w:rsid w:val="004B0955"/>
    <w:rsid w:val="004B1411"/>
    <w:rsid w:val="004B1C25"/>
    <w:rsid w:val="004B1FDA"/>
    <w:rsid w:val="004B2000"/>
    <w:rsid w:val="004B2FDC"/>
    <w:rsid w:val="004C20AD"/>
    <w:rsid w:val="004C5072"/>
    <w:rsid w:val="004D05A0"/>
    <w:rsid w:val="004D0A56"/>
    <w:rsid w:val="004D13D8"/>
    <w:rsid w:val="004D160E"/>
    <w:rsid w:val="004D6A1A"/>
    <w:rsid w:val="004E10A8"/>
    <w:rsid w:val="004E26C6"/>
    <w:rsid w:val="004E60DC"/>
    <w:rsid w:val="004E65E5"/>
    <w:rsid w:val="004E6AF7"/>
    <w:rsid w:val="004F1124"/>
    <w:rsid w:val="004F18E9"/>
    <w:rsid w:val="004F31CF"/>
    <w:rsid w:val="004F41C2"/>
    <w:rsid w:val="004F45DD"/>
    <w:rsid w:val="004F62C8"/>
    <w:rsid w:val="00501259"/>
    <w:rsid w:val="0050171E"/>
    <w:rsid w:val="0050414B"/>
    <w:rsid w:val="00504E60"/>
    <w:rsid w:val="00510B3F"/>
    <w:rsid w:val="00511452"/>
    <w:rsid w:val="0051365B"/>
    <w:rsid w:val="0051663A"/>
    <w:rsid w:val="00521C95"/>
    <w:rsid w:val="00523650"/>
    <w:rsid w:val="00532CA6"/>
    <w:rsid w:val="00534FA3"/>
    <w:rsid w:val="00535D75"/>
    <w:rsid w:val="00541C2A"/>
    <w:rsid w:val="00542606"/>
    <w:rsid w:val="00544448"/>
    <w:rsid w:val="005457FA"/>
    <w:rsid w:val="00547D0A"/>
    <w:rsid w:val="00547D0F"/>
    <w:rsid w:val="00551248"/>
    <w:rsid w:val="00551675"/>
    <w:rsid w:val="00551C46"/>
    <w:rsid w:val="005548FA"/>
    <w:rsid w:val="00554FF5"/>
    <w:rsid w:val="00557D95"/>
    <w:rsid w:val="00560F07"/>
    <w:rsid w:val="0056656A"/>
    <w:rsid w:val="00567C57"/>
    <w:rsid w:val="00570418"/>
    <w:rsid w:val="00570AC7"/>
    <w:rsid w:val="0057150B"/>
    <w:rsid w:val="005718B1"/>
    <w:rsid w:val="00574659"/>
    <w:rsid w:val="00582B71"/>
    <w:rsid w:val="00591B20"/>
    <w:rsid w:val="00592D00"/>
    <w:rsid w:val="00595E55"/>
    <w:rsid w:val="00596B56"/>
    <w:rsid w:val="0059747E"/>
    <w:rsid w:val="005A2AB2"/>
    <w:rsid w:val="005A5E3B"/>
    <w:rsid w:val="005A7EAF"/>
    <w:rsid w:val="005B2693"/>
    <w:rsid w:val="005B278F"/>
    <w:rsid w:val="005B4DBB"/>
    <w:rsid w:val="005B5026"/>
    <w:rsid w:val="005B5F7E"/>
    <w:rsid w:val="005C234E"/>
    <w:rsid w:val="005C495F"/>
    <w:rsid w:val="005C57A0"/>
    <w:rsid w:val="005C57F8"/>
    <w:rsid w:val="005C6B70"/>
    <w:rsid w:val="005C751F"/>
    <w:rsid w:val="005D093C"/>
    <w:rsid w:val="005D098E"/>
    <w:rsid w:val="005D1BF3"/>
    <w:rsid w:val="005D20E0"/>
    <w:rsid w:val="005D49E4"/>
    <w:rsid w:val="005D6BAA"/>
    <w:rsid w:val="005D7591"/>
    <w:rsid w:val="005E02DE"/>
    <w:rsid w:val="005E03CF"/>
    <w:rsid w:val="005E1758"/>
    <w:rsid w:val="005E18C0"/>
    <w:rsid w:val="005E1E76"/>
    <w:rsid w:val="005F0199"/>
    <w:rsid w:val="005F2F57"/>
    <w:rsid w:val="005F7836"/>
    <w:rsid w:val="00610D14"/>
    <w:rsid w:val="00612802"/>
    <w:rsid w:val="00613843"/>
    <w:rsid w:val="006146D2"/>
    <w:rsid w:val="00616C00"/>
    <w:rsid w:val="00641D25"/>
    <w:rsid w:val="0064558B"/>
    <w:rsid w:val="006469C2"/>
    <w:rsid w:val="00646AF2"/>
    <w:rsid w:val="0064748D"/>
    <w:rsid w:val="006512B1"/>
    <w:rsid w:val="006558AF"/>
    <w:rsid w:val="00663EE7"/>
    <w:rsid w:val="00665E8E"/>
    <w:rsid w:val="00665F86"/>
    <w:rsid w:val="00670BBA"/>
    <w:rsid w:val="00675C33"/>
    <w:rsid w:val="00680CC2"/>
    <w:rsid w:val="00681632"/>
    <w:rsid w:val="00682878"/>
    <w:rsid w:val="006840D3"/>
    <w:rsid w:val="00685093"/>
    <w:rsid w:val="00685540"/>
    <w:rsid w:val="00685752"/>
    <w:rsid w:val="00692FB1"/>
    <w:rsid w:val="006A1551"/>
    <w:rsid w:val="006A16C8"/>
    <w:rsid w:val="006A498A"/>
    <w:rsid w:val="006A5822"/>
    <w:rsid w:val="006B0F2F"/>
    <w:rsid w:val="006B2C04"/>
    <w:rsid w:val="006B41AC"/>
    <w:rsid w:val="006B56DC"/>
    <w:rsid w:val="006B686A"/>
    <w:rsid w:val="006C0282"/>
    <w:rsid w:val="006C1AA2"/>
    <w:rsid w:val="006C438A"/>
    <w:rsid w:val="006C68E4"/>
    <w:rsid w:val="006D101F"/>
    <w:rsid w:val="006D1646"/>
    <w:rsid w:val="006D2AB7"/>
    <w:rsid w:val="006D34D2"/>
    <w:rsid w:val="006D5A8B"/>
    <w:rsid w:val="006E22B8"/>
    <w:rsid w:val="006E2FDD"/>
    <w:rsid w:val="006E5064"/>
    <w:rsid w:val="006E6006"/>
    <w:rsid w:val="006F0D48"/>
    <w:rsid w:val="006F1C32"/>
    <w:rsid w:val="006F4189"/>
    <w:rsid w:val="006F601E"/>
    <w:rsid w:val="006F786F"/>
    <w:rsid w:val="00701513"/>
    <w:rsid w:val="007018EE"/>
    <w:rsid w:val="00701B8C"/>
    <w:rsid w:val="0070228C"/>
    <w:rsid w:val="00703B44"/>
    <w:rsid w:val="00706E7F"/>
    <w:rsid w:val="00707344"/>
    <w:rsid w:val="0070786A"/>
    <w:rsid w:val="007136B3"/>
    <w:rsid w:val="007162A5"/>
    <w:rsid w:val="00716B8B"/>
    <w:rsid w:val="0072306E"/>
    <w:rsid w:val="0072539D"/>
    <w:rsid w:val="00726570"/>
    <w:rsid w:val="007267DA"/>
    <w:rsid w:val="00726CFF"/>
    <w:rsid w:val="00731C9A"/>
    <w:rsid w:val="00732969"/>
    <w:rsid w:val="00735392"/>
    <w:rsid w:val="007417CE"/>
    <w:rsid w:val="00741B1C"/>
    <w:rsid w:val="00742026"/>
    <w:rsid w:val="007428F7"/>
    <w:rsid w:val="00743881"/>
    <w:rsid w:val="00744A34"/>
    <w:rsid w:val="00751713"/>
    <w:rsid w:val="007544E1"/>
    <w:rsid w:val="0076224E"/>
    <w:rsid w:val="0076541E"/>
    <w:rsid w:val="00765A1E"/>
    <w:rsid w:val="00770672"/>
    <w:rsid w:val="007730F0"/>
    <w:rsid w:val="00775498"/>
    <w:rsid w:val="00776535"/>
    <w:rsid w:val="00777BB5"/>
    <w:rsid w:val="00785E5A"/>
    <w:rsid w:val="00787645"/>
    <w:rsid w:val="00790224"/>
    <w:rsid w:val="0079221F"/>
    <w:rsid w:val="00792AB7"/>
    <w:rsid w:val="0079780A"/>
    <w:rsid w:val="007A105E"/>
    <w:rsid w:val="007A1F7E"/>
    <w:rsid w:val="007A2B22"/>
    <w:rsid w:val="007B4909"/>
    <w:rsid w:val="007B4DC4"/>
    <w:rsid w:val="007B6132"/>
    <w:rsid w:val="007C3173"/>
    <w:rsid w:val="007C3443"/>
    <w:rsid w:val="007C4120"/>
    <w:rsid w:val="007C66B7"/>
    <w:rsid w:val="007D73BB"/>
    <w:rsid w:val="007D7AB2"/>
    <w:rsid w:val="007D7C73"/>
    <w:rsid w:val="007E125D"/>
    <w:rsid w:val="007E2631"/>
    <w:rsid w:val="007E4035"/>
    <w:rsid w:val="007E44F1"/>
    <w:rsid w:val="007E5E30"/>
    <w:rsid w:val="007F31A2"/>
    <w:rsid w:val="007F3617"/>
    <w:rsid w:val="0080118D"/>
    <w:rsid w:val="00801190"/>
    <w:rsid w:val="00801566"/>
    <w:rsid w:val="00801868"/>
    <w:rsid w:val="00804186"/>
    <w:rsid w:val="0080579F"/>
    <w:rsid w:val="00805CEC"/>
    <w:rsid w:val="00807ADA"/>
    <w:rsid w:val="008117B8"/>
    <w:rsid w:val="00812B84"/>
    <w:rsid w:val="00820553"/>
    <w:rsid w:val="0082472C"/>
    <w:rsid w:val="00825A45"/>
    <w:rsid w:val="00825D85"/>
    <w:rsid w:val="008262BF"/>
    <w:rsid w:val="008262D4"/>
    <w:rsid w:val="008264EB"/>
    <w:rsid w:val="0082718C"/>
    <w:rsid w:val="0083314E"/>
    <w:rsid w:val="008356FB"/>
    <w:rsid w:val="0083579A"/>
    <w:rsid w:val="00837003"/>
    <w:rsid w:val="00842EA9"/>
    <w:rsid w:val="00843A13"/>
    <w:rsid w:val="0084612E"/>
    <w:rsid w:val="008549B6"/>
    <w:rsid w:val="0085692D"/>
    <w:rsid w:val="00860743"/>
    <w:rsid w:val="00862875"/>
    <w:rsid w:val="00862AB4"/>
    <w:rsid w:val="00863EEA"/>
    <w:rsid w:val="00870886"/>
    <w:rsid w:val="00871696"/>
    <w:rsid w:val="00881BB9"/>
    <w:rsid w:val="008870D6"/>
    <w:rsid w:val="00887E92"/>
    <w:rsid w:val="00892201"/>
    <w:rsid w:val="008952D9"/>
    <w:rsid w:val="008A15D8"/>
    <w:rsid w:val="008A1E3C"/>
    <w:rsid w:val="008A2056"/>
    <w:rsid w:val="008A3418"/>
    <w:rsid w:val="008A359A"/>
    <w:rsid w:val="008A7F68"/>
    <w:rsid w:val="008B02F3"/>
    <w:rsid w:val="008B69FF"/>
    <w:rsid w:val="008C1CC4"/>
    <w:rsid w:val="008C3A69"/>
    <w:rsid w:val="008C4240"/>
    <w:rsid w:val="008D00BF"/>
    <w:rsid w:val="008D058C"/>
    <w:rsid w:val="008D0E4A"/>
    <w:rsid w:val="008D17F8"/>
    <w:rsid w:val="008D4C49"/>
    <w:rsid w:val="008D6089"/>
    <w:rsid w:val="008D7DDB"/>
    <w:rsid w:val="008F2A16"/>
    <w:rsid w:val="00900891"/>
    <w:rsid w:val="0090238C"/>
    <w:rsid w:val="00902F43"/>
    <w:rsid w:val="0090749A"/>
    <w:rsid w:val="0090788F"/>
    <w:rsid w:val="00910B87"/>
    <w:rsid w:val="00910F3B"/>
    <w:rsid w:val="00911FDA"/>
    <w:rsid w:val="00915DA4"/>
    <w:rsid w:val="00917B1A"/>
    <w:rsid w:val="00922396"/>
    <w:rsid w:val="00925BF2"/>
    <w:rsid w:val="00926482"/>
    <w:rsid w:val="009309E3"/>
    <w:rsid w:val="0093228F"/>
    <w:rsid w:val="009415BB"/>
    <w:rsid w:val="009420D3"/>
    <w:rsid w:val="00942F7E"/>
    <w:rsid w:val="00943C2D"/>
    <w:rsid w:val="009445F4"/>
    <w:rsid w:val="00945515"/>
    <w:rsid w:val="00945929"/>
    <w:rsid w:val="0094696E"/>
    <w:rsid w:val="00946D15"/>
    <w:rsid w:val="009473BC"/>
    <w:rsid w:val="00950DA9"/>
    <w:rsid w:val="00952444"/>
    <w:rsid w:val="00952999"/>
    <w:rsid w:val="00953065"/>
    <w:rsid w:val="0095343A"/>
    <w:rsid w:val="00954E28"/>
    <w:rsid w:val="00957AAB"/>
    <w:rsid w:val="00961671"/>
    <w:rsid w:val="00962658"/>
    <w:rsid w:val="00962F77"/>
    <w:rsid w:val="0096424C"/>
    <w:rsid w:val="00965C1C"/>
    <w:rsid w:val="00967945"/>
    <w:rsid w:val="009704B2"/>
    <w:rsid w:val="00970DF2"/>
    <w:rsid w:val="0097340A"/>
    <w:rsid w:val="009761A8"/>
    <w:rsid w:val="00976D14"/>
    <w:rsid w:val="009775F0"/>
    <w:rsid w:val="00981823"/>
    <w:rsid w:val="009819D0"/>
    <w:rsid w:val="00983E9C"/>
    <w:rsid w:val="00984A14"/>
    <w:rsid w:val="00985EBD"/>
    <w:rsid w:val="00986D0C"/>
    <w:rsid w:val="00990825"/>
    <w:rsid w:val="00991389"/>
    <w:rsid w:val="00992B31"/>
    <w:rsid w:val="009950E7"/>
    <w:rsid w:val="009A0606"/>
    <w:rsid w:val="009A0AA8"/>
    <w:rsid w:val="009A1B4C"/>
    <w:rsid w:val="009B4704"/>
    <w:rsid w:val="009B6475"/>
    <w:rsid w:val="009B675E"/>
    <w:rsid w:val="009C2939"/>
    <w:rsid w:val="009C6B47"/>
    <w:rsid w:val="009C7FBD"/>
    <w:rsid w:val="009D024C"/>
    <w:rsid w:val="009D13E1"/>
    <w:rsid w:val="009D2874"/>
    <w:rsid w:val="009D4697"/>
    <w:rsid w:val="009D64D3"/>
    <w:rsid w:val="009E2974"/>
    <w:rsid w:val="009E5797"/>
    <w:rsid w:val="009F1AA1"/>
    <w:rsid w:val="009F36F2"/>
    <w:rsid w:val="009F4356"/>
    <w:rsid w:val="009F4836"/>
    <w:rsid w:val="009F48EC"/>
    <w:rsid w:val="00A0024C"/>
    <w:rsid w:val="00A06FB7"/>
    <w:rsid w:val="00A13408"/>
    <w:rsid w:val="00A13D0D"/>
    <w:rsid w:val="00A1532B"/>
    <w:rsid w:val="00A16DEC"/>
    <w:rsid w:val="00A2091F"/>
    <w:rsid w:val="00A22546"/>
    <w:rsid w:val="00A2292C"/>
    <w:rsid w:val="00A27C66"/>
    <w:rsid w:val="00A3026F"/>
    <w:rsid w:val="00A31D22"/>
    <w:rsid w:val="00A320AE"/>
    <w:rsid w:val="00A33A03"/>
    <w:rsid w:val="00A348E9"/>
    <w:rsid w:val="00A34F22"/>
    <w:rsid w:val="00A34F47"/>
    <w:rsid w:val="00A40507"/>
    <w:rsid w:val="00A408E0"/>
    <w:rsid w:val="00A4512D"/>
    <w:rsid w:val="00A533A8"/>
    <w:rsid w:val="00A53931"/>
    <w:rsid w:val="00A54825"/>
    <w:rsid w:val="00A5586C"/>
    <w:rsid w:val="00A567BC"/>
    <w:rsid w:val="00A570E3"/>
    <w:rsid w:val="00A577C3"/>
    <w:rsid w:val="00A6083F"/>
    <w:rsid w:val="00A6473D"/>
    <w:rsid w:val="00A654B0"/>
    <w:rsid w:val="00A66874"/>
    <w:rsid w:val="00A66C22"/>
    <w:rsid w:val="00A705AF"/>
    <w:rsid w:val="00A711D9"/>
    <w:rsid w:val="00A73F56"/>
    <w:rsid w:val="00A74AC4"/>
    <w:rsid w:val="00A76038"/>
    <w:rsid w:val="00A77E53"/>
    <w:rsid w:val="00A82658"/>
    <w:rsid w:val="00A82F83"/>
    <w:rsid w:val="00A846F8"/>
    <w:rsid w:val="00A86295"/>
    <w:rsid w:val="00A868CD"/>
    <w:rsid w:val="00A9034B"/>
    <w:rsid w:val="00A93254"/>
    <w:rsid w:val="00A95758"/>
    <w:rsid w:val="00A963D5"/>
    <w:rsid w:val="00AA06CE"/>
    <w:rsid w:val="00AA0A42"/>
    <w:rsid w:val="00AA27B8"/>
    <w:rsid w:val="00AA2E70"/>
    <w:rsid w:val="00AA31ED"/>
    <w:rsid w:val="00AA39AE"/>
    <w:rsid w:val="00AA78A4"/>
    <w:rsid w:val="00AB16F4"/>
    <w:rsid w:val="00AB3495"/>
    <w:rsid w:val="00AB6EE2"/>
    <w:rsid w:val="00AB7F43"/>
    <w:rsid w:val="00AC03DD"/>
    <w:rsid w:val="00AC0FBB"/>
    <w:rsid w:val="00AC2C3F"/>
    <w:rsid w:val="00AC3A8B"/>
    <w:rsid w:val="00AC3D8A"/>
    <w:rsid w:val="00AC56CB"/>
    <w:rsid w:val="00AC749E"/>
    <w:rsid w:val="00AD0251"/>
    <w:rsid w:val="00AD282A"/>
    <w:rsid w:val="00AD37D0"/>
    <w:rsid w:val="00AD7921"/>
    <w:rsid w:val="00AE12F9"/>
    <w:rsid w:val="00AE2083"/>
    <w:rsid w:val="00AE51DB"/>
    <w:rsid w:val="00AF1C1A"/>
    <w:rsid w:val="00AF1EC2"/>
    <w:rsid w:val="00AF1F43"/>
    <w:rsid w:val="00AF7422"/>
    <w:rsid w:val="00B041FC"/>
    <w:rsid w:val="00B067AE"/>
    <w:rsid w:val="00B114FE"/>
    <w:rsid w:val="00B11BAD"/>
    <w:rsid w:val="00B1471E"/>
    <w:rsid w:val="00B15007"/>
    <w:rsid w:val="00B15CEC"/>
    <w:rsid w:val="00B17B77"/>
    <w:rsid w:val="00B216B8"/>
    <w:rsid w:val="00B23FD9"/>
    <w:rsid w:val="00B33006"/>
    <w:rsid w:val="00B34B5D"/>
    <w:rsid w:val="00B356F0"/>
    <w:rsid w:val="00B360CE"/>
    <w:rsid w:val="00B4039D"/>
    <w:rsid w:val="00B40A81"/>
    <w:rsid w:val="00B42851"/>
    <w:rsid w:val="00B42DC2"/>
    <w:rsid w:val="00B42E2E"/>
    <w:rsid w:val="00B46CD1"/>
    <w:rsid w:val="00B50791"/>
    <w:rsid w:val="00B52E6A"/>
    <w:rsid w:val="00B53CCE"/>
    <w:rsid w:val="00B60ABC"/>
    <w:rsid w:val="00B618BE"/>
    <w:rsid w:val="00B628B4"/>
    <w:rsid w:val="00B653BB"/>
    <w:rsid w:val="00B700E7"/>
    <w:rsid w:val="00B70DD3"/>
    <w:rsid w:val="00B736DA"/>
    <w:rsid w:val="00B74687"/>
    <w:rsid w:val="00B8020D"/>
    <w:rsid w:val="00B80454"/>
    <w:rsid w:val="00B80E49"/>
    <w:rsid w:val="00B831A8"/>
    <w:rsid w:val="00B8370C"/>
    <w:rsid w:val="00B83CFE"/>
    <w:rsid w:val="00B854BF"/>
    <w:rsid w:val="00B8638C"/>
    <w:rsid w:val="00B908A8"/>
    <w:rsid w:val="00B90A5D"/>
    <w:rsid w:val="00B92279"/>
    <w:rsid w:val="00B939E2"/>
    <w:rsid w:val="00BA2BA6"/>
    <w:rsid w:val="00BA2FF9"/>
    <w:rsid w:val="00BA4988"/>
    <w:rsid w:val="00BA5619"/>
    <w:rsid w:val="00BA5C5A"/>
    <w:rsid w:val="00BB025A"/>
    <w:rsid w:val="00BB040A"/>
    <w:rsid w:val="00BB6C31"/>
    <w:rsid w:val="00BC13D8"/>
    <w:rsid w:val="00BC188A"/>
    <w:rsid w:val="00BC1CD0"/>
    <w:rsid w:val="00BC3482"/>
    <w:rsid w:val="00BC3795"/>
    <w:rsid w:val="00BC5289"/>
    <w:rsid w:val="00BC52D1"/>
    <w:rsid w:val="00BD69A1"/>
    <w:rsid w:val="00BD6AF9"/>
    <w:rsid w:val="00BE0870"/>
    <w:rsid w:val="00BE33BC"/>
    <w:rsid w:val="00BE48CA"/>
    <w:rsid w:val="00BE5568"/>
    <w:rsid w:val="00BF0CD5"/>
    <w:rsid w:val="00BF39C6"/>
    <w:rsid w:val="00C00074"/>
    <w:rsid w:val="00C1174D"/>
    <w:rsid w:val="00C126FC"/>
    <w:rsid w:val="00C12768"/>
    <w:rsid w:val="00C12A89"/>
    <w:rsid w:val="00C13621"/>
    <w:rsid w:val="00C137D5"/>
    <w:rsid w:val="00C13B03"/>
    <w:rsid w:val="00C1463B"/>
    <w:rsid w:val="00C16807"/>
    <w:rsid w:val="00C2091C"/>
    <w:rsid w:val="00C247F7"/>
    <w:rsid w:val="00C25B13"/>
    <w:rsid w:val="00C275ED"/>
    <w:rsid w:val="00C302A7"/>
    <w:rsid w:val="00C32224"/>
    <w:rsid w:val="00C34120"/>
    <w:rsid w:val="00C349D9"/>
    <w:rsid w:val="00C353C8"/>
    <w:rsid w:val="00C44822"/>
    <w:rsid w:val="00C51305"/>
    <w:rsid w:val="00C5172F"/>
    <w:rsid w:val="00C52410"/>
    <w:rsid w:val="00C52429"/>
    <w:rsid w:val="00C53DBD"/>
    <w:rsid w:val="00C557AB"/>
    <w:rsid w:val="00C62E98"/>
    <w:rsid w:val="00C638EA"/>
    <w:rsid w:val="00C64172"/>
    <w:rsid w:val="00C64C65"/>
    <w:rsid w:val="00C65861"/>
    <w:rsid w:val="00C66726"/>
    <w:rsid w:val="00C67B04"/>
    <w:rsid w:val="00C70C20"/>
    <w:rsid w:val="00C739ED"/>
    <w:rsid w:val="00C740CB"/>
    <w:rsid w:val="00C7422F"/>
    <w:rsid w:val="00C7448A"/>
    <w:rsid w:val="00C7490F"/>
    <w:rsid w:val="00C7501F"/>
    <w:rsid w:val="00C77461"/>
    <w:rsid w:val="00C77C4B"/>
    <w:rsid w:val="00C84775"/>
    <w:rsid w:val="00C851F4"/>
    <w:rsid w:val="00C857DE"/>
    <w:rsid w:val="00C85E2D"/>
    <w:rsid w:val="00C86503"/>
    <w:rsid w:val="00C86CBD"/>
    <w:rsid w:val="00C90DAF"/>
    <w:rsid w:val="00C929CB"/>
    <w:rsid w:val="00C935AB"/>
    <w:rsid w:val="00CA13A5"/>
    <w:rsid w:val="00CA2182"/>
    <w:rsid w:val="00CA2F34"/>
    <w:rsid w:val="00CA3F5B"/>
    <w:rsid w:val="00CB247F"/>
    <w:rsid w:val="00CB2C20"/>
    <w:rsid w:val="00CB2C71"/>
    <w:rsid w:val="00CB4512"/>
    <w:rsid w:val="00CB5B1A"/>
    <w:rsid w:val="00CB689D"/>
    <w:rsid w:val="00CC4AE5"/>
    <w:rsid w:val="00CC5BAD"/>
    <w:rsid w:val="00CC5D83"/>
    <w:rsid w:val="00CD01E6"/>
    <w:rsid w:val="00CD0C6E"/>
    <w:rsid w:val="00CE1828"/>
    <w:rsid w:val="00CE1AE1"/>
    <w:rsid w:val="00CE4925"/>
    <w:rsid w:val="00CE5249"/>
    <w:rsid w:val="00CE6588"/>
    <w:rsid w:val="00CE65DE"/>
    <w:rsid w:val="00CE7562"/>
    <w:rsid w:val="00CF336A"/>
    <w:rsid w:val="00CF39A0"/>
    <w:rsid w:val="00CF5529"/>
    <w:rsid w:val="00CF59DA"/>
    <w:rsid w:val="00CF64CD"/>
    <w:rsid w:val="00D00554"/>
    <w:rsid w:val="00D02907"/>
    <w:rsid w:val="00D05997"/>
    <w:rsid w:val="00D06DFF"/>
    <w:rsid w:val="00D0702F"/>
    <w:rsid w:val="00D0759B"/>
    <w:rsid w:val="00D07BE7"/>
    <w:rsid w:val="00D07FF9"/>
    <w:rsid w:val="00D104A4"/>
    <w:rsid w:val="00D13529"/>
    <w:rsid w:val="00D16923"/>
    <w:rsid w:val="00D16D2E"/>
    <w:rsid w:val="00D205B2"/>
    <w:rsid w:val="00D21B8F"/>
    <w:rsid w:val="00D22DFE"/>
    <w:rsid w:val="00D2334B"/>
    <w:rsid w:val="00D2390D"/>
    <w:rsid w:val="00D2738D"/>
    <w:rsid w:val="00D27776"/>
    <w:rsid w:val="00D3188B"/>
    <w:rsid w:val="00D40C80"/>
    <w:rsid w:val="00D40F55"/>
    <w:rsid w:val="00D463DC"/>
    <w:rsid w:val="00D5082C"/>
    <w:rsid w:val="00D50A81"/>
    <w:rsid w:val="00D510F1"/>
    <w:rsid w:val="00D52203"/>
    <w:rsid w:val="00D5237F"/>
    <w:rsid w:val="00D53BE8"/>
    <w:rsid w:val="00D54429"/>
    <w:rsid w:val="00D547FF"/>
    <w:rsid w:val="00D55297"/>
    <w:rsid w:val="00D55CE0"/>
    <w:rsid w:val="00D57CAC"/>
    <w:rsid w:val="00D65DD4"/>
    <w:rsid w:val="00D660D9"/>
    <w:rsid w:val="00D67F21"/>
    <w:rsid w:val="00D72A7E"/>
    <w:rsid w:val="00D75DE7"/>
    <w:rsid w:val="00D768F9"/>
    <w:rsid w:val="00D76A7D"/>
    <w:rsid w:val="00D7797E"/>
    <w:rsid w:val="00D81176"/>
    <w:rsid w:val="00D8151D"/>
    <w:rsid w:val="00D81EC8"/>
    <w:rsid w:val="00D829AF"/>
    <w:rsid w:val="00D843AB"/>
    <w:rsid w:val="00D84538"/>
    <w:rsid w:val="00D8796B"/>
    <w:rsid w:val="00D96302"/>
    <w:rsid w:val="00D9791C"/>
    <w:rsid w:val="00DA3C18"/>
    <w:rsid w:val="00DA728E"/>
    <w:rsid w:val="00DA7934"/>
    <w:rsid w:val="00DB01D5"/>
    <w:rsid w:val="00DB0720"/>
    <w:rsid w:val="00DB5599"/>
    <w:rsid w:val="00DB5D26"/>
    <w:rsid w:val="00DB7141"/>
    <w:rsid w:val="00DC0BBE"/>
    <w:rsid w:val="00DC3C28"/>
    <w:rsid w:val="00DC59C2"/>
    <w:rsid w:val="00DD0A34"/>
    <w:rsid w:val="00DD0F55"/>
    <w:rsid w:val="00DD21A6"/>
    <w:rsid w:val="00DD3F02"/>
    <w:rsid w:val="00DD4B7F"/>
    <w:rsid w:val="00DD5F0F"/>
    <w:rsid w:val="00DE099D"/>
    <w:rsid w:val="00DE0CEB"/>
    <w:rsid w:val="00DE11D8"/>
    <w:rsid w:val="00DE2927"/>
    <w:rsid w:val="00DE4DC1"/>
    <w:rsid w:val="00DE5C13"/>
    <w:rsid w:val="00DF0FA5"/>
    <w:rsid w:val="00DF13F5"/>
    <w:rsid w:val="00DF4C60"/>
    <w:rsid w:val="00DF5A98"/>
    <w:rsid w:val="00DF610B"/>
    <w:rsid w:val="00E01E75"/>
    <w:rsid w:val="00E028FB"/>
    <w:rsid w:val="00E02D97"/>
    <w:rsid w:val="00E03535"/>
    <w:rsid w:val="00E050E2"/>
    <w:rsid w:val="00E072A4"/>
    <w:rsid w:val="00E07842"/>
    <w:rsid w:val="00E10BCA"/>
    <w:rsid w:val="00E135BA"/>
    <w:rsid w:val="00E13CC3"/>
    <w:rsid w:val="00E150DB"/>
    <w:rsid w:val="00E1511C"/>
    <w:rsid w:val="00E15E40"/>
    <w:rsid w:val="00E21102"/>
    <w:rsid w:val="00E24332"/>
    <w:rsid w:val="00E2707B"/>
    <w:rsid w:val="00E27565"/>
    <w:rsid w:val="00E27B5C"/>
    <w:rsid w:val="00E342F3"/>
    <w:rsid w:val="00E37690"/>
    <w:rsid w:val="00E40AB7"/>
    <w:rsid w:val="00E428B7"/>
    <w:rsid w:val="00E4474A"/>
    <w:rsid w:val="00E522F1"/>
    <w:rsid w:val="00E5784F"/>
    <w:rsid w:val="00E60B6D"/>
    <w:rsid w:val="00E60E2E"/>
    <w:rsid w:val="00E61FB0"/>
    <w:rsid w:val="00E632CD"/>
    <w:rsid w:val="00E63CF5"/>
    <w:rsid w:val="00E646AE"/>
    <w:rsid w:val="00E64A42"/>
    <w:rsid w:val="00E66A8C"/>
    <w:rsid w:val="00E7034B"/>
    <w:rsid w:val="00E764A8"/>
    <w:rsid w:val="00E76844"/>
    <w:rsid w:val="00E76A45"/>
    <w:rsid w:val="00E776FF"/>
    <w:rsid w:val="00E80FDB"/>
    <w:rsid w:val="00E82A2F"/>
    <w:rsid w:val="00E86DB1"/>
    <w:rsid w:val="00E87B31"/>
    <w:rsid w:val="00E943DB"/>
    <w:rsid w:val="00E96961"/>
    <w:rsid w:val="00E96D2B"/>
    <w:rsid w:val="00E97817"/>
    <w:rsid w:val="00EA1436"/>
    <w:rsid w:val="00EA1F05"/>
    <w:rsid w:val="00EA20BD"/>
    <w:rsid w:val="00EA277D"/>
    <w:rsid w:val="00EA38AC"/>
    <w:rsid w:val="00EA44F8"/>
    <w:rsid w:val="00EA5D5C"/>
    <w:rsid w:val="00EA702F"/>
    <w:rsid w:val="00EB066D"/>
    <w:rsid w:val="00EB4618"/>
    <w:rsid w:val="00EB5C0F"/>
    <w:rsid w:val="00EB6FFE"/>
    <w:rsid w:val="00EB7082"/>
    <w:rsid w:val="00EB7EA9"/>
    <w:rsid w:val="00EC181E"/>
    <w:rsid w:val="00EC291F"/>
    <w:rsid w:val="00EC59E4"/>
    <w:rsid w:val="00EC654C"/>
    <w:rsid w:val="00ED2E8E"/>
    <w:rsid w:val="00ED441C"/>
    <w:rsid w:val="00ED70F2"/>
    <w:rsid w:val="00EE0F85"/>
    <w:rsid w:val="00EE1E69"/>
    <w:rsid w:val="00EE5426"/>
    <w:rsid w:val="00EF0087"/>
    <w:rsid w:val="00EF08B1"/>
    <w:rsid w:val="00EF3363"/>
    <w:rsid w:val="00EF7001"/>
    <w:rsid w:val="00EF72AB"/>
    <w:rsid w:val="00F05F7D"/>
    <w:rsid w:val="00F06672"/>
    <w:rsid w:val="00F1120F"/>
    <w:rsid w:val="00F117DF"/>
    <w:rsid w:val="00F12601"/>
    <w:rsid w:val="00F126D8"/>
    <w:rsid w:val="00F145E3"/>
    <w:rsid w:val="00F15144"/>
    <w:rsid w:val="00F15B55"/>
    <w:rsid w:val="00F2263C"/>
    <w:rsid w:val="00F2364C"/>
    <w:rsid w:val="00F243B0"/>
    <w:rsid w:val="00F26035"/>
    <w:rsid w:val="00F27660"/>
    <w:rsid w:val="00F27F37"/>
    <w:rsid w:val="00F30000"/>
    <w:rsid w:val="00F3225A"/>
    <w:rsid w:val="00F33BC5"/>
    <w:rsid w:val="00F34004"/>
    <w:rsid w:val="00F4033C"/>
    <w:rsid w:val="00F40777"/>
    <w:rsid w:val="00F41997"/>
    <w:rsid w:val="00F41E1A"/>
    <w:rsid w:val="00F42F7B"/>
    <w:rsid w:val="00F43A42"/>
    <w:rsid w:val="00F46C56"/>
    <w:rsid w:val="00F475F2"/>
    <w:rsid w:val="00F51818"/>
    <w:rsid w:val="00F538D9"/>
    <w:rsid w:val="00F554DE"/>
    <w:rsid w:val="00F602F8"/>
    <w:rsid w:val="00F60EC6"/>
    <w:rsid w:val="00F6619C"/>
    <w:rsid w:val="00F67AA8"/>
    <w:rsid w:val="00F70890"/>
    <w:rsid w:val="00F70BED"/>
    <w:rsid w:val="00F712F5"/>
    <w:rsid w:val="00F72A1D"/>
    <w:rsid w:val="00F7529F"/>
    <w:rsid w:val="00F76044"/>
    <w:rsid w:val="00F76AFE"/>
    <w:rsid w:val="00F803F9"/>
    <w:rsid w:val="00F8668F"/>
    <w:rsid w:val="00F941C8"/>
    <w:rsid w:val="00F95056"/>
    <w:rsid w:val="00F96252"/>
    <w:rsid w:val="00F968CB"/>
    <w:rsid w:val="00F976E8"/>
    <w:rsid w:val="00FA101E"/>
    <w:rsid w:val="00FA3A49"/>
    <w:rsid w:val="00FA7DC2"/>
    <w:rsid w:val="00FB0609"/>
    <w:rsid w:val="00FB358E"/>
    <w:rsid w:val="00FB37D1"/>
    <w:rsid w:val="00FB4A07"/>
    <w:rsid w:val="00FB4C02"/>
    <w:rsid w:val="00FB68C0"/>
    <w:rsid w:val="00FB6C1F"/>
    <w:rsid w:val="00FC38C6"/>
    <w:rsid w:val="00FC7D48"/>
    <w:rsid w:val="00FC7EA3"/>
    <w:rsid w:val="00FD17D1"/>
    <w:rsid w:val="00FD1D78"/>
    <w:rsid w:val="00FD2A7F"/>
    <w:rsid w:val="00FD3154"/>
    <w:rsid w:val="00FD4434"/>
    <w:rsid w:val="00FD47D2"/>
    <w:rsid w:val="00FD63EB"/>
    <w:rsid w:val="00FD7584"/>
    <w:rsid w:val="00FE04A9"/>
    <w:rsid w:val="00FE0559"/>
    <w:rsid w:val="00FE10A3"/>
    <w:rsid w:val="00FE20D7"/>
    <w:rsid w:val="00FE2DD7"/>
    <w:rsid w:val="00FE5BFB"/>
    <w:rsid w:val="00FE7551"/>
    <w:rsid w:val="00FE76F0"/>
    <w:rsid w:val="00FF0299"/>
    <w:rsid w:val="00FF33CB"/>
    <w:rsid w:val="00FF5313"/>
    <w:rsid w:val="00FF6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5A"/>
    <w:pPr>
      <w:jc w:val="both"/>
    </w:pPr>
    <w:rPr>
      <w:sz w:val="24"/>
      <w:szCs w:val="24"/>
      <w:lang w:eastAsia="en-US"/>
    </w:rPr>
  </w:style>
  <w:style w:type="paragraph" w:styleId="Heading1">
    <w:name w:val="heading 1"/>
    <w:basedOn w:val="Normal"/>
    <w:next w:val="Normal"/>
    <w:autoRedefine/>
    <w:qFormat/>
    <w:rsid w:val="00837003"/>
    <w:pPr>
      <w:keepNext/>
      <w:spacing w:before="120" w:after="120"/>
      <w:ind w:left="360" w:hanging="360"/>
      <w:jc w:val="center"/>
      <w:outlineLvl w:val="0"/>
    </w:pPr>
    <w:rPr>
      <w:rFonts w:eastAsia="Calibri"/>
      <w:b/>
      <w:bCs/>
      <w:color w:val="000080"/>
      <w:kern w:val="28"/>
      <w:sz w:val="28"/>
      <w:szCs w:val="26"/>
    </w:rPr>
  </w:style>
  <w:style w:type="paragraph" w:styleId="Heading2">
    <w:name w:val="heading 2"/>
    <w:basedOn w:val="Normal"/>
    <w:next w:val="Normal"/>
    <w:autoRedefine/>
    <w:qFormat/>
    <w:rsid w:val="000421CE"/>
    <w:pPr>
      <w:spacing w:before="120" w:after="120"/>
      <w:outlineLvl w:val="1"/>
    </w:pPr>
    <w:rPr>
      <w:rFonts w:eastAsia="Calibri" w:cs="Arial"/>
      <w:b/>
      <w:bCs/>
      <w:iCs/>
      <w:color w:val="000080"/>
      <w:sz w:val="26"/>
      <w:szCs w:val="28"/>
    </w:rPr>
  </w:style>
  <w:style w:type="paragraph" w:styleId="Heading3">
    <w:name w:val="heading 3"/>
    <w:basedOn w:val="Normal"/>
    <w:next w:val="Normal"/>
    <w:autoRedefine/>
    <w:qFormat/>
    <w:rsid w:val="00B831A8"/>
    <w:pPr>
      <w:keepNext/>
      <w:spacing w:before="120"/>
      <w:outlineLvl w:val="2"/>
    </w:pPr>
    <w:rPr>
      <w:rFonts w:eastAsia="Calibri" w:cs="Arial"/>
      <w:bCs/>
      <w:color w:val="000080"/>
    </w:rPr>
  </w:style>
  <w:style w:type="paragraph" w:styleId="Heading4">
    <w:name w:val="heading 4"/>
    <w:basedOn w:val="Normal"/>
    <w:next w:val="Normal"/>
    <w:qFormat/>
    <w:rsid w:val="005B2693"/>
    <w:pPr>
      <w:keepNext/>
      <w:spacing w:before="120"/>
      <w:outlineLvl w:val="3"/>
    </w:pPr>
    <w:rPr>
      <w:bCs/>
      <w:color w:val="000080"/>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3255E2"/>
    <w:pPr>
      <w:pBdr>
        <w:bottom w:val="single" w:sz="8" w:space="4" w:color="C00000"/>
      </w:pBdr>
      <w:spacing w:after="300"/>
      <w:contextualSpacing/>
    </w:pPr>
    <w:rPr>
      <w:rFonts w:eastAsiaTheme="majorEastAsia" w:cstheme="majorBidi"/>
      <w:b/>
      <w:color w:val="000080"/>
      <w:kern w:val="28"/>
      <w:sz w:val="32"/>
      <w:szCs w:val="52"/>
    </w:rPr>
  </w:style>
  <w:style w:type="character" w:customStyle="1" w:styleId="TitleChar">
    <w:name w:val="Title Char"/>
    <w:basedOn w:val="DefaultParagraphFont"/>
    <w:link w:val="Title"/>
    <w:rsid w:val="003255E2"/>
    <w:rPr>
      <w:rFonts w:ascii="Arial" w:eastAsiaTheme="majorEastAsia" w:hAnsi="Arial" w:cstheme="majorBidi"/>
      <w:b/>
      <w:color w:val="000080"/>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BalloonText">
    <w:name w:val="Balloon Text"/>
    <w:basedOn w:val="Normal"/>
    <w:link w:val="BalloonTextChar"/>
    <w:uiPriority w:val="99"/>
    <w:unhideWhenUsed/>
    <w:rsid w:val="00787645"/>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787645"/>
    <w:rPr>
      <w:rFonts w:ascii="Tahoma" w:eastAsiaTheme="minorHAnsi" w:hAnsi="Tahoma" w:cs="Tahoma"/>
      <w:sz w:val="16"/>
      <w:szCs w:val="16"/>
      <w:lang w:eastAsia="en-US"/>
    </w:rPr>
  </w:style>
  <w:style w:type="paragraph" w:styleId="Header">
    <w:name w:val="header"/>
    <w:basedOn w:val="Normal"/>
    <w:link w:val="HeaderChar"/>
    <w:uiPriority w:val="99"/>
    <w:unhideWhenUsed/>
    <w:rsid w:val="00787645"/>
    <w:pPr>
      <w:tabs>
        <w:tab w:val="center" w:pos="4513"/>
        <w:tab w:val="right" w:pos="9026"/>
      </w:tabs>
    </w:pPr>
    <w:rPr>
      <w:rFonts w:eastAsiaTheme="minorHAnsi" w:cstheme="minorBidi"/>
      <w:szCs w:val="22"/>
    </w:rPr>
  </w:style>
  <w:style w:type="character" w:customStyle="1" w:styleId="HeaderChar">
    <w:name w:val="Header Char"/>
    <w:basedOn w:val="DefaultParagraphFont"/>
    <w:link w:val="Header"/>
    <w:uiPriority w:val="99"/>
    <w:rsid w:val="0078764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87645"/>
    <w:pPr>
      <w:tabs>
        <w:tab w:val="center" w:pos="4513"/>
        <w:tab w:val="right" w:pos="9026"/>
      </w:tabs>
    </w:pPr>
    <w:rPr>
      <w:rFonts w:eastAsiaTheme="minorHAnsi" w:cstheme="minorBidi"/>
      <w:szCs w:val="22"/>
    </w:rPr>
  </w:style>
  <w:style w:type="character" w:customStyle="1" w:styleId="FooterChar">
    <w:name w:val="Footer Char"/>
    <w:basedOn w:val="DefaultParagraphFont"/>
    <w:link w:val="Footer"/>
    <w:uiPriority w:val="99"/>
    <w:rsid w:val="00787645"/>
    <w:rPr>
      <w:rFonts w:asciiTheme="minorHAnsi" w:eastAsiaTheme="minorHAnsi" w:hAnsiTheme="minorHAnsi" w:cstheme="minorBidi"/>
      <w:sz w:val="22"/>
      <w:szCs w:val="22"/>
      <w:lang w:eastAsia="en-US"/>
    </w:rPr>
  </w:style>
  <w:style w:type="paragraph" w:customStyle="1" w:styleId="RANZCPBodyText">
    <w:name w:val="RANZCP Body Text"/>
    <w:basedOn w:val="Normal"/>
    <w:qFormat/>
    <w:rsid w:val="00787645"/>
    <w:pPr>
      <w:widowControl w:val="0"/>
      <w:autoSpaceDE w:val="0"/>
      <w:autoSpaceDN w:val="0"/>
      <w:adjustRightInd w:val="0"/>
      <w:spacing w:after="40"/>
      <w:textAlignment w:val="center"/>
    </w:pPr>
    <w:rPr>
      <w:rFonts w:eastAsia="Calibri" w:cs="ArialMT"/>
      <w:color w:val="000000"/>
      <w:szCs w:val="22"/>
      <w:lang w:eastAsia="en-AU"/>
    </w:rPr>
  </w:style>
  <w:style w:type="paragraph" w:customStyle="1" w:styleId="RANZCPLevel1SubHeading">
    <w:name w:val="RANZCP Level 1 Sub Heading"/>
    <w:basedOn w:val="Normal"/>
    <w:next w:val="RANZCPBodyText"/>
    <w:qFormat/>
    <w:rsid w:val="00787645"/>
    <w:pPr>
      <w:spacing w:after="80"/>
    </w:pPr>
    <w:rPr>
      <w:rFonts w:eastAsia="Cambria"/>
      <w:b/>
      <w:sz w:val="25"/>
      <w:lang w:val="en-US"/>
    </w:rPr>
  </w:style>
  <w:style w:type="paragraph" w:styleId="Caption">
    <w:name w:val="caption"/>
    <w:basedOn w:val="Normal"/>
    <w:next w:val="Normal"/>
    <w:uiPriority w:val="35"/>
    <w:qFormat/>
    <w:rsid w:val="002E2FB6"/>
    <w:rPr>
      <w:b/>
      <w:bCs/>
      <w:sz w:val="20"/>
      <w:szCs w:val="20"/>
    </w:rPr>
  </w:style>
  <w:style w:type="paragraph" w:customStyle="1" w:styleId="H2">
    <w:name w:val="H2"/>
    <w:basedOn w:val="Normal"/>
    <w:next w:val="Normal"/>
    <w:uiPriority w:val="99"/>
    <w:rsid w:val="00787645"/>
    <w:pPr>
      <w:keepNext/>
      <w:autoSpaceDE w:val="0"/>
      <w:autoSpaceDN w:val="0"/>
      <w:adjustRightInd w:val="0"/>
      <w:spacing w:before="100" w:after="100"/>
      <w:outlineLvl w:val="2"/>
    </w:pPr>
    <w:rPr>
      <w:rFonts w:eastAsiaTheme="minorHAnsi"/>
      <w:b/>
      <w:bCs/>
      <w:sz w:val="36"/>
      <w:szCs w:val="36"/>
    </w:rPr>
  </w:style>
  <w:style w:type="character" w:styleId="PlaceholderText">
    <w:name w:val="Placeholder Text"/>
    <w:basedOn w:val="DefaultParagraphFont"/>
    <w:uiPriority w:val="99"/>
    <w:semiHidden/>
    <w:rsid w:val="00787645"/>
    <w:rPr>
      <w:color w:val="808080"/>
    </w:rPr>
  </w:style>
  <w:style w:type="paragraph" w:styleId="FootnoteText">
    <w:name w:val="footnote text"/>
    <w:basedOn w:val="Normal"/>
    <w:link w:val="FootnoteTextChar"/>
    <w:rsid w:val="00E342F3"/>
    <w:rPr>
      <w:szCs w:val="20"/>
    </w:rPr>
  </w:style>
  <w:style w:type="character" w:customStyle="1" w:styleId="FootnoteTextChar">
    <w:name w:val="Footnote Text Char"/>
    <w:basedOn w:val="DefaultParagraphFont"/>
    <w:link w:val="FootnoteText"/>
    <w:rsid w:val="00E342F3"/>
    <w:rPr>
      <w:rFonts w:asciiTheme="minorHAnsi" w:hAnsiTheme="minorHAnsi"/>
      <w:lang w:eastAsia="en-US"/>
    </w:rPr>
  </w:style>
  <w:style w:type="character" w:styleId="FootnoteReference">
    <w:name w:val="footnote reference"/>
    <w:basedOn w:val="DefaultParagraphFont"/>
    <w:rsid w:val="00E342F3"/>
    <w:rPr>
      <w:vertAlign w:val="superscript"/>
    </w:rPr>
  </w:style>
  <w:style w:type="character" w:customStyle="1" w:styleId="NoSpacingChar">
    <w:name w:val="No Spacing Char"/>
    <w:basedOn w:val="DefaultParagraphFont"/>
    <w:link w:val="NoSpacing"/>
    <w:uiPriority w:val="1"/>
    <w:rsid w:val="007162A5"/>
    <w:rPr>
      <w:sz w:val="24"/>
      <w:szCs w:val="24"/>
      <w:lang w:eastAsia="en-US"/>
    </w:rPr>
  </w:style>
  <w:style w:type="paragraph" w:styleId="TOCHeading">
    <w:name w:val="TOC Heading"/>
    <w:basedOn w:val="Heading1"/>
    <w:next w:val="Normal"/>
    <w:uiPriority w:val="39"/>
    <w:unhideWhenUsed/>
    <w:qFormat/>
    <w:rsid w:val="00AF1C1A"/>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AF1C1A"/>
    <w:pPr>
      <w:spacing w:after="100"/>
    </w:pPr>
  </w:style>
  <w:style w:type="paragraph" w:styleId="TOC2">
    <w:name w:val="toc 2"/>
    <w:basedOn w:val="Normal"/>
    <w:next w:val="Normal"/>
    <w:autoRedefine/>
    <w:uiPriority w:val="39"/>
    <w:rsid w:val="00BE48CA"/>
    <w:pPr>
      <w:tabs>
        <w:tab w:val="right" w:leader="dot" w:pos="9016"/>
      </w:tabs>
      <w:spacing w:after="100"/>
      <w:ind w:left="220"/>
    </w:pPr>
  </w:style>
  <w:style w:type="paragraph" w:styleId="TOC3">
    <w:name w:val="toc 3"/>
    <w:basedOn w:val="Normal"/>
    <w:next w:val="Normal"/>
    <w:autoRedefine/>
    <w:uiPriority w:val="39"/>
    <w:rsid w:val="00BE48CA"/>
    <w:pPr>
      <w:tabs>
        <w:tab w:val="right" w:leader="dot" w:pos="9072"/>
      </w:tabs>
      <w:spacing w:after="100"/>
      <w:ind w:left="440"/>
    </w:pPr>
  </w:style>
  <w:style w:type="character" w:styleId="Hyperlink">
    <w:name w:val="Hyperlink"/>
    <w:basedOn w:val="DefaultParagraphFont"/>
    <w:uiPriority w:val="99"/>
    <w:unhideWhenUsed/>
    <w:rsid w:val="00AF1C1A"/>
    <w:rPr>
      <w:color w:val="0000FF" w:themeColor="hyperlink"/>
      <w:u w:val="single"/>
    </w:rPr>
  </w:style>
  <w:style w:type="table" w:styleId="TableColorful1">
    <w:name w:val="Table Colorful 1"/>
    <w:basedOn w:val="TableNormal"/>
    <w:rsid w:val="003A13B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List8">
    <w:name w:val="Table List 8"/>
    <w:basedOn w:val="TableNormal"/>
    <w:rsid w:val="003A13B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ColorfulList-Accent1">
    <w:name w:val="Colorful List Accent 1"/>
    <w:basedOn w:val="TableNormal"/>
    <w:uiPriority w:val="72"/>
    <w:rsid w:val="003A13B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A13B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6">
    <w:name w:val="Colorful List Accent 6"/>
    <w:basedOn w:val="TableNormal"/>
    <w:uiPriority w:val="72"/>
    <w:rsid w:val="003A13B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ableClassic2">
    <w:name w:val="Table Classic 2"/>
    <w:basedOn w:val="TableNormal"/>
    <w:rsid w:val="003A13B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3A13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101B9E"/>
    <w:pPr>
      <w:spacing w:before="100" w:beforeAutospacing="1" w:after="100" w:afterAutospacing="1"/>
    </w:pPr>
    <w:rPr>
      <w:lang w:eastAsia="en-AU"/>
    </w:rPr>
  </w:style>
  <w:style w:type="table" w:customStyle="1" w:styleId="RANZCP1">
    <w:name w:val="RANZCP 1"/>
    <w:basedOn w:val="TableNormal"/>
    <w:uiPriority w:val="99"/>
    <w:qFormat/>
    <w:rsid w:val="003E0A7C"/>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w:hAnsi="Arial"/>
        <w:b/>
        <w:i w:val="0"/>
        <w:sz w:val="20"/>
      </w:rPr>
      <w:tblPr/>
      <w:tcPr>
        <w:shd w:val="clear" w:color="auto" w:fill="B8CCE4"/>
      </w:tcPr>
    </w:tblStylePr>
    <w:tblStylePr w:type="lastRow">
      <w:rPr>
        <w:b/>
      </w:rPr>
    </w:tblStylePr>
    <w:tblStylePr w:type="band1Vert">
      <w:pPr>
        <w:jc w:val="center"/>
      </w:pPr>
      <w:tblPr/>
      <w:tcPr>
        <w:vAlign w:val="center"/>
      </w:tcPr>
    </w:tblStylePr>
    <w:tblStylePr w:type="band2Vert">
      <w:pPr>
        <w:jc w:val="center"/>
      </w:pPr>
      <w:tblPr/>
      <w:tcPr>
        <w:vAlign w:val="center"/>
      </w:tcPr>
    </w:tblStylePr>
    <w:tblStylePr w:type="band2Horz">
      <w:tblPr/>
      <w:tcPr>
        <w:shd w:val="clear" w:color="auto" w:fill="D9D9D9"/>
      </w:tcPr>
    </w:tblStylePr>
  </w:style>
  <w:style w:type="table" w:styleId="TableColumns2">
    <w:name w:val="Table Columns 2"/>
    <w:basedOn w:val="TableNormal"/>
    <w:rsid w:val="003E0A7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3E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2">
    <w:name w:val="Medium Shading 2 Accent 2"/>
    <w:basedOn w:val="TableNormal"/>
    <w:uiPriority w:val="64"/>
    <w:rsid w:val="00497D00"/>
    <w:tblPr>
      <w:tblStyleRowBandSize w:val="1"/>
      <w:tblStyleColBandSize w:val="1"/>
      <w:tblBorders>
        <w:top w:val="single" w:sz="18" w:space="0" w:color="auto"/>
        <w:bottom w:val="single" w:sz="18" w:space="0" w:color="auto"/>
      </w:tblBorders>
    </w:tblPr>
    <w:tblStylePr w:type="firstRow">
      <w:pPr>
        <w:spacing w:before="0" w:after="0" w:line="240" w:lineRule="auto"/>
      </w:pPr>
      <w:rPr>
        <w:rFonts w:ascii="Arial" w:hAnsi="Arial"/>
        <w:b w:val="0"/>
        <w:bCs/>
        <w:color w:val="FFFFFF" w:themeColor="background1"/>
        <w:sz w:val="20"/>
      </w:rPr>
      <w:tblPr/>
      <w:tcPr>
        <w:shd w:val="clear" w:color="auto" w:fill="000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ascii="Arial" w:hAnsi="Arial"/>
        <w:b/>
        <w:bCs/>
        <w:color w:val="FFFFFF" w:themeColor="background1"/>
        <w:sz w:val="20"/>
      </w:rPr>
      <w:tblPr/>
      <w:tcPr>
        <w:shd w:val="clear" w:color="auto" w:fill="000080"/>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rPr>
        <w:color w:val="FFFFFF" w:themeColor="background1"/>
      </w:rPr>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unhideWhenUsed/>
    <w:rsid w:val="00B700E7"/>
    <w:rPr>
      <w:sz w:val="16"/>
      <w:szCs w:val="16"/>
    </w:rPr>
  </w:style>
  <w:style w:type="paragraph" w:styleId="CommentText">
    <w:name w:val="annotation text"/>
    <w:basedOn w:val="Normal"/>
    <w:link w:val="CommentTextChar"/>
    <w:uiPriority w:val="99"/>
    <w:unhideWhenUsed/>
    <w:rsid w:val="00B700E7"/>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B700E7"/>
    <w:rPr>
      <w:rFonts w:asciiTheme="minorHAnsi" w:eastAsiaTheme="minorHAnsi" w:hAnsiTheme="minorHAnsi" w:cstheme="minorBidi"/>
      <w:lang w:eastAsia="en-US"/>
    </w:rPr>
  </w:style>
  <w:style w:type="character" w:customStyle="1" w:styleId="apple-converted-space">
    <w:name w:val="apple-converted-space"/>
    <w:basedOn w:val="DefaultParagraphFont"/>
    <w:rsid w:val="00281517"/>
  </w:style>
  <w:style w:type="paragraph" w:styleId="CommentSubject">
    <w:name w:val="annotation subject"/>
    <w:basedOn w:val="CommentText"/>
    <w:next w:val="CommentText"/>
    <w:link w:val="CommentSubjectChar"/>
    <w:rsid w:val="00F554DE"/>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F554DE"/>
    <w:rPr>
      <w:rFonts w:ascii="Arial" w:eastAsiaTheme="minorHAnsi" w:hAnsi="Arial" w:cstheme="minorBidi"/>
      <w:b/>
      <w:bCs/>
      <w:lang w:eastAsia="en-US"/>
    </w:rPr>
  </w:style>
  <w:style w:type="character" w:customStyle="1" w:styleId="ListParagraphChar">
    <w:name w:val="List Paragraph Char"/>
    <w:link w:val="ListParagraph"/>
    <w:uiPriority w:val="34"/>
    <w:locked/>
    <w:rsid w:val="00FC38C6"/>
    <w:rPr>
      <w:rFonts w:ascii="Arial" w:hAnsi="Arial"/>
      <w:sz w:val="22"/>
      <w:szCs w:val="24"/>
      <w:lang w:eastAsia="en-US"/>
    </w:rPr>
  </w:style>
  <w:style w:type="table" w:styleId="TableSimple3">
    <w:name w:val="Table Simple 3"/>
    <w:basedOn w:val="TableNormal"/>
    <w:rsid w:val="009B47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rsid w:val="009B47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1">
    <w:name w:val="Table List 1"/>
    <w:basedOn w:val="TableNormal"/>
    <w:rsid w:val="003A509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4">
    <w:name w:val="Medium Shading 2 Accent 4"/>
    <w:basedOn w:val="TableNormal"/>
    <w:uiPriority w:val="64"/>
    <w:rsid w:val="00665E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semiHidden/>
    <w:unhideWhenUsed/>
    <w:rsid w:val="00EA20BD"/>
    <w:rPr>
      <w:color w:val="800080" w:themeColor="followedHyperlink"/>
      <w:u w:val="single"/>
    </w:rPr>
  </w:style>
  <w:style w:type="paragraph" w:styleId="Revision">
    <w:name w:val="Revision"/>
    <w:hidden/>
    <w:uiPriority w:val="99"/>
    <w:semiHidden/>
    <w:rsid w:val="00862AB4"/>
    <w:rPr>
      <w:sz w:val="24"/>
      <w:szCs w:val="24"/>
      <w:lang w:eastAsia="en-US"/>
    </w:rPr>
  </w:style>
  <w:style w:type="paragraph" w:styleId="EndnoteText">
    <w:name w:val="endnote text"/>
    <w:basedOn w:val="Normal"/>
    <w:link w:val="EndnoteTextChar"/>
    <w:semiHidden/>
    <w:unhideWhenUsed/>
    <w:rsid w:val="00F976E8"/>
    <w:rPr>
      <w:sz w:val="20"/>
      <w:szCs w:val="20"/>
    </w:rPr>
  </w:style>
  <w:style w:type="character" w:customStyle="1" w:styleId="EndnoteTextChar">
    <w:name w:val="Endnote Text Char"/>
    <w:basedOn w:val="DefaultParagraphFont"/>
    <w:link w:val="EndnoteText"/>
    <w:semiHidden/>
    <w:rsid w:val="00F976E8"/>
    <w:rPr>
      <w:lang w:eastAsia="en-US"/>
    </w:rPr>
  </w:style>
  <w:style w:type="character" w:styleId="EndnoteReference">
    <w:name w:val="endnote reference"/>
    <w:basedOn w:val="DefaultParagraphFont"/>
    <w:semiHidden/>
    <w:unhideWhenUsed/>
    <w:rsid w:val="00F976E8"/>
    <w:rPr>
      <w:vertAlign w:val="superscript"/>
    </w:rPr>
  </w:style>
  <w:style w:type="table" w:styleId="MediumShading2">
    <w:name w:val="Medium Shading 2"/>
    <w:basedOn w:val="TableNormal"/>
    <w:uiPriority w:val="64"/>
    <w:rsid w:val="007C66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7C66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2">
    <w:name w:val="Medium Grid 2"/>
    <w:basedOn w:val="TableNormal"/>
    <w:uiPriority w:val="68"/>
    <w:rsid w:val="007C66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5A"/>
    <w:pPr>
      <w:jc w:val="both"/>
    </w:pPr>
    <w:rPr>
      <w:sz w:val="24"/>
      <w:szCs w:val="24"/>
      <w:lang w:eastAsia="en-US"/>
    </w:rPr>
  </w:style>
  <w:style w:type="paragraph" w:styleId="Heading1">
    <w:name w:val="heading 1"/>
    <w:basedOn w:val="Normal"/>
    <w:next w:val="Normal"/>
    <w:autoRedefine/>
    <w:qFormat/>
    <w:rsid w:val="00837003"/>
    <w:pPr>
      <w:keepNext/>
      <w:spacing w:before="120" w:after="120"/>
      <w:ind w:left="360" w:hanging="360"/>
      <w:jc w:val="center"/>
      <w:outlineLvl w:val="0"/>
    </w:pPr>
    <w:rPr>
      <w:rFonts w:eastAsia="Calibri"/>
      <w:b/>
      <w:bCs/>
      <w:color w:val="000080"/>
      <w:kern w:val="28"/>
      <w:sz w:val="28"/>
      <w:szCs w:val="26"/>
    </w:rPr>
  </w:style>
  <w:style w:type="paragraph" w:styleId="Heading2">
    <w:name w:val="heading 2"/>
    <w:basedOn w:val="Normal"/>
    <w:next w:val="Normal"/>
    <w:autoRedefine/>
    <w:qFormat/>
    <w:rsid w:val="000421CE"/>
    <w:pPr>
      <w:spacing w:before="120" w:after="120"/>
      <w:outlineLvl w:val="1"/>
    </w:pPr>
    <w:rPr>
      <w:rFonts w:eastAsia="Calibri" w:cs="Arial"/>
      <w:b/>
      <w:bCs/>
      <w:iCs/>
      <w:color w:val="000080"/>
      <w:sz w:val="26"/>
      <w:szCs w:val="28"/>
    </w:rPr>
  </w:style>
  <w:style w:type="paragraph" w:styleId="Heading3">
    <w:name w:val="heading 3"/>
    <w:basedOn w:val="Normal"/>
    <w:next w:val="Normal"/>
    <w:autoRedefine/>
    <w:qFormat/>
    <w:rsid w:val="00B831A8"/>
    <w:pPr>
      <w:keepNext/>
      <w:spacing w:before="120"/>
      <w:outlineLvl w:val="2"/>
    </w:pPr>
    <w:rPr>
      <w:rFonts w:eastAsia="Calibri" w:cs="Arial"/>
      <w:bCs/>
      <w:color w:val="000080"/>
    </w:rPr>
  </w:style>
  <w:style w:type="paragraph" w:styleId="Heading4">
    <w:name w:val="heading 4"/>
    <w:basedOn w:val="Normal"/>
    <w:next w:val="Normal"/>
    <w:qFormat/>
    <w:rsid w:val="005B2693"/>
    <w:pPr>
      <w:keepNext/>
      <w:spacing w:before="120"/>
      <w:outlineLvl w:val="3"/>
    </w:pPr>
    <w:rPr>
      <w:bCs/>
      <w:color w:val="000080"/>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3255E2"/>
    <w:pPr>
      <w:pBdr>
        <w:bottom w:val="single" w:sz="8" w:space="4" w:color="C00000"/>
      </w:pBdr>
      <w:spacing w:after="300"/>
      <w:contextualSpacing/>
    </w:pPr>
    <w:rPr>
      <w:rFonts w:eastAsiaTheme="majorEastAsia" w:cstheme="majorBidi"/>
      <w:b/>
      <w:color w:val="000080"/>
      <w:kern w:val="28"/>
      <w:sz w:val="32"/>
      <w:szCs w:val="52"/>
    </w:rPr>
  </w:style>
  <w:style w:type="character" w:customStyle="1" w:styleId="TitleChar">
    <w:name w:val="Title Char"/>
    <w:basedOn w:val="DefaultParagraphFont"/>
    <w:link w:val="Title"/>
    <w:rsid w:val="003255E2"/>
    <w:rPr>
      <w:rFonts w:ascii="Arial" w:eastAsiaTheme="majorEastAsia" w:hAnsi="Arial" w:cstheme="majorBidi"/>
      <w:b/>
      <w:color w:val="000080"/>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BalloonText">
    <w:name w:val="Balloon Text"/>
    <w:basedOn w:val="Normal"/>
    <w:link w:val="BalloonTextChar"/>
    <w:uiPriority w:val="99"/>
    <w:unhideWhenUsed/>
    <w:rsid w:val="00787645"/>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787645"/>
    <w:rPr>
      <w:rFonts w:ascii="Tahoma" w:eastAsiaTheme="minorHAnsi" w:hAnsi="Tahoma" w:cs="Tahoma"/>
      <w:sz w:val="16"/>
      <w:szCs w:val="16"/>
      <w:lang w:eastAsia="en-US"/>
    </w:rPr>
  </w:style>
  <w:style w:type="paragraph" w:styleId="Header">
    <w:name w:val="header"/>
    <w:basedOn w:val="Normal"/>
    <w:link w:val="HeaderChar"/>
    <w:uiPriority w:val="99"/>
    <w:unhideWhenUsed/>
    <w:rsid w:val="00787645"/>
    <w:pPr>
      <w:tabs>
        <w:tab w:val="center" w:pos="4513"/>
        <w:tab w:val="right" w:pos="9026"/>
      </w:tabs>
    </w:pPr>
    <w:rPr>
      <w:rFonts w:eastAsiaTheme="minorHAnsi" w:cstheme="minorBidi"/>
      <w:szCs w:val="22"/>
    </w:rPr>
  </w:style>
  <w:style w:type="character" w:customStyle="1" w:styleId="HeaderChar">
    <w:name w:val="Header Char"/>
    <w:basedOn w:val="DefaultParagraphFont"/>
    <w:link w:val="Header"/>
    <w:uiPriority w:val="99"/>
    <w:rsid w:val="0078764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87645"/>
    <w:pPr>
      <w:tabs>
        <w:tab w:val="center" w:pos="4513"/>
        <w:tab w:val="right" w:pos="9026"/>
      </w:tabs>
    </w:pPr>
    <w:rPr>
      <w:rFonts w:eastAsiaTheme="minorHAnsi" w:cstheme="minorBidi"/>
      <w:szCs w:val="22"/>
    </w:rPr>
  </w:style>
  <w:style w:type="character" w:customStyle="1" w:styleId="FooterChar">
    <w:name w:val="Footer Char"/>
    <w:basedOn w:val="DefaultParagraphFont"/>
    <w:link w:val="Footer"/>
    <w:uiPriority w:val="99"/>
    <w:rsid w:val="00787645"/>
    <w:rPr>
      <w:rFonts w:asciiTheme="minorHAnsi" w:eastAsiaTheme="minorHAnsi" w:hAnsiTheme="minorHAnsi" w:cstheme="minorBidi"/>
      <w:sz w:val="22"/>
      <w:szCs w:val="22"/>
      <w:lang w:eastAsia="en-US"/>
    </w:rPr>
  </w:style>
  <w:style w:type="paragraph" w:customStyle="1" w:styleId="RANZCPBodyText">
    <w:name w:val="RANZCP Body Text"/>
    <w:basedOn w:val="Normal"/>
    <w:qFormat/>
    <w:rsid w:val="00787645"/>
    <w:pPr>
      <w:widowControl w:val="0"/>
      <w:autoSpaceDE w:val="0"/>
      <w:autoSpaceDN w:val="0"/>
      <w:adjustRightInd w:val="0"/>
      <w:spacing w:after="40"/>
      <w:textAlignment w:val="center"/>
    </w:pPr>
    <w:rPr>
      <w:rFonts w:eastAsia="Calibri" w:cs="ArialMT"/>
      <w:color w:val="000000"/>
      <w:szCs w:val="22"/>
      <w:lang w:eastAsia="en-AU"/>
    </w:rPr>
  </w:style>
  <w:style w:type="paragraph" w:customStyle="1" w:styleId="RANZCPLevel1SubHeading">
    <w:name w:val="RANZCP Level 1 Sub Heading"/>
    <w:basedOn w:val="Normal"/>
    <w:next w:val="RANZCPBodyText"/>
    <w:qFormat/>
    <w:rsid w:val="00787645"/>
    <w:pPr>
      <w:spacing w:after="80"/>
    </w:pPr>
    <w:rPr>
      <w:rFonts w:eastAsia="Cambria"/>
      <w:b/>
      <w:sz w:val="25"/>
      <w:lang w:val="en-US"/>
    </w:rPr>
  </w:style>
  <w:style w:type="paragraph" w:styleId="Caption">
    <w:name w:val="caption"/>
    <w:basedOn w:val="Normal"/>
    <w:next w:val="Normal"/>
    <w:uiPriority w:val="35"/>
    <w:qFormat/>
    <w:rsid w:val="002E2FB6"/>
    <w:rPr>
      <w:b/>
      <w:bCs/>
      <w:sz w:val="20"/>
      <w:szCs w:val="20"/>
    </w:rPr>
  </w:style>
  <w:style w:type="paragraph" w:customStyle="1" w:styleId="H2">
    <w:name w:val="H2"/>
    <w:basedOn w:val="Normal"/>
    <w:next w:val="Normal"/>
    <w:uiPriority w:val="99"/>
    <w:rsid w:val="00787645"/>
    <w:pPr>
      <w:keepNext/>
      <w:autoSpaceDE w:val="0"/>
      <w:autoSpaceDN w:val="0"/>
      <w:adjustRightInd w:val="0"/>
      <w:spacing w:before="100" w:after="100"/>
      <w:outlineLvl w:val="2"/>
    </w:pPr>
    <w:rPr>
      <w:rFonts w:eastAsiaTheme="minorHAnsi"/>
      <w:b/>
      <w:bCs/>
      <w:sz w:val="36"/>
      <w:szCs w:val="36"/>
    </w:rPr>
  </w:style>
  <w:style w:type="character" w:styleId="PlaceholderText">
    <w:name w:val="Placeholder Text"/>
    <w:basedOn w:val="DefaultParagraphFont"/>
    <w:uiPriority w:val="99"/>
    <w:semiHidden/>
    <w:rsid w:val="00787645"/>
    <w:rPr>
      <w:color w:val="808080"/>
    </w:rPr>
  </w:style>
  <w:style w:type="paragraph" w:styleId="FootnoteText">
    <w:name w:val="footnote text"/>
    <w:basedOn w:val="Normal"/>
    <w:link w:val="FootnoteTextChar"/>
    <w:rsid w:val="00E342F3"/>
    <w:rPr>
      <w:szCs w:val="20"/>
    </w:rPr>
  </w:style>
  <w:style w:type="character" w:customStyle="1" w:styleId="FootnoteTextChar">
    <w:name w:val="Footnote Text Char"/>
    <w:basedOn w:val="DefaultParagraphFont"/>
    <w:link w:val="FootnoteText"/>
    <w:rsid w:val="00E342F3"/>
    <w:rPr>
      <w:rFonts w:asciiTheme="minorHAnsi" w:hAnsiTheme="minorHAnsi"/>
      <w:lang w:eastAsia="en-US"/>
    </w:rPr>
  </w:style>
  <w:style w:type="character" w:styleId="FootnoteReference">
    <w:name w:val="footnote reference"/>
    <w:basedOn w:val="DefaultParagraphFont"/>
    <w:rsid w:val="00E342F3"/>
    <w:rPr>
      <w:vertAlign w:val="superscript"/>
    </w:rPr>
  </w:style>
  <w:style w:type="character" w:customStyle="1" w:styleId="NoSpacingChar">
    <w:name w:val="No Spacing Char"/>
    <w:basedOn w:val="DefaultParagraphFont"/>
    <w:link w:val="NoSpacing"/>
    <w:uiPriority w:val="1"/>
    <w:rsid w:val="007162A5"/>
    <w:rPr>
      <w:sz w:val="24"/>
      <w:szCs w:val="24"/>
      <w:lang w:eastAsia="en-US"/>
    </w:rPr>
  </w:style>
  <w:style w:type="paragraph" w:styleId="TOCHeading">
    <w:name w:val="TOC Heading"/>
    <w:basedOn w:val="Heading1"/>
    <w:next w:val="Normal"/>
    <w:uiPriority w:val="39"/>
    <w:unhideWhenUsed/>
    <w:qFormat/>
    <w:rsid w:val="00AF1C1A"/>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AF1C1A"/>
    <w:pPr>
      <w:spacing w:after="100"/>
    </w:pPr>
  </w:style>
  <w:style w:type="paragraph" w:styleId="TOC2">
    <w:name w:val="toc 2"/>
    <w:basedOn w:val="Normal"/>
    <w:next w:val="Normal"/>
    <w:autoRedefine/>
    <w:uiPriority w:val="39"/>
    <w:rsid w:val="00BE48CA"/>
    <w:pPr>
      <w:tabs>
        <w:tab w:val="right" w:leader="dot" w:pos="9016"/>
      </w:tabs>
      <w:spacing w:after="100"/>
      <w:ind w:left="220"/>
    </w:pPr>
  </w:style>
  <w:style w:type="paragraph" w:styleId="TOC3">
    <w:name w:val="toc 3"/>
    <w:basedOn w:val="Normal"/>
    <w:next w:val="Normal"/>
    <w:autoRedefine/>
    <w:uiPriority w:val="39"/>
    <w:rsid w:val="00BE48CA"/>
    <w:pPr>
      <w:tabs>
        <w:tab w:val="right" w:leader="dot" w:pos="9072"/>
      </w:tabs>
      <w:spacing w:after="100"/>
      <w:ind w:left="440"/>
    </w:pPr>
  </w:style>
  <w:style w:type="character" w:styleId="Hyperlink">
    <w:name w:val="Hyperlink"/>
    <w:basedOn w:val="DefaultParagraphFont"/>
    <w:uiPriority w:val="99"/>
    <w:unhideWhenUsed/>
    <w:rsid w:val="00AF1C1A"/>
    <w:rPr>
      <w:color w:val="0000FF" w:themeColor="hyperlink"/>
      <w:u w:val="single"/>
    </w:rPr>
  </w:style>
  <w:style w:type="table" w:styleId="TableColorful1">
    <w:name w:val="Table Colorful 1"/>
    <w:basedOn w:val="TableNormal"/>
    <w:rsid w:val="003A13B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List8">
    <w:name w:val="Table List 8"/>
    <w:basedOn w:val="TableNormal"/>
    <w:rsid w:val="003A13B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ColorfulList-Accent1">
    <w:name w:val="Colorful List Accent 1"/>
    <w:basedOn w:val="TableNormal"/>
    <w:uiPriority w:val="72"/>
    <w:rsid w:val="003A13B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A13B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6">
    <w:name w:val="Colorful List Accent 6"/>
    <w:basedOn w:val="TableNormal"/>
    <w:uiPriority w:val="72"/>
    <w:rsid w:val="003A13B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ableClassic2">
    <w:name w:val="Table Classic 2"/>
    <w:basedOn w:val="TableNormal"/>
    <w:rsid w:val="003A13B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3A13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101B9E"/>
    <w:pPr>
      <w:spacing w:before="100" w:beforeAutospacing="1" w:after="100" w:afterAutospacing="1"/>
    </w:pPr>
    <w:rPr>
      <w:lang w:eastAsia="en-AU"/>
    </w:rPr>
  </w:style>
  <w:style w:type="table" w:customStyle="1" w:styleId="RANZCP1">
    <w:name w:val="RANZCP 1"/>
    <w:basedOn w:val="TableNormal"/>
    <w:uiPriority w:val="99"/>
    <w:qFormat/>
    <w:rsid w:val="003E0A7C"/>
    <w:pPr>
      <w:jc w:val="center"/>
    </w:pPr>
    <w:rPr>
      <w:rFonts w:ascii="Arial" w:eastAsia="Calibri"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w:hAnsi="Arial"/>
        <w:b/>
        <w:i w:val="0"/>
        <w:sz w:val="20"/>
      </w:rPr>
      <w:tblPr/>
      <w:tcPr>
        <w:shd w:val="clear" w:color="auto" w:fill="B8CCE4"/>
      </w:tcPr>
    </w:tblStylePr>
    <w:tblStylePr w:type="lastRow">
      <w:rPr>
        <w:b/>
      </w:rPr>
    </w:tblStylePr>
    <w:tblStylePr w:type="band1Vert">
      <w:pPr>
        <w:jc w:val="center"/>
      </w:pPr>
      <w:tblPr/>
      <w:tcPr>
        <w:vAlign w:val="center"/>
      </w:tcPr>
    </w:tblStylePr>
    <w:tblStylePr w:type="band2Vert">
      <w:pPr>
        <w:jc w:val="center"/>
      </w:pPr>
      <w:tblPr/>
      <w:tcPr>
        <w:vAlign w:val="center"/>
      </w:tcPr>
    </w:tblStylePr>
    <w:tblStylePr w:type="band2Horz">
      <w:tblPr/>
      <w:tcPr>
        <w:shd w:val="clear" w:color="auto" w:fill="D9D9D9"/>
      </w:tcPr>
    </w:tblStylePr>
  </w:style>
  <w:style w:type="table" w:styleId="TableColumns2">
    <w:name w:val="Table Columns 2"/>
    <w:basedOn w:val="TableNormal"/>
    <w:rsid w:val="003E0A7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3E0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2">
    <w:name w:val="Medium Shading 2 Accent 2"/>
    <w:basedOn w:val="TableNormal"/>
    <w:uiPriority w:val="64"/>
    <w:rsid w:val="00497D00"/>
    <w:tblPr>
      <w:tblStyleRowBandSize w:val="1"/>
      <w:tblStyleColBandSize w:val="1"/>
      <w:tblBorders>
        <w:top w:val="single" w:sz="18" w:space="0" w:color="auto"/>
        <w:bottom w:val="single" w:sz="18" w:space="0" w:color="auto"/>
      </w:tblBorders>
    </w:tblPr>
    <w:tblStylePr w:type="firstRow">
      <w:pPr>
        <w:spacing w:before="0" w:after="0" w:line="240" w:lineRule="auto"/>
      </w:pPr>
      <w:rPr>
        <w:rFonts w:ascii="Arial" w:hAnsi="Arial"/>
        <w:b w:val="0"/>
        <w:bCs/>
        <w:color w:val="FFFFFF" w:themeColor="background1"/>
        <w:sz w:val="20"/>
      </w:rPr>
      <w:tblPr/>
      <w:tcPr>
        <w:shd w:val="clear" w:color="auto" w:fill="00008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ascii="Arial" w:hAnsi="Arial"/>
        <w:b/>
        <w:bCs/>
        <w:color w:val="FFFFFF" w:themeColor="background1"/>
        <w:sz w:val="20"/>
      </w:rPr>
      <w:tblPr/>
      <w:tcPr>
        <w:shd w:val="clear" w:color="auto" w:fill="000080"/>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rPr>
        <w:color w:val="FFFFFF" w:themeColor="background1"/>
      </w:rPr>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unhideWhenUsed/>
    <w:rsid w:val="00B700E7"/>
    <w:rPr>
      <w:sz w:val="16"/>
      <w:szCs w:val="16"/>
    </w:rPr>
  </w:style>
  <w:style w:type="paragraph" w:styleId="CommentText">
    <w:name w:val="annotation text"/>
    <w:basedOn w:val="Normal"/>
    <w:link w:val="CommentTextChar"/>
    <w:uiPriority w:val="99"/>
    <w:unhideWhenUsed/>
    <w:rsid w:val="00B700E7"/>
    <w:pPr>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B700E7"/>
    <w:rPr>
      <w:rFonts w:asciiTheme="minorHAnsi" w:eastAsiaTheme="minorHAnsi" w:hAnsiTheme="minorHAnsi" w:cstheme="minorBidi"/>
      <w:lang w:eastAsia="en-US"/>
    </w:rPr>
  </w:style>
  <w:style w:type="character" w:customStyle="1" w:styleId="apple-converted-space">
    <w:name w:val="apple-converted-space"/>
    <w:basedOn w:val="DefaultParagraphFont"/>
    <w:rsid w:val="00281517"/>
  </w:style>
  <w:style w:type="paragraph" w:styleId="CommentSubject">
    <w:name w:val="annotation subject"/>
    <w:basedOn w:val="CommentText"/>
    <w:next w:val="CommentText"/>
    <w:link w:val="CommentSubjectChar"/>
    <w:rsid w:val="00F554DE"/>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F554DE"/>
    <w:rPr>
      <w:rFonts w:ascii="Arial" w:eastAsiaTheme="minorHAnsi" w:hAnsi="Arial" w:cstheme="minorBidi"/>
      <w:b/>
      <w:bCs/>
      <w:lang w:eastAsia="en-US"/>
    </w:rPr>
  </w:style>
  <w:style w:type="character" w:customStyle="1" w:styleId="ListParagraphChar">
    <w:name w:val="List Paragraph Char"/>
    <w:link w:val="ListParagraph"/>
    <w:uiPriority w:val="34"/>
    <w:locked/>
    <w:rsid w:val="00FC38C6"/>
    <w:rPr>
      <w:rFonts w:ascii="Arial" w:hAnsi="Arial"/>
      <w:sz w:val="22"/>
      <w:szCs w:val="24"/>
      <w:lang w:eastAsia="en-US"/>
    </w:rPr>
  </w:style>
  <w:style w:type="table" w:styleId="TableSimple3">
    <w:name w:val="Table Simple 3"/>
    <w:basedOn w:val="TableNormal"/>
    <w:rsid w:val="009B470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rsid w:val="009B470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1">
    <w:name w:val="Table List 1"/>
    <w:basedOn w:val="TableNormal"/>
    <w:rsid w:val="003A509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4">
    <w:name w:val="Medium Shading 2 Accent 4"/>
    <w:basedOn w:val="TableNormal"/>
    <w:uiPriority w:val="64"/>
    <w:rsid w:val="00665E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semiHidden/>
    <w:unhideWhenUsed/>
    <w:rsid w:val="00EA20BD"/>
    <w:rPr>
      <w:color w:val="800080" w:themeColor="followedHyperlink"/>
      <w:u w:val="single"/>
    </w:rPr>
  </w:style>
  <w:style w:type="paragraph" w:styleId="Revision">
    <w:name w:val="Revision"/>
    <w:hidden/>
    <w:uiPriority w:val="99"/>
    <w:semiHidden/>
    <w:rsid w:val="00862AB4"/>
    <w:rPr>
      <w:sz w:val="24"/>
      <w:szCs w:val="24"/>
      <w:lang w:eastAsia="en-US"/>
    </w:rPr>
  </w:style>
  <w:style w:type="paragraph" w:styleId="EndnoteText">
    <w:name w:val="endnote text"/>
    <w:basedOn w:val="Normal"/>
    <w:link w:val="EndnoteTextChar"/>
    <w:semiHidden/>
    <w:unhideWhenUsed/>
    <w:rsid w:val="00F976E8"/>
    <w:rPr>
      <w:sz w:val="20"/>
      <w:szCs w:val="20"/>
    </w:rPr>
  </w:style>
  <w:style w:type="character" w:customStyle="1" w:styleId="EndnoteTextChar">
    <w:name w:val="Endnote Text Char"/>
    <w:basedOn w:val="DefaultParagraphFont"/>
    <w:link w:val="EndnoteText"/>
    <w:semiHidden/>
    <w:rsid w:val="00F976E8"/>
    <w:rPr>
      <w:lang w:eastAsia="en-US"/>
    </w:rPr>
  </w:style>
  <w:style w:type="character" w:styleId="EndnoteReference">
    <w:name w:val="endnote reference"/>
    <w:basedOn w:val="DefaultParagraphFont"/>
    <w:semiHidden/>
    <w:unhideWhenUsed/>
    <w:rsid w:val="00F976E8"/>
    <w:rPr>
      <w:vertAlign w:val="superscript"/>
    </w:rPr>
  </w:style>
  <w:style w:type="table" w:styleId="MediumShading2">
    <w:name w:val="Medium Shading 2"/>
    <w:basedOn w:val="TableNormal"/>
    <w:uiPriority w:val="64"/>
    <w:rsid w:val="007C66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7C66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2">
    <w:name w:val="Medium Grid 2"/>
    <w:basedOn w:val="TableNormal"/>
    <w:uiPriority w:val="68"/>
    <w:rsid w:val="007C66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773">
      <w:bodyDiv w:val="1"/>
      <w:marLeft w:val="0"/>
      <w:marRight w:val="0"/>
      <w:marTop w:val="0"/>
      <w:marBottom w:val="0"/>
      <w:divBdr>
        <w:top w:val="none" w:sz="0" w:space="0" w:color="auto"/>
        <w:left w:val="none" w:sz="0" w:space="0" w:color="auto"/>
        <w:bottom w:val="none" w:sz="0" w:space="0" w:color="auto"/>
        <w:right w:val="none" w:sz="0" w:space="0" w:color="auto"/>
      </w:divBdr>
    </w:div>
    <w:div w:id="61297161">
      <w:bodyDiv w:val="1"/>
      <w:marLeft w:val="0"/>
      <w:marRight w:val="0"/>
      <w:marTop w:val="0"/>
      <w:marBottom w:val="0"/>
      <w:divBdr>
        <w:top w:val="none" w:sz="0" w:space="0" w:color="auto"/>
        <w:left w:val="none" w:sz="0" w:space="0" w:color="auto"/>
        <w:bottom w:val="none" w:sz="0" w:space="0" w:color="auto"/>
        <w:right w:val="none" w:sz="0" w:space="0" w:color="auto"/>
      </w:divBdr>
    </w:div>
    <w:div w:id="124004474">
      <w:bodyDiv w:val="1"/>
      <w:marLeft w:val="0"/>
      <w:marRight w:val="0"/>
      <w:marTop w:val="0"/>
      <w:marBottom w:val="0"/>
      <w:divBdr>
        <w:top w:val="none" w:sz="0" w:space="0" w:color="auto"/>
        <w:left w:val="none" w:sz="0" w:space="0" w:color="auto"/>
        <w:bottom w:val="none" w:sz="0" w:space="0" w:color="auto"/>
        <w:right w:val="none" w:sz="0" w:space="0" w:color="auto"/>
      </w:divBdr>
    </w:div>
    <w:div w:id="146095470">
      <w:bodyDiv w:val="1"/>
      <w:marLeft w:val="0"/>
      <w:marRight w:val="0"/>
      <w:marTop w:val="0"/>
      <w:marBottom w:val="0"/>
      <w:divBdr>
        <w:top w:val="none" w:sz="0" w:space="0" w:color="auto"/>
        <w:left w:val="none" w:sz="0" w:space="0" w:color="auto"/>
        <w:bottom w:val="none" w:sz="0" w:space="0" w:color="auto"/>
        <w:right w:val="none" w:sz="0" w:space="0" w:color="auto"/>
      </w:divBdr>
    </w:div>
    <w:div w:id="152067447">
      <w:bodyDiv w:val="1"/>
      <w:marLeft w:val="0"/>
      <w:marRight w:val="0"/>
      <w:marTop w:val="0"/>
      <w:marBottom w:val="0"/>
      <w:divBdr>
        <w:top w:val="none" w:sz="0" w:space="0" w:color="auto"/>
        <w:left w:val="none" w:sz="0" w:space="0" w:color="auto"/>
        <w:bottom w:val="none" w:sz="0" w:space="0" w:color="auto"/>
        <w:right w:val="none" w:sz="0" w:space="0" w:color="auto"/>
      </w:divBdr>
    </w:div>
    <w:div w:id="161700432">
      <w:bodyDiv w:val="1"/>
      <w:marLeft w:val="0"/>
      <w:marRight w:val="0"/>
      <w:marTop w:val="0"/>
      <w:marBottom w:val="0"/>
      <w:divBdr>
        <w:top w:val="none" w:sz="0" w:space="0" w:color="auto"/>
        <w:left w:val="none" w:sz="0" w:space="0" w:color="auto"/>
        <w:bottom w:val="none" w:sz="0" w:space="0" w:color="auto"/>
        <w:right w:val="none" w:sz="0" w:space="0" w:color="auto"/>
      </w:divBdr>
    </w:div>
    <w:div w:id="175462990">
      <w:bodyDiv w:val="1"/>
      <w:marLeft w:val="0"/>
      <w:marRight w:val="0"/>
      <w:marTop w:val="0"/>
      <w:marBottom w:val="0"/>
      <w:divBdr>
        <w:top w:val="none" w:sz="0" w:space="0" w:color="auto"/>
        <w:left w:val="none" w:sz="0" w:space="0" w:color="auto"/>
        <w:bottom w:val="none" w:sz="0" w:space="0" w:color="auto"/>
        <w:right w:val="none" w:sz="0" w:space="0" w:color="auto"/>
      </w:divBdr>
    </w:div>
    <w:div w:id="200097887">
      <w:bodyDiv w:val="1"/>
      <w:marLeft w:val="0"/>
      <w:marRight w:val="0"/>
      <w:marTop w:val="0"/>
      <w:marBottom w:val="0"/>
      <w:divBdr>
        <w:top w:val="none" w:sz="0" w:space="0" w:color="auto"/>
        <w:left w:val="none" w:sz="0" w:space="0" w:color="auto"/>
        <w:bottom w:val="none" w:sz="0" w:space="0" w:color="auto"/>
        <w:right w:val="none" w:sz="0" w:space="0" w:color="auto"/>
      </w:divBdr>
    </w:div>
    <w:div w:id="207181394">
      <w:bodyDiv w:val="1"/>
      <w:marLeft w:val="0"/>
      <w:marRight w:val="0"/>
      <w:marTop w:val="0"/>
      <w:marBottom w:val="0"/>
      <w:divBdr>
        <w:top w:val="none" w:sz="0" w:space="0" w:color="auto"/>
        <w:left w:val="none" w:sz="0" w:space="0" w:color="auto"/>
        <w:bottom w:val="none" w:sz="0" w:space="0" w:color="auto"/>
        <w:right w:val="none" w:sz="0" w:space="0" w:color="auto"/>
      </w:divBdr>
    </w:div>
    <w:div w:id="231427082">
      <w:bodyDiv w:val="1"/>
      <w:marLeft w:val="0"/>
      <w:marRight w:val="0"/>
      <w:marTop w:val="0"/>
      <w:marBottom w:val="0"/>
      <w:divBdr>
        <w:top w:val="none" w:sz="0" w:space="0" w:color="auto"/>
        <w:left w:val="none" w:sz="0" w:space="0" w:color="auto"/>
        <w:bottom w:val="none" w:sz="0" w:space="0" w:color="auto"/>
        <w:right w:val="none" w:sz="0" w:space="0" w:color="auto"/>
      </w:divBdr>
    </w:div>
    <w:div w:id="309018822">
      <w:bodyDiv w:val="1"/>
      <w:marLeft w:val="0"/>
      <w:marRight w:val="0"/>
      <w:marTop w:val="0"/>
      <w:marBottom w:val="0"/>
      <w:divBdr>
        <w:top w:val="none" w:sz="0" w:space="0" w:color="auto"/>
        <w:left w:val="none" w:sz="0" w:space="0" w:color="auto"/>
        <w:bottom w:val="none" w:sz="0" w:space="0" w:color="auto"/>
        <w:right w:val="none" w:sz="0" w:space="0" w:color="auto"/>
      </w:divBdr>
    </w:div>
    <w:div w:id="323363469">
      <w:bodyDiv w:val="1"/>
      <w:marLeft w:val="0"/>
      <w:marRight w:val="0"/>
      <w:marTop w:val="0"/>
      <w:marBottom w:val="0"/>
      <w:divBdr>
        <w:top w:val="none" w:sz="0" w:space="0" w:color="auto"/>
        <w:left w:val="none" w:sz="0" w:space="0" w:color="auto"/>
        <w:bottom w:val="none" w:sz="0" w:space="0" w:color="auto"/>
        <w:right w:val="none" w:sz="0" w:space="0" w:color="auto"/>
      </w:divBdr>
    </w:div>
    <w:div w:id="340593817">
      <w:bodyDiv w:val="1"/>
      <w:marLeft w:val="0"/>
      <w:marRight w:val="0"/>
      <w:marTop w:val="0"/>
      <w:marBottom w:val="0"/>
      <w:divBdr>
        <w:top w:val="none" w:sz="0" w:space="0" w:color="auto"/>
        <w:left w:val="none" w:sz="0" w:space="0" w:color="auto"/>
        <w:bottom w:val="none" w:sz="0" w:space="0" w:color="auto"/>
        <w:right w:val="none" w:sz="0" w:space="0" w:color="auto"/>
      </w:divBdr>
    </w:div>
    <w:div w:id="375783777">
      <w:bodyDiv w:val="1"/>
      <w:marLeft w:val="0"/>
      <w:marRight w:val="0"/>
      <w:marTop w:val="0"/>
      <w:marBottom w:val="0"/>
      <w:divBdr>
        <w:top w:val="none" w:sz="0" w:space="0" w:color="auto"/>
        <w:left w:val="none" w:sz="0" w:space="0" w:color="auto"/>
        <w:bottom w:val="none" w:sz="0" w:space="0" w:color="auto"/>
        <w:right w:val="none" w:sz="0" w:space="0" w:color="auto"/>
      </w:divBdr>
    </w:div>
    <w:div w:id="421220269">
      <w:bodyDiv w:val="1"/>
      <w:marLeft w:val="0"/>
      <w:marRight w:val="0"/>
      <w:marTop w:val="0"/>
      <w:marBottom w:val="0"/>
      <w:divBdr>
        <w:top w:val="none" w:sz="0" w:space="0" w:color="auto"/>
        <w:left w:val="none" w:sz="0" w:space="0" w:color="auto"/>
        <w:bottom w:val="none" w:sz="0" w:space="0" w:color="auto"/>
        <w:right w:val="none" w:sz="0" w:space="0" w:color="auto"/>
      </w:divBdr>
    </w:div>
    <w:div w:id="444496937">
      <w:bodyDiv w:val="1"/>
      <w:marLeft w:val="0"/>
      <w:marRight w:val="0"/>
      <w:marTop w:val="0"/>
      <w:marBottom w:val="0"/>
      <w:divBdr>
        <w:top w:val="none" w:sz="0" w:space="0" w:color="auto"/>
        <w:left w:val="none" w:sz="0" w:space="0" w:color="auto"/>
        <w:bottom w:val="none" w:sz="0" w:space="0" w:color="auto"/>
        <w:right w:val="none" w:sz="0" w:space="0" w:color="auto"/>
      </w:divBdr>
    </w:div>
    <w:div w:id="478156810">
      <w:bodyDiv w:val="1"/>
      <w:marLeft w:val="0"/>
      <w:marRight w:val="0"/>
      <w:marTop w:val="0"/>
      <w:marBottom w:val="0"/>
      <w:divBdr>
        <w:top w:val="none" w:sz="0" w:space="0" w:color="auto"/>
        <w:left w:val="none" w:sz="0" w:space="0" w:color="auto"/>
        <w:bottom w:val="none" w:sz="0" w:space="0" w:color="auto"/>
        <w:right w:val="none" w:sz="0" w:space="0" w:color="auto"/>
      </w:divBdr>
    </w:div>
    <w:div w:id="555775071">
      <w:bodyDiv w:val="1"/>
      <w:marLeft w:val="0"/>
      <w:marRight w:val="0"/>
      <w:marTop w:val="0"/>
      <w:marBottom w:val="0"/>
      <w:divBdr>
        <w:top w:val="none" w:sz="0" w:space="0" w:color="auto"/>
        <w:left w:val="none" w:sz="0" w:space="0" w:color="auto"/>
        <w:bottom w:val="none" w:sz="0" w:space="0" w:color="auto"/>
        <w:right w:val="none" w:sz="0" w:space="0" w:color="auto"/>
      </w:divBdr>
    </w:div>
    <w:div w:id="609314944">
      <w:bodyDiv w:val="1"/>
      <w:marLeft w:val="0"/>
      <w:marRight w:val="0"/>
      <w:marTop w:val="0"/>
      <w:marBottom w:val="0"/>
      <w:divBdr>
        <w:top w:val="none" w:sz="0" w:space="0" w:color="auto"/>
        <w:left w:val="none" w:sz="0" w:space="0" w:color="auto"/>
        <w:bottom w:val="none" w:sz="0" w:space="0" w:color="auto"/>
        <w:right w:val="none" w:sz="0" w:space="0" w:color="auto"/>
      </w:divBdr>
    </w:div>
    <w:div w:id="612831384">
      <w:bodyDiv w:val="1"/>
      <w:marLeft w:val="0"/>
      <w:marRight w:val="0"/>
      <w:marTop w:val="0"/>
      <w:marBottom w:val="0"/>
      <w:divBdr>
        <w:top w:val="none" w:sz="0" w:space="0" w:color="auto"/>
        <w:left w:val="none" w:sz="0" w:space="0" w:color="auto"/>
        <w:bottom w:val="none" w:sz="0" w:space="0" w:color="auto"/>
        <w:right w:val="none" w:sz="0" w:space="0" w:color="auto"/>
      </w:divBdr>
    </w:div>
    <w:div w:id="627905050">
      <w:bodyDiv w:val="1"/>
      <w:marLeft w:val="0"/>
      <w:marRight w:val="0"/>
      <w:marTop w:val="0"/>
      <w:marBottom w:val="0"/>
      <w:divBdr>
        <w:top w:val="none" w:sz="0" w:space="0" w:color="auto"/>
        <w:left w:val="none" w:sz="0" w:space="0" w:color="auto"/>
        <w:bottom w:val="none" w:sz="0" w:space="0" w:color="auto"/>
        <w:right w:val="none" w:sz="0" w:space="0" w:color="auto"/>
      </w:divBdr>
    </w:div>
    <w:div w:id="633948608">
      <w:bodyDiv w:val="1"/>
      <w:marLeft w:val="0"/>
      <w:marRight w:val="0"/>
      <w:marTop w:val="0"/>
      <w:marBottom w:val="0"/>
      <w:divBdr>
        <w:top w:val="none" w:sz="0" w:space="0" w:color="auto"/>
        <w:left w:val="none" w:sz="0" w:space="0" w:color="auto"/>
        <w:bottom w:val="none" w:sz="0" w:space="0" w:color="auto"/>
        <w:right w:val="none" w:sz="0" w:space="0" w:color="auto"/>
      </w:divBdr>
    </w:div>
    <w:div w:id="651300743">
      <w:bodyDiv w:val="1"/>
      <w:marLeft w:val="0"/>
      <w:marRight w:val="0"/>
      <w:marTop w:val="0"/>
      <w:marBottom w:val="0"/>
      <w:divBdr>
        <w:top w:val="none" w:sz="0" w:space="0" w:color="auto"/>
        <w:left w:val="none" w:sz="0" w:space="0" w:color="auto"/>
        <w:bottom w:val="none" w:sz="0" w:space="0" w:color="auto"/>
        <w:right w:val="none" w:sz="0" w:space="0" w:color="auto"/>
      </w:divBdr>
      <w:divsChild>
        <w:div w:id="450709983">
          <w:marLeft w:val="274"/>
          <w:marRight w:val="0"/>
          <w:marTop w:val="0"/>
          <w:marBottom w:val="0"/>
          <w:divBdr>
            <w:top w:val="none" w:sz="0" w:space="0" w:color="auto"/>
            <w:left w:val="none" w:sz="0" w:space="0" w:color="auto"/>
            <w:bottom w:val="none" w:sz="0" w:space="0" w:color="auto"/>
            <w:right w:val="none" w:sz="0" w:space="0" w:color="auto"/>
          </w:divBdr>
        </w:div>
        <w:div w:id="491524387">
          <w:marLeft w:val="994"/>
          <w:marRight w:val="0"/>
          <w:marTop w:val="0"/>
          <w:marBottom w:val="0"/>
          <w:divBdr>
            <w:top w:val="none" w:sz="0" w:space="0" w:color="auto"/>
            <w:left w:val="none" w:sz="0" w:space="0" w:color="auto"/>
            <w:bottom w:val="none" w:sz="0" w:space="0" w:color="auto"/>
            <w:right w:val="none" w:sz="0" w:space="0" w:color="auto"/>
          </w:divBdr>
        </w:div>
        <w:div w:id="682166864">
          <w:marLeft w:val="274"/>
          <w:marRight w:val="0"/>
          <w:marTop w:val="0"/>
          <w:marBottom w:val="0"/>
          <w:divBdr>
            <w:top w:val="none" w:sz="0" w:space="0" w:color="auto"/>
            <w:left w:val="none" w:sz="0" w:space="0" w:color="auto"/>
            <w:bottom w:val="none" w:sz="0" w:space="0" w:color="auto"/>
            <w:right w:val="none" w:sz="0" w:space="0" w:color="auto"/>
          </w:divBdr>
        </w:div>
        <w:div w:id="1790856579">
          <w:marLeft w:val="994"/>
          <w:marRight w:val="0"/>
          <w:marTop w:val="0"/>
          <w:marBottom w:val="0"/>
          <w:divBdr>
            <w:top w:val="none" w:sz="0" w:space="0" w:color="auto"/>
            <w:left w:val="none" w:sz="0" w:space="0" w:color="auto"/>
            <w:bottom w:val="none" w:sz="0" w:space="0" w:color="auto"/>
            <w:right w:val="none" w:sz="0" w:space="0" w:color="auto"/>
          </w:divBdr>
        </w:div>
        <w:div w:id="1874078729">
          <w:marLeft w:val="994"/>
          <w:marRight w:val="0"/>
          <w:marTop w:val="0"/>
          <w:marBottom w:val="0"/>
          <w:divBdr>
            <w:top w:val="none" w:sz="0" w:space="0" w:color="auto"/>
            <w:left w:val="none" w:sz="0" w:space="0" w:color="auto"/>
            <w:bottom w:val="none" w:sz="0" w:space="0" w:color="auto"/>
            <w:right w:val="none" w:sz="0" w:space="0" w:color="auto"/>
          </w:divBdr>
        </w:div>
        <w:div w:id="2031179495">
          <w:marLeft w:val="274"/>
          <w:marRight w:val="0"/>
          <w:marTop w:val="0"/>
          <w:marBottom w:val="0"/>
          <w:divBdr>
            <w:top w:val="none" w:sz="0" w:space="0" w:color="auto"/>
            <w:left w:val="none" w:sz="0" w:space="0" w:color="auto"/>
            <w:bottom w:val="none" w:sz="0" w:space="0" w:color="auto"/>
            <w:right w:val="none" w:sz="0" w:space="0" w:color="auto"/>
          </w:divBdr>
        </w:div>
        <w:div w:id="2044094016">
          <w:marLeft w:val="274"/>
          <w:marRight w:val="0"/>
          <w:marTop w:val="0"/>
          <w:marBottom w:val="0"/>
          <w:divBdr>
            <w:top w:val="none" w:sz="0" w:space="0" w:color="auto"/>
            <w:left w:val="none" w:sz="0" w:space="0" w:color="auto"/>
            <w:bottom w:val="none" w:sz="0" w:space="0" w:color="auto"/>
            <w:right w:val="none" w:sz="0" w:space="0" w:color="auto"/>
          </w:divBdr>
        </w:div>
        <w:div w:id="2057511729">
          <w:marLeft w:val="274"/>
          <w:marRight w:val="0"/>
          <w:marTop w:val="0"/>
          <w:marBottom w:val="0"/>
          <w:divBdr>
            <w:top w:val="none" w:sz="0" w:space="0" w:color="auto"/>
            <w:left w:val="none" w:sz="0" w:space="0" w:color="auto"/>
            <w:bottom w:val="none" w:sz="0" w:space="0" w:color="auto"/>
            <w:right w:val="none" w:sz="0" w:space="0" w:color="auto"/>
          </w:divBdr>
        </w:div>
      </w:divsChild>
    </w:div>
    <w:div w:id="671109572">
      <w:bodyDiv w:val="1"/>
      <w:marLeft w:val="0"/>
      <w:marRight w:val="0"/>
      <w:marTop w:val="0"/>
      <w:marBottom w:val="0"/>
      <w:divBdr>
        <w:top w:val="none" w:sz="0" w:space="0" w:color="auto"/>
        <w:left w:val="none" w:sz="0" w:space="0" w:color="auto"/>
        <w:bottom w:val="none" w:sz="0" w:space="0" w:color="auto"/>
        <w:right w:val="none" w:sz="0" w:space="0" w:color="auto"/>
      </w:divBdr>
    </w:div>
    <w:div w:id="727650004">
      <w:bodyDiv w:val="1"/>
      <w:marLeft w:val="0"/>
      <w:marRight w:val="0"/>
      <w:marTop w:val="0"/>
      <w:marBottom w:val="0"/>
      <w:divBdr>
        <w:top w:val="none" w:sz="0" w:space="0" w:color="auto"/>
        <w:left w:val="none" w:sz="0" w:space="0" w:color="auto"/>
        <w:bottom w:val="none" w:sz="0" w:space="0" w:color="auto"/>
        <w:right w:val="none" w:sz="0" w:space="0" w:color="auto"/>
      </w:divBdr>
    </w:div>
    <w:div w:id="778839321">
      <w:bodyDiv w:val="1"/>
      <w:marLeft w:val="0"/>
      <w:marRight w:val="0"/>
      <w:marTop w:val="0"/>
      <w:marBottom w:val="0"/>
      <w:divBdr>
        <w:top w:val="none" w:sz="0" w:space="0" w:color="auto"/>
        <w:left w:val="none" w:sz="0" w:space="0" w:color="auto"/>
        <w:bottom w:val="none" w:sz="0" w:space="0" w:color="auto"/>
        <w:right w:val="none" w:sz="0" w:space="0" w:color="auto"/>
      </w:divBdr>
    </w:div>
    <w:div w:id="845247624">
      <w:bodyDiv w:val="1"/>
      <w:marLeft w:val="0"/>
      <w:marRight w:val="0"/>
      <w:marTop w:val="0"/>
      <w:marBottom w:val="0"/>
      <w:divBdr>
        <w:top w:val="none" w:sz="0" w:space="0" w:color="auto"/>
        <w:left w:val="none" w:sz="0" w:space="0" w:color="auto"/>
        <w:bottom w:val="none" w:sz="0" w:space="0" w:color="auto"/>
        <w:right w:val="none" w:sz="0" w:space="0" w:color="auto"/>
      </w:divBdr>
    </w:div>
    <w:div w:id="874853433">
      <w:bodyDiv w:val="1"/>
      <w:marLeft w:val="0"/>
      <w:marRight w:val="0"/>
      <w:marTop w:val="0"/>
      <w:marBottom w:val="0"/>
      <w:divBdr>
        <w:top w:val="none" w:sz="0" w:space="0" w:color="auto"/>
        <w:left w:val="none" w:sz="0" w:space="0" w:color="auto"/>
        <w:bottom w:val="none" w:sz="0" w:space="0" w:color="auto"/>
        <w:right w:val="none" w:sz="0" w:space="0" w:color="auto"/>
      </w:divBdr>
    </w:div>
    <w:div w:id="875391161">
      <w:bodyDiv w:val="1"/>
      <w:marLeft w:val="0"/>
      <w:marRight w:val="0"/>
      <w:marTop w:val="0"/>
      <w:marBottom w:val="0"/>
      <w:divBdr>
        <w:top w:val="none" w:sz="0" w:space="0" w:color="auto"/>
        <w:left w:val="none" w:sz="0" w:space="0" w:color="auto"/>
        <w:bottom w:val="none" w:sz="0" w:space="0" w:color="auto"/>
        <w:right w:val="none" w:sz="0" w:space="0" w:color="auto"/>
      </w:divBdr>
    </w:div>
    <w:div w:id="904099242">
      <w:bodyDiv w:val="1"/>
      <w:marLeft w:val="0"/>
      <w:marRight w:val="0"/>
      <w:marTop w:val="0"/>
      <w:marBottom w:val="0"/>
      <w:divBdr>
        <w:top w:val="none" w:sz="0" w:space="0" w:color="auto"/>
        <w:left w:val="none" w:sz="0" w:space="0" w:color="auto"/>
        <w:bottom w:val="none" w:sz="0" w:space="0" w:color="auto"/>
        <w:right w:val="none" w:sz="0" w:space="0" w:color="auto"/>
      </w:divBdr>
    </w:div>
    <w:div w:id="946618487">
      <w:bodyDiv w:val="1"/>
      <w:marLeft w:val="0"/>
      <w:marRight w:val="0"/>
      <w:marTop w:val="0"/>
      <w:marBottom w:val="0"/>
      <w:divBdr>
        <w:top w:val="none" w:sz="0" w:space="0" w:color="auto"/>
        <w:left w:val="none" w:sz="0" w:space="0" w:color="auto"/>
        <w:bottom w:val="none" w:sz="0" w:space="0" w:color="auto"/>
        <w:right w:val="none" w:sz="0" w:space="0" w:color="auto"/>
      </w:divBdr>
    </w:div>
    <w:div w:id="992298344">
      <w:bodyDiv w:val="1"/>
      <w:marLeft w:val="0"/>
      <w:marRight w:val="0"/>
      <w:marTop w:val="0"/>
      <w:marBottom w:val="0"/>
      <w:divBdr>
        <w:top w:val="none" w:sz="0" w:space="0" w:color="auto"/>
        <w:left w:val="none" w:sz="0" w:space="0" w:color="auto"/>
        <w:bottom w:val="none" w:sz="0" w:space="0" w:color="auto"/>
        <w:right w:val="none" w:sz="0" w:space="0" w:color="auto"/>
      </w:divBdr>
    </w:div>
    <w:div w:id="1003555448">
      <w:bodyDiv w:val="1"/>
      <w:marLeft w:val="0"/>
      <w:marRight w:val="0"/>
      <w:marTop w:val="0"/>
      <w:marBottom w:val="0"/>
      <w:divBdr>
        <w:top w:val="none" w:sz="0" w:space="0" w:color="auto"/>
        <w:left w:val="none" w:sz="0" w:space="0" w:color="auto"/>
        <w:bottom w:val="none" w:sz="0" w:space="0" w:color="auto"/>
        <w:right w:val="none" w:sz="0" w:space="0" w:color="auto"/>
      </w:divBdr>
      <w:divsChild>
        <w:div w:id="541554809">
          <w:marLeft w:val="547"/>
          <w:marRight w:val="0"/>
          <w:marTop w:val="0"/>
          <w:marBottom w:val="0"/>
          <w:divBdr>
            <w:top w:val="none" w:sz="0" w:space="0" w:color="auto"/>
            <w:left w:val="none" w:sz="0" w:space="0" w:color="auto"/>
            <w:bottom w:val="none" w:sz="0" w:space="0" w:color="auto"/>
            <w:right w:val="none" w:sz="0" w:space="0" w:color="auto"/>
          </w:divBdr>
        </w:div>
        <w:div w:id="734744280">
          <w:marLeft w:val="547"/>
          <w:marRight w:val="0"/>
          <w:marTop w:val="0"/>
          <w:marBottom w:val="0"/>
          <w:divBdr>
            <w:top w:val="none" w:sz="0" w:space="0" w:color="auto"/>
            <w:left w:val="none" w:sz="0" w:space="0" w:color="auto"/>
            <w:bottom w:val="none" w:sz="0" w:space="0" w:color="auto"/>
            <w:right w:val="none" w:sz="0" w:space="0" w:color="auto"/>
          </w:divBdr>
        </w:div>
        <w:div w:id="1158350061">
          <w:marLeft w:val="547"/>
          <w:marRight w:val="0"/>
          <w:marTop w:val="0"/>
          <w:marBottom w:val="0"/>
          <w:divBdr>
            <w:top w:val="none" w:sz="0" w:space="0" w:color="auto"/>
            <w:left w:val="none" w:sz="0" w:space="0" w:color="auto"/>
            <w:bottom w:val="none" w:sz="0" w:space="0" w:color="auto"/>
            <w:right w:val="none" w:sz="0" w:space="0" w:color="auto"/>
          </w:divBdr>
        </w:div>
        <w:div w:id="1180314360">
          <w:marLeft w:val="547"/>
          <w:marRight w:val="0"/>
          <w:marTop w:val="0"/>
          <w:marBottom w:val="0"/>
          <w:divBdr>
            <w:top w:val="none" w:sz="0" w:space="0" w:color="auto"/>
            <w:left w:val="none" w:sz="0" w:space="0" w:color="auto"/>
            <w:bottom w:val="none" w:sz="0" w:space="0" w:color="auto"/>
            <w:right w:val="none" w:sz="0" w:space="0" w:color="auto"/>
          </w:divBdr>
        </w:div>
        <w:div w:id="1547452705">
          <w:marLeft w:val="547"/>
          <w:marRight w:val="0"/>
          <w:marTop w:val="0"/>
          <w:marBottom w:val="0"/>
          <w:divBdr>
            <w:top w:val="none" w:sz="0" w:space="0" w:color="auto"/>
            <w:left w:val="none" w:sz="0" w:space="0" w:color="auto"/>
            <w:bottom w:val="none" w:sz="0" w:space="0" w:color="auto"/>
            <w:right w:val="none" w:sz="0" w:space="0" w:color="auto"/>
          </w:divBdr>
        </w:div>
        <w:div w:id="1578438490">
          <w:marLeft w:val="547"/>
          <w:marRight w:val="0"/>
          <w:marTop w:val="0"/>
          <w:marBottom w:val="0"/>
          <w:divBdr>
            <w:top w:val="none" w:sz="0" w:space="0" w:color="auto"/>
            <w:left w:val="none" w:sz="0" w:space="0" w:color="auto"/>
            <w:bottom w:val="none" w:sz="0" w:space="0" w:color="auto"/>
            <w:right w:val="none" w:sz="0" w:space="0" w:color="auto"/>
          </w:divBdr>
        </w:div>
        <w:div w:id="1780876422">
          <w:marLeft w:val="547"/>
          <w:marRight w:val="0"/>
          <w:marTop w:val="0"/>
          <w:marBottom w:val="0"/>
          <w:divBdr>
            <w:top w:val="none" w:sz="0" w:space="0" w:color="auto"/>
            <w:left w:val="none" w:sz="0" w:space="0" w:color="auto"/>
            <w:bottom w:val="none" w:sz="0" w:space="0" w:color="auto"/>
            <w:right w:val="none" w:sz="0" w:space="0" w:color="auto"/>
          </w:divBdr>
        </w:div>
        <w:div w:id="2008245026">
          <w:marLeft w:val="547"/>
          <w:marRight w:val="0"/>
          <w:marTop w:val="0"/>
          <w:marBottom w:val="0"/>
          <w:divBdr>
            <w:top w:val="none" w:sz="0" w:space="0" w:color="auto"/>
            <w:left w:val="none" w:sz="0" w:space="0" w:color="auto"/>
            <w:bottom w:val="none" w:sz="0" w:space="0" w:color="auto"/>
            <w:right w:val="none" w:sz="0" w:space="0" w:color="auto"/>
          </w:divBdr>
        </w:div>
      </w:divsChild>
    </w:div>
    <w:div w:id="1039017438">
      <w:bodyDiv w:val="1"/>
      <w:marLeft w:val="0"/>
      <w:marRight w:val="0"/>
      <w:marTop w:val="0"/>
      <w:marBottom w:val="0"/>
      <w:divBdr>
        <w:top w:val="none" w:sz="0" w:space="0" w:color="auto"/>
        <w:left w:val="none" w:sz="0" w:space="0" w:color="auto"/>
        <w:bottom w:val="none" w:sz="0" w:space="0" w:color="auto"/>
        <w:right w:val="none" w:sz="0" w:space="0" w:color="auto"/>
      </w:divBdr>
    </w:div>
    <w:div w:id="1057900127">
      <w:bodyDiv w:val="1"/>
      <w:marLeft w:val="0"/>
      <w:marRight w:val="0"/>
      <w:marTop w:val="0"/>
      <w:marBottom w:val="0"/>
      <w:divBdr>
        <w:top w:val="none" w:sz="0" w:space="0" w:color="auto"/>
        <w:left w:val="none" w:sz="0" w:space="0" w:color="auto"/>
        <w:bottom w:val="none" w:sz="0" w:space="0" w:color="auto"/>
        <w:right w:val="none" w:sz="0" w:space="0" w:color="auto"/>
      </w:divBdr>
    </w:div>
    <w:div w:id="1062098397">
      <w:bodyDiv w:val="1"/>
      <w:marLeft w:val="0"/>
      <w:marRight w:val="0"/>
      <w:marTop w:val="0"/>
      <w:marBottom w:val="0"/>
      <w:divBdr>
        <w:top w:val="none" w:sz="0" w:space="0" w:color="auto"/>
        <w:left w:val="none" w:sz="0" w:space="0" w:color="auto"/>
        <w:bottom w:val="none" w:sz="0" w:space="0" w:color="auto"/>
        <w:right w:val="none" w:sz="0" w:space="0" w:color="auto"/>
      </w:divBdr>
    </w:div>
    <w:div w:id="1091513625">
      <w:bodyDiv w:val="1"/>
      <w:marLeft w:val="0"/>
      <w:marRight w:val="0"/>
      <w:marTop w:val="0"/>
      <w:marBottom w:val="0"/>
      <w:divBdr>
        <w:top w:val="none" w:sz="0" w:space="0" w:color="auto"/>
        <w:left w:val="none" w:sz="0" w:space="0" w:color="auto"/>
        <w:bottom w:val="none" w:sz="0" w:space="0" w:color="auto"/>
        <w:right w:val="none" w:sz="0" w:space="0" w:color="auto"/>
      </w:divBdr>
    </w:div>
    <w:div w:id="1165851841">
      <w:bodyDiv w:val="1"/>
      <w:marLeft w:val="0"/>
      <w:marRight w:val="0"/>
      <w:marTop w:val="0"/>
      <w:marBottom w:val="0"/>
      <w:divBdr>
        <w:top w:val="none" w:sz="0" w:space="0" w:color="auto"/>
        <w:left w:val="none" w:sz="0" w:space="0" w:color="auto"/>
        <w:bottom w:val="none" w:sz="0" w:space="0" w:color="auto"/>
        <w:right w:val="none" w:sz="0" w:space="0" w:color="auto"/>
      </w:divBdr>
    </w:div>
    <w:div w:id="1167745403">
      <w:bodyDiv w:val="1"/>
      <w:marLeft w:val="0"/>
      <w:marRight w:val="0"/>
      <w:marTop w:val="0"/>
      <w:marBottom w:val="0"/>
      <w:divBdr>
        <w:top w:val="none" w:sz="0" w:space="0" w:color="auto"/>
        <w:left w:val="none" w:sz="0" w:space="0" w:color="auto"/>
        <w:bottom w:val="none" w:sz="0" w:space="0" w:color="auto"/>
        <w:right w:val="none" w:sz="0" w:space="0" w:color="auto"/>
      </w:divBdr>
    </w:div>
    <w:div w:id="1171943348">
      <w:bodyDiv w:val="1"/>
      <w:marLeft w:val="0"/>
      <w:marRight w:val="0"/>
      <w:marTop w:val="0"/>
      <w:marBottom w:val="0"/>
      <w:divBdr>
        <w:top w:val="none" w:sz="0" w:space="0" w:color="auto"/>
        <w:left w:val="none" w:sz="0" w:space="0" w:color="auto"/>
        <w:bottom w:val="none" w:sz="0" w:space="0" w:color="auto"/>
        <w:right w:val="none" w:sz="0" w:space="0" w:color="auto"/>
      </w:divBdr>
    </w:div>
    <w:div w:id="1187014673">
      <w:bodyDiv w:val="1"/>
      <w:marLeft w:val="0"/>
      <w:marRight w:val="0"/>
      <w:marTop w:val="0"/>
      <w:marBottom w:val="0"/>
      <w:divBdr>
        <w:top w:val="none" w:sz="0" w:space="0" w:color="auto"/>
        <w:left w:val="none" w:sz="0" w:space="0" w:color="auto"/>
        <w:bottom w:val="none" w:sz="0" w:space="0" w:color="auto"/>
        <w:right w:val="none" w:sz="0" w:space="0" w:color="auto"/>
      </w:divBdr>
    </w:div>
    <w:div w:id="1229731786">
      <w:bodyDiv w:val="1"/>
      <w:marLeft w:val="0"/>
      <w:marRight w:val="0"/>
      <w:marTop w:val="0"/>
      <w:marBottom w:val="0"/>
      <w:divBdr>
        <w:top w:val="none" w:sz="0" w:space="0" w:color="auto"/>
        <w:left w:val="none" w:sz="0" w:space="0" w:color="auto"/>
        <w:bottom w:val="none" w:sz="0" w:space="0" w:color="auto"/>
        <w:right w:val="none" w:sz="0" w:space="0" w:color="auto"/>
      </w:divBdr>
    </w:div>
    <w:div w:id="1232160062">
      <w:bodyDiv w:val="1"/>
      <w:marLeft w:val="0"/>
      <w:marRight w:val="0"/>
      <w:marTop w:val="0"/>
      <w:marBottom w:val="0"/>
      <w:divBdr>
        <w:top w:val="none" w:sz="0" w:space="0" w:color="auto"/>
        <w:left w:val="none" w:sz="0" w:space="0" w:color="auto"/>
        <w:bottom w:val="none" w:sz="0" w:space="0" w:color="auto"/>
        <w:right w:val="none" w:sz="0" w:space="0" w:color="auto"/>
      </w:divBdr>
    </w:div>
    <w:div w:id="1318921652">
      <w:bodyDiv w:val="1"/>
      <w:marLeft w:val="0"/>
      <w:marRight w:val="0"/>
      <w:marTop w:val="0"/>
      <w:marBottom w:val="0"/>
      <w:divBdr>
        <w:top w:val="none" w:sz="0" w:space="0" w:color="auto"/>
        <w:left w:val="none" w:sz="0" w:space="0" w:color="auto"/>
        <w:bottom w:val="none" w:sz="0" w:space="0" w:color="auto"/>
        <w:right w:val="none" w:sz="0" w:space="0" w:color="auto"/>
      </w:divBdr>
    </w:div>
    <w:div w:id="1330400966">
      <w:bodyDiv w:val="1"/>
      <w:marLeft w:val="0"/>
      <w:marRight w:val="0"/>
      <w:marTop w:val="0"/>
      <w:marBottom w:val="0"/>
      <w:divBdr>
        <w:top w:val="none" w:sz="0" w:space="0" w:color="auto"/>
        <w:left w:val="none" w:sz="0" w:space="0" w:color="auto"/>
        <w:bottom w:val="none" w:sz="0" w:space="0" w:color="auto"/>
        <w:right w:val="none" w:sz="0" w:space="0" w:color="auto"/>
      </w:divBdr>
    </w:div>
    <w:div w:id="1375884744">
      <w:bodyDiv w:val="1"/>
      <w:marLeft w:val="0"/>
      <w:marRight w:val="0"/>
      <w:marTop w:val="0"/>
      <w:marBottom w:val="0"/>
      <w:divBdr>
        <w:top w:val="none" w:sz="0" w:space="0" w:color="auto"/>
        <w:left w:val="none" w:sz="0" w:space="0" w:color="auto"/>
        <w:bottom w:val="none" w:sz="0" w:space="0" w:color="auto"/>
        <w:right w:val="none" w:sz="0" w:space="0" w:color="auto"/>
      </w:divBdr>
      <w:divsChild>
        <w:div w:id="474034335">
          <w:marLeft w:val="547"/>
          <w:marRight w:val="0"/>
          <w:marTop w:val="0"/>
          <w:marBottom w:val="0"/>
          <w:divBdr>
            <w:top w:val="none" w:sz="0" w:space="0" w:color="auto"/>
            <w:left w:val="none" w:sz="0" w:space="0" w:color="auto"/>
            <w:bottom w:val="none" w:sz="0" w:space="0" w:color="auto"/>
            <w:right w:val="none" w:sz="0" w:space="0" w:color="auto"/>
          </w:divBdr>
        </w:div>
      </w:divsChild>
    </w:div>
    <w:div w:id="1384331652">
      <w:bodyDiv w:val="1"/>
      <w:marLeft w:val="0"/>
      <w:marRight w:val="0"/>
      <w:marTop w:val="0"/>
      <w:marBottom w:val="0"/>
      <w:divBdr>
        <w:top w:val="none" w:sz="0" w:space="0" w:color="auto"/>
        <w:left w:val="none" w:sz="0" w:space="0" w:color="auto"/>
        <w:bottom w:val="none" w:sz="0" w:space="0" w:color="auto"/>
        <w:right w:val="none" w:sz="0" w:space="0" w:color="auto"/>
      </w:divBdr>
    </w:div>
    <w:div w:id="1391264386">
      <w:bodyDiv w:val="1"/>
      <w:marLeft w:val="0"/>
      <w:marRight w:val="0"/>
      <w:marTop w:val="0"/>
      <w:marBottom w:val="0"/>
      <w:divBdr>
        <w:top w:val="none" w:sz="0" w:space="0" w:color="auto"/>
        <w:left w:val="none" w:sz="0" w:space="0" w:color="auto"/>
        <w:bottom w:val="none" w:sz="0" w:space="0" w:color="auto"/>
        <w:right w:val="none" w:sz="0" w:space="0" w:color="auto"/>
      </w:divBdr>
    </w:div>
    <w:div w:id="1410885575">
      <w:bodyDiv w:val="1"/>
      <w:marLeft w:val="0"/>
      <w:marRight w:val="0"/>
      <w:marTop w:val="0"/>
      <w:marBottom w:val="0"/>
      <w:divBdr>
        <w:top w:val="none" w:sz="0" w:space="0" w:color="auto"/>
        <w:left w:val="none" w:sz="0" w:space="0" w:color="auto"/>
        <w:bottom w:val="none" w:sz="0" w:space="0" w:color="auto"/>
        <w:right w:val="none" w:sz="0" w:space="0" w:color="auto"/>
      </w:divBdr>
    </w:div>
    <w:div w:id="1426657962">
      <w:bodyDiv w:val="1"/>
      <w:marLeft w:val="0"/>
      <w:marRight w:val="0"/>
      <w:marTop w:val="0"/>
      <w:marBottom w:val="0"/>
      <w:divBdr>
        <w:top w:val="none" w:sz="0" w:space="0" w:color="auto"/>
        <w:left w:val="none" w:sz="0" w:space="0" w:color="auto"/>
        <w:bottom w:val="none" w:sz="0" w:space="0" w:color="auto"/>
        <w:right w:val="none" w:sz="0" w:space="0" w:color="auto"/>
      </w:divBdr>
    </w:div>
    <w:div w:id="1472288741">
      <w:bodyDiv w:val="1"/>
      <w:marLeft w:val="0"/>
      <w:marRight w:val="0"/>
      <w:marTop w:val="0"/>
      <w:marBottom w:val="0"/>
      <w:divBdr>
        <w:top w:val="none" w:sz="0" w:space="0" w:color="auto"/>
        <w:left w:val="none" w:sz="0" w:space="0" w:color="auto"/>
        <w:bottom w:val="none" w:sz="0" w:space="0" w:color="auto"/>
        <w:right w:val="none" w:sz="0" w:space="0" w:color="auto"/>
      </w:divBdr>
    </w:div>
    <w:div w:id="1486774441">
      <w:bodyDiv w:val="1"/>
      <w:marLeft w:val="0"/>
      <w:marRight w:val="0"/>
      <w:marTop w:val="0"/>
      <w:marBottom w:val="0"/>
      <w:divBdr>
        <w:top w:val="none" w:sz="0" w:space="0" w:color="auto"/>
        <w:left w:val="none" w:sz="0" w:space="0" w:color="auto"/>
        <w:bottom w:val="none" w:sz="0" w:space="0" w:color="auto"/>
        <w:right w:val="none" w:sz="0" w:space="0" w:color="auto"/>
      </w:divBdr>
    </w:div>
    <w:div w:id="1514147809">
      <w:bodyDiv w:val="1"/>
      <w:marLeft w:val="0"/>
      <w:marRight w:val="0"/>
      <w:marTop w:val="0"/>
      <w:marBottom w:val="0"/>
      <w:divBdr>
        <w:top w:val="none" w:sz="0" w:space="0" w:color="auto"/>
        <w:left w:val="none" w:sz="0" w:space="0" w:color="auto"/>
        <w:bottom w:val="none" w:sz="0" w:space="0" w:color="auto"/>
        <w:right w:val="none" w:sz="0" w:space="0" w:color="auto"/>
      </w:divBdr>
    </w:div>
    <w:div w:id="1563590280">
      <w:bodyDiv w:val="1"/>
      <w:marLeft w:val="0"/>
      <w:marRight w:val="0"/>
      <w:marTop w:val="0"/>
      <w:marBottom w:val="0"/>
      <w:divBdr>
        <w:top w:val="none" w:sz="0" w:space="0" w:color="auto"/>
        <w:left w:val="none" w:sz="0" w:space="0" w:color="auto"/>
        <w:bottom w:val="none" w:sz="0" w:space="0" w:color="auto"/>
        <w:right w:val="none" w:sz="0" w:space="0" w:color="auto"/>
      </w:divBdr>
    </w:div>
    <w:div w:id="1634092658">
      <w:bodyDiv w:val="1"/>
      <w:marLeft w:val="0"/>
      <w:marRight w:val="0"/>
      <w:marTop w:val="0"/>
      <w:marBottom w:val="0"/>
      <w:divBdr>
        <w:top w:val="none" w:sz="0" w:space="0" w:color="auto"/>
        <w:left w:val="none" w:sz="0" w:space="0" w:color="auto"/>
        <w:bottom w:val="none" w:sz="0" w:space="0" w:color="auto"/>
        <w:right w:val="none" w:sz="0" w:space="0" w:color="auto"/>
      </w:divBdr>
    </w:div>
    <w:div w:id="1650138081">
      <w:bodyDiv w:val="1"/>
      <w:marLeft w:val="0"/>
      <w:marRight w:val="0"/>
      <w:marTop w:val="0"/>
      <w:marBottom w:val="0"/>
      <w:divBdr>
        <w:top w:val="none" w:sz="0" w:space="0" w:color="auto"/>
        <w:left w:val="none" w:sz="0" w:space="0" w:color="auto"/>
        <w:bottom w:val="none" w:sz="0" w:space="0" w:color="auto"/>
        <w:right w:val="none" w:sz="0" w:space="0" w:color="auto"/>
      </w:divBdr>
    </w:div>
    <w:div w:id="1685093318">
      <w:bodyDiv w:val="1"/>
      <w:marLeft w:val="0"/>
      <w:marRight w:val="0"/>
      <w:marTop w:val="0"/>
      <w:marBottom w:val="0"/>
      <w:divBdr>
        <w:top w:val="none" w:sz="0" w:space="0" w:color="auto"/>
        <w:left w:val="none" w:sz="0" w:space="0" w:color="auto"/>
        <w:bottom w:val="none" w:sz="0" w:space="0" w:color="auto"/>
        <w:right w:val="none" w:sz="0" w:space="0" w:color="auto"/>
      </w:divBdr>
      <w:divsChild>
        <w:div w:id="1110467223">
          <w:marLeft w:val="0"/>
          <w:marRight w:val="0"/>
          <w:marTop w:val="0"/>
          <w:marBottom w:val="0"/>
          <w:divBdr>
            <w:top w:val="none" w:sz="0" w:space="0" w:color="auto"/>
            <w:left w:val="none" w:sz="0" w:space="0" w:color="auto"/>
            <w:bottom w:val="none" w:sz="0" w:space="0" w:color="auto"/>
            <w:right w:val="none" w:sz="0" w:space="0" w:color="auto"/>
          </w:divBdr>
          <w:divsChild>
            <w:div w:id="1882132573">
              <w:marLeft w:val="0"/>
              <w:marRight w:val="0"/>
              <w:marTop w:val="0"/>
              <w:marBottom w:val="0"/>
              <w:divBdr>
                <w:top w:val="none" w:sz="0" w:space="0" w:color="auto"/>
                <w:left w:val="none" w:sz="0" w:space="0" w:color="auto"/>
                <w:bottom w:val="none" w:sz="0" w:space="0" w:color="auto"/>
                <w:right w:val="none" w:sz="0" w:space="0" w:color="auto"/>
              </w:divBdr>
              <w:divsChild>
                <w:div w:id="1841578502">
                  <w:marLeft w:val="0"/>
                  <w:marRight w:val="0"/>
                  <w:marTop w:val="0"/>
                  <w:marBottom w:val="0"/>
                  <w:divBdr>
                    <w:top w:val="none" w:sz="0" w:space="0" w:color="auto"/>
                    <w:left w:val="none" w:sz="0" w:space="0" w:color="auto"/>
                    <w:bottom w:val="none" w:sz="0" w:space="0" w:color="auto"/>
                    <w:right w:val="none" w:sz="0" w:space="0" w:color="auto"/>
                  </w:divBdr>
                  <w:divsChild>
                    <w:div w:id="221019494">
                      <w:marLeft w:val="0"/>
                      <w:marRight w:val="0"/>
                      <w:marTop w:val="0"/>
                      <w:marBottom w:val="0"/>
                      <w:divBdr>
                        <w:top w:val="none" w:sz="0" w:space="0" w:color="auto"/>
                        <w:left w:val="none" w:sz="0" w:space="0" w:color="auto"/>
                        <w:bottom w:val="none" w:sz="0" w:space="0" w:color="auto"/>
                        <w:right w:val="none" w:sz="0" w:space="0" w:color="auto"/>
                      </w:divBdr>
                      <w:divsChild>
                        <w:div w:id="1948537295">
                          <w:marLeft w:val="0"/>
                          <w:marRight w:val="0"/>
                          <w:marTop w:val="0"/>
                          <w:marBottom w:val="0"/>
                          <w:divBdr>
                            <w:top w:val="none" w:sz="0" w:space="0" w:color="auto"/>
                            <w:left w:val="none" w:sz="0" w:space="0" w:color="auto"/>
                            <w:bottom w:val="none" w:sz="0" w:space="0" w:color="auto"/>
                            <w:right w:val="none" w:sz="0" w:space="0" w:color="auto"/>
                          </w:divBdr>
                          <w:divsChild>
                            <w:div w:id="1950618375">
                              <w:marLeft w:val="0"/>
                              <w:marRight w:val="0"/>
                              <w:marTop w:val="0"/>
                              <w:marBottom w:val="0"/>
                              <w:divBdr>
                                <w:top w:val="none" w:sz="0" w:space="0" w:color="auto"/>
                                <w:left w:val="none" w:sz="0" w:space="0" w:color="auto"/>
                                <w:bottom w:val="none" w:sz="0" w:space="0" w:color="auto"/>
                                <w:right w:val="none" w:sz="0" w:space="0" w:color="auto"/>
                              </w:divBdr>
                              <w:divsChild>
                                <w:div w:id="1946379634">
                                  <w:marLeft w:val="0"/>
                                  <w:marRight w:val="0"/>
                                  <w:marTop w:val="0"/>
                                  <w:marBottom w:val="0"/>
                                  <w:divBdr>
                                    <w:top w:val="none" w:sz="0" w:space="0" w:color="auto"/>
                                    <w:left w:val="none" w:sz="0" w:space="0" w:color="auto"/>
                                    <w:bottom w:val="none" w:sz="0" w:space="0" w:color="auto"/>
                                    <w:right w:val="none" w:sz="0" w:space="0" w:color="auto"/>
                                  </w:divBdr>
                                  <w:divsChild>
                                    <w:div w:id="335689905">
                                      <w:marLeft w:val="0"/>
                                      <w:marRight w:val="0"/>
                                      <w:marTop w:val="0"/>
                                      <w:marBottom w:val="0"/>
                                      <w:divBdr>
                                        <w:top w:val="none" w:sz="0" w:space="0" w:color="auto"/>
                                        <w:left w:val="none" w:sz="0" w:space="0" w:color="auto"/>
                                        <w:bottom w:val="none" w:sz="0" w:space="0" w:color="auto"/>
                                        <w:right w:val="none" w:sz="0" w:space="0" w:color="auto"/>
                                      </w:divBdr>
                                      <w:divsChild>
                                        <w:div w:id="311834705">
                                          <w:marLeft w:val="0"/>
                                          <w:marRight w:val="0"/>
                                          <w:marTop w:val="0"/>
                                          <w:marBottom w:val="0"/>
                                          <w:divBdr>
                                            <w:top w:val="none" w:sz="0" w:space="0" w:color="auto"/>
                                            <w:left w:val="none" w:sz="0" w:space="0" w:color="auto"/>
                                            <w:bottom w:val="none" w:sz="0" w:space="0" w:color="auto"/>
                                            <w:right w:val="none" w:sz="0" w:space="0" w:color="auto"/>
                                          </w:divBdr>
                                          <w:divsChild>
                                            <w:div w:id="1537347175">
                                              <w:marLeft w:val="0"/>
                                              <w:marRight w:val="0"/>
                                              <w:marTop w:val="0"/>
                                              <w:marBottom w:val="0"/>
                                              <w:divBdr>
                                                <w:top w:val="none" w:sz="0" w:space="0" w:color="auto"/>
                                                <w:left w:val="none" w:sz="0" w:space="0" w:color="auto"/>
                                                <w:bottom w:val="none" w:sz="0" w:space="0" w:color="auto"/>
                                                <w:right w:val="none" w:sz="0" w:space="0" w:color="auto"/>
                                              </w:divBdr>
                                              <w:divsChild>
                                                <w:div w:id="458885250">
                                                  <w:marLeft w:val="0"/>
                                                  <w:marRight w:val="0"/>
                                                  <w:marTop w:val="0"/>
                                                  <w:marBottom w:val="0"/>
                                                  <w:divBdr>
                                                    <w:top w:val="none" w:sz="0" w:space="0" w:color="auto"/>
                                                    <w:left w:val="none" w:sz="0" w:space="0" w:color="auto"/>
                                                    <w:bottom w:val="none" w:sz="0" w:space="0" w:color="auto"/>
                                                    <w:right w:val="none" w:sz="0" w:space="0" w:color="auto"/>
                                                  </w:divBdr>
                                                  <w:divsChild>
                                                    <w:div w:id="1339426433">
                                                      <w:marLeft w:val="0"/>
                                                      <w:marRight w:val="0"/>
                                                      <w:marTop w:val="0"/>
                                                      <w:marBottom w:val="0"/>
                                                      <w:divBdr>
                                                        <w:top w:val="none" w:sz="0" w:space="0" w:color="auto"/>
                                                        <w:left w:val="none" w:sz="0" w:space="0" w:color="auto"/>
                                                        <w:bottom w:val="none" w:sz="0" w:space="0" w:color="auto"/>
                                                        <w:right w:val="none" w:sz="0" w:space="0" w:color="auto"/>
                                                      </w:divBdr>
                                                      <w:divsChild>
                                                        <w:div w:id="29034478">
                                                          <w:marLeft w:val="0"/>
                                                          <w:marRight w:val="0"/>
                                                          <w:marTop w:val="0"/>
                                                          <w:marBottom w:val="0"/>
                                                          <w:divBdr>
                                                            <w:top w:val="none" w:sz="0" w:space="0" w:color="auto"/>
                                                            <w:left w:val="none" w:sz="0" w:space="0" w:color="auto"/>
                                                            <w:bottom w:val="none" w:sz="0" w:space="0" w:color="auto"/>
                                                            <w:right w:val="none" w:sz="0" w:space="0" w:color="auto"/>
                                                          </w:divBdr>
                                                          <w:divsChild>
                                                            <w:div w:id="1600984576">
                                                              <w:marLeft w:val="0"/>
                                                              <w:marRight w:val="0"/>
                                                              <w:marTop w:val="0"/>
                                                              <w:marBottom w:val="0"/>
                                                              <w:divBdr>
                                                                <w:top w:val="none" w:sz="0" w:space="0" w:color="auto"/>
                                                                <w:left w:val="none" w:sz="0" w:space="0" w:color="auto"/>
                                                                <w:bottom w:val="none" w:sz="0" w:space="0" w:color="auto"/>
                                                                <w:right w:val="none" w:sz="0" w:space="0" w:color="auto"/>
                                                              </w:divBdr>
                                                              <w:divsChild>
                                                                <w:div w:id="1411537975">
                                                                  <w:marLeft w:val="0"/>
                                                                  <w:marRight w:val="0"/>
                                                                  <w:marTop w:val="0"/>
                                                                  <w:marBottom w:val="0"/>
                                                                  <w:divBdr>
                                                                    <w:top w:val="none" w:sz="0" w:space="0" w:color="auto"/>
                                                                    <w:left w:val="none" w:sz="0" w:space="0" w:color="auto"/>
                                                                    <w:bottom w:val="none" w:sz="0" w:space="0" w:color="auto"/>
                                                                    <w:right w:val="none" w:sz="0" w:space="0" w:color="auto"/>
                                                                  </w:divBdr>
                                                                  <w:divsChild>
                                                                    <w:div w:id="1437100208">
                                                                      <w:marLeft w:val="0"/>
                                                                      <w:marRight w:val="0"/>
                                                                      <w:marTop w:val="0"/>
                                                                      <w:marBottom w:val="0"/>
                                                                      <w:divBdr>
                                                                        <w:top w:val="none" w:sz="0" w:space="0" w:color="auto"/>
                                                                        <w:left w:val="none" w:sz="0" w:space="0" w:color="auto"/>
                                                                        <w:bottom w:val="none" w:sz="0" w:space="0" w:color="auto"/>
                                                                        <w:right w:val="none" w:sz="0" w:space="0" w:color="auto"/>
                                                                      </w:divBdr>
                                                                      <w:divsChild>
                                                                        <w:div w:id="261035996">
                                                                          <w:marLeft w:val="0"/>
                                                                          <w:marRight w:val="0"/>
                                                                          <w:marTop w:val="0"/>
                                                                          <w:marBottom w:val="0"/>
                                                                          <w:divBdr>
                                                                            <w:top w:val="none" w:sz="0" w:space="0" w:color="auto"/>
                                                                            <w:left w:val="none" w:sz="0" w:space="0" w:color="auto"/>
                                                                            <w:bottom w:val="none" w:sz="0" w:space="0" w:color="auto"/>
                                                                            <w:right w:val="none" w:sz="0" w:space="0" w:color="auto"/>
                                                                          </w:divBdr>
                                                                          <w:divsChild>
                                                                            <w:div w:id="890653932">
                                                                              <w:marLeft w:val="0"/>
                                                                              <w:marRight w:val="0"/>
                                                                              <w:marTop w:val="0"/>
                                                                              <w:marBottom w:val="0"/>
                                                                              <w:divBdr>
                                                                                <w:top w:val="none" w:sz="0" w:space="0" w:color="auto"/>
                                                                                <w:left w:val="none" w:sz="0" w:space="0" w:color="auto"/>
                                                                                <w:bottom w:val="none" w:sz="0" w:space="0" w:color="auto"/>
                                                                                <w:right w:val="none" w:sz="0" w:space="0" w:color="auto"/>
                                                                              </w:divBdr>
                                                                              <w:divsChild>
                                                                                <w:div w:id="608925545">
                                                                                  <w:marLeft w:val="0"/>
                                                                                  <w:marRight w:val="0"/>
                                                                                  <w:marTop w:val="0"/>
                                                                                  <w:marBottom w:val="0"/>
                                                                                  <w:divBdr>
                                                                                    <w:top w:val="none" w:sz="0" w:space="0" w:color="auto"/>
                                                                                    <w:left w:val="none" w:sz="0" w:space="0" w:color="auto"/>
                                                                                    <w:bottom w:val="none" w:sz="0" w:space="0" w:color="auto"/>
                                                                                    <w:right w:val="none" w:sz="0" w:space="0" w:color="auto"/>
                                                                                  </w:divBdr>
                                                                                  <w:divsChild>
                                                                                    <w:div w:id="471480104">
                                                                                      <w:marLeft w:val="0"/>
                                                                                      <w:marRight w:val="0"/>
                                                                                      <w:marTop w:val="0"/>
                                                                                      <w:marBottom w:val="0"/>
                                                                                      <w:divBdr>
                                                                                        <w:top w:val="none" w:sz="0" w:space="0" w:color="auto"/>
                                                                                        <w:left w:val="none" w:sz="0" w:space="0" w:color="auto"/>
                                                                                        <w:bottom w:val="none" w:sz="0" w:space="0" w:color="auto"/>
                                                                                        <w:right w:val="none" w:sz="0" w:space="0" w:color="auto"/>
                                                                                      </w:divBdr>
                                                                                      <w:divsChild>
                                                                                        <w:div w:id="2017075793">
                                                                                          <w:marLeft w:val="0"/>
                                                                                          <w:marRight w:val="0"/>
                                                                                          <w:marTop w:val="0"/>
                                                                                          <w:marBottom w:val="0"/>
                                                                                          <w:divBdr>
                                                                                            <w:top w:val="none" w:sz="0" w:space="0" w:color="auto"/>
                                                                                            <w:left w:val="none" w:sz="0" w:space="0" w:color="auto"/>
                                                                                            <w:bottom w:val="none" w:sz="0" w:space="0" w:color="auto"/>
                                                                                            <w:right w:val="none" w:sz="0" w:space="0" w:color="auto"/>
                                                                                          </w:divBdr>
                                                                                          <w:divsChild>
                                                                                            <w:div w:id="2024475992">
                                                                                              <w:marLeft w:val="0"/>
                                                                                              <w:marRight w:val="0"/>
                                                                                              <w:marTop w:val="0"/>
                                                                                              <w:marBottom w:val="0"/>
                                                                                              <w:divBdr>
                                                                                                <w:top w:val="none" w:sz="0" w:space="0" w:color="auto"/>
                                                                                                <w:left w:val="none" w:sz="0" w:space="0" w:color="auto"/>
                                                                                                <w:bottom w:val="none" w:sz="0" w:space="0" w:color="auto"/>
                                                                                                <w:right w:val="none" w:sz="0" w:space="0" w:color="auto"/>
                                                                                              </w:divBdr>
                                                                                              <w:divsChild>
                                                                                                <w:div w:id="235479439">
                                                                                                  <w:marLeft w:val="0"/>
                                                                                                  <w:marRight w:val="0"/>
                                                                                                  <w:marTop w:val="0"/>
                                                                                                  <w:marBottom w:val="0"/>
                                                                                                  <w:divBdr>
                                                                                                    <w:top w:val="none" w:sz="0" w:space="0" w:color="auto"/>
                                                                                                    <w:left w:val="none" w:sz="0" w:space="0" w:color="auto"/>
                                                                                                    <w:bottom w:val="none" w:sz="0" w:space="0" w:color="auto"/>
                                                                                                    <w:right w:val="none" w:sz="0" w:space="0" w:color="auto"/>
                                                                                                  </w:divBdr>
                                                                                                  <w:divsChild>
                                                                                                    <w:div w:id="236211472">
                                                                                                      <w:marLeft w:val="0"/>
                                                                                                      <w:marRight w:val="0"/>
                                                                                                      <w:marTop w:val="0"/>
                                                                                                      <w:marBottom w:val="0"/>
                                                                                                      <w:divBdr>
                                                                                                        <w:top w:val="none" w:sz="0" w:space="0" w:color="auto"/>
                                                                                                        <w:left w:val="none" w:sz="0" w:space="0" w:color="auto"/>
                                                                                                        <w:bottom w:val="none" w:sz="0" w:space="0" w:color="auto"/>
                                                                                                        <w:right w:val="none" w:sz="0" w:space="0" w:color="auto"/>
                                                                                                      </w:divBdr>
                                                                                                      <w:divsChild>
                                                                                                        <w:div w:id="811362931">
                                                                                                          <w:marLeft w:val="720"/>
                                                                                                          <w:marRight w:val="0"/>
                                                                                                          <w:marTop w:val="0"/>
                                                                                                          <w:marBottom w:val="0"/>
                                                                                                          <w:divBdr>
                                                                                                            <w:top w:val="none" w:sz="0" w:space="0" w:color="auto"/>
                                                                                                            <w:left w:val="none" w:sz="0" w:space="0" w:color="auto"/>
                                                                                                            <w:bottom w:val="none" w:sz="0" w:space="0" w:color="auto"/>
                                                                                                            <w:right w:val="none" w:sz="0" w:space="0" w:color="auto"/>
                                                                                                          </w:divBdr>
                                                                                                        </w:div>
                                                                                                        <w:div w:id="863400354">
                                                                                                          <w:marLeft w:val="1440"/>
                                                                                                          <w:marRight w:val="0"/>
                                                                                                          <w:marTop w:val="0"/>
                                                                                                          <w:marBottom w:val="0"/>
                                                                                                          <w:divBdr>
                                                                                                            <w:top w:val="none" w:sz="0" w:space="0" w:color="auto"/>
                                                                                                            <w:left w:val="none" w:sz="0" w:space="0" w:color="auto"/>
                                                                                                            <w:bottom w:val="none" w:sz="0" w:space="0" w:color="auto"/>
                                                                                                            <w:right w:val="none" w:sz="0" w:space="0" w:color="auto"/>
                                                                                                          </w:divBdr>
                                                                                                        </w:div>
                                                                                                        <w:div w:id="872379485">
                                                                                                          <w:marLeft w:val="720"/>
                                                                                                          <w:marRight w:val="0"/>
                                                                                                          <w:marTop w:val="0"/>
                                                                                                          <w:marBottom w:val="0"/>
                                                                                                          <w:divBdr>
                                                                                                            <w:top w:val="none" w:sz="0" w:space="0" w:color="auto"/>
                                                                                                            <w:left w:val="none" w:sz="0" w:space="0" w:color="auto"/>
                                                                                                            <w:bottom w:val="none" w:sz="0" w:space="0" w:color="auto"/>
                                                                                                            <w:right w:val="none" w:sz="0" w:space="0" w:color="auto"/>
                                                                                                          </w:divBdr>
                                                                                                        </w:div>
                                                                                                        <w:div w:id="1342506130">
                                                                                                          <w:marLeft w:val="1440"/>
                                                                                                          <w:marRight w:val="0"/>
                                                                                                          <w:marTop w:val="0"/>
                                                                                                          <w:marBottom w:val="0"/>
                                                                                                          <w:divBdr>
                                                                                                            <w:top w:val="none" w:sz="0" w:space="0" w:color="auto"/>
                                                                                                            <w:left w:val="none" w:sz="0" w:space="0" w:color="auto"/>
                                                                                                            <w:bottom w:val="none" w:sz="0" w:space="0" w:color="auto"/>
                                                                                                            <w:right w:val="none" w:sz="0" w:space="0" w:color="auto"/>
                                                                                                          </w:divBdr>
                                                                                                        </w:div>
                                                                                                        <w:div w:id="1461610832">
                                                                                                          <w:marLeft w:val="720"/>
                                                                                                          <w:marRight w:val="0"/>
                                                                                                          <w:marTop w:val="0"/>
                                                                                                          <w:marBottom w:val="0"/>
                                                                                                          <w:divBdr>
                                                                                                            <w:top w:val="none" w:sz="0" w:space="0" w:color="auto"/>
                                                                                                            <w:left w:val="none" w:sz="0" w:space="0" w:color="auto"/>
                                                                                                            <w:bottom w:val="none" w:sz="0" w:space="0" w:color="auto"/>
                                                                                                            <w:right w:val="none" w:sz="0" w:space="0" w:color="auto"/>
                                                                                                          </w:divBdr>
                                                                                                        </w:div>
                                                                                                        <w:div w:id="1648313617">
                                                                                                          <w:marLeft w:val="720"/>
                                                                                                          <w:marRight w:val="0"/>
                                                                                                          <w:marTop w:val="0"/>
                                                                                                          <w:marBottom w:val="0"/>
                                                                                                          <w:divBdr>
                                                                                                            <w:top w:val="none" w:sz="0" w:space="0" w:color="auto"/>
                                                                                                            <w:left w:val="none" w:sz="0" w:space="0" w:color="auto"/>
                                                                                                            <w:bottom w:val="none" w:sz="0" w:space="0" w:color="auto"/>
                                                                                                            <w:right w:val="none" w:sz="0" w:space="0" w:color="auto"/>
                                                                                                          </w:divBdr>
                                                                                                        </w:div>
                                                                                                        <w:div w:id="19534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53071">
      <w:bodyDiv w:val="1"/>
      <w:marLeft w:val="0"/>
      <w:marRight w:val="0"/>
      <w:marTop w:val="0"/>
      <w:marBottom w:val="0"/>
      <w:divBdr>
        <w:top w:val="none" w:sz="0" w:space="0" w:color="auto"/>
        <w:left w:val="none" w:sz="0" w:space="0" w:color="auto"/>
        <w:bottom w:val="none" w:sz="0" w:space="0" w:color="auto"/>
        <w:right w:val="none" w:sz="0" w:space="0" w:color="auto"/>
      </w:divBdr>
    </w:div>
    <w:div w:id="1738817231">
      <w:bodyDiv w:val="1"/>
      <w:marLeft w:val="0"/>
      <w:marRight w:val="0"/>
      <w:marTop w:val="0"/>
      <w:marBottom w:val="0"/>
      <w:divBdr>
        <w:top w:val="none" w:sz="0" w:space="0" w:color="auto"/>
        <w:left w:val="none" w:sz="0" w:space="0" w:color="auto"/>
        <w:bottom w:val="none" w:sz="0" w:space="0" w:color="auto"/>
        <w:right w:val="none" w:sz="0" w:space="0" w:color="auto"/>
      </w:divBdr>
    </w:div>
    <w:div w:id="1744722819">
      <w:bodyDiv w:val="1"/>
      <w:marLeft w:val="0"/>
      <w:marRight w:val="0"/>
      <w:marTop w:val="0"/>
      <w:marBottom w:val="0"/>
      <w:divBdr>
        <w:top w:val="none" w:sz="0" w:space="0" w:color="auto"/>
        <w:left w:val="none" w:sz="0" w:space="0" w:color="auto"/>
        <w:bottom w:val="none" w:sz="0" w:space="0" w:color="auto"/>
        <w:right w:val="none" w:sz="0" w:space="0" w:color="auto"/>
      </w:divBdr>
    </w:div>
    <w:div w:id="1768964980">
      <w:bodyDiv w:val="1"/>
      <w:marLeft w:val="0"/>
      <w:marRight w:val="0"/>
      <w:marTop w:val="0"/>
      <w:marBottom w:val="0"/>
      <w:divBdr>
        <w:top w:val="none" w:sz="0" w:space="0" w:color="auto"/>
        <w:left w:val="none" w:sz="0" w:space="0" w:color="auto"/>
        <w:bottom w:val="none" w:sz="0" w:space="0" w:color="auto"/>
        <w:right w:val="none" w:sz="0" w:space="0" w:color="auto"/>
      </w:divBdr>
    </w:div>
    <w:div w:id="1771008420">
      <w:bodyDiv w:val="1"/>
      <w:marLeft w:val="0"/>
      <w:marRight w:val="0"/>
      <w:marTop w:val="0"/>
      <w:marBottom w:val="0"/>
      <w:divBdr>
        <w:top w:val="none" w:sz="0" w:space="0" w:color="auto"/>
        <w:left w:val="none" w:sz="0" w:space="0" w:color="auto"/>
        <w:bottom w:val="none" w:sz="0" w:space="0" w:color="auto"/>
        <w:right w:val="none" w:sz="0" w:space="0" w:color="auto"/>
      </w:divBdr>
    </w:div>
    <w:div w:id="1776290935">
      <w:bodyDiv w:val="1"/>
      <w:marLeft w:val="0"/>
      <w:marRight w:val="0"/>
      <w:marTop w:val="0"/>
      <w:marBottom w:val="0"/>
      <w:divBdr>
        <w:top w:val="none" w:sz="0" w:space="0" w:color="auto"/>
        <w:left w:val="none" w:sz="0" w:space="0" w:color="auto"/>
        <w:bottom w:val="none" w:sz="0" w:space="0" w:color="auto"/>
        <w:right w:val="none" w:sz="0" w:space="0" w:color="auto"/>
      </w:divBdr>
    </w:div>
    <w:div w:id="1825194769">
      <w:bodyDiv w:val="1"/>
      <w:marLeft w:val="0"/>
      <w:marRight w:val="0"/>
      <w:marTop w:val="0"/>
      <w:marBottom w:val="0"/>
      <w:divBdr>
        <w:top w:val="none" w:sz="0" w:space="0" w:color="auto"/>
        <w:left w:val="none" w:sz="0" w:space="0" w:color="auto"/>
        <w:bottom w:val="none" w:sz="0" w:space="0" w:color="auto"/>
        <w:right w:val="none" w:sz="0" w:space="0" w:color="auto"/>
      </w:divBdr>
    </w:div>
    <w:div w:id="1827823168">
      <w:bodyDiv w:val="1"/>
      <w:marLeft w:val="0"/>
      <w:marRight w:val="0"/>
      <w:marTop w:val="0"/>
      <w:marBottom w:val="0"/>
      <w:divBdr>
        <w:top w:val="none" w:sz="0" w:space="0" w:color="auto"/>
        <w:left w:val="none" w:sz="0" w:space="0" w:color="auto"/>
        <w:bottom w:val="none" w:sz="0" w:space="0" w:color="auto"/>
        <w:right w:val="none" w:sz="0" w:space="0" w:color="auto"/>
      </w:divBdr>
    </w:div>
    <w:div w:id="1848060454">
      <w:bodyDiv w:val="1"/>
      <w:marLeft w:val="0"/>
      <w:marRight w:val="0"/>
      <w:marTop w:val="0"/>
      <w:marBottom w:val="0"/>
      <w:divBdr>
        <w:top w:val="none" w:sz="0" w:space="0" w:color="auto"/>
        <w:left w:val="none" w:sz="0" w:space="0" w:color="auto"/>
        <w:bottom w:val="none" w:sz="0" w:space="0" w:color="auto"/>
        <w:right w:val="none" w:sz="0" w:space="0" w:color="auto"/>
      </w:divBdr>
    </w:div>
    <w:div w:id="1865245926">
      <w:bodyDiv w:val="1"/>
      <w:marLeft w:val="0"/>
      <w:marRight w:val="0"/>
      <w:marTop w:val="0"/>
      <w:marBottom w:val="0"/>
      <w:divBdr>
        <w:top w:val="none" w:sz="0" w:space="0" w:color="auto"/>
        <w:left w:val="none" w:sz="0" w:space="0" w:color="auto"/>
        <w:bottom w:val="none" w:sz="0" w:space="0" w:color="auto"/>
        <w:right w:val="none" w:sz="0" w:space="0" w:color="auto"/>
      </w:divBdr>
    </w:div>
    <w:div w:id="1928344256">
      <w:bodyDiv w:val="1"/>
      <w:marLeft w:val="0"/>
      <w:marRight w:val="0"/>
      <w:marTop w:val="0"/>
      <w:marBottom w:val="0"/>
      <w:divBdr>
        <w:top w:val="none" w:sz="0" w:space="0" w:color="auto"/>
        <w:left w:val="none" w:sz="0" w:space="0" w:color="auto"/>
        <w:bottom w:val="none" w:sz="0" w:space="0" w:color="auto"/>
        <w:right w:val="none" w:sz="0" w:space="0" w:color="auto"/>
      </w:divBdr>
    </w:div>
    <w:div w:id="1933732885">
      <w:bodyDiv w:val="1"/>
      <w:marLeft w:val="0"/>
      <w:marRight w:val="0"/>
      <w:marTop w:val="0"/>
      <w:marBottom w:val="0"/>
      <w:divBdr>
        <w:top w:val="none" w:sz="0" w:space="0" w:color="auto"/>
        <w:left w:val="none" w:sz="0" w:space="0" w:color="auto"/>
        <w:bottom w:val="none" w:sz="0" w:space="0" w:color="auto"/>
        <w:right w:val="none" w:sz="0" w:space="0" w:color="auto"/>
      </w:divBdr>
    </w:div>
    <w:div w:id="1936088154">
      <w:bodyDiv w:val="1"/>
      <w:marLeft w:val="0"/>
      <w:marRight w:val="0"/>
      <w:marTop w:val="0"/>
      <w:marBottom w:val="0"/>
      <w:divBdr>
        <w:top w:val="none" w:sz="0" w:space="0" w:color="auto"/>
        <w:left w:val="none" w:sz="0" w:space="0" w:color="auto"/>
        <w:bottom w:val="none" w:sz="0" w:space="0" w:color="auto"/>
        <w:right w:val="none" w:sz="0" w:space="0" w:color="auto"/>
      </w:divBdr>
    </w:div>
    <w:div w:id="1947075930">
      <w:bodyDiv w:val="1"/>
      <w:marLeft w:val="0"/>
      <w:marRight w:val="0"/>
      <w:marTop w:val="0"/>
      <w:marBottom w:val="0"/>
      <w:divBdr>
        <w:top w:val="none" w:sz="0" w:space="0" w:color="auto"/>
        <w:left w:val="none" w:sz="0" w:space="0" w:color="auto"/>
        <w:bottom w:val="none" w:sz="0" w:space="0" w:color="auto"/>
        <w:right w:val="none" w:sz="0" w:space="0" w:color="auto"/>
      </w:divBdr>
    </w:div>
    <w:div w:id="1980726662">
      <w:bodyDiv w:val="1"/>
      <w:marLeft w:val="0"/>
      <w:marRight w:val="0"/>
      <w:marTop w:val="0"/>
      <w:marBottom w:val="0"/>
      <w:divBdr>
        <w:top w:val="none" w:sz="0" w:space="0" w:color="auto"/>
        <w:left w:val="none" w:sz="0" w:space="0" w:color="auto"/>
        <w:bottom w:val="none" w:sz="0" w:space="0" w:color="auto"/>
        <w:right w:val="none" w:sz="0" w:space="0" w:color="auto"/>
      </w:divBdr>
    </w:div>
    <w:div w:id="1987975614">
      <w:bodyDiv w:val="1"/>
      <w:marLeft w:val="0"/>
      <w:marRight w:val="0"/>
      <w:marTop w:val="0"/>
      <w:marBottom w:val="0"/>
      <w:divBdr>
        <w:top w:val="none" w:sz="0" w:space="0" w:color="auto"/>
        <w:left w:val="none" w:sz="0" w:space="0" w:color="auto"/>
        <w:bottom w:val="none" w:sz="0" w:space="0" w:color="auto"/>
        <w:right w:val="none" w:sz="0" w:space="0" w:color="auto"/>
      </w:divBdr>
    </w:div>
    <w:div w:id="1996907918">
      <w:bodyDiv w:val="1"/>
      <w:marLeft w:val="0"/>
      <w:marRight w:val="0"/>
      <w:marTop w:val="0"/>
      <w:marBottom w:val="0"/>
      <w:divBdr>
        <w:top w:val="none" w:sz="0" w:space="0" w:color="auto"/>
        <w:left w:val="none" w:sz="0" w:space="0" w:color="auto"/>
        <w:bottom w:val="none" w:sz="0" w:space="0" w:color="auto"/>
        <w:right w:val="none" w:sz="0" w:space="0" w:color="auto"/>
      </w:divBdr>
    </w:div>
    <w:div w:id="2016103327">
      <w:bodyDiv w:val="1"/>
      <w:marLeft w:val="0"/>
      <w:marRight w:val="0"/>
      <w:marTop w:val="0"/>
      <w:marBottom w:val="0"/>
      <w:divBdr>
        <w:top w:val="none" w:sz="0" w:space="0" w:color="auto"/>
        <w:left w:val="none" w:sz="0" w:space="0" w:color="auto"/>
        <w:bottom w:val="none" w:sz="0" w:space="0" w:color="auto"/>
        <w:right w:val="none" w:sz="0" w:space="0" w:color="auto"/>
      </w:divBdr>
    </w:div>
    <w:div w:id="2047676779">
      <w:bodyDiv w:val="1"/>
      <w:marLeft w:val="0"/>
      <w:marRight w:val="0"/>
      <w:marTop w:val="0"/>
      <w:marBottom w:val="0"/>
      <w:divBdr>
        <w:top w:val="none" w:sz="0" w:space="0" w:color="auto"/>
        <w:left w:val="none" w:sz="0" w:space="0" w:color="auto"/>
        <w:bottom w:val="none" w:sz="0" w:space="0" w:color="auto"/>
        <w:right w:val="none" w:sz="0" w:space="0" w:color="auto"/>
      </w:divBdr>
    </w:div>
    <w:div w:id="2048216859">
      <w:bodyDiv w:val="1"/>
      <w:marLeft w:val="0"/>
      <w:marRight w:val="0"/>
      <w:marTop w:val="0"/>
      <w:marBottom w:val="0"/>
      <w:divBdr>
        <w:top w:val="none" w:sz="0" w:space="0" w:color="auto"/>
        <w:left w:val="none" w:sz="0" w:space="0" w:color="auto"/>
        <w:bottom w:val="none" w:sz="0" w:space="0" w:color="auto"/>
        <w:right w:val="none" w:sz="0" w:space="0" w:color="auto"/>
      </w:divBdr>
    </w:div>
    <w:div w:id="2083015705">
      <w:bodyDiv w:val="1"/>
      <w:marLeft w:val="0"/>
      <w:marRight w:val="0"/>
      <w:marTop w:val="0"/>
      <w:marBottom w:val="0"/>
      <w:divBdr>
        <w:top w:val="none" w:sz="0" w:space="0" w:color="auto"/>
        <w:left w:val="none" w:sz="0" w:space="0" w:color="auto"/>
        <w:bottom w:val="none" w:sz="0" w:space="0" w:color="auto"/>
        <w:right w:val="none" w:sz="0" w:space="0" w:color="auto"/>
      </w:divBdr>
    </w:div>
    <w:div w:id="2112043236">
      <w:bodyDiv w:val="1"/>
      <w:marLeft w:val="0"/>
      <w:marRight w:val="0"/>
      <w:marTop w:val="0"/>
      <w:marBottom w:val="0"/>
      <w:divBdr>
        <w:top w:val="none" w:sz="0" w:space="0" w:color="auto"/>
        <w:left w:val="none" w:sz="0" w:space="0" w:color="auto"/>
        <w:bottom w:val="none" w:sz="0" w:space="0" w:color="auto"/>
        <w:right w:val="none" w:sz="0" w:space="0" w:color="auto"/>
      </w:divBdr>
    </w:div>
    <w:div w:id="21252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diagramColors" Target="diagrams/colors1.xml"/><Relationship Id="rId26" Type="http://schemas.openxmlformats.org/officeDocument/2006/relationships/chart" Target="charts/chart6.xml"/><Relationship Id="rId39"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chart" Target="charts/chart2.xml"/><Relationship Id="rId34" Type="http://schemas.openxmlformats.org/officeDocument/2006/relationships/header" Target="header4.xml"/><Relationship Id="rId42"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chart" Target="charts/chart5.xml"/><Relationship Id="rId33" Type="http://schemas.openxmlformats.org/officeDocument/2006/relationships/header" Target="header3.xml"/><Relationship Id="rId38"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chart" Target="charts/chart1.xml"/><Relationship Id="rId29" Type="http://schemas.openxmlformats.org/officeDocument/2006/relationships/chart" Target="charts/chart7.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thworkforcedata@health.gov.au" TargetMode="External"/><Relationship Id="rId24" Type="http://schemas.openxmlformats.org/officeDocument/2006/relationships/chart" Target="charts/chart4.xml"/><Relationship Id="rId32" Type="http://schemas.openxmlformats.org/officeDocument/2006/relationships/chart" Target="charts/chart10.xml"/><Relationship Id="rId37" Type="http://schemas.openxmlformats.org/officeDocument/2006/relationships/chart" Target="charts/chart11.xml"/><Relationship Id="rId40"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diagramData" Target="diagrams/data1.xml"/><Relationship Id="rId23" Type="http://schemas.openxmlformats.org/officeDocument/2006/relationships/image" Target="media/image1.jpeg"/><Relationship Id="rId28" Type="http://schemas.openxmlformats.org/officeDocument/2006/relationships/image" Target="media/image2.jpeg"/><Relationship Id="rId36" Type="http://schemas.openxmlformats.org/officeDocument/2006/relationships/footer" Target="footer2.xml"/><Relationship Id="rId10" Type="http://schemas.openxmlformats.org/officeDocument/2006/relationships/hyperlink" Target="mailto:copyright@health.gov.au" TargetMode="External"/><Relationship Id="rId19" Type="http://schemas.microsoft.com/office/2007/relationships/diagramDrawing" Target="diagrams/drawing1.xml"/><Relationship Id="rId31" Type="http://schemas.openxmlformats.org/officeDocument/2006/relationships/chart" Target="charts/chart9.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hart" Target="charts/chart3.xml"/><Relationship Id="rId27" Type="http://schemas.openxmlformats.org/officeDocument/2006/relationships/image" Target="http://www.ranzcp.org/Images/Pre-Fellowship/Training-diagram.aspx?width=680&amp;height=359" TargetMode="External"/><Relationship Id="rId30" Type="http://schemas.openxmlformats.org/officeDocument/2006/relationships/chart" Target="charts/chart8.xml"/><Relationship Id="rId35" Type="http://schemas.openxmlformats.org/officeDocument/2006/relationships/header" Target="header5.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anzcp.org/Files/PreFellowship/2012-Fellowship-Program/RPP-PROGRESSION.asp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entral.health\DFSGroupData\Sites\CO4\CO\HWD\TDB\WDAP\NMTAN\Specialty%20Modelling\Psychiatry\Data\Psychiatry%20profile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entral.health\DFSGroupData\Sites\CO4\CO\HWD\TDB\WDAP\NMTAN\Specialty%20Modelling\Psychiatry\Data\Psychiatry%20profiles.xlsx"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1" Type="http://schemas.openxmlformats.org/officeDocument/2006/relationships/oleObject" Target="file:///\\central.health\DFSGroupData\Sites\CO4\CO\HWD\TDB\WDAP\NMTAN\Specialty%20Modelling\Psychiatry\Modelling\Training%20Pipeline\Psychiatry%20-%20training%20pipeline%20v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entral.health\DFSGroupData\Sites\CO4\CO\HWD\TDB\WDAP\NMTAN\Specialty%20Modelling\Psychiatry\Modelling\Training%20Pipeline\Psychiatry%20-%20training%20pipeline%20v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4\CO\HWD\TDB\WDAP\NMTAN\Specialty%20Modelling\Medical%20Specialties\Psychiatry\Data\Psychiatry%20profiles.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entral.health\DFSGroupData\Sites\CO4\CO\HWD\TDB\WDAP\NMTAN\Specialty%20Modelling\Data\OECD2011.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4\CO\HWD\TDB\WDAP\NMTAN\Specialty%20Modelling\Medical%20Specialties\Psychiatry\Data\Psychiatry%20profiles.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entral.health\DFSGroupData\Sites\CO4\CO\HWD\TDB\WDAP\NMTAN\Specialty%20Modelling\Medical%20Specialties\Psychiatry\Data\Psychiatry%20profiles.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entral.health\DFSGroupData\Sites\CO4\CO\HWD\TDB\WDAP\NMTAN\Specialty%20Modelling\Medical%20Specialties\Psychiatry\Data\Psychiatry%20profiles.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central.health\DFSGroupData\Sites\CO4\CO\HWD\TDB\WDAP\NMTAN\Specialty%20Modelling\Psychiatry\Data\Psychiatry%20profiles.xlsx"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file:///\\central.health\DFSGroupData\Sites\CO4\CO\HWD\TDB\WDAP\NMTAN\Specialty%20Modelling\Psychiatry\Data\Psychiatry%20profiles.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oleObject" Target="file:///\\central.health\DFSGroupData\Sites\CO4\CO\HWD\TDB\WDAP\NMTAN\Specialty%20Modelling\Psychiatry\Data\Psychiatry%20profiles.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'Specialist accred - psychia (2'!$M$3</c:f>
              <c:strCache>
                <c:ptCount val="1"/>
                <c:pt idx="0">
                  <c:v>Registered</c:v>
                </c:pt>
              </c:strCache>
            </c:strRef>
          </c:tx>
          <c:invertIfNegative val="0"/>
          <c:cat>
            <c:strRef>
              <c:f>'Specialist accred - psychia (2'!$L$4:$L$16</c:f>
              <c:strCache>
                <c:ptCount val="13"/>
                <c:pt idx="0">
                  <c:v>30-34</c:v>
                </c:pt>
                <c:pt idx="1">
                  <c:v>35-39</c:v>
                </c:pt>
                <c:pt idx="2">
                  <c:v>40-44</c:v>
                </c:pt>
                <c:pt idx="3">
                  <c:v>45-49</c:v>
                </c:pt>
                <c:pt idx="4">
                  <c:v>50-54</c:v>
                </c:pt>
                <c:pt idx="5">
                  <c:v>55-59</c:v>
                </c:pt>
                <c:pt idx="6">
                  <c:v>60-64</c:v>
                </c:pt>
                <c:pt idx="7">
                  <c:v>65-69</c:v>
                </c:pt>
                <c:pt idx="8">
                  <c:v>70-74</c:v>
                </c:pt>
                <c:pt idx="9">
                  <c:v>75-79</c:v>
                </c:pt>
                <c:pt idx="10">
                  <c:v>80-84</c:v>
                </c:pt>
                <c:pt idx="11">
                  <c:v>85-89</c:v>
                </c:pt>
                <c:pt idx="12">
                  <c:v>90-95</c:v>
                </c:pt>
              </c:strCache>
            </c:strRef>
          </c:cat>
          <c:val>
            <c:numRef>
              <c:f>'Specialist accred - psychia (2'!$M$4:$M$16</c:f>
              <c:numCache>
                <c:formatCode>General</c:formatCode>
                <c:ptCount val="13"/>
                <c:pt idx="0">
                  <c:v>68</c:v>
                </c:pt>
                <c:pt idx="1">
                  <c:v>347</c:v>
                </c:pt>
                <c:pt idx="2">
                  <c:v>457</c:v>
                </c:pt>
                <c:pt idx="3">
                  <c:v>469</c:v>
                </c:pt>
                <c:pt idx="4">
                  <c:v>474</c:v>
                </c:pt>
                <c:pt idx="5">
                  <c:v>450</c:v>
                </c:pt>
                <c:pt idx="6">
                  <c:v>370</c:v>
                </c:pt>
                <c:pt idx="7">
                  <c:v>311</c:v>
                </c:pt>
                <c:pt idx="8">
                  <c:v>175</c:v>
                </c:pt>
                <c:pt idx="9">
                  <c:v>73</c:v>
                </c:pt>
                <c:pt idx="10">
                  <c:v>31</c:v>
                </c:pt>
                <c:pt idx="11">
                  <c:v>10</c:v>
                </c:pt>
                <c:pt idx="12">
                  <c:v>1</c:v>
                </c:pt>
              </c:numCache>
            </c:numRef>
          </c:val>
        </c:ser>
        <c:ser>
          <c:idx val="1"/>
          <c:order val="1"/>
          <c:tx>
            <c:strRef>
              <c:f>'Specialist accred - psychia (2'!$N$3</c:f>
              <c:strCache>
                <c:ptCount val="1"/>
                <c:pt idx="0">
                  <c:v>Employed</c:v>
                </c:pt>
              </c:strCache>
            </c:strRef>
          </c:tx>
          <c:invertIfNegative val="0"/>
          <c:cat>
            <c:strRef>
              <c:f>'Specialist accred - psychia (2'!$L$4:$L$16</c:f>
              <c:strCache>
                <c:ptCount val="13"/>
                <c:pt idx="0">
                  <c:v>30-34</c:v>
                </c:pt>
                <c:pt idx="1">
                  <c:v>35-39</c:v>
                </c:pt>
                <c:pt idx="2">
                  <c:v>40-44</c:v>
                </c:pt>
                <c:pt idx="3">
                  <c:v>45-49</c:v>
                </c:pt>
                <c:pt idx="4">
                  <c:v>50-54</c:v>
                </c:pt>
                <c:pt idx="5">
                  <c:v>55-59</c:v>
                </c:pt>
                <c:pt idx="6">
                  <c:v>60-64</c:v>
                </c:pt>
                <c:pt idx="7">
                  <c:v>65-69</c:v>
                </c:pt>
                <c:pt idx="8">
                  <c:v>70-74</c:v>
                </c:pt>
                <c:pt idx="9">
                  <c:v>75-79</c:v>
                </c:pt>
                <c:pt idx="10">
                  <c:v>80-84</c:v>
                </c:pt>
                <c:pt idx="11">
                  <c:v>85-89</c:v>
                </c:pt>
                <c:pt idx="12">
                  <c:v>90-95</c:v>
                </c:pt>
              </c:strCache>
            </c:strRef>
          </c:cat>
          <c:val>
            <c:numRef>
              <c:f>'Specialist accred - psychia (2'!$N$4:$N$16</c:f>
              <c:numCache>
                <c:formatCode>General</c:formatCode>
                <c:ptCount val="13"/>
                <c:pt idx="0">
                  <c:v>60</c:v>
                </c:pt>
                <c:pt idx="1">
                  <c:v>324</c:v>
                </c:pt>
                <c:pt idx="2">
                  <c:v>430</c:v>
                </c:pt>
                <c:pt idx="3">
                  <c:v>455</c:v>
                </c:pt>
                <c:pt idx="4">
                  <c:v>452</c:v>
                </c:pt>
                <c:pt idx="5">
                  <c:v>429</c:v>
                </c:pt>
                <c:pt idx="6">
                  <c:v>346</c:v>
                </c:pt>
                <c:pt idx="7">
                  <c:v>290</c:v>
                </c:pt>
                <c:pt idx="8">
                  <c:v>161</c:v>
                </c:pt>
                <c:pt idx="9">
                  <c:v>69</c:v>
                </c:pt>
                <c:pt idx="10">
                  <c:v>27</c:v>
                </c:pt>
                <c:pt idx="11">
                  <c:v>9</c:v>
                </c:pt>
                <c:pt idx="12">
                  <c:v>1</c:v>
                </c:pt>
              </c:numCache>
            </c:numRef>
          </c:val>
        </c:ser>
        <c:ser>
          <c:idx val="2"/>
          <c:order val="2"/>
          <c:tx>
            <c:strRef>
              <c:f>'Specialist accred - psychia (2'!$O$3</c:f>
              <c:strCache>
                <c:ptCount val="1"/>
                <c:pt idx="0">
                  <c:v>Working</c:v>
                </c:pt>
              </c:strCache>
            </c:strRef>
          </c:tx>
          <c:invertIfNegative val="0"/>
          <c:cat>
            <c:strRef>
              <c:f>'Specialist accred - psychia (2'!$L$4:$L$16</c:f>
              <c:strCache>
                <c:ptCount val="13"/>
                <c:pt idx="0">
                  <c:v>30-34</c:v>
                </c:pt>
                <c:pt idx="1">
                  <c:v>35-39</c:v>
                </c:pt>
                <c:pt idx="2">
                  <c:v>40-44</c:v>
                </c:pt>
                <c:pt idx="3">
                  <c:v>45-49</c:v>
                </c:pt>
                <c:pt idx="4">
                  <c:v>50-54</c:v>
                </c:pt>
                <c:pt idx="5">
                  <c:v>55-59</c:v>
                </c:pt>
                <c:pt idx="6">
                  <c:v>60-64</c:v>
                </c:pt>
                <c:pt idx="7">
                  <c:v>65-69</c:v>
                </c:pt>
                <c:pt idx="8">
                  <c:v>70-74</c:v>
                </c:pt>
                <c:pt idx="9">
                  <c:v>75-79</c:v>
                </c:pt>
                <c:pt idx="10">
                  <c:v>80-84</c:v>
                </c:pt>
                <c:pt idx="11">
                  <c:v>85-89</c:v>
                </c:pt>
                <c:pt idx="12">
                  <c:v>90-95</c:v>
                </c:pt>
              </c:strCache>
            </c:strRef>
          </c:cat>
          <c:val>
            <c:numRef>
              <c:f>'Specialist accred - psychia (2'!$O$4:$O$16</c:f>
              <c:numCache>
                <c:formatCode>General</c:formatCode>
                <c:ptCount val="13"/>
                <c:pt idx="0">
                  <c:v>60</c:v>
                </c:pt>
                <c:pt idx="1">
                  <c:v>324</c:v>
                </c:pt>
                <c:pt idx="2">
                  <c:v>427</c:v>
                </c:pt>
                <c:pt idx="3">
                  <c:v>451</c:v>
                </c:pt>
                <c:pt idx="4">
                  <c:v>451</c:v>
                </c:pt>
                <c:pt idx="5">
                  <c:v>427</c:v>
                </c:pt>
                <c:pt idx="6">
                  <c:v>341</c:v>
                </c:pt>
                <c:pt idx="7">
                  <c:v>288</c:v>
                </c:pt>
                <c:pt idx="8">
                  <c:v>159</c:v>
                </c:pt>
                <c:pt idx="9">
                  <c:v>66</c:v>
                </c:pt>
                <c:pt idx="10">
                  <c:v>27</c:v>
                </c:pt>
                <c:pt idx="11">
                  <c:v>9</c:v>
                </c:pt>
                <c:pt idx="12">
                  <c:v>1</c:v>
                </c:pt>
              </c:numCache>
            </c:numRef>
          </c:val>
        </c:ser>
        <c:ser>
          <c:idx val="3"/>
          <c:order val="3"/>
          <c:tx>
            <c:strRef>
              <c:f>'Specialist accred - psychia (2'!$P$3</c:f>
              <c:strCache>
                <c:ptCount val="1"/>
                <c:pt idx="0">
                  <c:v>Clinician</c:v>
                </c:pt>
              </c:strCache>
            </c:strRef>
          </c:tx>
          <c:invertIfNegative val="0"/>
          <c:cat>
            <c:strRef>
              <c:f>'Specialist accred - psychia (2'!$L$4:$L$16</c:f>
              <c:strCache>
                <c:ptCount val="13"/>
                <c:pt idx="0">
                  <c:v>30-34</c:v>
                </c:pt>
                <c:pt idx="1">
                  <c:v>35-39</c:v>
                </c:pt>
                <c:pt idx="2">
                  <c:v>40-44</c:v>
                </c:pt>
                <c:pt idx="3">
                  <c:v>45-49</c:v>
                </c:pt>
                <c:pt idx="4">
                  <c:v>50-54</c:v>
                </c:pt>
                <c:pt idx="5">
                  <c:v>55-59</c:v>
                </c:pt>
                <c:pt idx="6">
                  <c:v>60-64</c:v>
                </c:pt>
                <c:pt idx="7">
                  <c:v>65-69</c:v>
                </c:pt>
                <c:pt idx="8">
                  <c:v>70-74</c:v>
                </c:pt>
                <c:pt idx="9">
                  <c:v>75-79</c:v>
                </c:pt>
                <c:pt idx="10">
                  <c:v>80-84</c:v>
                </c:pt>
                <c:pt idx="11">
                  <c:v>85-89</c:v>
                </c:pt>
                <c:pt idx="12">
                  <c:v>90-95</c:v>
                </c:pt>
              </c:strCache>
            </c:strRef>
          </c:cat>
          <c:val>
            <c:numRef>
              <c:f>'Specialist accred - psychia (2'!$P$4:$P$16</c:f>
              <c:numCache>
                <c:formatCode>General</c:formatCode>
                <c:ptCount val="13"/>
                <c:pt idx="0">
                  <c:v>60</c:v>
                </c:pt>
                <c:pt idx="1">
                  <c:v>315</c:v>
                </c:pt>
                <c:pt idx="2">
                  <c:v>411</c:v>
                </c:pt>
                <c:pt idx="3">
                  <c:v>416</c:v>
                </c:pt>
                <c:pt idx="4">
                  <c:v>402</c:v>
                </c:pt>
                <c:pt idx="5">
                  <c:v>387</c:v>
                </c:pt>
                <c:pt idx="6">
                  <c:v>313</c:v>
                </c:pt>
                <c:pt idx="7">
                  <c:v>264</c:v>
                </c:pt>
                <c:pt idx="8">
                  <c:v>146</c:v>
                </c:pt>
                <c:pt idx="9">
                  <c:v>59</c:v>
                </c:pt>
                <c:pt idx="10">
                  <c:v>22</c:v>
                </c:pt>
                <c:pt idx="11">
                  <c:v>9</c:v>
                </c:pt>
                <c:pt idx="12">
                  <c:v>1</c:v>
                </c:pt>
              </c:numCache>
            </c:numRef>
          </c:val>
        </c:ser>
        <c:dLbls>
          <c:showLegendKey val="0"/>
          <c:showVal val="0"/>
          <c:showCatName val="0"/>
          <c:showSerName val="0"/>
          <c:showPercent val="0"/>
          <c:showBubbleSize val="0"/>
        </c:dLbls>
        <c:gapWidth val="75"/>
        <c:axId val="119257344"/>
        <c:axId val="119259136"/>
      </c:barChart>
      <c:catAx>
        <c:axId val="119257344"/>
        <c:scaling>
          <c:orientation val="minMax"/>
        </c:scaling>
        <c:delete val="0"/>
        <c:axPos val="b"/>
        <c:numFmt formatCode="General" sourceLinked="0"/>
        <c:majorTickMark val="none"/>
        <c:minorTickMark val="none"/>
        <c:tickLblPos val="nextTo"/>
        <c:txPr>
          <a:bodyPr rot="-5400000" vert="horz"/>
          <a:lstStyle/>
          <a:p>
            <a:pPr>
              <a:defRPr sz="1000">
                <a:latin typeface="Times New Roman" panose="02020603050405020304" pitchFamily="18" charset="0"/>
                <a:cs typeface="Times New Roman" panose="02020603050405020304" pitchFamily="18" charset="0"/>
              </a:defRPr>
            </a:pPr>
            <a:endParaRPr lang="en-US"/>
          </a:p>
        </c:txPr>
        <c:crossAx val="119259136"/>
        <c:crosses val="autoZero"/>
        <c:auto val="1"/>
        <c:lblAlgn val="ctr"/>
        <c:lblOffset val="100"/>
        <c:noMultiLvlLbl val="0"/>
      </c:catAx>
      <c:valAx>
        <c:axId val="119259136"/>
        <c:scaling>
          <c:orientation val="minMax"/>
        </c:scaling>
        <c:delete val="0"/>
        <c:axPos val="l"/>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19257344"/>
        <c:crosses val="autoZero"/>
        <c:crossBetween val="between"/>
      </c:valAx>
      <c:spPr>
        <a:ln>
          <a:solidFill>
            <a:sysClr val="windowText" lastClr="000000"/>
          </a:solidFill>
        </a:ln>
      </c:spPr>
    </c:plotArea>
    <c:legend>
      <c:legendPos val="b"/>
      <c:overlay val="0"/>
      <c:txPr>
        <a:bodyPr/>
        <a:lstStyle/>
        <a:p>
          <a:pPr>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w="12700">
      <a:solidFill>
        <a:srgbClr val="000080"/>
      </a:solid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757040320285258E-2"/>
          <c:y val="4.2177241695203614E-2"/>
          <c:w val="0.92199143553216689"/>
          <c:h val="0.55994030870794897"/>
        </c:manualLayout>
      </c:layout>
      <c:barChart>
        <c:barDir val="col"/>
        <c:grouping val="clustered"/>
        <c:varyColors val="0"/>
        <c:ser>
          <c:idx val="0"/>
          <c:order val="0"/>
          <c:tx>
            <c:strRef>
              <c:f>'Intention - psychiatry (2)'!$N$84:$N$86</c:f>
              <c:strCache>
                <c:ptCount val="1"/>
                <c:pt idx="0">
                  <c:v>HNS</c:v>
                </c:pt>
              </c:strCache>
            </c:strRef>
          </c:tx>
          <c:invertIfNegative val="0"/>
          <c:cat>
            <c:multiLvlStrRef>
              <c:f>'Intention - psychiatry (2)'!$L$87:$M$102</c:f>
              <c:multiLvlStrCache>
                <c:ptCount val="16"/>
                <c:lvl>
                  <c:pt idx="0">
                    <c:v>Major cities</c:v>
                  </c:pt>
                  <c:pt idx="1">
                    <c:v>Inner regional</c:v>
                  </c:pt>
                  <c:pt idx="2">
                    <c:v>Outer regional</c:v>
                  </c:pt>
                  <c:pt idx="3">
                    <c:v>Major cities</c:v>
                  </c:pt>
                  <c:pt idx="4">
                    <c:v>Inner regional</c:v>
                  </c:pt>
                  <c:pt idx="5">
                    <c:v>Major cities</c:v>
                  </c:pt>
                  <c:pt idx="6">
                    <c:v>Inner regional</c:v>
                  </c:pt>
                  <c:pt idx="7">
                    <c:v>Outer regional</c:v>
                  </c:pt>
                  <c:pt idx="8">
                    <c:v>Major cities</c:v>
                  </c:pt>
                  <c:pt idx="9">
                    <c:v>Major cities</c:v>
                  </c:pt>
                  <c:pt idx="10">
                    <c:v>Remote</c:v>
                  </c:pt>
                  <c:pt idx="11">
                    <c:v>Inner regional</c:v>
                  </c:pt>
                  <c:pt idx="12">
                    <c:v>Outer regional</c:v>
                  </c:pt>
                  <c:pt idx="13">
                    <c:v>Outer regional</c:v>
                  </c:pt>
                  <c:pt idx="14">
                    <c:v>Remote</c:v>
                  </c:pt>
                  <c:pt idx="15">
                    <c:v>Major cities</c:v>
                  </c:pt>
                </c:lvl>
                <c:lvl>
                  <c:pt idx="0">
                    <c:v>NSW</c:v>
                  </c:pt>
                  <c:pt idx="3">
                    <c:v>VIC</c:v>
                  </c:pt>
                  <c:pt idx="5">
                    <c:v>QLD</c:v>
                  </c:pt>
                  <c:pt idx="8">
                    <c:v>SA</c:v>
                  </c:pt>
                  <c:pt idx="9">
                    <c:v>WA</c:v>
                  </c:pt>
                  <c:pt idx="11">
                    <c:v>TAS</c:v>
                  </c:pt>
                  <c:pt idx="13">
                    <c:v>NT</c:v>
                  </c:pt>
                  <c:pt idx="15">
                    <c:v>ACT</c:v>
                  </c:pt>
                </c:lvl>
              </c:multiLvlStrCache>
            </c:multiLvlStrRef>
          </c:cat>
          <c:val>
            <c:numRef>
              <c:f>'Intention - psychiatry (2)'!$P$87:$P$102</c:f>
              <c:numCache>
                <c:formatCode>0%</c:formatCode>
                <c:ptCount val="16"/>
                <c:pt idx="0">
                  <c:v>0.22839506172839505</c:v>
                </c:pt>
                <c:pt idx="1">
                  <c:v>7.407407407407407E-2</c:v>
                </c:pt>
                <c:pt idx="2">
                  <c:v>1.2345679012345678E-2</c:v>
                </c:pt>
                <c:pt idx="3">
                  <c:v>0.22222222222222221</c:v>
                </c:pt>
                <c:pt idx="4">
                  <c:v>6.7901234567901231E-2</c:v>
                </c:pt>
                <c:pt idx="5">
                  <c:v>7.407407407407407E-2</c:v>
                </c:pt>
                <c:pt idx="6">
                  <c:v>2.4691358024691357E-2</c:v>
                </c:pt>
                <c:pt idx="7">
                  <c:v>1.2345679012345678E-2</c:v>
                </c:pt>
                <c:pt idx="8">
                  <c:v>8.0246913580246909E-2</c:v>
                </c:pt>
                <c:pt idx="9">
                  <c:v>0.13580246913580246</c:v>
                </c:pt>
                <c:pt idx="10">
                  <c:v>1.2345679012345678E-2</c:v>
                </c:pt>
                <c:pt idx="11">
                  <c:v>1.2345679012345678E-2</c:v>
                </c:pt>
                <c:pt idx="12">
                  <c:v>1.2345679012345678E-2</c:v>
                </c:pt>
                <c:pt idx="13">
                  <c:v>6.1728395061728392E-3</c:v>
                </c:pt>
                <c:pt idx="14">
                  <c:v>1.2345679012345678E-2</c:v>
                </c:pt>
                <c:pt idx="15">
                  <c:v>1.2345679012345678E-2</c:v>
                </c:pt>
              </c:numCache>
            </c:numRef>
          </c:val>
        </c:ser>
        <c:ser>
          <c:idx val="1"/>
          <c:order val="1"/>
          <c:tx>
            <c:strRef>
              <c:f>'Intention - psychiatry (2)'!$O$84</c:f>
              <c:strCache>
                <c:ptCount val="1"/>
                <c:pt idx="0">
                  <c:v>Trainees</c:v>
                </c:pt>
              </c:strCache>
            </c:strRef>
          </c:tx>
          <c:invertIfNegative val="0"/>
          <c:cat>
            <c:multiLvlStrRef>
              <c:f>'Intention - psychiatry (2)'!$L$87:$M$102</c:f>
              <c:multiLvlStrCache>
                <c:ptCount val="16"/>
                <c:lvl>
                  <c:pt idx="0">
                    <c:v>Major cities</c:v>
                  </c:pt>
                  <c:pt idx="1">
                    <c:v>Inner regional</c:v>
                  </c:pt>
                  <c:pt idx="2">
                    <c:v>Outer regional</c:v>
                  </c:pt>
                  <c:pt idx="3">
                    <c:v>Major cities</c:v>
                  </c:pt>
                  <c:pt idx="4">
                    <c:v>Inner regional</c:v>
                  </c:pt>
                  <c:pt idx="5">
                    <c:v>Major cities</c:v>
                  </c:pt>
                  <c:pt idx="6">
                    <c:v>Inner regional</c:v>
                  </c:pt>
                  <c:pt idx="7">
                    <c:v>Outer regional</c:v>
                  </c:pt>
                  <c:pt idx="8">
                    <c:v>Major cities</c:v>
                  </c:pt>
                  <c:pt idx="9">
                    <c:v>Major cities</c:v>
                  </c:pt>
                  <c:pt idx="10">
                    <c:v>Remote</c:v>
                  </c:pt>
                  <c:pt idx="11">
                    <c:v>Inner regional</c:v>
                  </c:pt>
                  <c:pt idx="12">
                    <c:v>Outer regional</c:v>
                  </c:pt>
                  <c:pt idx="13">
                    <c:v>Outer regional</c:v>
                  </c:pt>
                  <c:pt idx="14">
                    <c:v>Remote</c:v>
                  </c:pt>
                  <c:pt idx="15">
                    <c:v>Major cities</c:v>
                  </c:pt>
                </c:lvl>
                <c:lvl>
                  <c:pt idx="0">
                    <c:v>NSW</c:v>
                  </c:pt>
                  <c:pt idx="3">
                    <c:v>VIC</c:v>
                  </c:pt>
                  <c:pt idx="5">
                    <c:v>QLD</c:v>
                  </c:pt>
                  <c:pt idx="8">
                    <c:v>SA</c:v>
                  </c:pt>
                  <c:pt idx="9">
                    <c:v>WA</c:v>
                  </c:pt>
                  <c:pt idx="11">
                    <c:v>TAS</c:v>
                  </c:pt>
                  <c:pt idx="13">
                    <c:v>NT</c:v>
                  </c:pt>
                  <c:pt idx="15">
                    <c:v>ACT</c:v>
                  </c:pt>
                </c:lvl>
              </c:multiLvlStrCache>
            </c:multiLvlStrRef>
          </c:cat>
          <c:val>
            <c:numRef>
              <c:f>'Intention - psychiatry (2)'!$Q$87:$Q$102</c:f>
              <c:numCache>
                <c:formatCode>0%</c:formatCode>
                <c:ptCount val="16"/>
                <c:pt idx="0">
                  <c:v>0.28967813540510545</c:v>
                </c:pt>
                <c:pt idx="1">
                  <c:v>2.1087680355160933E-2</c:v>
                </c:pt>
                <c:pt idx="2">
                  <c:v>0</c:v>
                </c:pt>
                <c:pt idx="3">
                  <c:v>0.2619311875693674</c:v>
                </c:pt>
                <c:pt idx="4">
                  <c:v>1.1098779134295227E-2</c:v>
                </c:pt>
                <c:pt idx="5">
                  <c:v>0.16315205327413984</c:v>
                </c:pt>
                <c:pt idx="6">
                  <c:v>2.3307436182019976E-2</c:v>
                </c:pt>
                <c:pt idx="7">
                  <c:v>2.8856825749167592E-2</c:v>
                </c:pt>
                <c:pt idx="8">
                  <c:v>7.5471698113207544E-2</c:v>
                </c:pt>
                <c:pt idx="9">
                  <c:v>6.9922308546059936E-2</c:v>
                </c:pt>
                <c:pt idx="10">
                  <c:v>1.1098779134295228E-3</c:v>
                </c:pt>
                <c:pt idx="11">
                  <c:v>1.9977802441731411E-2</c:v>
                </c:pt>
                <c:pt idx="12">
                  <c:v>2.2197558268590455E-3</c:v>
                </c:pt>
                <c:pt idx="13">
                  <c:v>6.6592674805771362E-3</c:v>
                </c:pt>
                <c:pt idx="14">
                  <c:v>1.1098779134295228E-3</c:v>
                </c:pt>
                <c:pt idx="15">
                  <c:v>2.4417314095449501E-2</c:v>
                </c:pt>
              </c:numCache>
            </c:numRef>
          </c:val>
        </c:ser>
        <c:dLbls>
          <c:showLegendKey val="0"/>
          <c:showVal val="0"/>
          <c:showCatName val="0"/>
          <c:showSerName val="0"/>
          <c:showPercent val="0"/>
          <c:showBubbleSize val="0"/>
        </c:dLbls>
        <c:gapWidth val="75"/>
        <c:overlap val="-25"/>
        <c:axId val="134546560"/>
        <c:axId val="134548096"/>
      </c:barChart>
      <c:catAx>
        <c:axId val="134546560"/>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34548096"/>
        <c:crosses val="autoZero"/>
        <c:auto val="1"/>
        <c:lblAlgn val="ctr"/>
        <c:lblOffset val="100"/>
        <c:noMultiLvlLbl val="0"/>
      </c:catAx>
      <c:valAx>
        <c:axId val="134548096"/>
        <c:scaling>
          <c:orientation val="minMax"/>
        </c:scaling>
        <c:delete val="0"/>
        <c:axPos val="l"/>
        <c:numFmt formatCode="0%" sourceLinked="1"/>
        <c:majorTickMark val="none"/>
        <c:min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en-US"/>
          </a:p>
        </c:txPr>
        <c:crossAx val="134546560"/>
        <c:crosses val="autoZero"/>
        <c:crossBetween val="between"/>
      </c:valAx>
      <c:spPr>
        <a:ln>
          <a:solidFill>
            <a:sysClr val="windowText" lastClr="000000"/>
          </a:solidFill>
        </a:ln>
      </c:spPr>
    </c:plotArea>
    <c:legend>
      <c:legendPos val="b"/>
      <c:layout>
        <c:manualLayout>
          <c:xMode val="edge"/>
          <c:yMode val="edge"/>
          <c:x val="0.72224085277244943"/>
          <c:y val="6.0344573541725822E-2"/>
          <c:w val="0.25383888399197901"/>
          <c:h val="8.3717191601049873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w="12700">
      <a:solidFill>
        <a:srgbClr val="000080"/>
      </a:solid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plotArea>
      <c:layout/>
      <c:barChart>
        <c:barDir val="col"/>
        <c:grouping val="clustered"/>
        <c:varyColors val="0"/>
        <c:ser>
          <c:idx val="0"/>
          <c:order val="0"/>
          <c:tx>
            <c:strRef>
              <c:f>Graphs!$B$8</c:f>
              <c:strCache>
                <c:ptCount val="1"/>
                <c:pt idx="0">
                  <c:v>TOTAL Basic trainees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Graphs!$H$4:$L$4</c:f>
              <c:numCache>
                <c:formatCode>General</c:formatCode>
                <c:ptCount val="5"/>
                <c:pt idx="0">
                  <c:v>2010</c:v>
                </c:pt>
                <c:pt idx="1">
                  <c:v>2011</c:v>
                </c:pt>
                <c:pt idx="2">
                  <c:v>2012</c:v>
                </c:pt>
                <c:pt idx="3">
                  <c:v>2013</c:v>
                </c:pt>
                <c:pt idx="4">
                  <c:v>2014</c:v>
                </c:pt>
              </c:numCache>
            </c:numRef>
          </c:cat>
          <c:val>
            <c:numRef>
              <c:f>Graphs!$H$8:$L$8</c:f>
              <c:numCache>
                <c:formatCode>General</c:formatCode>
                <c:ptCount val="5"/>
                <c:pt idx="0">
                  <c:v>677</c:v>
                </c:pt>
                <c:pt idx="1">
                  <c:v>661</c:v>
                </c:pt>
                <c:pt idx="2">
                  <c:v>804</c:v>
                </c:pt>
                <c:pt idx="3">
                  <c:v>833</c:v>
                </c:pt>
                <c:pt idx="4">
                  <c:v>868</c:v>
                </c:pt>
              </c:numCache>
            </c:numRef>
          </c:val>
        </c:ser>
        <c:ser>
          <c:idx val="1"/>
          <c:order val="1"/>
          <c:tx>
            <c:strRef>
              <c:f>Graphs!$B$11</c:f>
              <c:strCache>
                <c:ptCount val="1"/>
                <c:pt idx="0">
                  <c:v>TOTAL advanced trainees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Graphs!$H$4:$L$4</c:f>
              <c:numCache>
                <c:formatCode>General</c:formatCode>
                <c:ptCount val="5"/>
                <c:pt idx="0">
                  <c:v>2010</c:v>
                </c:pt>
                <c:pt idx="1">
                  <c:v>2011</c:v>
                </c:pt>
                <c:pt idx="2">
                  <c:v>2012</c:v>
                </c:pt>
                <c:pt idx="3">
                  <c:v>2013</c:v>
                </c:pt>
                <c:pt idx="4">
                  <c:v>2014</c:v>
                </c:pt>
              </c:numCache>
            </c:numRef>
          </c:cat>
          <c:val>
            <c:numRef>
              <c:f>Graphs!$H$11:$L$11</c:f>
              <c:numCache>
                <c:formatCode>General</c:formatCode>
                <c:ptCount val="5"/>
                <c:pt idx="0">
                  <c:v>350</c:v>
                </c:pt>
                <c:pt idx="1">
                  <c:v>368</c:v>
                </c:pt>
                <c:pt idx="2">
                  <c:v>417</c:v>
                </c:pt>
                <c:pt idx="3">
                  <c:v>418</c:v>
                </c:pt>
                <c:pt idx="4">
                  <c:v>418</c:v>
                </c:pt>
              </c:numCache>
            </c:numRef>
          </c:val>
        </c:ser>
        <c:dLbls>
          <c:showLegendKey val="0"/>
          <c:showVal val="1"/>
          <c:showCatName val="0"/>
          <c:showSerName val="0"/>
          <c:showPercent val="0"/>
          <c:showBubbleSize val="0"/>
        </c:dLbls>
        <c:gapWidth val="75"/>
        <c:axId val="134575616"/>
        <c:axId val="134577152"/>
      </c:barChart>
      <c:catAx>
        <c:axId val="134575616"/>
        <c:scaling>
          <c:orientation val="minMax"/>
        </c:scaling>
        <c:delete val="0"/>
        <c:axPos val="b"/>
        <c:numFmt formatCode="General" sourceLinked="1"/>
        <c:majorTickMark val="none"/>
        <c:minorTickMark val="none"/>
        <c:tickLblPos val="nextTo"/>
        <c:crossAx val="134577152"/>
        <c:crosses val="autoZero"/>
        <c:auto val="1"/>
        <c:lblAlgn val="ctr"/>
        <c:lblOffset val="100"/>
        <c:noMultiLvlLbl val="0"/>
      </c:catAx>
      <c:valAx>
        <c:axId val="134577152"/>
        <c:scaling>
          <c:orientation val="minMax"/>
          <c:max val="1000"/>
        </c:scaling>
        <c:delete val="0"/>
        <c:axPos val="l"/>
        <c:numFmt formatCode="General" sourceLinked="1"/>
        <c:majorTickMark val="none"/>
        <c:minorTickMark val="none"/>
        <c:tickLblPos val="nextTo"/>
        <c:crossAx val="134575616"/>
        <c:crosses val="autoZero"/>
        <c:crossBetween val="between"/>
      </c:valAx>
      <c:spPr>
        <a:ln>
          <a:solidFill>
            <a:sysClr val="windowText" lastClr="000000"/>
          </a:solidFill>
        </a:ln>
      </c:spPr>
    </c:plotArea>
    <c:legend>
      <c:legendPos val="b"/>
      <c:layout/>
      <c:overlay val="0"/>
    </c:legend>
    <c:plotVisOnly val="1"/>
    <c:dispBlanksAs val="gap"/>
    <c:showDLblsOverMax val="0"/>
  </c:chart>
  <c:spPr>
    <a:ln w="12700">
      <a:solidFill>
        <a:srgbClr val="000080"/>
      </a:solidFill>
    </a:ln>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plotArea>
      <c:layout/>
      <c:lineChart>
        <c:grouping val="standard"/>
        <c:varyColors val="0"/>
        <c:ser>
          <c:idx val="0"/>
          <c:order val="0"/>
          <c:tx>
            <c:strRef>
              <c:f>Graphs!$C$19</c:f>
              <c:strCache>
                <c:ptCount val="1"/>
                <c:pt idx="0">
                  <c:v>Historical domestic new fellows</c:v>
                </c:pt>
              </c:strCache>
            </c:strRef>
          </c:tx>
          <c:spPr>
            <a:ln>
              <a:solidFill>
                <a:srgbClr val="C00000"/>
              </a:solidFill>
            </a:ln>
          </c:spPr>
          <c:marker>
            <c:symbol val="none"/>
          </c:marker>
          <c:cat>
            <c:numRef>
              <c:f>Graphs!$H$4:$AB$4</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Graphs!$H$19:$AB$19</c:f>
              <c:numCache>
                <c:formatCode>General</c:formatCode>
                <c:ptCount val="21"/>
                <c:pt idx="0">
                  <c:v>82</c:v>
                </c:pt>
                <c:pt idx="1">
                  <c:v>72</c:v>
                </c:pt>
                <c:pt idx="2">
                  <c:v>104</c:v>
                </c:pt>
                <c:pt idx="3">
                  <c:v>85</c:v>
                </c:pt>
                <c:pt idx="4">
                  <c:v>92</c:v>
                </c:pt>
                <c:pt idx="5">
                  <c:v>95.285714285714292</c:v>
                </c:pt>
              </c:numCache>
            </c:numRef>
          </c:val>
          <c:smooth val="0"/>
        </c:ser>
        <c:ser>
          <c:idx val="1"/>
          <c:order val="1"/>
          <c:tx>
            <c:strRef>
              <c:f>Graphs!$C$20</c:f>
              <c:strCache>
                <c:ptCount val="1"/>
                <c:pt idx="0">
                  <c:v>Historical OTS new fellows</c:v>
                </c:pt>
              </c:strCache>
            </c:strRef>
          </c:tx>
          <c:spPr>
            <a:ln>
              <a:solidFill>
                <a:srgbClr val="000080"/>
              </a:solidFill>
            </a:ln>
          </c:spPr>
          <c:marker>
            <c:symbol val="none"/>
          </c:marker>
          <c:cat>
            <c:numRef>
              <c:f>Graphs!$H$4:$AB$4</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Graphs!$H$20:$AB$20</c:f>
              <c:numCache>
                <c:formatCode>General</c:formatCode>
                <c:ptCount val="21"/>
                <c:pt idx="0">
                  <c:v>72</c:v>
                </c:pt>
                <c:pt idx="1">
                  <c:v>59</c:v>
                </c:pt>
                <c:pt idx="2">
                  <c:v>32</c:v>
                </c:pt>
                <c:pt idx="3">
                  <c:v>56</c:v>
                </c:pt>
                <c:pt idx="4">
                  <c:v>54.097087378640772</c:v>
                </c:pt>
              </c:numCache>
            </c:numRef>
          </c:val>
          <c:smooth val="0"/>
        </c:ser>
        <c:ser>
          <c:idx val="2"/>
          <c:order val="2"/>
          <c:tx>
            <c:strRef>
              <c:f>Graphs!$C$21</c:f>
              <c:strCache>
                <c:ptCount val="1"/>
                <c:pt idx="0">
                  <c:v>Historical total new fellows</c:v>
                </c:pt>
              </c:strCache>
            </c:strRef>
          </c:tx>
          <c:spPr>
            <a:ln>
              <a:solidFill>
                <a:srgbClr val="7030A0"/>
              </a:solidFill>
            </a:ln>
          </c:spPr>
          <c:marker>
            <c:symbol val="none"/>
          </c:marker>
          <c:cat>
            <c:numRef>
              <c:f>Graphs!$H$4:$AB$4</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Graphs!$H$21:$AB$21</c:f>
              <c:numCache>
                <c:formatCode>General</c:formatCode>
                <c:ptCount val="21"/>
                <c:pt idx="0">
                  <c:v>154</c:v>
                </c:pt>
                <c:pt idx="1">
                  <c:v>131</c:v>
                </c:pt>
                <c:pt idx="2">
                  <c:v>136</c:v>
                </c:pt>
                <c:pt idx="3">
                  <c:v>141</c:v>
                </c:pt>
                <c:pt idx="4">
                  <c:v>146.09708737864077</c:v>
                </c:pt>
              </c:numCache>
            </c:numRef>
          </c:val>
          <c:smooth val="0"/>
        </c:ser>
        <c:ser>
          <c:idx val="3"/>
          <c:order val="3"/>
          <c:tx>
            <c:strRef>
              <c:f>Graphs!$C$22</c:f>
              <c:strCache>
                <c:ptCount val="1"/>
                <c:pt idx="0">
                  <c:v>Projected domestic new fellows</c:v>
                </c:pt>
              </c:strCache>
            </c:strRef>
          </c:tx>
          <c:spPr>
            <a:ln>
              <a:solidFill>
                <a:srgbClr val="C00000"/>
              </a:solidFill>
              <a:prstDash val="sysDash"/>
            </a:ln>
          </c:spPr>
          <c:marker>
            <c:symbol val="none"/>
          </c:marker>
          <c:cat>
            <c:numRef>
              <c:f>Graphs!$H$4:$AB$4</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Graphs!$H$22:$AB$22</c:f>
              <c:numCache>
                <c:formatCode>General</c:formatCode>
                <c:ptCount val="21"/>
                <c:pt idx="5" formatCode="0">
                  <c:v>95.285714285714292</c:v>
                </c:pt>
                <c:pt idx="6" formatCode="0">
                  <c:v>105.51357675487779</c:v>
                </c:pt>
                <c:pt idx="7" formatCode="0">
                  <c:v>112.67439874246331</c:v>
                </c:pt>
                <c:pt idx="8" formatCode="0">
                  <c:v>116.91895167720173</c:v>
                </c:pt>
                <c:pt idx="9" formatCode="0">
                  <c:v>119.64103795819331</c:v>
                </c:pt>
                <c:pt idx="10" formatCode="0">
                  <c:v>121.66575661182958</c:v>
                </c:pt>
                <c:pt idx="11" formatCode="0">
                  <c:v>123.38889302484891</c:v>
                </c:pt>
                <c:pt idx="12" formatCode="0">
                  <c:v>124.98923016424175</c:v>
                </c:pt>
                <c:pt idx="13" formatCode="0">
                  <c:v>126.54594438080173</c:v>
                </c:pt>
                <c:pt idx="14" formatCode="0">
                  <c:v>128.09390914201435</c:v>
                </c:pt>
                <c:pt idx="15" formatCode="0">
                  <c:v>129.6485131070815</c:v>
                </c:pt>
                <c:pt idx="16" formatCode="0">
                  <c:v>131.21661122698455</c:v>
                </c:pt>
                <c:pt idx="17" formatCode="0">
                  <c:v>132.80132749094673</c:v>
                </c:pt>
                <c:pt idx="18" formatCode="0">
                  <c:v>134.40415649428954</c:v>
                </c:pt>
                <c:pt idx="19" formatCode="0">
                  <c:v>136.0258822757483</c:v>
                </c:pt>
                <c:pt idx="20" formatCode="0">
                  <c:v>137.66697993281116</c:v>
                </c:pt>
              </c:numCache>
            </c:numRef>
          </c:val>
          <c:smooth val="0"/>
        </c:ser>
        <c:ser>
          <c:idx val="4"/>
          <c:order val="4"/>
          <c:tx>
            <c:strRef>
              <c:f>Graphs!$C$23</c:f>
              <c:strCache>
                <c:ptCount val="1"/>
                <c:pt idx="0">
                  <c:v>Projected OTS new fellows</c:v>
                </c:pt>
              </c:strCache>
            </c:strRef>
          </c:tx>
          <c:spPr>
            <a:ln>
              <a:solidFill>
                <a:srgbClr val="000080"/>
              </a:solidFill>
              <a:prstDash val="sysDash"/>
            </a:ln>
          </c:spPr>
          <c:marker>
            <c:symbol val="none"/>
          </c:marker>
          <c:cat>
            <c:numRef>
              <c:f>Graphs!$H$4:$AB$4</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Graphs!$H$23:$AB$23</c:f>
              <c:numCache>
                <c:formatCode>General</c:formatCode>
                <c:ptCount val="21"/>
                <c:pt idx="4" formatCode="0">
                  <c:v>54.097087378640772</c:v>
                </c:pt>
                <c:pt idx="5" formatCode="0">
                  <c:v>55.04854368932039</c:v>
                </c:pt>
                <c:pt idx="6" formatCode="0">
                  <c:v>55.04854368932039</c:v>
                </c:pt>
                <c:pt idx="7" formatCode="0">
                  <c:v>55.04854368932039</c:v>
                </c:pt>
                <c:pt idx="8" formatCode="0">
                  <c:v>55.04854368932039</c:v>
                </c:pt>
                <c:pt idx="9" formatCode="0">
                  <c:v>55.04854368932039</c:v>
                </c:pt>
                <c:pt idx="10" formatCode="0">
                  <c:v>55.04854368932039</c:v>
                </c:pt>
                <c:pt idx="11" formatCode="0">
                  <c:v>55.04854368932039</c:v>
                </c:pt>
                <c:pt idx="12" formatCode="0">
                  <c:v>55.04854368932039</c:v>
                </c:pt>
                <c:pt idx="13" formatCode="0">
                  <c:v>55.04854368932039</c:v>
                </c:pt>
                <c:pt idx="14" formatCode="0">
                  <c:v>55.04854368932039</c:v>
                </c:pt>
                <c:pt idx="15" formatCode="0">
                  <c:v>55.04854368932039</c:v>
                </c:pt>
                <c:pt idx="16" formatCode="0">
                  <c:v>55.04854368932039</c:v>
                </c:pt>
                <c:pt idx="17" formatCode="0">
                  <c:v>55.04854368932039</c:v>
                </c:pt>
                <c:pt idx="18" formatCode="0">
                  <c:v>55.04854368932039</c:v>
                </c:pt>
                <c:pt idx="19" formatCode="0">
                  <c:v>55.04854368932039</c:v>
                </c:pt>
                <c:pt idx="20" formatCode="0">
                  <c:v>55.04854368932039</c:v>
                </c:pt>
              </c:numCache>
            </c:numRef>
          </c:val>
          <c:smooth val="0"/>
        </c:ser>
        <c:ser>
          <c:idx val="5"/>
          <c:order val="5"/>
          <c:tx>
            <c:strRef>
              <c:f>Graphs!$C$24</c:f>
              <c:strCache>
                <c:ptCount val="1"/>
                <c:pt idx="0">
                  <c:v>Projected total new fellows</c:v>
                </c:pt>
              </c:strCache>
            </c:strRef>
          </c:tx>
          <c:spPr>
            <a:ln>
              <a:solidFill>
                <a:srgbClr val="7030A0"/>
              </a:solidFill>
              <a:prstDash val="sysDash"/>
            </a:ln>
          </c:spPr>
          <c:marker>
            <c:symbol val="none"/>
          </c:marker>
          <c:cat>
            <c:numRef>
              <c:f>Graphs!$H$4:$AB$4</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Graphs!$H$24:$AB$24</c:f>
              <c:numCache>
                <c:formatCode>General</c:formatCode>
                <c:ptCount val="21"/>
                <c:pt idx="4" formatCode="0">
                  <c:v>146.09708737864077</c:v>
                </c:pt>
                <c:pt idx="5" formatCode="0">
                  <c:v>150.33425797503469</c:v>
                </c:pt>
                <c:pt idx="6" formatCode="0">
                  <c:v>160.56212044419817</c:v>
                </c:pt>
                <c:pt idx="7" formatCode="0">
                  <c:v>167.72294243178371</c:v>
                </c:pt>
                <c:pt idx="8" formatCode="0">
                  <c:v>171.96749536652212</c:v>
                </c:pt>
                <c:pt idx="9" formatCode="0">
                  <c:v>174.68958164751371</c:v>
                </c:pt>
                <c:pt idx="10" formatCode="0">
                  <c:v>176.71430030114996</c:v>
                </c:pt>
                <c:pt idx="11" formatCode="0">
                  <c:v>178.43743671416931</c:v>
                </c:pt>
                <c:pt idx="12" formatCode="0">
                  <c:v>180.03777385356213</c:v>
                </c:pt>
                <c:pt idx="13" formatCode="0">
                  <c:v>181.59448807012211</c:v>
                </c:pt>
                <c:pt idx="14" formatCode="0">
                  <c:v>183.14245283133474</c:v>
                </c:pt>
                <c:pt idx="15" formatCode="0">
                  <c:v>184.69705679640188</c:v>
                </c:pt>
                <c:pt idx="16" formatCode="0">
                  <c:v>186.26515491630494</c:v>
                </c:pt>
                <c:pt idx="17" formatCode="0">
                  <c:v>187.84987118026712</c:v>
                </c:pt>
                <c:pt idx="18" formatCode="0">
                  <c:v>189.45270018360992</c:v>
                </c:pt>
                <c:pt idx="19" formatCode="0">
                  <c:v>191.07442596506868</c:v>
                </c:pt>
                <c:pt idx="20" formatCode="0">
                  <c:v>192.71552362213154</c:v>
                </c:pt>
              </c:numCache>
            </c:numRef>
          </c:val>
          <c:smooth val="0"/>
        </c:ser>
        <c:dLbls>
          <c:showLegendKey val="0"/>
          <c:showVal val="0"/>
          <c:showCatName val="0"/>
          <c:showSerName val="0"/>
          <c:showPercent val="0"/>
          <c:showBubbleSize val="0"/>
        </c:dLbls>
        <c:marker val="1"/>
        <c:smooth val="0"/>
        <c:axId val="135556480"/>
        <c:axId val="135558272"/>
      </c:lineChart>
      <c:catAx>
        <c:axId val="135556480"/>
        <c:scaling>
          <c:orientation val="minMax"/>
        </c:scaling>
        <c:delete val="0"/>
        <c:axPos val="b"/>
        <c:numFmt formatCode="General" sourceLinked="1"/>
        <c:majorTickMark val="none"/>
        <c:minorTickMark val="none"/>
        <c:tickLblPos val="nextTo"/>
        <c:crossAx val="135558272"/>
        <c:crosses val="autoZero"/>
        <c:auto val="1"/>
        <c:lblAlgn val="ctr"/>
        <c:lblOffset val="100"/>
        <c:noMultiLvlLbl val="0"/>
      </c:catAx>
      <c:valAx>
        <c:axId val="135558272"/>
        <c:scaling>
          <c:orientation val="minMax"/>
          <c:max val="200"/>
          <c:min val="20"/>
        </c:scaling>
        <c:delete val="0"/>
        <c:axPos val="l"/>
        <c:majorGridlines/>
        <c:numFmt formatCode="General" sourceLinked="1"/>
        <c:majorTickMark val="none"/>
        <c:minorTickMark val="none"/>
        <c:tickLblPos val="nextTo"/>
        <c:crossAx val="135556480"/>
        <c:crosses val="autoZero"/>
        <c:crossBetween val="between"/>
      </c:valAx>
    </c:plotArea>
    <c:legend>
      <c:legendPos val="b"/>
      <c:layout>
        <c:manualLayout>
          <c:xMode val="edge"/>
          <c:yMode val="edge"/>
          <c:x val="8.6516573665289226E-2"/>
          <c:y val="0.75217324217153714"/>
          <c:w val="0.76955461998670505"/>
          <c:h val="0.22098269015604788"/>
        </c:manualLayout>
      </c:layout>
      <c:overlay val="0"/>
    </c:legend>
    <c:plotVisOnly val="1"/>
    <c:dispBlanksAs val="gap"/>
    <c:showDLblsOverMax val="0"/>
  </c:chart>
  <c:spPr>
    <a:ln w="12700">
      <a:solidFill>
        <a:srgbClr val="00008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plotArea>
      <c:layout/>
      <c:lineChart>
        <c:grouping val="standard"/>
        <c:varyColors val="0"/>
        <c:ser>
          <c:idx val="0"/>
          <c:order val="0"/>
          <c:tx>
            <c:strRef>
              <c:f>Sheet1!$C$8</c:f>
              <c:strCache>
                <c:ptCount val="1"/>
                <c:pt idx="0">
                  <c:v>Males</c:v>
                </c:pt>
              </c:strCache>
            </c:strRef>
          </c:tx>
          <c:cat>
            <c:numRef>
              <c:f>(Sheet1!$D$3:$E$3,Sheet1!$G$3:$I$3)</c:f>
              <c:numCache>
                <c:formatCode>General</c:formatCode>
                <c:ptCount val="5"/>
                <c:pt idx="0">
                  <c:v>2008</c:v>
                </c:pt>
                <c:pt idx="1">
                  <c:v>2009</c:v>
                </c:pt>
                <c:pt idx="2">
                  <c:v>2011</c:v>
                </c:pt>
                <c:pt idx="3">
                  <c:v>2012</c:v>
                </c:pt>
                <c:pt idx="4">
                  <c:v>2013</c:v>
                </c:pt>
              </c:numCache>
            </c:numRef>
          </c:cat>
          <c:val>
            <c:numRef>
              <c:f>(Sheet1!$D$8:$E$8,Sheet1!$G$8:$H$8,Sheet1!$J$8)</c:f>
              <c:numCache>
                <c:formatCode>#,##0</c:formatCode>
                <c:ptCount val="5"/>
                <c:pt idx="0">
                  <c:v>1849</c:v>
                </c:pt>
                <c:pt idx="1">
                  <c:v>2060</c:v>
                </c:pt>
                <c:pt idx="2">
                  <c:v>1852</c:v>
                </c:pt>
                <c:pt idx="3">
                  <c:v>1884</c:v>
                </c:pt>
                <c:pt idx="4">
                  <c:v>1922</c:v>
                </c:pt>
              </c:numCache>
            </c:numRef>
          </c:val>
          <c:smooth val="0"/>
        </c:ser>
        <c:ser>
          <c:idx val="1"/>
          <c:order val="1"/>
          <c:tx>
            <c:strRef>
              <c:f>Sheet1!$C$9</c:f>
              <c:strCache>
                <c:ptCount val="1"/>
                <c:pt idx="0">
                  <c:v>Females</c:v>
                </c:pt>
              </c:strCache>
            </c:strRef>
          </c:tx>
          <c:cat>
            <c:numRef>
              <c:f>(Sheet1!$D$3:$E$3,Sheet1!$G$3:$I$3)</c:f>
              <c:numCache>
                <c:formatCode>General</c:formatCode>
                <c:ptCount val="5"/>
                <c:pt idx="0">
                  <c:v>2008</c:v>
                </c:pt>
                <c:pt idx="1">
                  <c:v>2009</c:v>
                </c:pt>
                <c:pt idx="2">
                  <c:v>2011</c:v>
                </c:pt>
                <c:pt idx="3">
                  <c:v>2012</c:v>
                </c:pt>
                <c:pt idx="4">
                  <c:v>2013</c:v>
                </c:pt>
              </c:numCache>
            </c:numRef>
          </c:cat>
          <c:val>
            <c:numRef>
              <c:f>(Sheet1!$D$9:$E$9,Sheet1!$G$9:$H$9,Sheet1!$J$9)</c:f>
              <c:numCache>
                <c:formatCode>#,##0</c:formatCode>
                <c:ptCount val="5"/>
                <c:pt idx="0">
                  <c:v>894</c:v>
                </c:pt>
                <c:pt idx="1">
                  <c:v>945</c:v>
                </c:pt>
                <c:pt idx="2">
                  <c:v>984</c:v>
                </c:pt>
                <c:pt idx="3">
                  <c:v>1029</c:v>
                </c:pt>
                <c:pt idx="4">
                  <c:v>1109</c:v>
                </c:pt>
              </c:numCache>
            </c:numRef>
          </c:val>
          <c:smooth val="0"/>
        </c:ser>
        <c:dLbls>
          <c:showLegendKey val="0"/>
          <c:showVal val="0"/>
          <c:showCatName val="0"/>
          <c:showSerName val="0"/>
          <c:showPercent val="0"/>
          <c:showBubbleSize val="0"/>
        </c:dLbls>
        <c:marker val="1"/>
        <c:smooth val="0"/>
        <c:axId val="119271808"/>
        <c:axId val="119273344"/>
      </c:lineChart>
      <c:catAx>
        <c:axId val="119271808"/>
        <c:scaling>
          <c:orientation val="minMax"/>
        </c:scaling>
        <c:delete val="0"/>
        <c:axPos val="b"/>
        <c:numFmt formatCode="General" sourceLinked="1"/>
        <c:majorTickMark val="none"/>
        <c:minorTickMark val="none"/>
        <c:tickLblPos val="nextTo"/>
        <c:crossAx val="119273344"/>
        <c:crosses val="autoZero"/>
        <c:auto val="1"/>
        <c:lblAlgn val="ctr"/>
        <c:lblOffset val="100"/>
        <c:noMultiLvlLbl val="0"/>
      </c:catAx>
      <c:valAx>
        <c:axId val="119273344"/>
        <c:scaling>
          <c:orientation val="minMax"/>
          <c:max val="2200"/>
          <c:min val="0"/>
        </c:scaling>
        <c:delete val="0"/>
        <c:axPos val="l"/>
        <c:numFmt formatCode="#,##0" sourceLinked="1"/>
        <c:majorTickMark val="none"/>
        <c:minorTickMark val="none"/>
        <c:tickLblPos val="nextTo"/>
        <c:spPr>
          <a:ln w="9525">
            <a:noFill/>
          </a:ln>
        </c:spPr>
        <c:crossAx val="119271808"/>
        <c:crosses val="autoZero"/>
        <c:crossBetween val="between"/>
      </c:valAx>
      <c:spPr>
        <a:ln>
          <a:solidFill>
            <a:schemeClr val="tx1"/>
          </a:solidFill>
        </a:ln>
      </c:spPr>
    </c:plotArea>
    <c:legend>
      <c:legendPos val="b"/>
      <c:overlay val="0"/>
    </c:legend>
    <c:plotVisOnly val="1"/>
    <c:dispBlanksAs val="gap"/>
    <c:showDLblsOverMax val="0"/>
  </c:chart>
  <c:spPr>
    <a:ln w="12700">
      <a:solidFill>
        <a:srgbClr val="000080"/>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dPt>
            <c:idx val="11"/>
            <c:invertIfNegative val="0"/>
            <c:bubble3D val="0"/>
            <c:spPr>
              <a:solidFill>
                <a:schemeClr val="tx2"/>
              </a:solidFill>
            </c:spPr>
          </c:dPt>
          <c:dPt>
            <c:idx val="14"/>
            <c:invertIfNegative val="0"/>
            <c:bubble3D val="0"/>
            <c:spPr>
              <a:solidFill>
                <a:schemeClr val="tx2"/>
              </a:solidFill>
            </c:spPr>
          </c:dPt>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Sheet1!$B$2:$B$23</c:f>
              <c:strCache>
                <c:ptCount val="22"/>
                <c:pt idx="0">
                  <c:v>India</c:v>
                </c:pt>
                <c:pt idx="1">
                  <c:v>China</c:v>
                </c:pt>
                <c:pt idx="2">
                  <c:v>Turkey</c:v>
                </c:pt>
                <c:pt idx="3">
                  <c:v>Sweden</c:v>
                </c:pt>
                <c:pt idx="4">
                  <c:v>Ireland</c:v>
                </c:pt>
                <c:pt idx="5">
                  <c:v>Hungary</c:v>
                </c:pt>
                <c:pt idx="6">
                  <c:v>United States</c:v>
                </c:pt>
                <c:pt idx="7">
                  <c:v>Italy</c:v>
                </c:pt>
                <c:pt idx="8">
                  <c:v>New Zealand</c:v>
                </c:pt>
                <c:pt idx="9">
                  <c:v>Japan</c:v>
                </c:pt>
                <c:pt idx="10">
                  <c:v>Canada</c:v>
                </c:pt>
                <c:pt idx="11">
                  <c:v>Australia</c:v>
                </c:pt>
                <c:pt idx="12">
                  <c:v>Denmark</c:v>
                </c:pt>
                <c:pt idx="13">
                  <c:v>Germany</c:v>
                </c:pt>
                <c:pt idx="14">
                  <c:v>OECD</c:v>
                </c:pt>
                <c:pt idx="15">
                  <c:v>Netherlands</c:v>
                </c:pt>
                <c:pt idx="16">
                  <c:v>Austria</c:v>
                </c:pt>
                <c:pt idx="17">
                  <c:v>Iceland</c:v>
                </c:pt>
                <c:pt idx="18">
                  <c:v>France</c:v>
                </c:pt>
                <c:pt idx="19">
                  <c:v>Finland</c:v>
                </c:pt>
                <c:pt idx="20">
                  <c:v>Norway</c:v>
                </c:pt>
                <c:pt idx="21">
                  <c:v>Switzerland</c:v>
                </c:pt>
              </c:strCache>
            </c:strRef>
          </c:cat>
          <c:val>
            <c:numRef>
              <c:f>Sheet1!$C$2:$C$23</c:f>
              <c:numCache>
                <c:formatCode>General</c:formatCode>
                <c:ptCount val="22"/>
                <c:pt idx="0">
                  <c:v>0.3</c:v>
                </c:pt>
                <c:pt idx="1">
                  <c:v>1.53</c:v>
                </c:pt>
                <c:pt idx="2">
                  <c:v>2.13</c:v>
                </c:pt>
                <c:pt idx="3">
                  <c:v>3.55</c:v>
                </c:pt>
                <c:pt idx="4">
                  <c:v>6.06</c:v>
                </c:pt>
                <c:pt idx="5">
                  <c:v>6.52</c:v>
                </c:pt>
                <c:pt idx="6">
                  <c:v>7.79</c:v>
                </c:pt>
                <c:pt idx="7">
                  <c:v>7.81</c:v>
                </c:pt>
                <c:pt idx="8">
                  <c:v>9.76</c:v>
                </c:pt>
                <c:pt idx="9">
                  <c:v>10.1</c:v>
                </c:pt>
                <c:pt idx="10">
                  <c:v>12.61</c:v>
                </c:pt>
                <c:pt idx="11">
                  <c:v>12.76</c:v>
                </c:pt>
                <c:pt idx="12">
                  <c:v>14.12</c:v>
                </c:pt>
                <c:pt idx="13">
                  <c:v>15.23</c:v>
                </c:pt>
                <c:pt idx="14">
                  <c:v>15.6</c:v>
                </c:pt>
                <c:pt idx="15">
                  <c:v>18.77</c:v>
                </c:pt>
                <c:pt idx="16">
                  <c:v>19.71</c:v>
                </c:pt>
                <c:pt idx="17">
                  <c:v>19.739999999999998</c:v>
                </c:pt>
                <c:pt idx="18">
                  <c:v>22.35</c:v>
                </c:pt>
                <c:pt idx="19">
                  <c:v>28.06</c:v>
                </c:pt>
                <c:pt idx="20">
                  <c:v>30.77</c:v>
                </c:pt>
                <c:pt idx="21">
                  <c:v>41.42</c:v>
                </c:pt>
              </c:numCache>
            </c:numRef>
          </c:val>
        </c:ser>
        <c:dLbls>
          <c:showLegendKey val="0"/>
          <c:showVal val="1"/>
          <c:showCatName val="0"/>
          <c:showSerName val="0"/>
          <c:showPercent val="0"/>
          <c:showBubbleSize val="0"/>
        </c:dLbls>
        <c:gapWidth val="150"/>
        <c:overlap val="-25"/>
        <c:axId val="122104064"/>
        <c:axId val="122119296"/>
      </c:barChart>
      <c:catAx>
        <c:axId val="122104064"/>
        <c:scaling>
          <c:orientation val="minMax"/>
        </c:scaling>
        <c:delete val="0"/>
        <c:axPos val="l"/>
        <c:numFmt formatCode="General" sourceLinked="0"/>
        <c:majorTickMark val="none"/>
        <c:minorTickMark val="none"/>
        <c:tickLblPos val="nextTo"/>
        <c:crossAx val="122119296"/>
        <c:crosses val="autoZero"/>
        <c:auto val="1"/>
        <c:lblAlgn val="ctr"/>
        <c:lblOffset val="100"/>
        <c:tickLblSkip val="1"/>
        <c:noMultiLvlLbl val="0"/>
      </c:catAx>
      <c:valAx>
        <c:axId val="122119296"/>
        <c:scaling>
          <c:orientation val="minMax"/>
          <c:max val="45"/>
        </c:scaling>
        <c:delete val="1"/>
        <c:axPos val="b"/>
        <c:numFmt formatCode="General" sourceLinked="1"/>
        <c:majorTickMark val="none"/>
        <c:minorTickMark val="none"/>
        <c:tickLblPos val="nextTo"/>
        <c:crossAx val="122104064"/>
        <c:crosses val="autoZero"/>
        <c:crossBetween val="between"/>
        <c:majorUnit val="5"/>
      </c:valAx>
      <c:spPr>
        <a:ln>
          <a:solidFill>
            <a:sysClr val="windowText" lastClr="000000"/>
          </a:solidFill>
        </a:ln>
      </c:spPr>
    </c:plotArea>
    <c:plotVisOnly val="1"/>
    <c:dispBlanksAs val="gap"/>
    <c:showDLblsOverMax val="0"/>
  </c:chart>
  <c:spPr>
    <a:ln w="12700">
      <a:solidFill>
        <a:srgbClr val="000080"/>
      </a:solidFill>
    </a:ln>
  </c:spPr>
  <c:txPr>
    <a:bodyPr/>
    <a:lstStyle/>
    <a:p>
      <a:pPr>
        <a:defRPr sz="10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plotArea>
      <c:layout/>
      <c:barChart>
        <c:barDir val="bar"/>
        <c:grouping val="clustered"/>
        <c:varyColors val="0"/>
        <c:ser>
          <c:idx val="0"/>
          <c:order val="0"/>
          <c:tx>
            <c:strRef>
              <c:f>'Specialist clinic - psychia (2'!$Y$17</c:f>
              <c:strCache>
                <c:ptCount val="1"/>
                <c:pt idx="0">
                  <c:v>Male</c:v>
                </c:pt>
              </c:strCache>
            </c:strRef>
          </c:tx>
          <c:invertIfNegative val="0"/>
          <c:dLbls>
            <c:delete val="1"/>
          </c:dLbls>
          <c:cat>
            <c:strRef>
              <c:f>'Specialist clinic - psychia (2'!$X$18:$X$20</c:f>
              <c:strCache>
                <c:ptCount val="3"/>
                <c:pt idx="0">
                  <c:v>Avg. total hours</c:v>
                </c:pt>
                <c:pt idx="1">
                  <c:v>Avg. clin hours</c:v>
                </c:pt>
                <c:pt idx="2">
                  <c:v>Avg. spec hours</c:v>
                </c:pt>
              </c:strCache>
            </c:strRef>
          </c:cat>
          <c:val>
            <c:numRef>
              <c:f>'Specialist clinic - psychia (2'!$Y$18:$Y$20</c:f>
              <c:numCache>
                <c:formatCode>General</c:formatCode>
                <c:ptCount val="3"/>
                <c:pt idx="0">
                  <c:v>41.21</c:v>
                </c:pt>
                <c:pt idx="1">
                  <c:v>35.57</c:v>
                </c:pt>
                <c:pt idx="2">
                  <c:v>33.67</c:v>
                </c:pt>
              </c:numCache>
            </c:numRef>
          </c:val>
        </c:ser>
        <c:ser>
          <c:idx val="1"/>
          <c:order val="1"/>
          <c:tx>
            <c:strRef>
              <c:f>'Specialist clinic - psychia (2'!$Z$17</c:f>
              <c:strCache>
                <c:ptCount val="1"/>
                <c:pt idx="0">
                  <c:v>Female</c:v>
                </c:pt>
              </c:strCache>
            </c:strRef>
          </c:tx>
          <c:invertIfNegative val="0"/>
          <c:dLbls>
            <c:delete val="1"/>
          </c:dLbls>
          <c:cat>
            <c:strRef>
              <c:f>'Specialist clinic - psychia (2'!$X$18:$X$20</c:f>
              <c:strCache>
                <c:ptCount val="3"/>
                <c:pt idx="0">
                  <c:v>Avg. total hours</c:v>
                </c:pt>
                <c:pt idx="1">
                  <c:v>Avg. clin hours</c:v>
                </c:pt>
                <c:pt idx="2">
                  <c:v>Avg. spec hours</c:v>
                </c:pt>
              </c:strCache>
            </c:strRef>
          </c:cat>
          <c:val>
            <c:numRef>
              <c:f>'Specialist clinic - psychia (2'!$Z$18:$Z$20</c:f>
              <c:numCache>
                <c:formatCode>General</c:formatCode>
                <c:ptCount val="3"/>
                <c:pt idx="0">
                  <c:v>33.270000000000003</c:v>
                </c:pt>
                <c:pt idx="1">
                  <c:v>28.41</c:v>
                </c:pt>
                <c:pt idx="2">
                  <c:v>26.03</c:v>
                </c:pt>
              </c:numCache>
            </c:numRef>
          </c:val>
        </c:ser>
        <c:dLbls>
          <c:showLegendKey val="0"/>
          <c:showVal val="1"/>
          <c:showCatName val="0"/>
          <c:showSerName val="0"/>
          <c:showPercent val="0"/>
          <c:showBubbleSize val="0"/>
        </c:dLbls>
        <c:gapWidth val="75"/>
        <c:axId val="122153216"/>
        <c:axId val="122155008"/>
      </c:barChart>
      <c:catAx>
        <c:axId val="122153216"/>
        <c:scaling>
          <c:orientation val="minMax"/>
        </c:scaling>
        <c:delete val="0"/>
        <c:axPos val="l"/>
        <c:numFmt formatCode="General" sourceLinked="0"/>
        <c:majorTickMark val="none"/>
        <c:minorTickMark val="none"/>
        <c:tickLblPos val="nextTo"/>
        <c:txPr>
          <a:bodyPr/>
          <a:lstStyle/>
          <a:p>
            <a:pPr>
              <a:defRPr sz="1000"/>
            </a:pPr>
            <a:endParaRPr lang="en-US"/>
          </a:p>
        </c:txPr>
        <c:crossAx val="122155008"/>
        <c:crosses val="autoZero"/>
        <c:auto val="1"/>
        <c:lblAlgn val="ctr"/>
        <c:lblOffset val="100"/>
        <c:noMultiLvlLbl val="0"/>
      </c:catAx>
      <c:valAx>
        <c:axId val="122155008"/>
        <c:scaling>
          <c:orientation val="minMax"/>
          <c:max val="45"/>
          <c:min val="0"/>
        </c:scaling>
        <c:delete val="0"/>
        <c:axPos val="b"/>
        <c:numFmt formatCode="General" sourceLinked="1"/>
        <c:majorTickMark val="none"/>
        <c:minorTickMark val="none"/>
        <c:tickLblPos val="nextTo"/>
        <c:txPr>
          <a:bodyPr/>
          <a:lstStyle/>
          <a:p>
            <a:pPr>
              <a:defRPr sz="1000"/>
            </a:pPr>
            <a:endParaRPr lang="en-US"/>
          </a:p>
        </c:txPr>
        <c:crossAx val="122153216"/>
        <c:crosses val="autoZero"/>
        <c:crossBetween val="between"/>
        <c:majorUnit val="5"/>
      </c:valAx>
      <c:spPr>
        <a:ln>
          <a:solidFill>
            <a:schemeClr val="tx1"/>
          </a:solidFill>
        </a:ln>
      </c:spPr>
    </c:plotArea>
    <c:legend>
      <c:legendPos val="b"/>
      <c:layout>
        <c:manualLayout>
          <c:xMode val="edge"/>
          <c:yMode val="edge"/>
          <c:x val="0.35700170357751271"/>
          <c:y val="0.90371415837171298"/>
          <c:w val="0.23829624363394097"/>
          <c:h val="7.112860892388452E-2"/>
        </c:manualLayout>
      </c:layout>
      <c:overlay val="0"/>
      <c:txPr>
        <a:bodyPr/>
        <a:lstStyle/>
        <a:p>
          <a:pPr>
            <a:defRPr sz="1000"/>
          </a:pPr>
          <a:endParaRPr lang="en-US"/>
        </a:p>
      </c:txPr>
    </c:legend>
    <c:plotVisOnly val="1"/>
    <c:dispBlanksAs val="gap"/>
    <c:showDLblsOverMax val="0"/>
  </c:chart>
  <c:spPr>
    <a:ln w="12700">
      <a:solidFill>
        <a:srgbClr val="00008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'Specialist clinic - psychia (2'!$C$105</c:f>
              <c:strCache>
                <c:ptCount val="1"/>
                <c:pt idx="0">
                  <c:v>Avg. total hours</c:v>
                </c:pt>
              </c:strCache>
            </c:strRef>
          </c:tx>
          <c:invertIfNegative val="0"/>
          <c:dLbls>
            <c:dLbl>
              <c:idx val="8"/>
              <c:layout>
                <c:manualLayout>
                  <c:x val="-6.0869562438910764E-2"/>
                  <c:y val="-8.3019683861446134E-2"/>
                </c:manualLayout>
              </c:layout>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'Specialist clinic - psychia (2'!$B$106:$B$113</c:f>
              <c:strCache>
                <c:ptCount val="8"/>
                <c:pt idx="0">
                  <c:v>NSW</c:v>
                </c:pt>
                <c:pt idx="1">
                  <c:v>VIC</c:v>
                </c:pt>
                <c:pt idx="2">
                  <c:v>QLD</c:v>
                </c:pt>
                <c:pt idx="3">
                  <c:v>SA</c:v>
                </c:pt>
                <c:pt idx="4">
                  <c:v>WA</c:v>
                </c:pt>
                <c:pt idx="5">
                  <c:v>TAS</c:v>
                </c:pt>
                <c:pt idx="6">
                  <c:v>NT</c:v>
                </c:pt>
                <c:pt idx="7">
                  <c:v>ACT</c:v>
                </c:pt>
              </c:strCache>
            </c:strRef>
          </c:cat>
          <c:val>
            <c:numRef>
              <c:f>'Specialist clinic - psychia (2'!$C$106:$C$113</c:f>
              <c:numCache>
                <c:formatCode>General</c:formatCode>
                <c:ptCount val="8"/>
                <c:pt idx="0">
                  <c:v>38.31</c:v>
                </c:pt>
                <c:pt idx="1">
                  <c:v>36.71</c:v>
                </c:pt>
                <c:pt idx="2">
                  <c:v>40.42</c:v>
                </c:pt>
                <c:pt idx="3">
                  <c:v>37.64</c:v>
                </c:pt>
                <c:pt idx="4">
                  <c:v>39.93</c:v>
                </c:pt>
                <c:pt idx="5">
                  <c:v>33</c:v>
                </c:pt>
                <c:pt idx="6">
                  <c:v>41.71</c:v>
                </c:pt>
                <c:pt idx="7">
                  <c:v>40.58</c:v>
                </c:pt>
              </c:numCache>
            </c:numRef>
          </c:val>
        </c:ser>
        <c:dLbls>
          <c:showLegendKey val="0"/>
          <c:showVal val="0"/>
          <c:showCatName val="0"/>
          <c:showSerName val="0"/>
          <c:showPercent val="0"/>
          <c:showBubbleSize val="0"/>
        </c:dLbls>
        <c:gapWidth val="150"/>
        <c:axId val="123372288"/>
        <c:axId val="123373824"/>
      </c:barChart>
      <c:catAx>
        <c:axId val="123372288"/>
        <c:scaling>
          <c:orientation val="minMax"/>
        </c:scaling>
        <c:delete val="0"/>
        <c:axPos val="b"/>
        <c:numFmt formatCode="General" sourceLinked="0"/>
        <c:majorTickMark val="none"/>
        <c:minorTickMark val="none"/>
        <c:tickLblPos val="nextTo"/>
        <c:crossAx val="123373824"/>
        <c:crosses val="autoZero"/>
        <c:auto val="1"/>
        <c:lblAlgn val="ctr"/>
        <c:lblOffset val="100"/>
        <c:noMultiLvlLbl val="0"/>
      </c:catAx>
      <c:valAx>
        <c:axId val="123373824"/>
        <c:scaling>
          <c:orientation val="minMax"/>
        </c:scaling>
        <c:delete val="0"/>
        <c:axPos val="l"/>
        <c:title>
          <c:tx>
            <c:rich>
              <a:bodyPr rot="-5400000" vert="horz"/>
              <a:lstStyle/>
              <a:p>
                <a:pPr>
                  <a:defRPr/>
                </a:pPr>
                <a:r>
                  <a:rPr lang="en-US"/>
                  <a:t>Hours</a:t>
                </a:r>
              </a:p>
            </c:rich>
          </c:tx>
          <c:layout/>
          <c:overlay val="0"/>
        </c:title>
        <c:numFmt formatCode="General" sourceLinked="1"/>
        <c:majorTickMark val="none"/>
        <c:minorTickMark val="none"/>
        <c:tickLblPos val="nextTo"/>
        <c:crossAx val="123372288"/>
        <c:crosses val="autoZero"/>
        <c:crossBetween val="between"/>
      </c:valAx>
      <c:spPr>
        <a:ln>
          <a:solidFill>
            <a:sysClr val="windowText" lastClr="000000"/>
          </a:solidFill>
        </a:ln>
      </c:spPr>
    </c:plotArea>
    <c:legend>
      <c:legendPos val="b"/>
      <c:layout/>
      <c:overlay val="0"/>
    </c:legend>
    <c:plotVisOnly val="1"/>
    <c:dispBlanksAs val="gap"/>
    <c:showDLblsOverMax val="0"/>
  </c:chart>
  <c:spPr>
    <a:noFill/>
    <a:ln w="12700">
      <a:solidFill>
        <a:srgbClr val="000080">
          <a:alpha val="49804"/>
        </a:srgbClr>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'Specialist clinic - psychia (2'!$AA$76</c:f>
              <c:strCache>
                <c:ptCount val="1"/>
                <c:pt idx="0">
                  <c:v>Avg. Total Hours</c:v>
                </c:pt>
              </c:strCache>
            </c:strRef>
          </c:tx>
          <c:invertIfNegative val="0"/>
          <c:dLbls>
            <c:dLbl>
              <c:idx val="5"/>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'Specialist clinic - psychia (2'!$Y$77:$Y$81</c:f>
              <c:strCache>
                <c:ptCount val="5"/>
                <c:pt idx="0">
                  <c:v>Major cities</c:v>
                </c:pt>
                <c:pt idx="1">
                  <c:v>Inner regional</c:v>
                </c:pt>
                <c:pt idx="2">
                  <c:v>Outer regional</c:v>
                </c:pt>
                <c:pt idx="3">
                  <c:v>Remote</c:v>
                </c:pt>
                <c:pt idx="4">
                  <c:v>Very remote</c:v>
                </c:pt>
              </c:strCache>
            </c:strRef>
          </c:cat>
          <c:val>
            <c:numRef>
              <c:f>'Specialist clinic - psychia (2'!$AA$77:$AA$81</c:f>
              <c:numCache>
                <c:formatCode>0.0</c:formatCode>
                <c:ptCount val="5"/>
                <c:pt idx="0">
                  <c:v>38.299999999999997</c:v>
                </c:pt>
                <c:pt idx="1">
                  <c:v>37.29</c:v>
                </c:pt>
                <c:pt idx="2">
                  <c:v>40.64</c:v>
                </c:pt>
                <c:pt idx="3">
                  <c:v>43.11</c:v>
                </c:pt>
                <c:pt idx="4">
                  <c:v>42</c:v>
                </c:pt>
              </c:numCache>
            </c:numRef>
          </c:val>
        </c:ser>
        <c:dLbls>
          <c:showLegendKey val="0"/>
          <c:showVal val="0"/>
          <c:showCatName val="0"/>
          <c:showSerName val="0"/>
          <c:showPercent val="0"/>
          <c:showBubbleSize val="0"/>
        </c:dLbls>
        <c:gapWidth val="150"/>
        <c:axId val="124136832"/>
        <c:axId val="124150912"/>
      </c:barChart>
      <c:catAx>
        <c:axId val="124136832"/>
        <c:scaling>
          <c:orientation val="minMax"/>
        </c:scaling>
        <c:delete val="0"/>
        <c:axPos val="b"/>
        <c:numFmt formatCode="General" sourceLinked="0"/>
        <c:majorTickMark val="none"/>
        <c:minorTickMark val="none"/>
        <c:tickLblPos val="nextTo"/>
        <c:crossAx val="124150912"/>
        <c:crosses val="autoZero"/>
        <c:auto val="1"/>
        <c:lblAlgn val="ctr"/>
        <c:lblOffset val="100"/>
        <c:noMultiLvlLbl val="0"/>
      </c:catAx>
      <c:valAx>
        <c:axId val="124150912"/>
        <c:scaling>
          <c:orientation val="minMax"/>
          <c:max val="45"/>
        </c:scaling>
        <c:delete val="0"/>
        <c:axPos val="l"/>
        <c:title>
          <c:tx>
            <c:rich>
              <a:bodyPr rot="-5400000" vert="horz"/>
              <a:lstStyle/>
              <a:p>
                <a:pPr>
                  <a:defRPr/>
                </a:pPr>
                <a:r>
                  <a:rPr lang="en-US"/>
                  <a:t>Hours</a:t>
                </a:r>
              </a:p>
            </c:rich>
          </c:tx>
          <c:layout/>
          <c:overlay val="0"/>
        </c:title>
        <c:numFmt formatCode="0.0" sourceLinked="1"/>
        <c:majorTickMark val="none"/>
        <c:minorTickMark val="none"/>
        <c:tickLblPos val="nextTo"/>
        <c:crossAx val="124136832"/>
        <c:crosses val="autoZero"/>
        <c:crossBetween val="between"/>
      </c:valAx>
      <c:spPr>
        <a:ln>
          <a:solidFill>
            <a:sysClr val="windowText" lastClr="000000">
              <a:alpha val="49000"/>
            </a:sysClr>
          </a:solidFill>
        </a:ln>
      </c:spPr>
    </c:plotArea>
    <c:legend>
      <c:legendPos val="b"/>
      <c:layout/>
      <c:overlay val="0"/>
    </c:legend>
    <c:plotVisOnly val="1"/>
    <c:dispBlanksAs val="gap"/>
    <c:showDLblsOverMax val="0"/>
  </c:chart>
  <c:spPr>
    <a:ln w="12700">
      <a:solidFill>
        <a:srgbClr val="000080"/>
      </a:solid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'Trainee - psychiatry (2)'!$C$36</c:f>
              <c:strCache>
                <c:ptCount val="1"/>
                <c:pt idx="0">
                  <c:v>Major cities</c:v>
                </c:pt>
              </c:strCache>
            </c:strRef>
          </c:tx>
          <c:invertIfNegative val="0"/>
          <c:cat>
            <c:strRef>
              <c:f>'Trainee - psychiatry (2)'!$D$35:$K$35</c:f>
              <c:strCache>
                <c:ptCount val="8"/>
                <c:pt idx="0">
                  <c:v>NSW</c:v>
                </c:pt>
                <c:pt idx="1">
                  <c:v>VIC</c:v>
                </c:pt>
                <c:pt idx="2">
                  <c:v>QLD</c:v>
                </c:pt>
                <c:pt idx="3">
                  <c:v>SA</c:v>
                </c:pt>
                <c:pt idx="4">
                  <c:v>WA</c:v>
                </c:pt>
                <c:pt idx="5">
                  <c:v>TAS</c:v>
                </c:pt>
                <c:pt idx="6">
                  <c:v>NT</c:v>
                </c:pt>
                <c:pt idx="7">
                  <c:v>ACT</c:v>
                </c:pt>
              </c:strCache>
            </c:strRef>
          </c:cat>
          <c:val>
            <c:numRef>
              <c:f>'Trainee - psychiatry (2)'!$D$36:$K$36</c:f>
              <c:numCache>
                <c:formatCode>General</c:formatCode>
                <c:ptCount val="8"/>
                <c:pt idx="0">
                  <c:v>261</c:v>
                </c:pt>
                <c:pt idx="1">
                  <c:v>236</c:v>
                </c:pt>
                <c:pt idx="2">
                  <c:v>147</c:v>
                </c:pt>
                <c:pt idx="3">
                  <c:v>68</c:v>
                </c:pt>
                <c:pt idx="4">
                  <c:v>63</c:v>
                </c:pt>
                <c:pt idx="5">
                  <c:v>0</c:v>
                </c:pt>
                <c:pt idx="6">
                  <c:v>0</c:v>
                </c:pt>
                <c:pt idx="7">
                  <c:v>22</c:v>
                </c:pt>
              </c:numCache>
            </c:numRef>
          </c:val>
        </c:ser>
        <c:ser>
          <c:idx val="1"/>
          <c:order val="1"/>
          <c:tx>
            <c:strRef>
              <c:f>'Trainee - psychiatry (2)'!$C$37</c:f>
              <c:strCache>
                <c:ptCount val="1"/>
                <c:pt idx="0">
                  <c:v>Inner regional</c:v>
                </c:pt>
              </c:strCache>
            </c:strRef>
          </c:tx>
          <c:invertIfNegative val="0"/>
          <c:cat>
            <c:strRef>
              <c:f>'Trainee - psychiatry (2)'!$D$35:$K$35</c:f>
              <c:strCache>
                <c:ptCount val="8"/>
                <c:pt idx="0">
                  <c:v>NSW</c:v>
                </c:pt>
                <c:pt idx="1">
                  <c:v>VIC</c:v>
                </c:pt>
                <c:pt idx="2">
                  <c:v>QLD</c:v>
                </c:pt>
                <c:pt idx="3">
                  <c:v>SA</c:v>
                </c:pt>
                <c:pt idx="4">
                  <c:v>WA</c:v>
                </c:pt>
                <c:pt idx="5">
                  <c:v>TAS</c:v>
                </c:pt>
                <c:pt idx="6">
                  <c:v>NT</c:v>
                </c:pt>
                <c:pt idx="7">
                  <c:v>ACT</c:v>
                </c:pt>
              </c:strCache>
            </c:strRef>
          </c:cat>
          <c:val>
            <c:numRef>
              <c:f>'Trainee - psychiatry (2)'!$D$37:$K$37</c:f>
              <c:numCache>
                <c:formatCode>General</c:formatCode>
                <c:ptCount val="8"/>
                <c:pt idx="0">
                  <c:v>19</c:v>
                </c:pt>
                <c:pt idx="1">
                  <c:v>10</c:v>
                </c:pt>
                <c:pt idx="2">
                  <c:v>21</c:v>
                </c:pt>
                <c:pt idx="3">
                  <c:v>1</c:v>
                </c:pt>
                <c:pt idx="4">
                  <c:v>2</c:v>
                </c:pt>
                <c:pt idx="5">
                  <c:v>18</c:v>
                </c:pt>
                <c:pt idx="6">
                  <c:v>0</c:v>
                </c:pt>
                <c:pt idx="7">
                  <c:v>0</c:v>
                </c:pt>
              </c:numCache>
            </c:numRef>
          </c:val>
        </c:ser>
        <c:ser>
          <c:idx val="2"/>
          <c:order val="2"/>
          <c:tx>
            <c:strRef>
              <c:f>'Trainee - psychiatry (2)'!$C$38</c:f>
              <c:strCache>
                <c:ptCount val="1"/>
                <c:pt idx="0">
                  <c:v>Outer regional</c:v>
                </c:pt>
              </c:strCache>
            </c:strRef>
          </c:tx>
          <c:invertIfNegative val="0"/>
          <c:cat>
            <c:strRef>
              <c:f>'Trainee - psychiatry (2)'!$D$35:$K$35</c:f>
              <c:strCache>
                <c:ptCount val="8"/>
                <c:pt idx="0">
                  <c:v>NSW</c:v>
                </c:pt>
                <c:pt idx="1">
                  <c:v>VIC</c:v>
                </c:pt>
                <c:pt idx="2">
                  <c:v>QLD</c:v>
                </c:pt>
                <c:pt idx="3">
                  <c:v>SA</c:v>
                </c:pt>
                <c:pt idx="4">
                  <c:v>WA</c:v>
                </c:pt>
                <c:pt idx="5">
                  <c:v>TAS</c:v>
                </c:pt>
                <c:pt idx="6">
                  <c:v>NT</c:v>
                </c:pt>
                <c:pt idx="7">
                  <c:v>ACT</c:v>
                </c:pt>
              </c:strCache>
            </c:strRef>
          </c:cat>
          <c:val>
            <c:numRef>
              <c:f>'Trainee - psychiatry (2)'!$D$38:$K$38</c:f>
              <c:numCache>
                <c:formatCode>General</c:formatCode>
                <c:ptCount val="8"/>
                <c:pt idx="0">
                  <c:v>0</c:v>
                </c:pt>
                <c:pt idx="1">
                  <c:v>0</c:v>
                </c:pt>
                <c:pt idx="2">
                  <c:v>26</c:v>
                </c:pt>
                <c:pt idx="3">
                  <c:v>0</c:v>
                </c:pt>
                <c:pt idx="4">
                  <c:v>1</c:v>
                </c:pt>
                <c:pt idx="5">
                  <c:v>2</c:v>
                </c:pt>
                <c:pt idx="6">
                  <c:v>6</c:v>
                </c:pt>
                <c:pt idx="7">
                  <c:v>0</c:v>
                </c:pt>
              </c:numCache>
            </c:numRef>
          </c:val>
        </c:ser>
        <c:ser>
          <c:idx val="3"/>
          <c:order val="3"/>
          <c:tx>
            <c:strRef>
              <c:f>'Trainee - psychiatry (2)'!$C$39</c:f>
              <c:strCache>
                <c:ptCount val="1"/>
                <c:pt idx="0">
                  <c:v>Remote</c:v>
                </c:pt>
              </c:strCache>
            </c:strRef>
          </c:tx>
          <c:invertIfNegative val="0"/>
          <c:cat>
            <c:strRef>
              <c:f>'Trainee - psychiatry (2)'!$D$35:$K$35</c:f>
              <c:strCache>
                <c:ptCount val="8"/>
                <c:pt idx="0">
                  <c:v>NSW</c:v>
                </c:pt>
                <c:pt idx="1">
                  <c:v>VIC</c:v>
                </c:pt>
                <c:pt idx="2">
                  <c:v>QLD</c:v>
                </c:pt>
                <c:pt idx="3">
                  <c:v>SA</c:v>
                </c:pt>
                <c:pt idx="4">
                  <c:v>WA</c:v>
                </c:pt>
                <c:pt idx="5">
                  <c:v>TAS</c:v>
                </c:pt>
                <c:pt idx="6">
                  <c:v>NT</c:v>
                </c:pt>
                <c:pt idx="7">
                  <c:v>ACT</c:v>
                </c:pt>
              </c:strCache>
            </c:strRef>
          </c:cat>
          <c:val>
            <c:numRef>
              <c:f>'Trainee - psychiatry (2)'!$D$39:$K$39</c:f>
              <c:numCache>
                <c:formatCode>General</c:formatCode>
                <c:ptCount val="8"/>
                <c:pt idx="0">
                  <c:v>0</c:v>
                </c:pt>
                <c:pt idx="1">
                  <c:v>0</c:v>
                </c:pt>
                <c:pt idx="2">
                  <c:v>0</c:v>
                </c:pt>
                <c:pt idx="3">
                  <c:v>0</c:v>
                </c:pt>
                <c:pt idx="4">
                  <c:v>1</c:v>
                </c:pt>
                <c:pt idx="5">
                  <c:v>0</c:v>
                </c:pt>
                <c:pt idx="6">
                  <c:v>1</c:v>
                </c:pt>
                <c:pt idx="7">
                  <c:v>0</c:v>
                </c:pt>
              </c:numCache>
            </c:numRef>
          </c:val>
        </c:ser>
        <c:dLbls>
          <c:showLegendKey val="0"/>
          <c:showVal val="0"/>
          <c:showCatName val="0"/>
          <c:showSerName val="0"/>
          <c:showPercent val="0"/>
          <c:showBubbleSize val="0"/>
        </c:dLbls>
        <c:gapWidth val="75"/>
        <c:overlap val="100"/>
        <c:axId val="125415808"/>
        <c:axId val="125417344"/>
      </c:barChart>
      <c:catAx>
        <c:axId val="125415808"/>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25417344"/>
        <c:crosses val="autoZero"/>
        <c:auto val="1"/>
        <c:lblAlgn val="ctr"/>
        <c:lblOffset val="100"/>
        <c:noMultiLvlLbl val="0"/>
      </c:catAx>
      <c:valAx>
        <c:axId val="125417344"/>
        <c:scaling>
          <c:orientation val="minMax"/>
        </c:scaling>
        <c:delete val="0"/>
        <c:axPos val="b"/>
        <c:majorGridlines/>
        <c:numFmt formatCode="General" sourceLinked="1"/>
        <c:majorTickMark val="none"/>
        <c:min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en-US"/>
          </a:p>
        </c:txPr>
        <c:crossAx val="125415808"/>
        <c:crosses val="autoZero"/>
        <c:crossBetween val="between"/>
        <c:majorUnit val="20"/>
      </c:valAx>
    </c:plotArea>
    <c:legend>
      <c:legendPos val="b"/>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w="3175">
      <a:noFill/>
    </a:ln>
    <a:effectLst/>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515714381856116E-2"/>
          <c:y val="5.0228310502283102E-2"/>
          <c:w val="0.89260650111043816"/>
          <c:h val="0.72950448308055449"/>
        </c:manualLayout>
      </c:layout>
      <c:barChart>
        <c:barDir val="col"/>
        <c:grouping val="clustered"/>
        <c:varyColors val="0"/>
        <c:ser>
          <c:idx val="0"/>
          <c:order val="0"/>
          <c:invertIfNegative val="0"/>
          <c:dPt>
            <c:idx val="1"/>
            <c:invertIfNegative val="0"/>
            <c:bubble3D val="0"/>
            <c:spPr>
              <a:solidFill>
                <a:schemeClr val="accent2">
                  <a:lumMod val="60000"/>
                  <a:lumOff val="40000"/>
                </a:schemeClr>
              </a:solidFill>
            </c:spPr>
          </c:dPt>
          <c:dPt>
            <c:idx val="2"/>
            <c:invertIfNegative val="0"/>
            <c:bubble3D val="0"/>
            <c:spPr>
              <a:solidFill>
                <a:schemeClr val="accent2">
                  <a:lumMod val="20000"/>
                  <a:lumOff val="80000"/>
                </a:schemeClr>
              </a:solidFill>
            </c:spPr>
          </c:dPt>
          <c:dPt>
            <c:idx val="4"/>
            <c:invertIfNegative val="0"/>
            <c:bubble3D val="0"/>
            <c:spPr>
              <a:solidFill>
                <a:schemeClr val="accent2">
                  <a:lumMod val="60000"/>
                  <a:lumOff val="40000"/>
                </a:schemeClr>
              </a:solidFill>
            </c:spPr>
          </c:dPt>
          <c:dPt>
            <c:idx val="5"/>
            <c:invertIfNegative val="0"/>
            <c:bubble3D val="0"/>
            <c:spPr>
              <a:solidFill>
                <a:schemeClr val="accent2">
                  <a:lumMod val="20000"/>
                  <a:lumOff val="80000"/>
                </a:schemeClr>
              </a:solidFill>
            </c:spPr>
          </c:dPt>
          <c:dPt>
            <c:idx val="8"/>
            <c:invertIfNegative val="0"/>
            <c:bubble3D val="0"/>
            <c:spPr>
              <a:solidFill>
                <a:schemeClr val="accent2">
                  <a:lumMod val="60000"/>
                  <a:lumOff val="40000"/>
                </a:schemeClr>
              </a:solidFill>
            </c:spPr>
          </c:dPt>
          <c:dPt>
            <c:idx val="10"/>
            <c:invertIfNegative val="0"/>
            <c:bubble3D val="0"/>
            <c:spPr>
              <a:solidFill>
                <a:schemeClr val="accent2">
                  <a:lumMod val="20000"/>
                  <a:lumOff val="80000"/>
                </a:schemeClr>
              </a:solidFill>
            </c:spPr>
          </c:dPt>
          <c:dLbls>
            <c:dLbl>
              <c:idx val="10"/>
              <c:layout>
                <c:manualLayout>
                  <c:x val="0"/>
                  <c:y val="0.1719715925102728"/>
                </c:manualLayout>
              </c:layout>
              <c:spPr>
                <a:solidFill>
                  <a:schemeClr val="accent2">
                    <a:lumMod val="20000"/>
                    <a:lumOff val="80000"/>
                  </a:schemeClr>
                </a:solidFill>
              </c:spPr>
              <c:txPr>
                <a:bodyPr rot="5400000" vert="horz"/>
                <a:lstStyle/>
                <a:p>
                  <a:pPr>
                    <a:defRPr>
                      <a:latin typeface="Times New Roman" panose="02020603050405020304" pitchFamily="18" charset="0"/>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5400000" vert="horz"/>
              <a:lstStyle/>
              <a:p>
                <a:pPr>
                  <a:defRPr>
                    <a:latin typeface="Times New Roman" panose="02020603050405020304" pitchFamily="18" charset="0"/>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'Trainee - psychiatry (2)'!$B$118:$C$128</c:f>
              <c:multiLvlStrCache>
                <c:ptCount val="11"/>
                <c:lvl>
                  <c:pt idx="0">
                    <c:v>Public  </c:v>
                  </c:pt>
                  <c:pt idx="1">
                    <c:v>Private</c:v>
                  </c:pt>
                  <c:pt idx="2">
                    <c:v>Both</c:v>
                  </c:pt>
                  <c:pt idx="3">
                    <c:v>Public  </c:v>
                  </c:pt>
                  <c:pt idx="4">
                    <c:v>Private</c:v>
                  </c:pt>
                  <c:pt idx="5">
                    <c:v>Both</c:v>
                  </c:pt>
                  <c:pt idx="6">
                    <c:v>Public
</c:v>
                  </c:pt>
                  <c:pt idx="7">
                    <c:v>Public</c:v>
                  </c:pt>
                  <c:pt idx="8">
                    <c:v>Private</c:v>
                  </c:pt>
                  <c:pt idx="9">
                    <c:v>Public</c:v>
                  </c:pt>
                  <c:pt idx="10">
                    <c:v>Both</c:v>
                  </c:pt>
                </c:lvl>
                <c:lvl>
                  <c:pt idx="0">
                    <c:v>Major cities</c:v>
                  </c:pt>
                  <c:pt idx="3">
                    <c:v>Inner regional</c:v>
                  </c:pt>
                  <c:pt idx="6">
                    <c:v>Outer regional</c:v>
                  </c:pt>
                  <c:pt idx="7">
                    <c:v>Remote</c:v>
                  </c:pt>
                  <c:pt idx="9">
                    <c:v>Not stated</c:v>
                  </c:pt>
                </c:lvl>
              </c:multiLvlStrCache>
            </c:multiLvlStrRef>
          </c:cat>
          <c:val>
            <c:numRef>
              <c:f>'Trainee - psychiatry (2)'!$G$118:$G$128</c:f>
              <c:numCache>
                <c:formatCode>0.0%</c:formatCode>
                <c:ptCount val="11"/>
                <c:pt idx="0">
                  <c:v>0.92090505401941036</c:v>
                </c:pt>
                <c:pt idx="1">
                  <c:v>3.9518861014466215E-2</c:v>
                </c:pt>
                <c:pt idx="2">
                  <c:v>3.9576084966123422E-2</c:v>
                </c:pt>
                <c:pt idx="3">
                  <c:v>0.95845583535727985</c:v>
                </c:pt>
                <c:pt idx="4">
                  <c:v>1.2782819890067748E-2</c:v>
                </c:pt>
                <c:pt idx="5">
                  <c:v>2.8761344752652435E-2</c:v>
                </c:pt>
                <c:pt idx="6">
                  <c:v>1</c:v>
                </c:pt>
                <c:pt idx="7">
                  <c:v>0.51923076923076927</c:v>
                </c:pt>
                <c:pt idx="8">
                  <c:v>0.48076923076923073</c:v>
                </c:pt>
                <c:pt idx="9">
                  <c:v>0.77777777777777779</c:v>
                </c:pt>
                <c:pt idx="10">
                  <c:v>0.22222222222222221</c:v>
                </c:pt>
              </c:numCache>
            </c:numRef>
          </c:val>
        </c:ser>
        <c:dLbls>
          <c:showLegendKey val="0"/>
          <c:showVal val="0"/>
          <c:showCatName val="0"/>
          <c:showSerName val="0"/>
          <c:showPercent val="0"/>
          <c:showBubbleSize val="0"/>
        </c:dLbls>
        <c:gapWidth val="75"/>
        <c:axId val="127448192"/>
        <c:axId val="127449728"/>
      </c:barChart>
      <c:catAx>
        <c:axId val="127448192"/>
        <c:scaling>
          <c:orientation val="minMax"/>
        </c:scaling>
        <c:delete val="0"/>
        <c:axPos val="b"/>
        <c:numFmt formatCode="General" sourceLinked="0"/>
        <c:majorTickMark val="none"/>
        <c:minorTickMark val="none"/>
        <c:tickLblPos val="nextTo"/>
        <c:txPr>
          <a:bodyPr rot="0" vert="horz"/>
          <a:lstStyle/>
          <a:p>
            <a:pPr>
              <a:defRPr>
                <a:latin typeface="Times New Roman" panose="02020603050405020304" pitchFamily="18" charset="0"/>
                <a:cs typeface="Times New Roman" panose="02020603050405020304" pitchFamily="18" charset="0"/>
              </a:defRPr>
            </a:pPr>
            <a:endParaRPr lang="en-US"/>
          </a:p>
        </c:txPr>
        <c:crossAx val="127449728"/>
        <c:crosses val="autoZero"/>
        <c:auto val="1"/>
        <c:lblAlgn val="ctr"/>
        <c:lblOffset val="100"/>
        <c:noMultiLvlLbl val="0"/>
      </c:catAx>
      <c:valAx>
        <c:axId val="127449728"/>
        <c:scaling>
          <c:orientation val="minMax"/>
          <c:max val="1"/>
          <c:min val="0"/>
        </c:scaling>
        <c:delete val="0"/>
        <c:axPos val="l"/>
        <c:numFmt formatCode="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27448192"/>
        <c:crosses val="autoZero"/>
        <c:crossBetween val="between"/>
        <c:majorUnit val="0.2"/>
      </c:valAx>
      <c:spPr>
        <a:ln>
          <a:solidFill>
            <a:sysClr val="windowText" lastClr="000000"/>
          </a:solidFill>
        </a:ln>
      </c:spPr>
    </c:plotArea>
    <c:plotVisOnly val="1"/>
    <c:dispBlanksAs val="gap"/>
    <c:showDLblsOverMax val="0"/>
  </c:chart>
  <c:spPr>
    <a:ln w="12700">
      <a:solidFill>
        <a:srgbClr val="000080"/>
      </a:solid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36"/>
    </mc:Choice>
    <mc:Fallback>
      <c:style val="3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dLbl>
              <c:idx val="0"/>
              <c:layout/>
              <c:tx>
                <c:rich>
                  <a:bodyPr/>
                  <a:lstStyle/>
                  <a:p>
                    <a:r>
                      <a:rPr lang="en-US" b="1">
                        <a:latin typeface="Times New Roman" panose="02020603050405020304" pitchFamily="18" charset="0"/>
                        <a:cs typeface="Times New Roman" panose="02020603050405020304" pitchFamily="18" charset="0"/>
                      </a:rPr>
                      <a:t>41%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b="1">
                        <a:latin typeface="Times New Roman" panose="02020603050405020304" pitchFamily="18" charset="0"/>
                        <a:cs typeface="Times New Roman" panose="02020603050405020304" pitchFamily="18" charset="0"/>
                      </a:rPr>
                      <a:t>21%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b="1">
                        <a:latin typeface="Times New Roman" panose="02020603050405020304" pitchFamily="18" charset="0"/>
                        <a:cs typeface="Times New Roman" panose="02020603050405020304" pitchFamily="18" charset="0"/>
                      </a:rPr>
                      <a:t>9%</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9.2386173082531345E-2"/>
                </c:manualLayout>
              </c:layout>
              <c:tx>
                <c:rich>
                  <a:bodyPr/>
                  <a:lstStyle/>
                  <a:p>
                    <a:r>
                      <a:rPr lang="en-US" b="1">
                        <a:latin typeface="Times New Roman" panose="02020603050405020304" pitchFamily="18" charset="0"/>
                        <a:cs typeface="Times New Roman" panose="02020603050405020304" pitchFamily="18" charset="0"/>
                      </a:rPr>
                      <a:t>5%</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b="1">
                        <a:latin typeface="Times New Roman" panose="02020603050405020304" pitchFamily="18" charset="0"/>
                        <a:cs typeface="Times New Roman" panose="02020603050405020304" pitchFamily="18" charset="0"/>
                      </a:rPr>
                      <a:t>18%</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b="1">
                        <a:latin typeface="Times New Roman" panose="02020603050405020304" pitchFamily="18" charset="0"/>
                        <a:cs typeface="Times New Roman" panose="02020603050405020304" pitchFamily="18" charset="0"/>
                      </a:rPr>
                      <a:t>6%</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'Intention - psychiatry (2)'!$R$32:$W$32</c:f>
              <c:strCache>
                <c:ptCount val="6"/>
                <c:pt idx="0">
                  <c:v>Resident Medical Officer (RMO)</c:v>
                </c:pt>
                <c:pt idx="1">
                  <c:v>Hospital Medical Officer (HMO)</c:v>
                </c:pt>
                <c:pt idx="2">
                  <c:v>Career Medical Officer (CMO)</c:v>
                </c:pt>
                <c:pt idx="3">
                  <c:v>Principal House Officer (PHO)</c:v>
                </c:pt>
                <c:pt idx="4">
                  <c:v>Registrar</c:v>
                </c:pt>
                <c:pt idx="5">
                  <c:v>other</c:v>
                </c:pt>
              </c:strCache>
            </c:strRef>
          </c:cat>
          <c:val>
            <c:numRef>
              <c:f>'Intention - psychiatry (2)'!$R$33:$W$33</c:f>
              <c:numCache>
                <c:formatCode>General</c:formatCode>
                <c:ptCount val="6"/>
                <c:pt idx="0">
                  <c:v>67</c:v>
                </c:pt>
                <c:pt idx="1">
                  <c:v>34</c:v>
                </c:pt>
                <c:pt idx="2">
                  <c:v>15</c:v>
                </c:pt>
                <c:pt idx="3">
                  <c:v>8</c:v>
                </c:pt>
                <c:pt idx="4">
                  <c:v>29</c:v>
                </c:pt>
                <c:pt idx="5">
                  <c:v>9</c:v>
                </c:pt>
              </c:numCache>
            </c:numRef>
          </c:val>
        </c:ser>
        <c:dLbls>
          <c:showLegendKey val="0"/>
          <c:showVal val="0"/>
          <c:showCatName val="0"/>
          <c:showSerName val="0"/>
          <c:showPercent val="0"/>
          <c:showBubbleSize val="0"/>
        </c:dLbls>
        <c:gapWidth val="150"/>
        <c:axId val="133900544"/>
        <c:axId val="133906432"/>
      </c:barChart>
      <c:catAx>
        <c:axId val="133900544"/>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33906432"/>
        <c:crosses val="autoZero"/>
        <c:auto val="1"/>
        <c:lblAlgn val="ctr"/>
        <c:lblOffset val="100"/>
        <c:noMultiLvlLbl val="0"/>
      </c:catAx>
      <c:valAx>
        <c:axId val="133906432"/>
        <c:scaling>
          <c:orientation val="minMax"/>
        </c:scaling>
        <c:delete val="0"/>
        <c:axPos val="l"/>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33900544"/>
        <c:crosses val="autoZero"/>
        <c:crossBetween val="between"/>
      </c:valAx>
      <c:spPr>
        <a:ln>
          <a:solidFill>
            <a:sysClr val="windowText" lastClr="000000"/>
          </a:solidFill>
        </a:ln>
      </c:spPr>
    </c:plotArea>
    <c:plotVisOnly val="1"/>
    <c:dispBlanksAs val="gap"/>
    <c:showDLblsOverMax val="0"/>
  </c:chart>
  <c:spPr>
    <a:ln w="12700">
      <a:solidFill>
        <a:srgbClr val="000080"/>
      </a:solidFill>
    </a:ln>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E18980-D2EE-462D-92FC-FB99B3278471}" type="doc">
      <dgm:prSet loTypeId="urn:microsoft.com/office/officeart/2008/layout/HalfCircleOrganizationChart" loCatId="hierarchy" qsTypeId="urn:microsoft.com/office/officeart/2005/8/quickstyle/simple1" qsCatId="simple" csTypeId="urn:microsoft.com/office/officeart/2005/8/colors/colorful1" csCatId="colorful" phldr="1"/>
      <dgm:spPr/>
      <dgm:t>
        <a:bodyPr/>
        <a:lstStyle/>
        <a:p>
          <a:endParaRPr lang="en-AU"/>
        </a:p>
      </dgm:t>
    </dgm:pt>
    <dgm:pt modelId="{0908C1E7-609D-44E1-8D09-790306C7EE3F}" type="asst">
      <dgm:prSet phldrT="[Text]" custT="1"/>
      <dgm:spPr>
        <a:xfrm>
          <a:off x="2538342" y="941682"/>
          <a:ext cx="1020921" cy="322231"/>
        </a:xfrm>
        <a:noFill/>
        <a:ln w="25400" cap="flat" cmpd="sng" algn="ctr">
          <a:noFill/>
          <a:prstDash val="solid"/>
        </a:ln>
        <a:effectLst/>
        <a:sp3d/>
      </dgm:spPr>
      <dgm:t>
        <a:bodyPr/>
        <a:lstStyle/>
        <a:p>
          <a:r>
            <a:rPr lang="en-A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3,031</a:t>
          </a:r>
          <a:r>
            <a:rPr lang="en-AU"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Employed</a:t>
          </a:r>
        </a:p>
      </dgm:t>
    </dgm:pt>
    <dgm:pt modelId="{7DD33519-62EB-4B2A-8593-BB227183E758}" type="parTrans" cxnId="{324D39CB-2723-45BF-9E7E-CE0651407134}">
      <dgm:prSet/>
      <dgm:spPr/>
      <dgm:t>
        <a:bodyPr/>
        <a:lstStyle/>
        <a:p>
          <a:endParaRPr lang="en-AU">
            <a:latin typeface="Arial" panose="020B0604020202020204" pitchFamily="34" charset="0"/>
            <a:cs typeface="Arial" panose="020B0604020202020204" pitchFamily="34" charset="0"/>
          </a:endParaRPr>
        </a:p>
      </dgm:t>
    </dgm:pt>
    <dgm:pt modelId="{E88C6703-328D-4BDB-9593-172DA7CD77EB}" type="sibTrans" cxnId="{324D39CB-2723-45BF-9E7E-CE0651407134}">
      <dgm:prSet/>
      <dgm:spPr/>
      <dgm:t>
        <a:bodyPr/>
        <a:lstStyle/>
        <a:p>
          <a:endParaRPr lang="en-AU">
            <a:latin typeface="Arial" panose="020B0604020202020204" pitchFamily="34" charset="0"/>
            <a:cs typeface="Arial" panose="020B0604020202020204" pitchFamily="34" charset="0"/>
          </a:endParaRPr>
        </a:p>
      </dgm:t>
    </dgm:pt>
    <dgm:pt modelId="{CE1DBCB7-5AD1-4852-B73B-B08EFE595F61}">
      <dgm:prSet phldrT="[Text]" custT="1"/>
      <dgm:spPr>
        <a:xfrm>
          <a:off x="0" y="1667774"/>
          <a:ext cx="1044111" cy="334115"/>
        </a:xfrm>
        <a:noFill/>
        <a:ln w="25400" cap="flat" cmpd="sng" algn="ctr">
          <a:noFill/>
          <a:prstDash val="solid"/>
        </a:ln>
        <a:effectLst/>
        <a:sp3d/>
      </dgm:spPr>
      <dgm:t>
        <a:bodyPr/>
        <a:lstStyle/>
        <a:p>
          <a:r>
            <a:rPr lang="en-A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2,805</a:t>
          </a:r>
          <a:r>
            <a:rPr lang="en-A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Clinicians</a:t>
          </a:r>
        </a:p>
      </dgm:t>
    </dgm:pt>
    <dgm:pt modelId="{3BE9C3BE-7684-45EE-B0B2-8DBB45AE264A}" type="parTrans" cxnId="{75204654-1E5E-4E9F-BE19-B08218A891E0}">
      <dgm:prSet/>
      <dgm:spPr>
        <a:xfrm>
          <a:off x="522055" y="1354541"/>
          <a:ext cx="2526747" cy="219263"/>
        </a:xfrm>
        <a:noFill/>
        <a:ln w="25400" cap="flat" cmpd="sng" algn="ctr">
          <a:solidFill>
            <a:srgbClr val="C0504D"/>
          </a:solidFill>
          <a:prstDash val="solid"/>
        </a:ln>
        <a:effectLst/>
      </dgm:spPr>
      <dgm:t>
        <a:bodyPr/>
        <a:lstStyle/>
        <a:p>
          <a:endParaRPr lang="en-AU" sz="1200">
            <a:latin typeface="Arial" panose="020B0604020202020204" pitchFamily="34" charset="0"/>
            <a:cs typeface="Arial" panose="020B0604020202020204" pitchFamily="34" charset="0"/>
          </a:endParaRPr>
        </a:p>
      </dgm:t>
    </dgm:pt>
    <dgm:pt modelId="{8E448F14-569A-4B14-8BE2-3A0EA2CEB71C}" type="sibTrans" cxnId="{75204654-1E5E-4E9F-BE19-B08218A891E0}">
      <dgm:prSet/>
      <dgm:spPr/>
      <dgm:t>
        <a:bodyPr/>
        <a:lstStyle/>
        <a:p>
          <a:endParaRPr lang="en-AU">
            <a:latin typeface="Arial" panose="020B0604020202020204" pitchFamily="34" charset="0"/>
            <a:cs typeface="Arial" panose="020B0604020202020204" pitchFamily="34" charset="0"/>
          </a:endParaRPr>
        </a:p>
      </dgm:t>
    </dgm:pt>
    <dgm:pt modelId="{A04679BE-2987-4343-B25A-AF18AF4A9195}">
      <dgm:prSet phldrT="[Text]" custT="1"/>
      <dgm:spPr>
        <a:xfrm>
          <a:off x="5054539" y="1666291"/>
          <a:ext cx="1044111" cy="334115"/>
        </a:xfrm>
        <a:noFill/>
        <a:ln w="25400" cap="flat" cmpd="sng" algn="ctr">
          <a:noFill/>
          <a:prstDash val="solid"/>
        </a:ln>
        <a:effectLst/>
        <a:sp3d/>
      </dgm:spPr>
      <dgm:t>
        <a:bodyPr/>
        <a:lstStyle/>
        <a:p>
          <a:r>
            <a:rPr lang="en-A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a:t>
          </a:r>
          <a:r>
            <a:rPr lang="en-A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Other</a:t>
          </a:r>
        </a:p>
      </dgm:t>
    </dgm:pt>
    <dgm:pt modelId="{2667A909-61F0-4460-8541-AE454C4E48C2}" type="parTrans" cxnId="{EA492082-F251-44D9-8135-9CC1E54090A7}">
      <dgm:prSet/>
      <dgm:spPr>
        <a:xfrm>
          <a:off x="3048803" y="1354541"/>
          <a:ext cx="2527792" cy="217779"/>
        </a:xfrm>
        <a:noFill/>
        <a:ln w="25400" cap="flat" cmpd="sng" algn="ctr">
          <a:solidFill>
            <a:srgbClr val="C0504D"/>
          </a:solidFill>
          <a:prstDash val="solid"/>
        </a:ln>
        <a:effectLst/>
      </dgm:spPr>
      <dgm:t>
        <a:bodyPr/>
        <a:lstStyle/>
        <a:p>
          <a:endParaRPr lang="en-AU" sz="1200">
            <a:latin typeface="Arial" panose="020B0604020202020204" pitchFamily="34" charset="0"/>
            <a:cs typeface="Arial" panose="020B0604020202020204" pitchFamily="34" charset="0"/>
          </a:endParaRPr>
        </a:p>
      </dgm:t>
    </dgm:pt>
    <dgm:pt modelId="{B03D2A22-DF32-4374-952B-C302DA94F60D}" type="sibTrans" cxnId="{EA492082-F251-44D9-8135-9CC1E54090A7}">
      <dgm:prSet/>
      <dgm:spPr/>
      <dgm:t>
        <a:bodyPr/>
        <a:lstStyle/>
        <a:p>
          <a:endParaRPr lang="en-AU">
            <a:latin typeface="Arial" panose="020B0604020202020204" pitchFamily="34" charset="0"/>
            <a:cs typeface="Arial" panose="020B0604020202020204" pitchFamily="34" charset="0"/>
          </a:endParaRPr>
        </a:p>
      </dgm:t>
    </dgm:pt>
    <dgm:pt modelId="{E8675F91-AB28-4A3E-A2EB-CE0C9CA84D7A}">
      <dgm:prSet phldrT="[Text]" custT="1"/>
      <dgm:spPr>
        <a:xfrm>
          <a:off x="2526747" y="1667774"/>
          <a:ext cx="1044111" cy="334115"/>
        </a:xfrm>
        <a:noFill/>
        <a:ln w="25400" cap="flat" cmpd="sng" algn="ctr">
          <a:noFill/>
          <a:prstDash val="solid"/>
        </a:ln>
        <a:effectLst/>
        <a:sp3d/>
      </dgm:spPr>
      <dgm:t>
        <a:bodyPr/>
        <a:lstStyle/>
        <a:p>
          <a:r>
            <a:rPr lang="en-A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57</a:t>
          </a:r>
          <a:r>
            <a:rPr lang="en-A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Teacher/Educator</a:t>
          </a:r>
        </a:p>
      </dgm:t>
    </dgm:pt>
    <dgm:pt modelId="{72A1596F-8C9B-4D0E-8CEF-4B7859E316F4}" type="parTrans" cxnId="{E8EF3BD1-392A-4FAB-A861-5069EF06E17B}">
      <dgm:prSet/>
      <dgm:spPr>
        <a:xfrm>
          <a:off x="3003083" y="1354541"/>
          <a:ext cx="91440" cy="219263"/>
        </a:xfrm>
        <a:noFill/>
        <a:ln w="25400" cap="flat" cmpd="sng" algn="ctr">
          <a:solidFill>
            <a:srgbClr val="C0504D"/>
          </a:solidFill>
          <a:prstDash val="solid"/>
        </a:ln>
        <a:effectLst/>
      </dgm:spPr>
      <dgm:t>
        <a:bodyPr/>
        <a:lstStyle/>
        <a:p>
          <a:endParaRPr lang="en-AU" sz="1200">
            <a:latin typeface="Arial" panose="020B0604020202020204" pitchFamily="34" charset="0"/>
            <a:cs typeface="Arial" panose="020B0604020202020204" pitchFamily="34" charset="0"/>
          </a:endParaRPr>
        </a:p>
      </dgm:t>
    </dgm:pt>
    <dgm:pt modelId="{88E4F4D7-5829-4F09-8656-33A0D49E08A3}" type="sibTrans" cxnId="{E8EF3BD1-392A-4FAB-A861-5069EF06E17B}">
      <dgm:prSet/>
      <dgm:spPr/>
      <dgm:t>
        <a:bodyPr/>
        <a:lstStyle/>
        <a:p>
          <a:endParaRPr lang="en-AU">
            <a:latin typeface="Arial" panose="020B0604020202020204" pitchFamily="34" charset="0"/>
            <a:cs typeface="Arial" panose="020B0604020202020204" pitchFamily="34" charset="0"/>
          </a:endParaRPr>
        </a:p>
      </dgm:t>
    </dgm:pt>
    <dgm:pt modelId="{E3832F99-05CF-4D2F-951E-3B7410539400}">
      <dgm:prSet phldrT="[Text]" custT="1"/>
      <dgm:spPr>
        <a:xfrm>
          <a:off x="3790122" y="1667774"/>
          <a:ext cx="1044111" cy="334115"/>
        </a:xfrm>
        <a:noFill/>
        <a:ln w="25400" cap="flat" cmpd="sng" algn="ctr">
          <a:noFill/>
          <a:prstDash val="solid"/>
        </a:ln>
        <a:effectLst/>
        <a:sp3d/>
      </dgm:spPr>
      <dgm:t>
        <a:bodyPr/>
        <a:lstStyle/>
        <a:p>
          <a:r>
            <a:rPr lang="en-A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55</a:t>
          </a:r>
          <a:r>
            <a:rPr lang="en-A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Researcher</a:t>
          </a:r>
        </a:p>
      </dgm:t>
    </dgm:pt>
    <dgm:pt modelId="{E2E99F87-85FE-4236-9167-4F8D339DC8F2}" type="parTrans" cxnId="{A35A846D-C6FB-4E20-9458-1F9B272AB18F}">
      <dgm:prSet/>
      <dgm:spPr>
        <a:xfrm>
          <a:off x="3048803" y="1354541"/>
          <a:ext cx="1263374" cy="219263"/>
        </a:xfrm>
        <a:noFill/>
        <a:ln w="25400" cap="flat" cmpd="sng" algn="ctr">
          <a:solidFill>
            <a:srgbClr val="C0504D"/>
          </a:solidFill>
          <a:prstDash val="solid"/>
        </a:ln>
        <a:effectLst/>
      </dgm:spPr>
      <dgm:t>
        <a:bodyPr/>
        <a:lstStyle/>
        <a:p>
          <a:endParaRPr lang="en-AU" sz="1200">
            <a:latin typeface="Arial" panose="020B0604020202020204" pitchFamily="34" charset="0"/>
            <a:cs typeface="Arial" panose="020B0604020202020204" pitchFamily="34" charset="0"/>
          </a:endParaRPr>
        </a:p>
      </dgm:t>
    </dgm:pt>
    <dgm:pt modelId="{F7E23134-03AB-4FF0-930E-80B9E7ED9F6E}" type="sibTrans" cxnId="{A35A846D-C6FB-4E20-9458-1F9B272AB18F}">
      <dgm:prSet/>
      <dgm:spPr/>
      <dgm:t>
        <a:bodyPr/>
        <a:lstStyle/>
        <a:p>
          <a:endParaRPr lang="en-AU">
            <a:latin typeface="Arial" panose="020B0604020202020204" pitchFamily="34" charset="0"/>
            <a:cs typeface="Arial" panose="020B0604020202020204" pitchFamily="34" charset="0"/>
          </a:endParaRPr>
        </a:p>
      </dgm:t>
    </dgm:pt>
    <dgm:pt modelId="{247357C3-8760-4389-B0AE-03D746801691}">
      <dgm:prSet phldrT="[Text]" custT="1"/>
      <dgm:spPr>
        <a:xfrm>
          <a:off x="1314827" y="1678068"/>
          <a:ext cx="1044111" cy="334115"/>
        </a:xfrm>
        <a:noFill/>
        <a:ln w="25400" cap="flat" cmpd="sng" algn="ctr">
          <a:noFill/>
          <a:prstDash val="solid"/>
        </a:ln>
        <a:effectLst/>
        <a:sp3d/>
      </dgm:spPr>
      <dgm:t>
        <a:bodyPr/>
        <a:lstStyle/>
        <a:p>
          <a:r>
            <a:rPr lang="en-A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94</a:t>
          </a:r>
          <a:r>
            <a:rPr lang="en-A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Administrator</a:t>
          </a:r>
        </a:p>
      </dgm:t>
    </dgm:pt>
    <dgm:pt modelId="{0A7D511A-E951-4841-BA93-C919A079D410}" type="parTrans" cxnId="{2E4AA9D1-52DC-425F-827F-5BF3F01EDA2D}">
      <dgm:prSet/>
      <dgm:spPr>
        <a:xfrm>
          <a:off x="1836882" y="1354541"/>
          <a:ext cx="1211920" cy="229557"/>
        </a:xfrm>
        <a:noFill/>
        <a:ln w="25400" cap="flat" cmpd="sng" algn="ctr">
          <a:solidFill>
            <a:srgbClr val="C0504D"/>
          </a:solidFill>
          <a:prstDash val="solid"/>
        </a:ln>
        <a:effectLst/>
      </dgm:spPr>
      <dgm:t>
        <a:bodyPr/>
        <a:lstStyle/>
        <a:p>
          <a:endParaRPr lang="en-AU" sz="1200">
            <a:latin typeface="Arial" panose="020B0604020202020204" pitchFamily="34" charset="0"/>
            <a:cs typeface="Arial" panose="020B0604020202020204" pitchFamily="34" charset="0"/>
          </a:endParaRPr>
        </a:p>
      </dgm:t>
    </dgm:pt>
    <dgm:pt modelId="{D8109970-60EB-4161-A777-957CBF02DF49}" type="sibTrans" cxnId="{2E4AA9D1-52DC-425F-827F-5BF3F01EDA2D}">
      <dgm:prSet/>
      <dgm:spPr/>
      <dgm:t>
        <a:bodyPr/>
        <a:lstStyle/>
        <a:p>
          <a:endParaRPr lang="en-AU">
            <a:latin typeface="Arial" panose="020B0604020202020204" pitchFamily="34" charset="0"/>
            <a:cs typeface="Arial" panose="020B0604020202020204" pitchFamily="34" charset="0"/>
          </a:endParaRPr>
        </a:p>
      </dgm:t>
    </dgm:pt>
    <dgm:pt modelId="{52F88F88-6361-4CDC-8DFD-1611764EF90E}" type="asst">
      <dgm:prSet phldrT="[Text]" custT="1"/>
      <dgm:spPr>
        <a:xfrm>
          <a:off x="2479757" y="243425"/>
          <a:ext cx="1120466" cy="340704"/>
        </a:xfrm>
        <a:noFill/>
        <a:ln w="25400" cap="flat" cmpd="sng" algn="ctr">
          <a:noFill/>
          <a:prstDash val="solid"/>
        </a:ln>
        <a:effectLst/>
        <a:sp3d/>
      </dgm:spPr>
      <dgm:t>
        <a:bodyPr/>
        <a:lstStyle/>
        <a:p>
          <a:r>
            <a:rPr lang="en-AU" sz="14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3,236</a:t>
          </a:r>
          <a: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r>
          <a:br>
            <a:rPr lang="en-AU"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br>
          <a:r>
            <a:rPr lang="en-A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Registered</a:t>
          </a:r>
        </a:p>
      </dgm:t>
    </dgm:pt>
    <dgm:pt modelId="{04DF7902-E7FF-4705-89A0-6F1E2F87E82B}" type="parTrans" cxnId="{3CAD3E5A-5502-40EC-8FA1-60E979DB73D8}">
      <dgm:prSet/>
      <dgm:spPr/>
      <dgm:t>
        <a:bodyPr/>
        <a:lstStyle/>
        <a:p>
          <a:endParaRPr lang="en-AU">
            <a:latin typeface="Arial" panose="020B0604020202020204" pitchFamily="34" charset="0"/>
            <a:cs typeface="Arial" panose="020B0604020202020204" pitchFamily="34" charset="0"/>
          </a:endParaRPr>
        </a:p>
      </dgm:t>
    </dgm:pt>
    <dgm:pt modelId="{EB2D9060-2496-4EC5-8251-291A95700369}" type="sibTrans" cxnId="{3CAD3E5A-5502-40EC-8FA1-60E979DB73D8}">
      <dgm:prSet/>
      <dgm:spPr/>
      <dgm:t>
        <a:bodyPr/>
        <a:lstStyle/>
        <a:p>
          <a:endParaRPr lang="en-AU">
            <a:latin typeface="Arial" panose="020B0604020202020204" pitchFamily="34" charset="0"/>
            <a:cs typeface="Arial" panose="020B0604020202020204" pitchFamily="34" charset="0"/>
          </a:endParaRPr>
        </a:p>
      </dgm:t>
    </dgm:pt>
    <dgm:pt modelId="{4F2B547F-A60A-4245-A217-A2ACC73DE350}" type="pres">
      <dgm:prSet presAssocID="{96E18980-D2EE-462D-92FC-FB99B3278471}" presName="Name0" presStyleCnt="0">
        <dgm:presLayoutVars>
          <dgm:orgChart val="1"/>
          <dgm:chPref val="1"/>
          <dgm:dir/>
          <dgm:animOne val="branch"/>
          <dgm:animLvl val="lvl"/>
          <dgm:resizeHandles/>
        </dgm:presLayoutVars>
      </dgm:prSet>
      <dgm:spPr/>
      <dgm:t>
        <a:bodyPr/>
        <a:lstStyle/>
        <a:p>
          <a:endParaRPr lang="en-AU"/>
        </a:p>
      </dgm:t>
    </dgm:pt>
    <dgm:pt modelId="{3D90E789-D6E2-4532-B500-AD9E71F9AC1E}" type="pres">
      <dgm:prSet presAssocID="{52F88F88-6361-4CDC-8DFD-1611764EF90E}" presName="hierRoot1" presStyleCnt="0">
        <dgm:presLayoutVars>
          <dgm:hierBranch val="init"/>
        </dgm:presLayoutVars>
      </dgm:prSet>
      <dgm:spPr/>
    </dgm:pt>
    <dgm:pt modelId="{411F5C68-3DBB-4ABF-977E-2A93947CFED7}" type="pres">
      <dgm:prSet presAssocID="{52F88F88-6361-4CDC-8DFD-1611764EF90E}" presName="rootComposite1" presStyleCnt="0"/>
      <dgm:spPr/>
    </dgm:pt>
    <dgm:pt modelId="{F0ACA48D-C2D1-4754-916F-DD11887F4466}" type="pres">
      <dgm:prSet presAssocID="{52F88F88-6361-4CDC-8DFD-1611764EF90E}" presName="rootText1" presStyleLbl="alignAcc1" presStyleIdx="0" presStyleCnt="0" custAng="0" custScaleX="107313" custScaleY="101972" custLinFactX="22652" custLinFactY="-11092" custLinFactNeighborX="100000" custLinFactNeighborY="-100000">
        <dgm:presLayoutVars>
          <dgm:chPref val="3"/>
        </dgm:presLayoutVars>
      </dgm:prSet>
      <dgm:spPr>
        <a:prstGeom prst="rect">
          <a:avLst/>
        </a:prstGeom>
      </dgm:spPr>
      <dgm:t>
        <a:bodyPr/>
        <a:lstStyle/>
        <a:p>
          <a:endParaRPr lang="en-AU"/>
        </a:p>
      </dgm:t>
    </dgm:pt>
    <dgm:pt modelId="{1711B397-1B03-489F-BF44-7A4267D12181}" type="pres">
      <dgm:prSet presAssocID="{52F88F88-6361-4CDC-8DFD-1611764EF90E}" presName="topArc1" presStyleLbl="parChTrans1D1" presStyleIdx="0" presStyleCnt="14"/>
      <dgm:spPr>
        <a:xfrm>
          <a:off x="2759874" y="147602"/>
          <a:ext cx="560233" cy="532350"/>
        </a:xfrm>
        <a:prstGeom prst="arc">
          <a:avLst>
            <a:gd name="adj1" fmla="val 13200000"/>
            <a:gd name="adj2" fmla="val 19200000"/>
          </a:avLst>
        </a:prstGeom>
        <a:noFill/>
        <a:ln w="25400" cap="flat" cmpd="sng" algn="ctr">
          <a:solidFill>
            <a:srgbClr val="000080"/>
          </a:solidFill>
          <a:prstDash val="solid"/>
        </a:ln>
        <a:effectLst/>
      </dgm:spPr>
      <dgm:t>
        <a:bodyPr/>
        <a:lstStyle/>
        <a:p>
          <a:endParaRPr lang="en-AU"/>
        </a:p>
      </dgm:t>
    </dgm:pt>
    <dgm:pt modelId="{C143A938-E8AE-4596-91E7-63108A4C495C}" type="pres">
      <dgm:prSet presAssocID="{52F88F88-6361-4CDC-8DFD-1611764EF90E}" presName="bottomArc1" presStyleLbl="parChTrans1D1" presStyleIdx="1" presStyleCnt="14"/>
      <dgm:spPr>
        <a:xfrm>
          <a:off x="2759874" y="147602"/>
          <a:ext cx="560233" cy="532350"/>
        </a:xfrm>
        <a:prstGeom prst="arc">
          <a:avLst>
            <a:gd name="adj1" fmla="val 2400000"/>
            <a:gd name="adj2" fmla="val 8400000"/>
          </a:avLst>
        </a:prstGeom>
        <a:noFill/>
        <a:ln w="25400" cap="flat" cmpd="sng" algn="ctr">
          <a:solidFill>
            <a:srgbClr val="000080"/>
          </a:solidFill>
          <a:prstDash val="solid"/>
        </a:ln>
        <a:effectLst/>
      </dgm:spPr>
      <dgm:t>
        <a:bodyPr/>
        <a:lstStyle/>
        <a:p>
          <a:endParaRPr lang="en-AU"/>
        </a:p>
      </dgm:t>
    </dgm:pt>
    <dgm:pt modelId="{89845D66-25EB-4814-BF7D-F30E544EA728}" type="pres">
      <dgm:prSet presAssocID="{52F88F88-6361-4CDC-8DFD-1611764EF90E}" presName="topConnNode1" presStyleLbl="asst0" presStyleIdx="0" presStyleCnt="0"/>
      <dgm:spPr/>
      <dgm:t>
        <a:bodyPr/>
        <a:lstStyle/>
        <a:p>
          <a:endParaRPr lang="en-AU"/>
        </a:p>
      </dgm:t>
    </dgm:pt>
    <dgm:pt modelId="{65FB210D-2030-40F5-BF6A-23C5D570C507}" type="pres">
      <dgm:prSet presAssocID="{52F88F88-6361-4CDC-8DFD-1611764EF90E}" presName="hierChild2" presStyleCnt="0"/>
      <dgm:spPr/>
    </dgm:pt>
    <dgm:pt modelId="{059294E7-5F92-4148-B927-56BE43483FD5}" type="pres">
      <dgm:prSet presAssocID="{52F88F88-6361-4CDC-8DFD-1611764EF90E}" presName="hierChild3" presStyleCnt="0"/>
      <dgm:spPr/>
    </dgm:pt>
    <dgm:pt modelId="{8A3D2251-E096-486E-AB94-7C619B57D7A4}" type="pres">
      <dgm:prSet presAssocID="{0908C1E7-609D-44E1-8D09-790306C7EE3F}" presName="hierRoot1" presStyleCnt="0">
        <dgm:presLayoutVars>
          <dgm:hierBranch val="init"/>
        </dgm:presLayoutVars>
      </dgm:prSet>
      <dgm:spPr/>
    </dgm:pt>
    <dgm:pt modelId="{00BBD6BA-5997-428C-8733-936FA9234464}" type="pres">
      <dgm:prSet presAssocID="{0908C1E7-609D-44E1-8D09-790306C7EE3F}" presName="rootComposite1" presStyleCnt="0"/>
      <dgm:spPr/>
    </dgm:pt>
    <dgm:pt modelId="{0DBEC276-7AF5-4654-8F01-6FD819773E65}" type="pres">
      <dgm:prSet presAssocID="{0908C1E7-609D-44E1-8D09-790306C7EE3F}" presName="rootText1" presStyleLbl="alignAcc1" presStyleIdx="0" presStyleCnt="0" custAng="0" custScaleX="97779" custScaleY="96443" custLinFactNeighborX="-50" custLinFactNeighborY="97171">
        <dgm:presLayoutVars>
          <dgm:chPref val="3"/>
        </dgm:presLayoutVars>
      </dgm:prSet>
      <dgm:spPr>
        <a:prstGeom prst="rect">
          <a:avLst/>
        </a:prstGeom>
      </dgm:spPr>
      <dgm:t>
        <a:bodyPr/>
        <a:lstStyle/>
        <a:p>
          <a:endParaRPr lang="en-AU"/>
        </a:p>
      </dgm:t>
    </dgm:pt>
    <dgm:pt modelId="{7D99FAA1-9B5A-464F-9A85-458BAF314A21}" type="pres">
      <dgm:prSet presAssocID="{0908C1E7-609D-44E1-8D09-790306C7EE3F}" presName="topArc1" presStyleLbl="parChTrans1D1" presStyleIdx="2" presStyleCnt="14"/>
      <dgm:spPr>
        <a:xfrm>
          <a:off x="2793573" y="851055"/>
          <a:ext cx="510460" cy="503486"/>
        </a:xfrm>
        <a:prstGeom prst="arc">
          <a:avLst>
            <a:gd name="adj1" fmla="val 13200000"/>
            <a:gd name="adj2" fmla="val 19200000"/>
          </a:avLst>
        </a:prstGeom>
        <a:noFill/>
        <a:ln w="25400" cap="flat" cmpd="sng" algn="ctr">
          <a:solidFill>
            <a:srgbClr val="000080"/>
          </a:solidFill>
          <a:prstDash val="solid"/>
        </a:ln>
        <a:effectLst/>
      </dgm:spPr>
      <dgm:t>
        <a:bodyPr/>
        <a:lstStyle/>
        <a:p>
          <a:endParaRPr lang="en-AU"/>
        </a:p>
      </dgm:t>
    </dgm:pt>
    <dgm:pt modelId="{9398087D-2C2B-4138-96DB-10E6CA3DD013}" type="pres">
      <dgm:prSet presAssocID="{0908C1E7-609D-44E1-8D09-790306C7EE3F}" presName="bottomArc1" presStyleLbl="parChTrans1D1" presStyleIdx="3" presStyleCnt="14"/>
      <dgm:spPr>
        <a:xfrm>
          <a:off x="2793573" y="851055"/>
          <a:ext cx="510460" cy="503486"/>
        </a:xfrm>
        <a:prstGeom prst="arc">
          <a:avLst>
            <a:gd name="adj1" fmla="val 2400000"/>
            <a:gd name="adj2" fmla="val 8400000"/>
          </a:avLst>
        </a:prstGeom>
        <a:noFill/>
        <a:ln w="25400" cap="flat" cmpd="sng" algn="ctr">
          <a:solidFill>
            <a:srgbClr val="000080"/>
          </a:solidFill>
          <a:prstDash val="solid"/>
        </a:ln>
        <a:effectLst/>
      </dgm:spPr>
      <dgm:t>
        <a:bodyPr/>
        <a:lstStyle/>
        <a:p>
          <a:endParaRPr lang="en-AU"/>
        </a:p>
      </dgm:t>
    </dgm:pt>
    <dgm:pt modelId="{1E1CE80C-96C5-42E9-9534-99CD2F93FB7E}" type="pres">
      <dgm:prSet presAssocID="{0908C1E7-609D-44E1-8D09-790306C7EE3F}" presName="topConnNode1" presStyleLbl="asst0" presStyleIdx="0" presStyleCnt="0"/>
      <dgm:spPr/>
      <dgm:t>
        <a:bodyPr/>
        <a:lstStyle/>
        <a:p>
          <a:endParaRPr lang="en-AU"/>
        </a:p>
      </dgm:t>
    </dgm:pt>
    <dgm:pt modelId="{CAD7623F-A866-4C26-BEE7-DCDC1447B0B8}" type="pres">
      <dgm:prSet presAssocID="{0908C1E7-609D-44E1-8D09-790306C7EE3F}" presName="hierChild2" presStyleCnt="0"/>
      <dgm:spPr/>
    </dgm:pt>
    <dgm:pt modelId="{E92CBD14-0189-494A-BC08-0B46CFDCA8A2}" type="pres">
      <dgm:prSet presAssocID="{3BE9C3BE-7684-45EE-B0B2-8DBB45AE264A}" presName="Name28" presStyleLbl="parChTrans1D2" presStyleIdx="0" presStyleCnt="5"/>
      <dgm:spPr>
        <a:custGeom>
          <a:avLst/>
          <a:gdLst/>
          <a:ahLst/>
          <a:cxnLst/>
          <a:rect l="0" t="0" r="0" b="0"/>
          <a:pathLst>
            <a:path>
              <a:moveTo>
                <a:pt x="2526747" y="0"/>
              </a:moveTo>
              <a:lnTo>
                <a:pt x="2526747" y="109631"/>
              </a:lnTo>
              <a:lnTo>
                <a:pt x="0" y="109631"/>
              </a:lnTo>
              <a:lnTo>
                <a:pt x="0" y="219263"/>
              </a:lnTo>
            </a:path>
          </a:pathLst>
        </a:custGeom>
      </dgm:spPr>
      <dgm:t>
        <a:bodyPr/>
        <a:lstStyle/>
        <a:p>
          <a:endParaRPr lang="en-AU"/>
        </a:p>
      </dgm:t>
    </dgm:pt>
    <dgm:pt modelId="{25F618D6-5510-473A-B476-00E9E39472FB}" type="pres">
      <dgm:prSet presAssocID="{CE1DBCB7-5AD1-4852-B73B-B08EFE595F61}" presName="hierRoot2" presStyleCnt="0">
        <dgm:presLayoutVars>
          <dgm:hierBranch val="init"/>
        </dgm:presLayoutVars>
      </dgm:prSet>
      <dgm:spPr/>
    </dgm:pt>
    <dgm:pt modelId="{C537F97F-690D-4E5D-84CA-478D4D4BACA8}" type="pres">
      <dgm:prSet presAssocID="{CE1DBCB7-5AD1-4852-B73B-B08EFE595F61}" presName="rootComposite2" presStyleCnt="0"/>
      <dgm:spPr/>
    </dgm:pt>
    <dgm:pt modelId="{FD0355DC-EB75-4672-BCE8-2EF1BE0B767F}" type="pres">
      <dgm:prSet presAssocID="{CE1DBCB7-5AD1-4852-B73B-B08EFE595F61}" presName="rootText2" presStyleLbl="alignAcc1" presStyleIdx="0" presStyleCnt="0" custAng="0" custLinFactNeighborX="-50" custLinFactNeighborY="97171">
        <dgm:presLayoutVars>
          <dgm:chPref val="3"/>
        </dgm:presLayoutVars>
      </dgm:prSet>
      <dgm:spPr>
        <a:prstGeom prst="rect">
          <a:avLst/>
        </a:prstGeom>
      </dgm:spPr>
      <dgm:t>
        <a:bodyPr/>
        <a:lstStyle/>
        <a:p>
          <a:endParaRPr lang="en-AU"/>
        </a:p>
      </dgm:t>
    </dgm:pt>
    <dgm:pt modelId="{5CEC82A9-FCD3-4C11-9481-43D606E8D4AF}" type="pres">
      <dgm:prSet presAssocID="{CE1DBCB7-5AD1-4852-B73B-B08EFE595F61}" presName="topArc2" presStyleLbl="parChTrans1D1" presStyleIdx="4" presStyleCnt="14"/>
      <dgm:spPr>
        <a:xfrm>
          <a:off x="261027" y="1573804"/>
          <a:ext cx="522055" cy="522055"/>
        </a:xfrm>
        <a:prstGeom prst="arc">
          <a:avLst>
            <a:gd name="adj1" fmla="val 13200000"/>
            <a:gd name="adj2" fmla="val 19200000"/>
          </a:avLst>
        </a:prstGeom>
        <a:noFill/>
        <a:ln w="25400" cap="flat" cmpd="sng" algn="ctr">
          <a:solidFill>
            <a:srgbClr val="000080"/>
          </a:solidFill>
          <a:prstDash val="solid"/>
        </a:ln>
        <a:effectLst/>
      </dgm:spPr>
      <dgm:t>
        <a:bodyPr/>
        <a:lstStyle/>
        <a:p>
          <a:endParaRPr lang="en-AU"/>
        </a:p>
      </dgm:t>
    </dgm:pt>
    <dgm:pt modelId="{5BE4CE5A-A9B0-44B8-94BF-5BDF200497D5}" type="pres">
      <dgm:prSet presAssocID="{CE1DBCB7-5AD1-4852-B73B-B08EFE595F61}" presName="bottomArc2" presStyleLbl="parChTrans1D1" presStyleIdx="5" presStyleCnt="14"/>
      <dgm:spPr>
        <a:xfrm>
          <a:off x="261027" y="1573804"/>
          <a:ext cx="522055" cy="522055"/>
        </a:xfrm>
        <a:prstGeom prst="arc">
          <a:avLst>
            <a:gd name="adj1" fmla="val 2400000"/>
            <a:gd name="adj2" fmla="val 8400000"/>
          </a:avLst>
        </a:prstGeom>
        <a:noFill/>
        <a:ln w="25400" cap="flat" cmpd="sng" algn="ctr">
          <a:solidFill>
            <a:srgbClr val="000080"/>
          </a:solidFill>
          <a:prstDash val="solid"/>
        </a:ln>
        <a:effectLst/>
      </dgm:spPr>
      <dgm:t>
        <a:bodyPr/>
        <a:lstStyle/>
        <a:p>
          <a:endParaRPr lang="en-AU"/>
        </a:p>
      </dgm:t>
    </dgm:pt>
    <dgm:pt modelId="{05062F2D-96C3-41BF-87AE-4CF27455F362}" type="pres">
      <dgm:prSet presAssocID="{CE1DBCB7-5AD1-4852-B73B-B08EFE595F61}" presName="topConnNode2" presStyleLbl="node2" presStyleIdx="0" presStyleCnt="0"/>
      <dgm:spPr/>
      <dgm:t>
        <a:bodyPr/>
        <a:lstStyle/>
        <a:p>
          <a:endParaRPr lang="en-AU"/>
        </a:p>
      </dgm:t>
    </dgm:pt>
    <dgm:pt modelId="{33B04A30-0472-4125-9549-8C4E95A25CDB}" type="pres">
      <dgm:prSet presAssocID="{CE1DBCB7-5AD1-4852-B73B-B08EFE595F61}" presName="hierChild4" presStyleCnt="0"/>
      <dgm:spPr/>
    </dgm:pt>
    <dgm:pt modelId="{A25D3678-3A3A-48D7-B9CB-58FF741C6606}" type="pres">
      <dgm:prSet presAssocID="{CE1DBCB7-5AD1-4852-B73B-B08EFE595F61}" presName="hierChild5" presStyleCnt="0"/>
      <dgm:spPr/>
    </dgm:pt>
    <dgm:pt modelId="{2093DB10-3578-4CC0-976A-53839EE9F633}" type="pres">
      <dgm:prSet presAssocID="{0A7D511A-E951-4841-BA93-C919A079D410}" presName="Name28" presStyleLbl="parChTrans1D2" presStyleIdx="1" presStyleCnt="5"/>
      <dgm:spPr>
        <a:custGeom>
          <a:avLst/>
          <a:gdLst/>
          <a:ahLst/>
          <a:cxnLst/>
          <a:rect l="0" t="0" r="0" b="0"/>
          <a:pathLst>
            <a:path>
              <a:moveTo>
                <a:pt x="1211920" y="0"/>
              </a:moveTo>
              <a:lnTo>
                <a:pt x="1211920" y="119925"/>
              </a:lnTo>
              <a:lnTo>
                <a:pt x="0" y="119925"/>
              </a:lnTo>
              <a:lnTo>
                <a:pt x="0" y="229557"/>
              </a:lnTo>
            </a:path>
          </a:pathLst>
        </a:custGeom>
      </dgm:spPr>
      <dgm:t>
        <a:bodyPr/>
        <a:lstStyle/>
        <a:p>
          <a:endParaRPr lang="en-AU"/>
        </a:p>
      </dgm:t>
    </dgm:pt>
    <dgm:pt modelId="{6B1F10AD-B793-4290-871E-B01F6F55E260}" type="pres">
      <dgm:prSet presAssocID="{247357C3-8760-4389-B0AE-03D746801691}" presName="hierRoot2" presStyleCnt="0">
        <dgm:presLayoutVars>
          <dgm:hierBranch val="init"/>
        </dgm:presLayoutVars>
      </dgm:prSet>
      <dgm:spPr/>
    </dgm:pt>
    <dgm:pt modelId="{ECB03AC8-1BE3-4268-B44A-3F64AC0EF8F9}" type="pres">
      <dgm:prSet presAssocID="{247357C3-8760-4389-B0AE-03D746801691}" presName="rootComposite2" presStyleCnt="0"/>
      <dgm:spPr/>
    </dgm:pt>
    <dgm:pt modelId="{4E18ECE9-9D41-4BC0-8DC1-08764F66F914}" type="pres">
      <dgm:prSet presAssocID="{247357C3-8760-4389-B0AE-03D746801691}" presName="rootText2" presStyleLbl="alignAcc1" presStyleIdx="0" presStyleCnt="0" custAng="0" custScaleY="100000" custLinFactY="252" custLinFactNeighborX="4878" custLinFactNeighborY="100000">
        <dgm:presLayoutVars>
          <dgm:chPref val="3"/>
        </dgm:presLayoutVars>
      </dgm:prSet>
      <dgm:spPr>
        <a:prstGeom prst="rect">
          <a:avLst/>
        </a:prstGeom>
      </dgm:spPr>
      <dgm:t>
        <a:bodyPr/>
        <a:lstStyle/>
        <a:p>
          <a:endParaRPr lang="en-AU"/>
        </a:p>
      </dgm:t>
    </dgm:pt>
    <dgm:pt modelId="{12D278A2-4E63-4687-8582-D4F7CEEACEBE}" type="pres">
      <dgm:prSet presAssocID="{247357C3-8760-4389-B0AE-03D746801691}" presName="topArc2" presStyleLbl="parChTrans1D1" presStyleIdx="6" presStyleCnt="14"/>
      <dgm:spPr>
        <a:xfrm>
          <a:off x="1575855" y="1584098"/>
          <a:ext cx="522055" cy="522055"/>
        </a:xfrm>
        <a:prstGeom prst="arc">
          <a:avLst>
            <a:gd name="adj1" fmla="val 13200000"/>
            <a:gd name="adj2" fmla="val 19200000"/>
          </a:avLst>
        </a:prstGeom>
        <a:noFill/>
        <a:ln w="25400" cap="flat" cmpd="sng" algn="ctr">
          <a:solidFill>
            <a:srgbClr val="000080"/>
          </a:solidFill>
          <a:prstDash val="solid"/>
        </a:ln>
        <a:effectLst/>
      </dgm:spPr>
      <dgm:t>
        <a:bodyPr/>
        <a:lstStyle/>
        <a:p>
          <a:endParaRPr lang="en-AU"/>
        </a:p>
      </dgm:t>
    </dgm:pt>
    <dgm:pt modelId="{F96AE401-5742-4A64-A951-8539255A6BA5}" type="pres">
      <dgm:prSet presAssocID="{247357C3-8760-4389-B0AE-03D746801691}" presName="bottomArc2" presStyleLbl="parChTrans1D1" presStyleIdx="7" presStyleCnt="14"/>
      <dgm:spPr>
        <a:xfrm>
          <a:off x="1575855" y="1584098"/>
          <a:ext cx="522055" cy="522055"/>
        </a:xfrm>
        <a:prstGeom prst="arc">
          <a:avLst>
            <a:gd name="adj1" fmla="val 2400000"/>
            <a:gd name="adj2" fmla="val 8400000"/>
          </a:avLst>
        </a:prstGeom>
        <a:noFill/>
        <a:ln w="25400" cap="flat" cmpd="sng" algn="ctr">
          <a:solidFill>
            <a:srgbClr val="000080"/>
          </a:solidFill>
          <a:prstDash val="solid"/>
        </a:ln>
        <a:effectLst/>
      </dgm:spPr>
      <dgm:t>
        <a:bodyPr/>
        <a:lstStyle/>
        <a:p>
          <a:endParaRPr lang="en-AU"/>
        </a:p>
      </dgm:t>
    </dgm:pt>
    <dgm:pt modelId="{86684092-B605-4447-B0E5-C6C410B262E4}" type="pres">
      <dgm:prSet presAssocID="{247357C3-8760-4389-B0AE-03D746801691}" presName="topConnNode2" presStyleLbl="node2" presStyleIdx="0" presStyleCnt="0"/>
      <dgm:spPr/>
      <dgm:t>
        <a:bodyPr/>
        <a:lstStyle/>
        <a:p>
          <a:endParaRPr lang="en-AU"/>
        </a:p>
      </dgm:t>
    </dgm:pt>
    <dgm:pt modelId="{D74416EF-D55E-43F9-938B-167762B209B6}" type="pres">
      <dgm:prSet presAssocID="{247357C3-8760-4389-B0AE-03D746801691}" presName="hierChild4" presStyleCnt="0"/>
      <dgm:spPr/>
    </dgm:pt>
    <dgm:pt modelId="{E924ADD1-AC5A-48FA-AA9D-919FE443B004}" type="pres">
      <dgm:prSet presAssocID="{247357C3-8760-4389-B0AE-03D746801691}" presName="hierChild5" presStyleCnt="0"/>
      <dgm:spPr/>
    </dgm:pt>
    <dgm:pt modelId="{5E3B1E65-F17D-42A1-A1F0-2B11CA570A1A}" type="pres">
      <dgm:prSet presAssocID="{72A1596F-8C9B-4D0E-8CEF-4B7859E316F4}" presName="Name28" presStyleLbl="parChTrans1D2" presStyleIdx="2" presStyleCnt="5"/>
      <dgm:spPr>
        <a:custGeom>
          <a:avLst/>
          <a:gdLst/>
          <a:ahLst/>
          <a:cxnLst/>
          <a:rect l="0" t="0" r="0" b="0"/>
          <a:pathLst>
            <a:path>
              <a:moveTo>
                <a:pt x="45720" y="0"/>
              </a:moveTo>
              <a:lnTo>
                <a:pt x="45720" y="219263"/>
              </a:lnTo>
            </a:path>
          </a:pathLst>
        </a:custGeom>
      </dgm:spPr>
      <dgm:t>
        <a:bodyPr/>
        <a:lstStyle/>
        <a:p>
          <a:endParaRPr lang="en-AU"/>
        </a:p>
      </dgm:t>
    </dgm:pt>
    <dgm:pt modelId="{D6F30CDB-D17C-4F7A-A4E9-EFAB5E7CC127}" type="pres">
      <dgm:prSet presAssocID="{E8675F91-AB28-4A3E-A2EB-CE0C9CA84D7A}" presName="hierRoot2" presStyleCnt="0">
        <dgm:presLayoutVars>
          <dgm:hierBranch val="init"/>
        </dgm:presLayoutVars>
      </dgm:prSet>
      <dgm:spPr/>
    </dgm:pt>
    <dgm:pt modelId="{9ACF6FAD-2F1D-4F73-AE09-AB53AF964251}" type="pres">
      <dgm:prSet presAssocID="{E8675F91-AB28-4A3E-A2EB-CE0C9CA84D7A}" presName="rootComposite2" presStyleCnt="0"/>
      <dgm:spPr/>
    </dgm:pt>
    <dgm:pt modelId="{C4CD1C85-C63B-428A-B9FA-DEDF2FACEA99}" type="pres">
      <dgm:prSet presAssocID="{E8675F91-AB28-4A3E-A2EB-CE0C9CA84D7A}" presName="rootText2" presStyleLbl="alignAcc1" presStyleIdx="0" presStyleCnt="0" custAng="0" custLinFactNeighborX="-50" custLinFactNeighborY="97171">
        <dgm:presLayoutVars>
          <dgm:chPref val="3"/>
        </dgm:presLayoutVars>
      </dgm:prSet>
      <dgm:spPr>
        <a:prstGeom prst="rect">
          <a:avLst/>
        </a:prstGeom>
      </dgm:spPr>
      <dgm:t>
        <a:bodyPr/>
        <a:lstStyle/>
        <a:p>
          <a:endParaRPr lang="en-AU"/>
        </a:p>
      </dgm:t>
    </dgm:pt>
    <dgm:pt modelId="{6A8403B0-718B-45FE-8AB6-FC2261B77AD4}" type="pres">
      <dgm:prSet presAssocID="{E8675F91-AB28-4A3E-A2EB-CE0C9CA84D7A}" presName="topArc2" presStyleLbl="parChTrans1D1" presStyleIdx="8" presStyleCnt="14"/>
      <dgm:spPr>
        <a:xfrm>
          <a:off x="2787775" y="1573804"/>
          <a:ext cx="522055" cy="522055"/>
        </a:xfrm>
        <a:prstGeom prst="arc">
          <a:avLst>
            <a:gd name="adj1" fmla="val 13200000"/>
            <a:gd name="adj2" fmla="val 19200000"/>
          </a:avLst>
        </a:prstGeom>
        <a:noFill/>
        <a:ln w="25400" cap="flat" cmpd="sng" algn="ctr">
          <a:solidFill>
            <a:srgbClr val="000080"/>
          </a:solidFill>
          <a:prstDash val="solid"/>
        </a:ln>
        <a:effectLst/>
      </dgm:spPr>
      <dgm:t>
        <a:bodyPr/>
        <a:lstStyle/>
        <a:p>
          <a:endParaRPr lang="en-AU"/>
        </a:p>
      </dgm:t>
    </dgm:pt>
    <dgm:pt modelId="{48CADC9D-00B9-4E80-92C2-8E767E97F1AE}" type="pres">
      <dgm:prSet presAssocID="{E8675F91-AB28-4A3E-A2EB-CE0C9CA84D7A}" presName="bottomArc2" presStyleLbl="parChTrans1D1" presStyleIdx="9" presStyleCnt="14"/>
      <dgm:spPr>
        <a:xfrm>
          <a:off x="2787775" y="1573804"/>
          <a:ext cx="522055" cy="522055"/>
        </a:xfrm>
        <a:prstGeom prst="arc">
          <a:avLst>
            <a:gd name="adj1" fmla="val 2400000"/>
            <a:gd name="adj2" fmla="val 8400000"/>
          </a:avLst>
        </a:prstGeom>
        <a:noFill/>
        <a:ln w="25400" cap="flat" cmpd="sng" algn="ctr">
          <a:solidFill>
            <a:srgbClr val="000080"/>
          </a:solidFill>
          <a:prstDash val="solid"/>
        </a:ln>
        <a:effectLst/>
      </dgm:spPr>
      <dgm:t>
        <a:bodyPr/>
        <a:lstStyle/>
        <a:p>
          <a:endParaRPr lang="en-AU"/>
        </a:p>
      </dgm:t>
    </dgm:pt>
    <dgm:pt modelId="{0D85B91C-24A5-43D9-81CF-F04F0EBD3681}" type="pres">
      <dgm:prSet presAssocID="{E8675F91-AB28-4A3E-A2EB-CE0C9CA84D7A}" presName="topConnNode2" presStyleLbl="node2" presStyleIdx="0" presStyleCnt="0"/>
      <dgm:spPr/>
      <dgm:t>
        <a:bodyPr/>
        <a:lstStyle/>
        <a:p>
          <a:endParaRPr lang="en-AU"/>
        </a:p>
      </dgm:t>
    </dgm:pt>
    <dgm:pt modelId="{7E491B41-4EC7-46FC-8D96-7F7EEA6F4767}" type="pres">
      <dgm:prSet presAssocID="{E8675F91-AB28-4A3E-A2EB-CE0C9CA84D7A}" presName="hierChild4" presStyleCnt="0"/>
      <dgm:spPr/>
    </dgm:pt>
    <dgm:pt modelId="{D40FE3E4-9D1C-4218-9BFE-56249C20BA99}" type="pres">
      <dgm:prSet presAssocID="{E8675F91-AB28-4A3E-A2EB-CE0C9CA84D7A}" presName="hierChild5" presStyleCnt="0"/>
      <dgm:spPr/>
    </dgm:pt>
    <dgm:pt modelId="{B8B97D8F-716B-441F-9084-7825A587B86D}" type="pres">
      <dgm:prSet presAssocID="{E2E99F87-85FE-4236-9167-4F8D339DC8F2}" presName="Name28" presStyleLbl="parChTrans1D2" presStyleIdx="3" presStyleCnt="5"/>
      <dgm:spPr>
        <a:custGeom>
          <a:avLst/>
          <a:gdLst/>
          <a:ahLst/>
          <a:cxnLst/>
          <a:rect l="0" t="0" r="0" b="0"/>
          <a:pathLst>
            <a:path>
              <a:moveTo>
                <a:pt x="0" y="0"/>
              </a:moveTo>
              <a:lnTo>
                <a:pt x="0" y="109631"/>
              </a:lnTo>
              <a:lnTo>
                <a:pt x="1263374" y="109631"/>
              </a:lnTo>
              <a:lnTo>
                <a:pt x="1263374" y="219263"/>
              </a:lnTo>
            </a:path>
          </a:pathLst>
        </a:custGeom>
      </dgm:spPr>
      <dgm:t>
        <a:bodyPr/>
        <a:lstStyle/>
        <a:p>
          <a:endParaRPr lang="en-AU"/>
        </a:p>
      </dgm:t>
    </dgm:pt>
    <dgm:pt modelId="{DD263A9B-2EA9-4205-8D26-43F96DC83F40}" type="pres">
      <dgm:prSet presAssocID="{E3832F99-05CF-4D2F-951E-3B7410539400}" presName="hierRoot2" presStyleCnt="0">
        <dgm:presLayoutVars>
          <dgm:hierBranch val="init"/>
        </dgm:presLayoutVars>
      </dgm:prSet>
      <dgm:spPr/>
    </dgm:pt>
    <dgm:pt modelId="{C09BB855-CE6D-4FE0-9852-DBE63D1124A9}" type="pres">
      <dgm:prSet presAssocID="{E3832F99-05CF-4D2F-951E-3B7410539400}" presName="rootComposite2" presStyleCnt="0"/>
      <dgm:spPr/>
    </dgm:pt>
    <dgm:pt modelId="{3A8A0A91-DB2A-4F75-8414-ABAC96CFD5F1}" type="pres">
      <dgm:prSet presAssocID="{E3832F99-05CF-4D2F-951E-3B7410539400}" presName="rootText2" presStyleLbl="alignAcc1" presStyleIdx="0" presStyleCnt="0" custAng="0" custLinFactNeighborX="-50" custLinFactNeighborY="97171">
        <dgm:presLayoutVars>
          <dgm:chPref val="3"/>
        </dgm:presLayoutVars>
      </dgm:prSet>
      <dgm:spPr>
        <a:prstGeom prst="rect">
          <a:avLst/>
        </a:prstGeom>
      </dgm:spPr>
      <dgm:t>
        <a:bodyPr/>
        <a:lstStyle/>
        <a:p>
          <a:endParaRPr lang="en-AU"/>
        </a:p>
      </dgm:t>
    </dgm:pt>
    <dgm:pt modelId="{B296A0B2-0093-4CE4-AD4C-8D11DD0FC338}" type="pres">
      <dgm:prSet presAssocID="{E3832F99-05CF-4D2F-951E-3B7410539400}" presName="topArc2" presStyleLbl="parChTrans1D1" presStyleIdx="10" presStyleCnt="14"/>
      <dgm:spPr>
        <a:xfrm>
          <a:off x="4051150" y="1573804"/>
          <a:ext cx="522055" cy="522055"/>
        </a:xfrm>
        <a:prstGeom prst="arc">
          <a:avLst>
            <a:gd name="adj1" fmla="val 13200000"/>
            <a:gd name="adj2" fmla="val 19200000"/>
          </a:avLst>
        </a:prstGeom>
        <a:noFill/>
        <a:ln w="25400" cap="flat" cmpd="sng" algn="ctr">
          <a:solidFill>
            <a:srgbClr val="000080"/>
          </a:solidFill>
          <a:prstDash val="solid"/>
        </a:ln>
        <a:effectLst/>
      </dgm:spPr>
      <dgm:t>
        <a:bodyPr/>
        <a:lstStyle/>
        <a:p>
          <a:endParaRPr lang="en-AU"/>
        </a:p>
      </dgm:t>
    </dgm:pt>
    <dgm:pt modelId="{AC4B2588-131F-4734-ABF3-B8D11B70C91C}" type="pres">
      <dgm:prSet presAssocID="{E3832F99-05CF-4D2F-951E-3B7410539400}" presName="bottomArc2" presStyleLbl="parChTrans1D1" presStyleIdx="11" presStyleCnt="14"/>
      <dgm:spPr>
        <a:xfrm>
          <a:off x="4051150" y="1573804"/>
          <a:ext cx="522055" cy="522055"/>
        </a:xfrm>
        <a:prstGeom prst="arc">
          <a:avLst>
            <a:gd name="adj1" fmla="val 2400000"/>
            <a:gd name="adj2" fmla="val 8400000"/>
          </a:avLst>
        </a:prstGeom>
        <a:noFill/>
        <a:ln w="25400" cap="flat" cmpd="sng" algn="ctr">
          <a:solidFill>
            <a:srgbClr val="000080"/>
          </a:solidFill>
          <a:prstDash val="solid"/>
        </a:ln>
        <a:effectLst/>
      </dgm:spPr>
      <dgm:t>
        <a:bodyPr/>
        <a:lstStyle/>
        <a:p>
          <a:endParaRPr lang="en-AU"/>
        </a:p>
      </dgm:t>
    </dgm:pt>
    <dgm:pt modelId="{6E3D027A-43BC-45D7-B5C0-0415E88C3D5D}" type="pres">
      <dgm:prSet presAssocID="{E3832F99-05CF-4D2F-951E-3B7410539400}" presName="topConnNode2" presStyleLbl="node2" presStyleIdx="0" presStyleCnt="0"/>
      <dgm:spPr/>
      <dgm:t>
        <a:bodyPr/>
        <a:lstStyle/>
        <a:p>
          <a:endParaRPr lang="en-AU"/>
        </a:p>
      </dgm:t>
    </dgm:pt>
    <dgm:pt modelId="{3228CFD5-64D8-4D49-99E5-A5DD35120F09}" type="pres">
      <dgm:prSet presAssocID="{E3832F99-05CF-4D2F-951E-3B7410539400}" presName="hierChild4" presStyleCnt="0"/>
      <dgm:spPr/>
    </dgm:pt>
    <dgm:pt modelId="{BC21A7AF-36DF-4E45-B983-31EBCB19DF1E}" type="pres">
      <dgm:prSet presAssocID="{E3832F99-05CF-4D2F-951E-3B7410539400}" presName="hierChild5" presStyleCnt="0"/>
      <dgm:spPr/>
    </dgm:pt>
    <dgm:pt modelId="{6E88FECA-68CC-4045-A052-9642E1700789}" type="pres">
      <dgm:prSet presAssocID="{2667A909-61F0-4460-8541-AE454C4E48C2}" presName="Name28" presStyleLbl="parChTrans1D2" presStyleIdx="4" presStyleCnt="5"/>
      <dgm:spPr>
        <a:custGeom>
          <a:avLst/>
          <a:gdLst/>
          <a:ahLst/>
          <a:cxnLst/>
          <a:rect l="0" t="0" r="0" b="0"/>
          <a:pathLst>
            <a:path>
              <a:moveTo>
                <a:pt x="0" y="0"/>
              </a:moveTo>
              <a:lnTo>
                <a:pt x="0" y="108148"/>
              </a:lnTo>
              <a:lnTo>
                <a:pt x="2527792" y="108148"/>
              </a:lnTo>
              <a:lnTo>
                <a:pt x="2527792" y="217779"/>
              </a:lnTo>
            </a:path>
          </a:pathLst>
        </a:custGeom>
      </dgm:spPr>
      <dgm:t>
        <a:bodyPr/>
        <a:lstStyle/>
        <a:p>
          <a:endParaRPr lang="en-AU"/>
        </a:p>
      </dgm:t>
    </dgm:pt>
    <dgm:pt modelId="{34151A57-86C2-482C-B6F8-C9B383274126}" type="pres">
      <dgm:prSet presAssocID="{A04679BE-2987-4343-B25A-AF18AF4A9195}" presName="hierRoot2" presStyleCnt="0">
        <dgm:presLayoutVars>
          <dgm:hierBranch val="init"/>
        </dgm:presLayoutVars>
      </dgm:prSet>
      <dgm:spPr/>
    </dgm:pt>
    <dgm:pt modelId="{93C4DD43-46F5-408A-9825-B2792E7E01C5}" type="pres">
      <dgm:prSet presAssocID="{A04679BE-2987-4343-B25A-AF18AF4A9195}" presName="rootComposite2" presStyleCnt="0"/>
      <dgm:spPr/>
    </dgm:pt>
    <dgm:pt modelId="{82D80B8D-F8BA-42A4-88EE-A19A99A041BC}" type="pres">
      <dgm:prSet presAssocID="{A04679BE-2987-4343-B25A-AF18AF4A9195}" presName="rootText2" presStyleLbl="alignAcc1" presStyleIdx="0" presStyleCnt="0" custAng="0" custLinFactNeighborX="50" custLinFactNeighborY="96727">
        <dgm:presLayoutVars>
          <dgm:chPref val="3"/>
        </dgm:presLayoutVars>
      </dgm:prSet>
      <dgm:spPr>
        <a:prstGeom prst="rect">
          <a:avLst/>
        </a:prstGeom>
      </dgm:spPr>
      <dgm:t>
        <a:bodyPr/>
        <a:lstStyle/>
        <a:p>
          <a:endParaRPr lang="en-AU"/>
        </a:p>
      </dgm:t>
    </dgm:pt>
    <dgm:pt modelId="{AFE5BDB2-CF73-4FBB-A88D-4B4858103F65}" type="pres">
      <dgm:prSet presAssocID="{A04679BE-2987-4343-B25A-AF18AF4A9195}" presName="topArc2" presStyleLbl="parChTrans1D1" presStyleIdx="12" presStyleCnt="14"/>
      <dgm:spPr>
        <a:xfrm>
          <a:off x="5315567" y="1572321"/>
          <a:ext cx="522055" cy="522055"/>
        </a:xfrm>
        <a:prstGeom prst="arc">
          <a:avLst>
            <a:gd name="adj1" fmla="val 13200000"/>
            <a:gd name="adj2" fmla="val 19200000"/>
          </a:avLst>
        </a:prstGeom>
        <a:noFill/>
        <a:ln w="25400" cap="flat" cmpd="sng" algn="ctr">
          <a:solidFill>
            <a:srgbClr val="000080"/>
          </a:solidFill>
          <a:prstDash val="solid"/>
        </a:ln>
        <a:effectLst/>
      </dgm:spPr>
      <dgm:t>
        <a:bodyPr/>
        <a:lstStyle/>
        <a:p>
          <a:endParaRPr lang="en-AU"/>
        </a:p>
      </dgm:t>
    </dgm:pt>
    <dgm:pt modelId="{A8943617-1A65-400B-BEAC-48A6CAF87A06}" type="pres">
      <dgm:prSet presAssocID="{A04679BE-2987-4343-B25A-AF18AF4A9195}" presName="bottomArc2" presStyleLbl="parChTrans1D1" presStyleIdx="13" presStyleCnt="14"/>
      <dgm:spPr>
        <a:xfrm>
          <a:off x="5315567" y="1572321"/>
          <a:ext cx="522055" cy="522055"/>
        </a:xfrm>
        <a:prstGeom prst="arc">
          <a:avLst>
            <a:gd name="adj1" fmla="val 2400000"/>
            <a:gd name="adj2" fmla="val 8400000"/>
          </a:avLst>
        </a:prstGeom>
        <a:noFill/>
        <a:ln w="25400" cap="flat" cmpd="sng" algn="ctr">
          <a:solidFill>
            <a:srgbClr val="000080"/>
          </a:solidFill>
          <a:prstDash val="solid"/>
        </a:ln>
        <a:effectLst/>
      </dgm:spPr>
      <dgm:t>
        <a:bodyPr/>
        <a:lstStyle/>
        <a:p>
          <a:endParaRPr lang="en-AU"/>
        </a:p>
      </dgm:t>
    </dgm:pt>
    <dgm:pt modelId="{4FCE6941-C3F3-44BC-9A1B-E8C47E2F690B}" type="pres">
      <dgm:prSet presAssocID="{A04679BE-2987-4343-B25A-AF18AF4A9195}" presName="topConnNode2" presStyleLbl="node2" presStyleIdx="0" presStyleCnt="0"/>
      <dgm:spPr/>
      <dgm:t>
        <a:bodyPr/>
        <a:lstStyle/>
        <a:p>
          <a:endParaRPr lang="en-AU"/>
        </a:p>
      </dgm:t>
    </dgm:pt>
    <dgm:pt modelId="{754BEB0B-0F2F-47AD-9C3F-8FBF630419D5}" type="pres">
      <dgm:prSet presAssocID="{A04679BE-2987-4343-B25A-AF18AF4A9195}" presName="hierChild4" presStyleCnt="0"/>
      <dgm:spPr/>
    </dgm:pt>
    <dgm:pt modelId="{467FCA94-ECF6-4BAD-B4AD-B918DCDE4C6F}" type="pres">
      <dgm:prSet presAssocID="{A04679BE-2987-4343-B25A-AF18AF4A9195}" presName="hierChild5" presStyleCnt="0"/>
      <dgm:spPr/>
    </dgm:pt>
    <dgm:pt modelId="{923C7FE3-BD3E-4AF0-B209-7E898B2EDD22}" type="pres">
      <dgm:prSet presAssocID="{0908C1E7-609D-44E1-8D09-790306C7EE3F}" presName="hierChild3" presStyleCnt="0"/>
      <dgm:spPr/>
    </dgm:pt>
  </dgm:ptLst>
  <dgm:cxnLst>
    <dgm:cxn modelId="{15E98B41-C8CD-4102-B5C1-548EDAC90772}" type="presOf" srcId="{0908C1E7-609D-44E1-8D09-790306C7EE3F}" destId="{0DBEC276-7AF5-4654-8F01-6FD819773E65}" srcOrd="0" destOrd="0" presId="urn:microsoft.com/office/officeart/2008/layout/HalfCircleOrganizationChart"/>
    <dgm:cxn modelId="{98E3F2EF-EE7E-4137-835C-8C95F6B19321}" type="presOf" srcId="{52F88F88-6361-4CDC-8DFD-1611764EF90E}" destId="{89845D66-25EB-4814-BF7D-F30E544EA728}" srcOrd="1" destOrd="0" presId="urn:microsoft.com/office/officeart/2008/layout/HalfCircleOrganizationChart"/>
    <dgm:cxn modelId="{386FA58E-2012-420C-B2B7-D373EFB331BA}" type="presOf" srcId="{3BE9C3BE-7684-45EE-B0B2-8DBB45AE264A}" destId="{E92CBD14-0189-494A-BC08-0B46CFDCA8A2}" srcOrd="0" destOrd="0" presId="urn:microsoft.com/office/officeart/2008/layout/HalfCircleOrganizationChart"/>
    <dgm:cxn modelId="{F6645493-61D7-45B6-8BE7-F68B02E93598}" type="presOf" srcId="{A04679BE-2987-4343-B25A-AF18AF4A9195}" destId="{4FCE6941-C3F3-44BC-9A1B-E8C47E2F690B}" srcOrd="1" destOrd="0" presId="urn:microsoft.com/office/officeart/2008/layout/HalfCircleOrganizationChart"/>
    <dgm:cxn modelId="{2FDAC612-31C4-4B29-8622-2B15BC1DC271}" type="presOf" srcId="{0908C1E7-609D-44E1-8D09-790306C7EE3F}" destId="{1E1CE80C-96C5-42E9-9534-99CD2F93FB7E}" srcOrd="1" destOrd="0" presId="urn:microsoft.com/office/officeart/2008/layout/HalfCircleOrganizationChart"/>
    <dgm:cxn modelId="{2E4AA9D1-52DC-425F-827F-5BF3F01EDA2D}" srcId="{0908C1E7-609D-44E1-8D09-790306C7EE3F}" destId="{247357C3-8760-4389-B0AE-03D746801691}" srcOrd="1" destOrd="0" parTransId="{0A7D511A-E951-4841-BA93-C919A079D410}" sibTransId="{D8109970-60EB-4161-A777-957CBF02DF49}"/>
    <dgm:cxn modelId="{FE2B09FB-1EE9-4780-A6A4-578BA0B27019}" type="presOf" srcId="{72A1596F-8C9B-4D0E-8CEF-4B7859E316F4}" destId="{5E3B1E65-F17D-42A1-A1F0-2B11CA570A1A}" srcOrd="0" destOrd="0" presId="urn:microsoft.com/office/officeart/2008/layout/HalfCircleOrganizationChart"/>
    <dgm:cxn modelId="{324D39CB-2723-45BF-9E7E-CE0651407134}" srcId="{96E18980-D2EE-462D-92FC-FB99B3278471}" destId="{0908C1E7-609D-44E1-8D09-790306C7EE3F}" srcOrd="1" destOrd="0" parTransId="{7DD33519-62EB-4B2A-8593-BB227183E758}" sibTransId="{E88C6703-328D-4BDB-9593-172DA7CD77EB}"/>
    <dgm:cxn modelId="{55454699-8FCA-4A25-8356-A256F1FA2BF5}" type="presOf" srcId="{247357C3-8760-4389-B0AE-03D746801691}" destId="{4E18ECE9-9D41-4BC0-8DC1-08764F66F914}" srcOrd="0" destOrd="0" presId="urn:microsoft.com/office/officeart/2008/layout/HalfCircleOrganizationChart"/>
    <dgm:cxn modelId="{19FA2008-8DAE-4FD1-8EFD-B7B25868E42C}" type="presOf" srcId="{E3832F99-05CF-4D2F-951E-3B7410539400}" destId="{3A8A0A91-DB2A-4F75-8414-ABAC96CFD5F1}" srcOrd="0" destOrd="0" presId="urn:microsoft.com/office/officeart/2008/layout/HalfCircleOrganizationChart"/>
    <dgm:cxn modelId="{E54842FD-CA6A-45F4-A616-63C05F7B6F86}" type="presOf" srcId="{E2E99F87-85FE-4236-9167-4F8D339DC8F2}" destId="{B8B97D8F-716B-441F-9084-7825A587B86D}" srcOrd="0" destOrd="0" presId="urn:microsoft.com/office/officeart/2008/layout/HalfCircleOrganizationChart"/>
    <dgm:cxn modelId="{5A3F9811-6B44-4736-8964-D04B6EED8F48}" type="presOf" srcId="{E8675F91-AB28-4A3E-A2EB-CE0C9CA84D7A}" destId="{0D85B91C-24A5-43D9-81CF-F04F0EBD3681}" srcOrd="1" destOrd="0" presId="urn:microsoft.com/office/officeart/2008/layout/HalfCircleOrganizationChart"/>
    <dgm:cxn modelId="{EA492082-F251-44D9-8135-9CC1E54090A7}" srcId="{0908C1E7-609D-44E1-8D09-790306C7EE3F}" destId="{A04679BE-2987-4343-B25A-AF18AF4A9195}" srcOrd="4" destOrd="0" parTransId="{2667A909-61F0-4460-8541-AE454C4E48C2}" sibTransId="{B03D2A22-DF32-4374-952B-C302DA94F60D}"/>
    <dgm:cxn modelId="{26470608-26F6-4A15-A873-4375823D2521}" type="presOf" srcId="{52F88F88-6361-4CDC-8DFD-1611764EF90E}" destId="{F0ACA48D-C2D1-4754-916F-DD11887F4466}" srcOrd="0" destOrd="0" presId="urn:microsoft.com/office/officeart/2008/layout/HalfCircleOrganizationChart"/>
    <dgm:cxn modelId="{12C0B5C3-D22D-4DA8-AF3A-0194152B9403}" type="presOf" srcId="{A04679BE-2987-4343-B25A-AF18AF4A9195}" destId="{82D80B8D-F8BA-42A4-88EE-A19A99A041BC}" srcOrd="0" destOrd="0" presId="urn:microsoft.com/office/officeart/2008/layout/HalfCircleOrganizationChart"/>
    <dgm:cxn modelId="{A35A846D-C6FB-4E20-9458-1F9B272AB18F}" srcId="{0908C1E7-609D-44E1-8D09-790306C7EE3F}" destId="{E3832F99-05CF-4D2F-951E-3B7410539400}" srcOrd="3" destOrd="0" parTransId="{E2E99F87-85FE-4236-9167-4F8D339DC8F2}" sibTransId="{F7E23134-03AB-4FF0-930E-80B9E7ED9F6E}"/>
    <dgm:cxn modelId="{E8EF3BD1-392A-4FAB-A861-5069EF06E17B}" srcId="{0908C1E7-609D-44E1-8D09-790306C7EE3F}" destId="{E8675F91-AB28-4A3E-A2EB-CE0C9CA84D7A}" srcOrd="2" destOrd="0" parTransId="{72A1596F-8C9B-4D0E-8CEF-4B7859E316F4}" sibTransId="{88E4F4D7-5829-4F09-8656-33A0D49E08A3}"/>
    <dgm:cxn modelId="{502AA6F2-7991-42A0-B2FF-72BFA7851795}" type="presOf" srcId="{2667A909-61F0-4460-8541-AE454C4E48C2}" destId="{6E88FECA-68CC-4045-A052-9642E1700789}" srcOrd="0" destOrd="0" presId="urn:microsoft.com/office/officeart/2008/layout/HalfCircleOrganizationChart"/>
    <dgm:cxn modelId="{CCD90533-41B8-4697-8A94-BEC8A8F79EFA}" type="presOf" srcId="{E8675F91-AB28-4A3E-A2EB-CE0C9CA84D7A}" destId="{C4CD1C85-C63B-428A-B9FA-DEDF2FACEA99}" srcOrd="0" destOrd="0" presId="urn:microsoft.com/office/officeart/2008/layout/HalfCircleOrganizationChart"/>
    <dgm:cxn modelId="{7E32D9A2-59FB-4E1F-9CA7-D3D421B9EA40}" type="presOf" srcId="{CE1DBCB7-5AD1-4852-B73B-B08EFE595F61}" destId="{05062F2D-96C3-41BF-87AE-4CF27455F362}" srcOrd="1" destOrd="0" presId="urn:microsoft.com/office/officeart/2008/layout/HalfCircleOrganizationChart"/>
    <dgm:cxn modelId="{9B669280-7392-4075-A1C5-922EB15CBCDE}" type="presOf" srcId="{247357C3-8760-4389-B0AE-03D746801691}" destId="{86684092-B605-4447-B0E5-C6C410B262E4}" srcOrd="1" destOrd="0" presId="urn:microsoft.com/office/officeart/2008/layout/HalfCircleOrganizationChart"/>
    <dgm:cxn modelId="{892685C2-5B2E-42B7-8DF6-6F7BB82C4C6F}" type="presOf" srcId="{0A7D511A-E951-4841-BA93-C919A079D410}" destId="{2093DB10-3578-4CC0-976A-53839EE9F633}" srcOrd="0" destOrd="0" presId="urn:microsoft.com/office/officeart/2008/layout/HalfCircleOrganizationChart"/>
    <dgm:cxn modelId="{610BC160-9076-4ECF-BBED-596180DA1ED4}" type="presOf" srcId="{E3832F99-05CF-4D2F-951E-3B7410539400}" destId="{6E3D027A-43BC-45D7-B5C0-0415E88C3D5D}" srcOrd="1" destOrd="0" presId="urn:microsoft.com/office/officeart/2008/layout/HalfCircleOrganizationChart"/>
    <dgm:cxn modelId="{71200564-0C0B-47A0-B986-F539B98C9B04}" type="presOf" srcId="{CE1DBCB7-5AD1-4852-B73B-B08EFE595F61}" destId="{FD0355DC-EB75-4672-BCE8-2EF1BE0B767F}" srcOrd="0" destOrd="0" presId="urn:microsoft.com/office/officeart/2008/layout/HalfCircleOrganizationChart"/>
    <dgm:cxn modelId="{3CAD3E5A-5502-40EC-8FA1-60E979DB73D8}" srcId="{96E18980-D2EE-462D-92FC-FB99B3278471}" destId="{52F88F88-6361-4CDC-8DFD-1611764EF90E}" srcOrd="0" destOrd="0" parTransId="{04DF7902-E7FF-4705-89A0-6F1E2F87E82B}" sibTransId="{EB2D9060-2496-4EC5-8251-291A95700369}"/>
    <dgm:cxn modelId="{75204654-1E5E-4E9F-BE19-B08218A891E0}" srcId="{0908C1E7-609D-44E1-8D09-790306C7EE3F}" destId="{CE1DBCB7-5AD1-4852-B73B-B08EFE595F61}" srcOrd="0" destOrd="0" parTransId="{3BE9C3BE-7684-45EE-B0B2-8DBB45AE264A}" sibTransId="{8E448F14-569A-4B14-8BE2-3A0EA2CEB71C}"/>
    <dgm:cxn modelId="{526173D4-6F7D-4A0C-8CF2-30A7A3CCD324}" type="presOf" srcId="{96E18980-D2EE-462D-92FC-FB99B3278471}" destId="{4F2B547F-A60A-4245-A217-A2ACC73DE350}" srcOrd="0" destOrd="0" presId="urn:microsoft.com/office/officeart/2008/layout/HalfCircleOrganizationChart"/>
    <dgm:cxn modelId="{04337AD3-4D9F-4FE9-B324-FA48B31F94CF}" type="presParOf" srcId="{4F2B547F-A60A-4245-A217-A2ACC73DE350}" destId="{3D90E789-D6E2-4532-B500-AD9E71F9AC1E}" srcOrd="0" destOrd="0" presId="urn:microsoft.com/office/officeart/2008/layout/HalfCircleOrganizationChart"/>
    <dgm:cxn modelId="{6DA99579-0DB2-49EC-802F-5E4AA6A68DF0}" type="presParOf" srcId="{3D90E789-D6E2-4532-B500-AD9E71F9AC1E}" destId="{411F5C68-3DBB-4ABF-977E-2A93947CFED7}" srcOrd="0" destOrd="0" presId="urn:microsoft.com/office/officeart/2008/layout/HalfCircleOrganizationChart"/>
    <dgm:cxn modelId="{0CF783F1-A928-4950-AD8F-D8C310623F5C}" type="presParOf" srcId="{411F5C68-3DBB-4ABF-977E-2A93947CFED7}" destId="{F0ACA48D-C2D1-4754-916F-DD11887F4466}" srcOrd="0" destOrd="0" presId="urn:microsoft.com/office/officeart/2008/layout/HalfCircleOrganizationChart"/>
    <dgm:cxn modelId="{12C41F99-A9F9-43AD-ADC0-9E2451BE40E4}" type="presParOf" srcId="{411F5C68-3DBB-4ABF-977E-2A93947CFED7}" destId="{1711B397-1B03-489F-BF44-7A4267D12181}" srcOrd="1" destOrd="0" presId="urn:microsoft.com/office/officeart/2008/layout/HalfCircleOrganizationChart"/>
    <dgm:cxn modelId="{FD7490C3-5B3A-4491-869C-6C7CD71EDCB2}" type="presParOf" srcId="{411F5C68-3DBB-4ABF-977E-2A93947CFED7}" destId="{C143A938-E8AE-4596-91E7-63108A4C495C}" srcOrd="2" destOrd="0" presId="urn:microsoft.com/office/officeart/2008/layout/HalfCircleOrganizationChart"/>
    <dgm:cxn modelId="{B37473EB-1A03-417D-B01A-2BA2D3816FBF}" type="presParOf" srcId="{411F5C68-3DBB-4ABF-977E-2A93947CFED7}" destId="{89845D66-25EB-4814-BF7D-F30E544EA728}" srcOrd="3" destOrd="0" presId="urn:microsoft.com/office/officeart/2008/layout/HalfCircleOrganizationChart"/>
    <dgm:cxn modelId="{2C587E48-1D6F-44A3-B1A6-DA0B5DD266E1}" type="presParOf" srcId="{3D90E789-D6E2-4532-B500-AD9E71F9AC1E}" destId="{65FB210D-2030-40F5-BF6A-23C5D570C507}" srcOrd="1" destOrd="0" presId="urn:microsoft.com/office/officeart/2008/layout/HalfCircleOrganizationChart"/>
    <dgm:cxn modelId="{53D70D42-1943-4693-A6B2-83A9F24E3126}" type="presParOf" srcId="{3D90E789-D6E2-4532-B500-AD9E71F9AC1E}" destId="{059294E7-5F92-4148-B927-56BE43483FD5}" srcOrd="2" destOrd="0" presId="urn:microsoft.com/office/officeart/2008/layout/HalfCircleOrganizationChart"/>
    <dgm:cxn modelId="{7EBC2D6E-3B5E-4EBE-93BD-E6B667B6B60A}" type="presParOf" srcId="{4F2B547F-A60A-4245-A217-A2ACC73DE350}" destId="{8A3D2251-E096-486E-AB94-7C619B57D7A4}" srcOrd="1" destOrd="0" presId="urn:microsoft.com/office/officeart/2008/layout/HalfCircleOrganizationChart"/>
    <dgm:cxn modelId="{625A7D31-7ACD-4759-AF5E-DDC18502B2B5}" type="presParOf" srcId="{8A3D2251-E096-486E-AB94-7C619B57D7A4}" destId="{00BBD6BA-5997-428C-8733-936FA9234464}" srcOrd="0" destOrd="0" presId="urn:microsoft.com/office/officeart/2008/layout/HalfCircleOrganizationChart"/>
    <dgm:cxn modelId="{32DBD7FE-E898-4838-9294-BE96B3C1C3D2}" type="presParOf" srcId="{00BBD6BA-5997-428C-8733-936FA9234464}" destId="{0DBEC276-7AF5-4654-8F01-6FD819773E65}" srcOrd="0" destOrd="0" presId="urn:microsoft.com/office/officeart/2008/layout/HalfCircleOrganizationChart"/>
    <dgm:cxn modelId="{A87BCF24-2ECE-4E86-90AA-CEF983B6C1FA}" type="presParOf" srcId="{00BBD6BA-5997-428C-8733-936FA9234464}" destId="{7D99FAA1-9B5A-464F-9A85-458BAF314A21}" srcOrd="1" destOrd="0" presId="urn:microsoft.com/office/officeart/2008/layout/HalfCircleOrganizationChart"/>
    <dgm:cxn modelId="{A3156D2F-61DD-4324-9A70-96C9A9D5A515}" type="presParOf" srcId="{00BBD6BA-5997-428C-8733-936FA9234464}" destId="{9398087D-2C2B-4138-96DB-10E6CA3DD013}" srcOrd="2" destOrd="0" presId="urn:microsoft.com/office/officeart/2008/layout/HalfCircleOrganizationChart"/>
    <dgm:cxn modelId="{011EDC0A-C597-4043-9352-8C9E05E01266}" type="presParOf" srcId="{00BBD6BA-5997-428C-8733-936FA9234464}" destId="{1E1CE80C-96C5-42E9-9534-99CD2F93FB7E}" srcOrd="3" destOrd="0" presId="urn:microsoft.com/office/officeart/2008/layout/HalfCircleOrganizationChart"/>
    <dgm:cxn modelId="{2690DD1C-FF3E-4F5F-A8EA-1FD58D394708}" type="presParOf" srcId="{8A3D2251-E096-486E-AB94-7C619B57D7A4}" destId="{CAD7623F-A866-4C26-BEE7-DCDC1447B0B8}" srcOrd="1" destOrd="0" presId="urn:microsoft.com/office/officeart/2008/layout/HalfCircleOrganizationChart"/>
    <dgm:cxn modelId="{7DC0F2EC-E435-44A0-A209-E03C1CE5D11E}" type="presParOf" srcId="{CAD7623F-A866-4C26-BEE7-DCDC1447B0B8}" destId="{E92CBD14-0189-494A-BC08-0B46CFDCA8A2}" srcOrd="0" destOrd="0" presId="urn:microsoft.com/office/officeart/2008/layout/HalfCircleOrganizationChart"/>
    <dgm:cxn modelId="{8B543C44-8270-4388-BA57-3B2A6AACA413}" type="presParOf" srcId="{CAD7623F-A866-4C26-BEE7-DCDC1447B0B8}" destId="{25F618D6-5510-473A-B476-00E9E39472FB}" srcOrd="1" destOrd="0" presId="urn:microsoft.com/office/officeart/2008/layout/HalfCircleOrganizationChart"/>
    <dgm:cxn modelId="{0E55D868-8A15-49B8-AEDD-BB9AE6061FDB}" type="presParOf" srcId="{25F618D6-5510-473A-B476-00E9E39472FB}" destId="{C537F97F-690D-4E5D-84CA-478D4D4BACA8}" srcOrd="0" destOrd="0" presId="urn:microsoft.com/office/officeart/2008/layout/HalfCircleOrganizationChart"/>
    <dgm:cxn modelId="{EFA25355-7AAB-49E5-89E2-A42AC0B9FB62}" type="presParOf" srcId="{C537F97F-690D-4E5D-84CA-478D4D4BACA8}" destId="{FD0355DC-EB75-4672-BCE8-2EF1BE0B767F}" srcOrd="0" destOrd="0" presId="urn:microsoft.com/office/officeart/2008/layout/HalfCircleOrganizationChart"/>
    <dgm:cxn modelId="{684A82CF-FA9C-492C-87EB-175584EF1365}" type="presParOf" srcId="{C537F97F-690D-4E5D-84CA-478D4D4BACA8}" destId="{5CEC82A9-FCD3-4C11-9481-43D606E8D4AF}" srcOrd="1" destOrd="0" presId="urn:microsoft.com/office/officeart/2008/layout/HalfCircleOrganizationChart"/>
    <dgm:cxn modelId="{375CB678-BB7E-4F3A-830A-82356BB2B5F0}" type="presParOf" srcId="{C537F97F-690D-4E5D-84CA-478D4D4BACA8}" destId="{5BE4CE5A-A9B0-44B8-94BF-5BDF200497D5}" srcOrd="2" destOrd="0" presId="urn:microsoft.com/office/officeart/2008/layout/HalfCircleOrganizationChart"/>
    <dgm:cxn modelId="{C34EDC4E-2E6C-438C-9975-33CD17D23A5A}" type="presParOf" srcId="{C537F97F-690D-4E5D-84CA-478D4D4BACA8}" destId="{05062F2D-96C3-41BF-87AE-4CF27455F362}" srcOrd="3" destOrd="0" presId="urn:microsoft.com/office/officeart/2008/layout/HalfCircleOrganizationChart"/>
    <dgm:cxn modelId="{BB871CED-931B-4ABA-86E6-C82CCEA77DF6}" type="presParOf" srcId="{25F618D6-5510-473A-B476-00E9E39472FB}" destId="{33B04A30-0472-4125-9549-8C4E95A25CDB}" srcOrd="1" destOrd="0" presId="urn:microsoft.com/office/officeart/2008/layout/HalfCircleOrganizationChart"/>
    <dgm:cxn modelId="{C0211357-9918-4736-9B17-D1C03157BCE2}" type="presParOf" srcId="{25F618D6-5510-473A-B476-00E9E39472FB}" destId="{A25D3678-3A3A-48D7-B9CB-58FF741C6606}" srcOrd="2" destOrd="0" presId="urn:microsoft.com/office/officeart/2008/layout/HalfCircleOrganizationChart"/>
    <dgm:cxn modelId="{E3CFA904-D54A-46C9-9DDF-B51D5369FC48}" type="presParOf" srcId="{CAD7623F-A866-4C26-BEE7-DCDC1447B0B8}" destId="{2093DB10-3578-4CC0-976A-53839EE9F633}" srcOrd="2" destOrd="0" presId="urn:microsoft.com/office/officeart/2008/layout/HalfCircleOrganizationChart"/>
    <dgm:cxn modelId="{B50FE6E5-3C90-4636-9CA7-1D73F12C362B}" type="presParOf" srcId="{CAD7623F-A866-4C26-BEE7-DCDC1447B0B8}" destId="{6B1F10AD-B793-4290-871E-B01F6F55E260}" srcOrd="3" destOrd="0" presId="urn:microsoft.com/office/officeart/2008/layout/HalfCircleOrganizationChart"/>
    <dgm:cxn modelId="{10A81492-5402-4705-8206-91A75BFF46B3}" type="presParOf" srcId="{6B1F10AD-B793-4290-871E-B01F6F55E260}" destId="{ECB03AC8-1BE3-4268-B44A-3F64AC0EF8F9}" srcOrd="0" destOrd="0" presId="urn:microsoft.com/office/officeart/2008/layout/HalfCircleOrganizationChart"/>
    <dgm:cxn modelId="{A15F97CE-4490-425D-9F1A-F5F13D1059EB}" type="presParOf" srcId="{ECB03AC8-1BE3-4268-B44A-3F64AC0EF8F9}" destId="{4E18ECE9-9D41-4BC0-8DC1-08764F66F914}" srcOrd="0" destOrd="0" presId="urn:microsoft.com/office/officeart/2008/layout/HalfCircleOrganizationChart"/>
    <dgm:cxn modelId="{4E578584-55FC-4D81-A16D-6E1E982FB156}" type="presParOf" srcId="{ECB03AC8-1BE3-4268-B44A-3F64AC0EF8F9}" destId="{12D278A2-4E63-4687-8582-D4F7CEEACEBE}" srcOrd="1" destOrd="0" presId="urn:microsoft.com/office/officeart/2008/layout/HalfCircleOrganizationChart"/>
    <dgm:cxn modelId="{5B9687B7-1BF5-44C4-BE1D-91B7DC0F40F7}" type="presParOf" srcId="{ECB03AC8-1BE3-4268-B44A-3F64AC0EF8F9}" destId="{F96AE401-5742-4A64-A951-8539255A6BA5}" srcOrd="2" destOrd="0" presId="urn:microsoft.com/office/officeart/2008/layout/HalfCircleOrganizationChart"/>
    <dgm:cxn modelId="{33A7FC7B-DBC4-4A28-8D5E-EB64F400736D}" type="presParOf" srcId="{ECB03AC8-1BE3-4268-B44A-3F64AC0EF8F9}" destId="{86684092-B605-4447-B0E5-C6C410B262E4}" srcOrd="3" destOrd="0" presId="urn:microsoft.com/office/officeart/2008/layout/HalfCircleOrganizationChart"/>
    <dgm:cxn modelId="{47D848F8-164B-4839-9164-B203D0B91EB6}" type="presParOf" srcId="{6B1F10AD-B793-4290-871E-B01F6F55E260}" destId="{D74416EF-D55E-43F9-938B-167762B209B6}" srcOrd="1" destOrd="0" presId="urn:microsoft.com/office/officeart/2008/layout/HalfCircleOrganizationChart"/>
    <dgm:cxn modelId="{2DCD66A6-FBBE-4F4C-B15C-E92BE0567F17}" type="presParOf" srcId="{6B1F10AD-B793-4290-871E-B01F6F55E260}" destId="{E924ADD1-AC5A-48FA-AA9D-919FE443B004}" srcOrd="2" destOrd="0" presId="urn:microsoft.com/office/officeart/2008/layout/HalfCircleOrganizationChart"/>
    <dgm:cxn modelId="{8FB95F31-977D-4261-9870-43E5CFC35D72}" type="presParOf" srcId="{CAD7623F-A866-4C26-BEE7-DCDC1447B0B8}" destId="{5E3B1E65-F17D-42A1-A1F0-2B11CA570A1A}" srcOrd="4" destOrd="0" presId="urn:microsoft.com/office/officeart/2008/layout/HalfCircleOrganizationChart"/>
    <dgm:cxn modelId="{C61896E6-2531-4AE6-A3D0-825B68163A04}" type="presParOf" srcId="{CAD7623F-A866-4C26-BEE7-DCDC1447B0B8}" destId="{D6F30CDB-D17C-4F7A-A4E9-EFAB5E7CC127}" srcOrd="5" destOrd="0" presId="urn:microsoft.com/office/officeart/2008/layout/HalfCircleOrganizationChart"/>
    <dgm:cxn modelId="{E54F9A88-C670-40BE-BAB5-A7201ED30C13}" type="presParOf" srcId="{D6F30CDB-D17C-4F7A-A4E9-EFAB5E7CC127}" destId="{9ACF6FAD-2F1D-4F73-AE09-AB53AF964251}" srcOrd="0" destOrd="0" presId="urn:microsoft.com/office/officeart/2008/layout/HalfCircleOrganizationChart"/>
    <dgm:cxn modelId="{741A882E-B4E9-4612-BAEA-97AB3565A268}" type="presParOf" srcId="{9ACF6FAD-2F1D-4F73-AE09-AB53AF964251}" destId="{C4CD1C85-C63B-428A-B9FA-DEDF2FACEA99}" srcOrd="0" destOrd="0" presId="urn:microsoft.com/office/officeart/2008/layout/HalfCircleOrganizationChart"/>
    <dgm:cxn modelId="{F8D1C03D-DB94-4E8C-8FA2-25AB933815E4}" type="presParOf" srcId="{9ACF6FAD-2F1D-4F73-AE09-AB53AF964251}" destId="{6A8403B0-718B-45FE-8AB6-FC2261B77AD4}" srcOrd="1" destOrd="0" presId="urn:microsoft.com/office/officeart/2008/layout/HalfCircleOrganizationChart"/>
    <dgm:cxn modelId="{E3626F07-210D-4639-82DE-18160636B853}" type="presParOf" srcId="{9ACF6FAD-2F1D-4F73-AE09-AB53AF964251}" destId="{48CADC9D-00B9-4E80-92C2-8E767E97F1AE}" srcOrd="2" destOrd="0" presId="urn:microsoft.com/office/officeart/2008/layout/HalfCircleOrganizationChart"/>
    <dgm:cxn modelId="{D7C3BA02-101C-47A9-88AB-2A3FA4EEC8C9}" type="presParOf" srcId="{9ACF6FAD-2F1D-4F73-AE09-AB53AF964251}" destId="{0D85B91C-24A5-43D9-81CF-F04F0EBD3681}" srcOrd="3" destOrd="0" presId="urn:microsoft.com/office/officeart/2008/layout/HalfCircleOrganizationChart"/>
    <dgm:cxn modelId="{0C907E84-2104-4D01-91AF-C4A9D5B27FF9}" type="presParOf" srcId="{D6F30CDB-D17C-4F7A-A4E9-EFAB5E7CC127}" destId="{7E491B41-4EC7-46FC-8D96-7F7EEA6F4767}" srcOrd="1" destOrd="0" presId="urn:microsoft.com/office/officeart/2008/layout/HalfCircleOrganizationChart"/>
    <dgm:cxn modelId="{3070D018-4415-49F5-9008-FB7A5838E640}" type="presParOf" srcId="{D6F30CDB-D17C-4F7A-A4E9-EFAB5E7CC127}" destId="{D40FE3E4-9D1C-4218-9BFE-56249C20BA99}" srcOrd="2" destOrd="0" presId="urn:microsoft.com/office/officeart/2008/layout/HalfCircleOrganizationChart"/>
    <dgm:cxn modelId="{21158501-81C0-41C0-A2AB-916FFF29C451}" type="presParOf" srcId="{CAD7623F-A866-4C26-BEE7-DCDC1447B0B8}" destId="{B8B97D8F-716B-441F-9084-7825A587B86D}" srcOrd="6" destOrd="0" presId="urn:microsoft.com/office/officeart/2008/layout/HalfCircleOrganizationChart"/>
    <dgm:cxn modelId="{094036EE-58A8-433B-AEBD-1D82694FD491}" type="presParOf" srcId="{CAD7623F-A866-4C26-BEE7-DCDC1447B0B8}" destId="{DD263A9B-2EA9-4205-8D26-43F96DC83F40}" srcOrd="7" destOrd="0" presId="urn:microsoft.com/office/officeart/2008/layout/HalfCircleOrganizationChart"/>
    <dgm:cxn modelId="{5C5BC6CB-3A78-4732-867D-B8A042D6811D}" type="presParOf" srcId="{DD263A9B-2EA9-4205-8D26-43F96DC83F40}" destId="{C09BB855-CE6D-4FE0-9852-DBE63D1124A9}" srcOrd="0" destOrd="0" presId="urn:microsoft.com/office/officeart/2008/layout/HalfCircleOrganizationChart"/>
    <dgm:cxn modelId="{A195846E-1BB1-4016-AA0F-71842A5239C0}" type="presParOf" srcId="{C09BB855-CE6D-4FE0-9852-DBE63D1124A9}" destId="{3A8A0A91-DB2A-4F75-8414-ABAC96CFD5F1}" srcOrd="0" destOrd="0" presId="urn:microsoft.com/office/officeart/2008/layout/HalfCircleOrganizationChart"/>
    <dgm:cxn modelId="{D73B1088-DE85-41A4-AE73-DD651C073B54}" type="presParOf" srcId="{C09BB855-CE6D-4FE0-9852-DBE63D1124A9}" destId="{B296A0B2-0093-4CE4-AD4C-8D11DD0FC338}" srcOrd="1" destOrd="0" presId="urn:microsoft.com/office/officeart/2008/layout/HalfCircleOrganizationChart"/>
    <dgm:cxn modelId="{FBDC6332-A345-4B67-B445-4A960CB42CFC}" type="presParOf" srcId="{C09BB855-CE6D-4FE0-9852-DBE63D1124A9}" destId="{AC4B2588-131F-4734-ABF3-B8D11B70C91C}" srcOrd="2" destOrd="0" presId="urn:microsoft.com/office/officeart/2008/layout/HalfCircleOrganizationChart"/>
    <dgm:cxn modelId="{9D0D524B-993D-4998-BAE6-DA9A3DB2FB7B}" type="presParOf" srcId="{C09BB855-CE6D-4FE0-9852-DBE63D1124A9}" destId="{6E3D027A-43BC-45D7-B5C0-0415E88C3D5D}" srcOrd="3" destOrd="0" presId="urn:microsoft.com/office/officeart/2008/layout/HalfCircleOrganizationChart"/>
    <dgm:cxn modelId="{1C1CE812-6C17-4C1B-8C5B-3F2ECC30CF86}" type="presParOf" srcId="{DD263A9B-2EA9-4205-8D26-43F96DC83F40}" destId="{3228CFD5-64D8-4D49-99E5-A5DD35120F09}" srcOrd="1" destOrd="0" presId="urn:microsoft.com/office/officeart/2008/layout/HalfCircleOrganizationChart"/>
    <dgm:cxn modelId="{4EB12F61-1FE3-4A78-9BD4-E97493BE861E}" type="presParOf" srcId="{DD263A9B-2EA9-4205-8D26-43F96DC83F40}" destId="{BC21A7AF-36DF-4E45-B983-31EBCB19DF1E}" srcOrd="2" destOrd="0" presId="urn:microsoft.com/office/officeart/2008/layout/HalfCircleOrganizationChart"/>
    <dgm:cxn modelId="{EFDC448D-5407-4A15-89BD-B75F527C4ADF}" type="presParOf" srcId="{CAD7623F-A866-4C26-BEE7-DCDC1447B0B8}" destId="{6E88FECA-68CC-4045-A052-9642E1700789}" srcOrd="8" destOrd="0" presId="urn:microsoft.com/office/officeart/2008/layout/HalfCircleOrganizationChart"/>
    <dgm:cxn modelId="{1D6B4C2C-EB67-4B9A-9F51-8D975C1ED0D2}" type="presParOf" srcId="{CAD7623F-A866-4C26-BEE7-DCDC1447B0B8}" destId="{34151A57-86C2-482C-B6F8-C9B383274126}" srcOrd="9" destOrd="0" presId="urn:microsoft.com/office/officeart/2008/layout/HalfCircleOrganizationChart"/>
    <dgm:cxn modelId="{8604D3DF-FB7A-442A-B036-C22825FF91ED}" type="presParOf" srcId="{34151A57-86C2-482C-B6F8-C9B383274126}" destId="{93C4DD43-46F5-408A-9825-B2792E7E01C5}" srcOrd="0" destOrd="0" presId="urn:microsoft.com/office/officeart/2008/layout/HalfCircleOrganizationChart"/>
    <dgm:cxn modelId="{9EFA878F-6C60-408B-BF98-498E55D59DDE}" type="presParOf" srcId="{93C4DD43-46F5-408A-9825-B2792E7E01C5}" destId="{82D80B8D-F8BA-42A4-88EE-A19A99A041BC}" srcOrd="0" destOrd="0" presId="urn:microsoft.com/office/officeart/2008/layout/HalfCircleOrganizationChart"/>
    <dgm:cxn modelId="{4ECBFFE8-03E4-4A2A-B0DE-AAC3E370DDFD}" type="presParOf" srcId="{93C4DD43-46F5-408A-9825-B2792E7E01C5}" destId="{AFE5BDB2-CF73-4FBB-A88D-4B4858103F65}" srcOrd="1" destOrd="0" presId="urn:microsoft.com/office/officeart/2008/layout/HalfCircleOrganizationChart"/>
    <dgm:cxn modelId="{D1D18373-D09C-481C-B05F-A1A7FBF22FB3}" type="presParOf" srcId="{93C4DD43-46F5-408A-9825-B2792E7E01C5}" destId="{A8943617-1A65-400B-BEAC-48A6CAF87A06}" srcOrd="2" destOrd="0" presId="urn:microsoft.com/office/officeart/2008/layout/HalfCircleOrganizationChart"/>
    <dgm:cxn modelId="{F0439DE7-2CAF-49D5-B11E-2A7F6A0EF2AD}" type="presParOf" srcId="{93C4DD43-46F5-408A-9825-B2792E7E01C5}" destId="{4FCE6941-C3F3-44BC-9A1B-E8C47E2F690B}" srcOrd="3" destOrd="0" presId="urn:microsoft.com/office/officeart/2008/layout/HalfCircleOrganizationChart"/>
    <dgm:cxn modelId="{AFBE586E-1736-4944-A73A-FF2B25E987F2}" type="presParOf" srcId="{34151A57-86C2-482C-B6F8-C9B383274126}" destId="{754BEB0B-0F2F-47AD-9C3F-8FBF630419D5}" srcOrd="1" destOrd="0" presId="urn:microsoft.com/office/officeart/2008/layout/HalfCircleOrganizationChart"/>
    <dgm:cxn modelId="{02232EE3-BF11-4E85-BFD7-F71ABF2441CB}" type="presParOf" srcId="{34151A57-86C2-482C-B6F8-C9B383274126}" destId="{467FCA94-ECF6-4BAD-B4AD-B918DCDE4C6F}" srcOrd="2" destOrd="0" presId="urn:microsoft.com/office/officeart/2008/layout/HalfCircleOrganizationChart"/>
    <dgm:cxn modelId="{4002E2C6-3FD0-4E15-86FD-3BB612BFA27F}" type="presParOf" srcId="{8A3D2251-E096-486E-AB94-7C619B57D7A4}" destId="{923C7FE3-BD3E-4AF0-B209-7E898B2EDD22}" srcOrd="2" destOrd="0" presId="urn:microsoft.com/office/officeart/2008/layout/HalfCircleOrganizationChart"/>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88FECA-68CC-4045-A052-9642E1700789}">
      <dsp:nvSpPr>
        <dsp:cNvPr id="0" name=""/>
        <dsp:cNvSpPr/>
      </dsp:nvSpPr>
      <dsp:spPr>
        <a:xfrm>
          <a:off x="2858620" y="1342701"/>
          <a:ext cx="2370109" cy="204194"/>
        </a:xfrm>
        <a:custGeom>
          <a:avLst/>
          <a:gdLst/>
          <a:ahLst/>
          <a:cxnLst/>
          <a:rect l="0" t="0" r="0" b="0"/>
          <a:pathLst>
            <a:path>
              <a:moveTo>
                <a:pt x="0" y="0"/>
              </a:moveTo>
              <a:lnTo>
                <a:pt x="0" y="108148"/>
              </a:lnTo>
              <a:lnTo>
                <a:pt x="2527792" y="108148"/>
              </a:lnTo>
              <a:lnTo>
                <a:pt x="2527792" y="217779"/>
              </a:lnTo>
            </a:path>
          </a:pathLst>
        </a:custGeom>
        <a:noFill/>
        <a:ln w="25400" cap="flat" cmpd="sng" algn="ctr">
          <a:solidFill>
            <a:srgbClr val="C0504D"/>
          </a:solidFill>
          <a:prstDash val="solid"/>
        </a:ln>
        <a:effectLst/>
      </dsp:spPr>
      <dsp:style>
        <a:lnRef idx="2">
          <a:scrgbClr r="0" g="0" b="0"/>
        </a:lnRef>
        <a:fillRef idx="0">
          <a:scrgbClr r="0" g="0" b="0"/>
        </a:fillRef>
        <a:effectRef idx="0">
          <a:scrgbClr r="0" g="0" b="0"/>
        </a:effectRef>
        <a:fontRef idx="minor"/>
      </dsp:style>
    </dsp:sp>
    <dsp:sp modelId="{B8B97D8F-716B-441F-9084-7825A587B86D}">
      <dsp:nvSpPr>
        <dsp:cNvPr id="0" name=""/>
        <dsp:cNvSpPr/>
      </dsp:nvSpPr>
      <dsp:spPr>
        <a:xfrm>
          <a:off x="2858620" y="1342701"/>
          <a:ext cx="1184565" cy="205585"/>
        </a:xfrm>
        <a:custGeom>
          <a:avLst/>
          <a:gdLst/>
          <a:ahLst/>
          <a:cxnLst/>
          <a:rect l="0" t="0" r="0" b="0"/>
          <a:pathLst>
            <a:path>
              <a:moveTo>
                <a:pt x="0" y="0"/>
              </a:moveTo>
              <a:lnTo>
                <a:pt x="0" y="109631"/>
              </a:lnTo>
              <a:lnTo>
                <a:pt x="1263374" y="109631"/>
              </a:lnTo>
              <a:lnTo>
                <a:pt x="1263374" y="219263"/>
              </a:lnTo>
            </a:path>
          </a:pathLst>
        </a:custGeom>
        <a:noFill/>
        <a:ln w="25400" cap="flat" cmpd="sng" algn="ctr">
          <a:solidFill>
            <a:srgbClr val="C0504D"/>
          </a:solidFill>
          <a:prstDash val="solid"/>
        </a:ln>
        <a:effectLst/>
      </dsp:spPr>
      <dsp:style>
        <a:lnRef idx="2">
          <a:scrgbClr r="0" g="0" b="0"/>
        </a:lnRef>
        <a:fillRef idx="0">
          <a:scrgbClr r="0" g="0" b="0"/>
        </a:fillRef>
        <a:effectRef idx="0">
          <a:scrgbClr r="0" g="0" b="0"/>
        </a:effectRef>
        <a:fontRef idx="minor"/>
      </dsp:style>
    </dsp:sp>
    <dsp:sp modelId="{5E3B1E65-F17D-42A1-A1F0-2B11CA570A1A}">
      <dsp:nvSpPr>
        <dsp:cNvPr id="0" name=""/>
        <dsp:cNvSpPr/>
      </dsp:nvSpPr>
      <dsp:spPr>
        <a:xfrm>
          <a:off x="2812900" y="1342701"/>
          <a:ext cx="91440" cy="205585"/>
        </a:xfrm>
        <a:custGeom>
          <a:avLst/>
          <a:gdLst/>
          <a:ahLst/>
          <a:cxnLst/>
          <a:rect l="0" t="0" r="0" b="0"/>
          <a:pathLst>
            <a:path>
              <a:moveTo>
                <a:pt x="45720" y="0"/>
              </a:moveTo>
              <a:lnTo>
                <a:pt x="45720" y="219263"/>
              </a:lnTo>
            </a:path>
          </a:pathLst>
        </a:custGeom>
        <a:noFill/>
        <a:ln w="25400" cap="flat" cmpd="sng" algn="ctr">
          <a:solidFill>
            <a:srgbClr val="C0504D"/>
          </a:solidFill>
          <a:prstDash val="solid"/>
        </a:ln>
        <a:effectLst/>
      </dsp:spPr>
      <dsp:style>
        <a:lnRef idx="2">
          <a:scrgbClr r="0" g="0" b="0"/>
        </a:lnRef>
        <a:fillRef idx="0">
          <a:scrgbClr r="0" g="0" b="0"/>
        </a:fillRef>
        <a:effectRef idx="0">
          <a:scrgbClr r="0" g="0" b="0"/>
        </a:effectRef>
        <a:fontRef idx="minor"/>
      </dsp:style>
    </dsp:sp>
    <dsp:sp modelId="{2093DB10-3578-4CC0-976A-53839EE9F633}">
      <dsp:nvSpPr>
        <dsp:cNvPr id="0" name=""/>
        <dsp:cNvSpPr/>
      </dsp:nvSpPr>
      <dsp:spPr>
        <a:xfrm>
          <a:off x="1722298" y="1342701"/>
          <a:ext cx="1136321" cy="215237"/>
        </a:xfrm>
        <a:custGeom>
          <a:avLst/>
          <a:gdLst/>
          <a:ahLst/>
          <a:cxnLst/>
          <a:rect l="0" t="0" r="0" b="0"/>
          <a:pathLst>
            <a:path>
              <a:moveTo>
                <a:pt x="1211920" y="0"/>
              </a:moveTo>
              <a:lnTo>
                <a:pt x="1211920" y="119925"/>
              </a:lnTo>
              <a:lnTo>
                <a:pt x="0" y="119925"/>
              </a:lnTo>
              <a:lnTo>
                <a:pt x="0" y="229557"/>
              </a:lnTo>
            </a:path>
          </a:pathLst>
        </a:custGeom>
        <a:noFill/>
        <a:ln w="25400" cap="flat" cmpd="sng" algn="ctr">
          <a:solidFill>
            <a:srgbClr val="C0504D"/>
          </a:solidFill>
          <a:prstDash val="solid"/>
        </a:ln>
        <a:effectLst/>
      </dsp:spPr>
      <dsp:style>
        <a:lnRef idx="2">
          <a:scrgbClr r="0" g="0" b="0"/>
        </a:lnRef>
        <a:fillRef idx="0">
          <a:scrgbClr r="0" g="0" b="0"/>
        </a:fillRef>
        <a:effectRef idx="0">
          <a:scrgbClr r="0" g="0" b="0"/>
        </a:effectRef>
        <a:fontRef idx="minor"/>
      </dsp:style>
    </dsp:sp>
    <dsp:sp modelId="{E92CBD14-0189-494A-BC08-0B46CFDCA8A2}">
      <dsp:nvSpPr>
        <dsp:cNvPr id="0" name=""/>
        <dsp:cNvSpPr/>
      </dsp:nvSpPr>
      <dsp:spPr>
        <a:xfrm>
          <a:off x="489489" y="1342701"/>
          <a:ext cx="2369130" cy="205585"/>
        </a:xfrm>
        <a:custGeom>
          <a:avLst/>
          <a:gdLst/>
          <a:ahLst/>
          <a:cxnLst/>
          <a:rect l="0" t="0" r="0" b="0"/>
          <a:pathLst>
            <a:path>
              <a:moveTo>
                <a:pt x="2526747" y="0"/>
              </a:moveTo>
              <a:lnTo>
                <a:pt x="2526747" y="109631"/>
              </a:lnTo>
              <a:lnTo>
                <a:pt x="0" y="109631"/>
              </a:lnTo>
              <a:lnTo>
                <a:pt x="0" y="219263"/>
              </a:lnTo>
            </a:path>
          </a:pathLst>
        </a:custGeom>
        <a:noFill/>
        <a:ln w="25400" cap="flat" cmpd="sng" algn="ctr">
          <a:solidFill>
            <a:srgbClr val="C0504D"/>
          </a:solidFill>
          <a:prstDash val="solid"/>
        </a:ln>
        <a:effectLst/>
      </dsp:spPr>
      <dsp:style>
        <a:lnRef idx="2">
          <a:scrgbClr r="0" g="0" b="0"/>
        </a:lnRef>
        <a:fillRef idx="0">
          <a:scrgbClr r="0" g="0" b="0"/>
        </a:fillRef>
        <a:effectRef idx="0">
          <a:scrgbClr r="0" g="0" b="0"/>
        </a:effectRef>
        <a:fontRef idx="minor"/>
      </dsp:style>
    </dsp:sp>
    <dsp:sp modelId="{1711B397-1B03-489F-BF44-7A4267D12181}">
      <dsp:nvSpPr>
        <dsp:cNvPr id="0" name=""/>
        <dsp:cNvSpPr/>
      </dsp:nvSpPr>
      <dsp:spPr>
        <a:xfrm>
          <a:off x="2587714" y="211051"/>
          <a:ext cx="525286" cy="499142"/>
        </a:xfrm>
        <a:prstGeom prst="arc">
          <a:avLst>
            <a:gd name="adj1" fmla="val 13200000"/>
            <a:gd name="adj2" fmla="val 192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C143A938-E8AE-4596-91E7-63108A4C495C}">
      <dsp:nvSpPr>
        <dsp:cNvPr id="0" name=""/>
        <dsp:cNvSpPr/>
      </dsp:nvSpPr>
      <dsp:spPr>
        <a:xfrm>
          <a:off x="2587714" y="211051"/>
          <a:ext cx="525286" cy="499142"/>
        </a:xfrm>
        <a:prstGeom prst="arc">
          <a:avLst>
            <a:gd name="adj1" fmla="val 2400000"/>
            <a:gd name="adj2" fmla="val 84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F0ACA48D-C2D1-4754-916F-DD11887F4466}">
      <dsp:nvSpPr>
        <dsp:cNvPr id="0" name=""/>
        <dsp:cNvSpPr/>
      </dsp:nvSpPr>
      <dsp:spPr>
        <a:xfrm>
          <a:off x="2325071" y="300896"/>
          <a:ext cx="1050572" cy="31945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3,236</a:t>
          </a:r>
          <a: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r>
          <a:br>
            <a:rPr lang="en-AU"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br>
          <a:r>
            <a:rPr lang="en-A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Registered</a:t>
          </a:r>
        </a:p>
      </dsp:txBody>
      <dsp:txXfrm>
        <a:off x="2325071" y="300896"/>
        <a:ext cx="1050572" cy="319451"/>
      </dsp:txXfrm>
    </dsp:sp>
    <dsp:sp modelId="{7D99FAA1-9B5A-464F-9A85-458BAF314A21}">
      <dsp:nvSpPr>
        <dsp:cNvPr id="0" name=""/>
        <dsp:cNvSpPr/>
      </dsp:nvSpPr>
      <dsp:spPr>
        <a:xfrm>
          <a:off x="2619311" y="870622"/>
          <a:ext cx="478618" cy="472078"/>
        </a:xfrm>
        <a:prstGeom prst="arc">
          <a:avLst>
            <a:gd name="adj1" fmla="val 13200000"/>
            <a:gd name="adj2" fmla="val 192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9398087D-2C2B-4138-96DB-10E6CA3DD013}">
      <dsp:nvSpPr>
        <dsp:cNvPr id="0" name=""/>
        <dsp:cNvSpPr/>
      </dsp:nvSpPr>
      <dsp:spPr>
        <a:xfrm>
          <a:off x="2619311" y="870622"/>
          <a:ext cx="478618" cy="472078"/>
        </a:xfrm>
        <a:prstGeom prst="arc">
          <a:avLst>
            <a:gd name="adj1" fmla="val 2400000"/>
            <a:gd name="adj2" fmla="val 84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0DBEC276-7AF5-4654-8F01-6FD819773E65}">
      <dsp:nvSpPr>
        <dsp:cNvPr id="0" name=""/>
        <dsp:cNvSpPr/>
      </dsp:nvSpPr>
      <dsp:spPr>
        <a:xfrm>
          <a:off x="2380002" y="955596"/>
          <a:ext cx="957236" cy="30213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3,031</a:t>
          </a:r>
          <a:r>
            <a:rPr lang="en-AU"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Employed</a:t>
          </a:r>
        </a:p>
      </dsp:txBody>
      <dsp:txXfrm>
        <a:off x="2380002" y="955596"/>
        <a:ext cx="957236" cy="302130"/>
      </dsp:txXfrm>
    </dsp:sp>
    <dsp:sp modelId="{5CEC82A9-FCD3-4C11-9481-43D606E8D4AF}">
      <dsp:nvSpPr>
        <dsp:cNvPr id="0" name=""/>
        <dsp:cNvSpPr/>
      </dsp:nvSpPr>
      <dsp:spPr>
        <a:xfrm>
          <a:off x="244744" y="1548287"/>
          <a:ext cx="489489" cy="489489"/>
        </a:xfrm>
        <a:prstGeom prst="arc">
          <a:avLst>
            <a:gd name="adj1" fmla="val 13200000"/>
            <a:gd name="adj2" fmla="val 192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5BE4CE5A-A9B0-44B8-94BF-5BDF200497D5}">
      <dsp:nvSpPr>
        <dsp:cNvPr id="0" name=""/>
        <dsp:cNvSpPr/>
      </dsp:nvSpPr>
      <dsp:spPr>
        <a:xfrm>
          <a:off x="244744" y="1548287"/>
          <a:ext cx="489489" cy="489489"/>
        </a:xfrm>
        <a:prstGeom prst="arc">
          <a:avLst>
            <a:gd name="adj1" fmla="val 2400000"/>
            <a:gd name="adj2" fmla="val 84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FD0355DC-EB75-4672-BCE8-2EF1BE0B767F}">
      <dsp:nvSpPr>
        <dsp:cNvPr id="0" name=""/>
        <dsp:cNvSpPr/>
      </dsp:nvSpPr>
      <dsp:spPr>
        <a:xfrm>
          <a:off x="0" y="1636395"/>
          <a:ext cx="978979" cy="3132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2,805</a:t>
          </a:r>
          <a:r>
            <a:rPr lang="en-A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Clinicians</a:t>
          </a:r>
        </a:p>
      </dsp:txBody>
      <dsp:txXfrm>
        <a:off x="0" y="1636395"/>
        <a:ext cx="978979" cy="313273"/>
      </dsp:txXfrm>
    </dsp:sp>
    <dsp:sp modelId="{12D278A2-4E63-4687-8582-D4F7CEEACEBE}">
      <dsp:nvSpPr>
        <dsp:cNvPr id="0" name=""/>
        <dsp:cNvSpPr/>
      </dsp:nvSpPr>
      <dsp:spPr>
        <a:xfrm>
          <a:off x="1477553" y="1557939"/>
          <a:ext cx="489489" cy="489489"/>
        </a:xfrm>
        <a:prstGeom prst="arc">
          <a:avLst>
            <a:gd name="adj1" fmla="val 13200000"/>
            <a:gd name="adj2" fmla="val 192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F96AE401-5742-4A64-A951-8539255A6BA5}">
      <dsp:nvSpPr>
        <dsp:cNvPr id="0" name=""/>
        <dsp:cNvSpPr/>
      </dsp:nvSpPr>
      <dsp:spPr>
        <a:xfrm>
          <a:off x="1477553" y="1557939"/>
          <a:ext cx="489489" cy="489489"/>
        </a:xfrm>
        <a:prstGeom prst="arc">
          <a:avLst>
            <a:gd name="adj1" fmla="val 2400000"/>
            <a:gd name="adj2" fmla="val 84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4E18ECE9-9D41-4BC0-8DC1-08764F66F914}">
      <dsp:nvSpPr>
        <dsp:cNvPr id="0" name=""/>
        <dsp:cNvSpPr/>
      </dsp:nvSpPr>
      <dsp:spPr>
        <a:xfrm>
          <a:off x="1232808" y="1646047"/>
          <a:ext cx="978979" cy="3132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94</a:t>
          </a:r>
          <a:r>
            <a:rPr lang="en-A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Administrator</a:t>
          </a:r>
        </a:p>
      </dsp:txBody>
      <dsp:txXfrm>
        <a:off x="1232808" y="1646047"/>
        <a:ext cx="978979" cy="313273"/>
      </dsp:txXfrm>
    </dsp:sp>
    <dsp:sp modelId="{6A8403B0-718B-45FE-8AB6-FC2261B77AD4}">
      <dsp:nvSpPr>
        <dsp:cNvPr id="0" name=""/>
        <dsp:cNvSpPr/>
      </dsp:nvSpPr>
      <dsp:spPr>
        <a:xfrm>
          <a:off x="2613875" y="1548287"/>
          <a:ext cx="489489" cy="489489"/>
        </a:xfrm>
        <a:prstGeom prst="arc">
          <a:avLst>
            <a:gd name="adj1" fmla="val 13200000"/>
            <a:gd name="adj2" fmla="val 192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48CADC9D-00B9-4E80-92C2-8E767E97F1AE}">
      <dsp:nvSpPr>
        <dsp:cNvPr id="0" name=""/>
        <dsp:cNvSpPr/>
      </dsp:nvSpPr>
      <dsp:spPr>
        <a:xfrm>
          <a:off x="2613875" y="1548287"/>
          <a:ext cx="489489" cy="489489"/>
        </a:xfrm>
        <a:prstGeom prst="arc">
          <a:avLst>
            <a:gd name="adj1" fmla="val 2400000"/>
            <a:gd name="adj2" fmla="val 84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C4CD1C85-C63B-428A-B9FA-DEDF2FACEA99}">
      <dsp:nvSpPr>
        <dsp:cNvPr id="0" name=""/>
        <dsp:cNvSpPr/>
      </dsp:nvSpPr>
      <dsp:spPr>
        <a:xfrm>
          <a:off x="2369130" y="1636395"/>
          <a:ext cx="978979" cy="3132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57</a:t>
          </a:r>
          <a:r>
            <a:rPr lang="en-A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Teacher/Educator</a:t>
          </a:r>
        </a:p>
      </dsp:txBody>
      <dsp:txXfrm>
        <a:off x="2369130" y="1636395"/>
        <a:ext cx="978979" cy="313273"/>
      </dsp:txXfrm>
    </dsp:sp>
    <dsp:sp modelId="{B296A0B2-0093-4CE4-AD4C-8D11DD0FC338}">
      <dsp:nvSpPr>
        <dsp:cNvPr id="0" name=""/>
        <dsp:cNvSpPr/>
      </dsp:nvSpPr>
      <dsp:spPr>
        <a:xfrm>
          <a:off x="3798441" y="1548287"/>
          <a:ext cx="489489" cy="489489"/>
        </a:xfrm>
        <a:prstGeom prst="arc">
          <a:avLst>
            <a:gd name="adj1" fmla="val 13200000"/>
            <a:gd name="adj2" fmla="val 192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AC4B2588-131F-4734-ABF3-B8D11B70C91C}">
      <dsp:nvSpPr>
        <dsp:cNvPr id="0" name=""/>
        <dsp:cNvSpPr/>
      </dsp:nvSpPr>
      <dsp:spPr>
        <a:xfrm>
          <a:off x="3798441" y="1548287"/>
          <a:ext cx="489489" cy="489489"/>
        </a:xfrm>
        <a:prstGeom prst="arc">
          <a:avLst>
            <a:gd name="adj1" fmla="val 2400000"/>
            <a:gd name="adj2" fmla="val 84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3A8A0A91-DB2A-4F75-8414-ABAC96CFD5F1}">
      <dsp:nvSpPr>
        <dsp:cNvPr id="0" name=""/>
        <dsp:cNvSpPr/>
      </dsp:nvSpPr>
      <dsp:spPr>
        <a:xfrm>
          <a:off x="3553696" y="1636395"/>
          <a:ext cx="978979" cy="3132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55</a:t>
          </a:r>
          <a:r>
            <a:rPr lang="en-A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Researcher</a:t>
          </a:r>
        </a:p>
      </dsp:txBody>
      <dsp:txXfrm>
        <a:off x="3553696" y="1636395"/>
        <a:ext cx="978979" cy="313273"/>
      </dsp:txXfrm>
    </dsp:sp>
    <dsp:sp modelId="{AFE5BDB2-CF73-4FBB-A88D-4B4858103F65}">
      <dsp:nvSpPr>
        <dsp:cNvPr id="0" name=""/>
        <dsp:cNvSpPr/>
      </dsp:nvSpPr>
      <dsp:spPr>
        <a:xfrm>
          <a:off x="4983985" y="1546896"/>
          <a:ext cx="489489" cy="489489"/>
        </a:xfrm>
        <a:prstGeom prst="arc">
          <a:avLst>
            <a:gd name="adj1" fmla="val 13200000"/>
            <a:gd name="adj2" fmla="val 192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A8943617-1A65-400B-BEAC-48A6CAF87A06}">
      <dsp:nvSpPr>
        <dsp:cNvPr id="0" name=""/>
        <dsp:cNvSpPr/>
      </dsp:nvSpPr>
      <dsp:spPr>
        <a:xfrm>
          <a:off x="4983985" y="1546896"/>
          <a:ext cx="489489" cy="489489"/>
        </a:xfrm>
        <a:prstGeom prst="arc">
          <a:avLst>
            <a:gd name="adj1" fmla="val 2400000"/>
            <a:gd name="adj2" fmla="val 8400000"/>
          </a:avLst>
        </a:prstGeom>
        <a:noFill/>
        <a:ln w="25400" cap="flat" cmpd="sng" algn="ctr">
          <a:solidFill>
            <a:srgbClr val="000080"/>
          </a:solidFill>
          <a:prstDash val="solid"/>
        </a:ln>
        <a:effectLst/>
      </dsp:spPr>
      <dsp:style>
        <a:lnRef idx="2">
          <a:scrgbClr r="0" g="0" b="0"/>
        </a:lnRef>
        <a:fillRef idx="0">
          <a:scrgbClr r="0" g="0" b="0"/>
        </a:fillRef>
        <a:effectRef idx="0">
          <a:scrgbClr r="0" g="0" b="0"/>
        </a:effectRef>
        <a:fontRef idx="minor"/>
      </dsp:style>
    </dsp:sp>
    <dsp:sp modelId="{82D80B8D-F8BA-42A4-88EE-A19A99A041BC}">
      <dsp:nvSpPr>
        <dsp:cNvPr id="0" name=""/>
        <dsp:cNvSpPr/>
      </dsp:nvSpPr>
      <dsp:spPr>
        <a:xfrm>
          <a:off x="4739240" y="1635004"/>
          <a:ext cx="978979" cy="313273"/>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AU" sz="14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20</a:t>
          </a:r>
          <a:r>
            <a:rPr lang="en-A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r>
          <a:br>
            <a:rPr lang="en-A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br>
          <a:r>
            <a:rPr lang="en-A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Other</a:t>
          </a:r>
        </a:p>
      </dsp:txBody>
      <dsp:txXfrm>
        <a:off x="4739240" y="1635004"/>
        <a:ext cx="978979" cy="313273"/>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0.09529</cdr:x>
      <cdr:y>0.15075</cdr:y>
    </cdr:from>
    <cdr:to>
      <cdr:x>0.97141</cdr:x>
      <cdr:y>0.15383</cdr:y>
    </cdr:to>
    <cdr:cxnSp macro="">
      <cdr:nvCxnSpPr>
        <cdr:cNvPr id="3" name="Straight Connector 2" descr="This bar shows the average hours worked at national level is 38.3" title="Figure 7: Avearge hours worked at national level"/>
        <cdr:cNvCxnSpPr/>
      </cdr:nvCxnSpPr>
      <cdr:spPr>
        <a:xfrm xmlns:a="http://schemas.openxmlformats.org/drawingml/2006/main">
          <a:off x="532740" y="389606"/>
          <a:ext cx="4897984" cy="796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0.11378</cdr:x>
      <cdr:y>0.15383</cdr:y>
    </cdr:from>
    <cdr:to>
      <cdr:x>0.97284</cdr:x>
      <cdr:y>0.15998</cdr:y>
    </cdr:to>
    <cdr:cxnSp macro="">
      <cdr:nvCxnSpPr>
        <cdr:cNvPr id="2" name="Straight Connector 1" title="Figure 8: Average "/>
        <cdr:cNvCxnSpPr/>
      </cdr:nvCxnSpPr>
      <cdr:spPr>
        <a:xfrm xmlns:a="http://schemas.openxmlformats.org/drawingml/2006/main">
          <a:off x="636104" y="397566"/>
          <a:ext cx="4802588" cy="15903"/>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1BCDA3-6EB3-465D-82F3-F8886F36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43</Pages>
  <Words>15257</Words>
  <Characters>81770</Characters>
  <Application>Microsoft Office Word</Application>
  <DocSecurity>0</DocSecurity>
  <Lines>681</Lines>
  <Paragraphs>193</Paragraphs>
  <ScaleCrop>false</ScaleCrop>
  <HeadingPairs>
    <vt:vector size="2" baseType="variant">
      <vt:variant>
        <vt:lpstr>Title</vt:lpstr>
      </vt:variant>
      <vt:variant>
        <vt:i4>1</vt:i4>
      </vt:variant>
    </vt:vector>
  </HeadingPairs>
  <TitlesOfParts>
    <vt:vector size="1" baseType="lpstr">
      <vt:lpstr>Australia’s Future Health Workforce – Psychiatry</vt:lpstr>
    </vt:vector>
  </TitlesOfParts>
  <Company>Department of Health</Company>
  <LinksUpToDate>false</LinksUpToDate>
  <CharactersWithSpaces>96834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Future Health Workforce – Psychiatry</dc:title>
  <dc:creator>Taitz Michelle</dc:creator>
  <cp:lastModifiedBy>Reece Francis </cp:lastModifiedBy>
  <cp:revision>6</cp:revision>
  <cp:lastPrinted>2015-08-10T04:27:00Z</cp:lastPrinted>
  <dcterms:created xsi:type="dcterms:W3CDTF">2016-03-18T00:54:00Z</dcterms:created>
  <dcterms:modified xsi:type="dcterms:W3CDTF">2016-03-30T22:18:00Z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-412562016</vt:i4>
  </property>
</Properties>
</file>