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BCA96A" w14:textId="422DF3C0" w:rsidR="008C1889" w:rsidRPr="00D01168" w:rsidRDefault="008C1889" w:rsidP="00EC4213">
      <w:pPr>
        <w:pStyle w:val="Title"/>
        <w:rPr>
          <w:color w:val="auto"/>
        </w:rPr>
      </w:pPr>
      <w:r w:rsidRPr="00D01168">
        <w:rPr>
          <w:color w:val="auto"/>
        </w:rPr>
        <w:t xml:space="preserve">Australia’s Future Health Workforce – Oral Health </w:t>
      </w:r>
    </w:p>
    <w:p w14:paraId="39BC2565" w14:textId="77777777" w:rsidR="008C1889" w:rsidRPr="00D01168" w:rsidRDefault="008C1889" w:rsidP="00EC4213">
      <w:pPr>
        <w:pStyle w:val="Title"/>
        <w:rPr>
          <w:color w:val="auto"/>
        </w:rPr>
      </w:pPr>
      <w:r w:rsidRPr="00D01168">
        <w:rPr>
          <w:color w:val="auto"/>
        </w:rPr>
        <w:t>Overview Report</w:t>
      </w:r>
    </w:p>
    <w:p w14:paraId="2901428D" w14:textId="1D4EDFA3" w:rsidR="00046822" w:rsidRPr="00D01168" w:rsidRDefault="008C1889" w:rsidP="00EC4213">
      <w:pPr>
        <w:pStyle w:val="Subtitle"/>
        <w:rPr>
          <w:color w:val="auto"/>
        </w:rPr>
      </w:pPr>
      <w:r w:rsidRPr="00D01168">
        <w:rPr>
          <w:color w:val="auto"/>
        </w:rPr>
        <w:t>August 2014</w:t>
      </w:r>
    </w:p>
    <w:p w14:paraId="3062F5BD" w14:textId="77777777" w:rsidR="00C21BD4" w:rsidRPr="00976D1C" w:rsidRDefault="00C21BD4" w:rsidP="00EC4213">
      <w:pPr>
        <w:sectPr w:rsidR="00C21BD4" w:rsidRPr="00976D1C" w:rsidSect="00611B24">
          <w:headerReference w:type="default" r:id="rId9"/>
          <w:footerReference w:type="default" r:id="rId10"/>
          <w:pgSz w:w="11906" w:h="16838"/>
          <w:pgMar w:top="3119" w:right="1134" w:bottom="1985" w:left="1134" w:header="709" w:footer="0" w:gutter="0"/>
          <w:pgBorders w:offsetFrom="page">
            <w:right w:val="single" w:sz="4" w:space="24" w:color="FFFFFF" w:themeColor="background1"/>
          </w:pgBorders>
          <w:cols w:space="720"/>
          <w:titlePg/>
          <w:docGrid w:linePitch="360"/>
        </w:sectPr>
      </w:pPr>
    </w:p>
    <w:p w14:paraId="69DD7F73" w14:textId="77777777" w:rsidR="002C20B4" w:rsidRPr="00976D1C" w:rsidRDefault="002C20B4" w:rsidP="00EC4213"/>
    <w:p w14:paraId="35BA049B" w14:textId="77777777" w:rsidR="00A3210C" w:rsidRPr="00976D1C" w:rsidRDefault="00A3210C" w:rsidP="00EC4213">
      <w:pPr>
        <w:sectPr w:rsidR="00A3210C" w:rsidRPr="00976D1C" w:rsidSect="00A3210C">
          <w:headerReference w:type="even" r:id="rId11"/>
          <w:headerReference w:type="default" r:id="rId12"/>
          <w:footerReference w:type="default" r:id="rId13"/>
          <w:headerReference w:type="first" r:id="rId14"/>
          <w:endnotePr>
            <w:numFmt w:val="decimal"/>
          </w:endnotePr>
          <w:type w:val="continuous"/>
          <w:pgSz w:w="11906" w:h="16838"/>
          <w:pgMar w:top="1440" w:right="1440" w:bottom="1440" w:left="1440" w:header="708" w:footer="708" w:gutter="0"/>
          <w:pgBorders w:offsetFrom="page">
            <w:right w:val="single" w:sz="4" w:space="24" w:color="FFFFFF" w:themeColor="background1"/>
          </w:pgBorders>
          <w:pgNumType w:fmt="lowerRoman"/>
          <w:cols w:space="708"/>
          <w:docGrid w:linePitch="360"/>
        </w:sectPr>
      </w:pPr>
    </w:p>
    <w:p w14:paraId="4F4F9615" w14:textId="77777777" w:rsidR="00232910" w:rsidRPr="00976D1C" w:rsidRDefault="00232910" w:rsidP="00EC4213">
      <w:pPr>
        <w:rPr>
          <w:b/>
        </w:rPr>
      </w:pPr>
      <w:r w:rsidRPr="00976D1C">
        <w:rPr>
          <w:b/>
        </w:rPr>
        <w:lastRenderedPageBreak/>
        <w:t>© Commonwealth of Australia 2014</w:t>
      </w:r>
    </w:p>
    <w:p w14:paraId="3B3D966B" w14:textId="77777777" w:rsidR="00232910" w:rsidRPr="00976D1C" w:rsidRDefault="00232910" w:rsidP="00EC4213">
      <w:r w:rsidRPr="00976D1C">
        <w:t xml:space="preserve">This work is copyright. You may download, display, print and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by the Copyright Act 1968 or allowed by this copyright notice, all other rights are reserved and you are not allowed to reproduce the whole or any part of this work in any way (electronic or otherwise) without first being given the specific written permission from the Commonwealth to do so. Requests and inquiries concerning reproduction and rights are to be sent to the Communication Branch, Department of Health, GPO Box 9848, Canberra ACT 2601, or via e-mail to </w:t>
      </w:r>
      <w:hyperlink r:id="rId15" w:history="1">
        <w:r w:rsidRPr="00976D1C">
          <w:rPr>
            <w:color w:val="0000FF"/>
            <w:u w:val="single"/>
          </w:rPr>
          <w:t>copyright@health.gov.au</w:t>
        </w:r>
      </w:hyperlink>
      <w:r w:rsidRPr="00976D1C">
        <w:t>.</w:t>
      </w:r>
    </w:p>
    <w:p w14:paraId="44C06B33" w14:textId="6922D791" w:rsidR="00232910" w:rsidRPr="00976D1C" w:rsidRDefault="00232910" w:rsidP="00EC4213">
      <w:pPr>
        <w:rPr>
          <w:lang w:eastAsia="en-AU"/>
        </w:rPr>
      </w:pPr>
      <w:r w:rsidRPr="00976D1C">
        <w:rPr>
          <w:lang w:eastAsia="en-AU"/>
        </w:rPr>
        <w:t xml:space="preserve">The Australia’s Future Health Workforce – Oral Health Overview report was developed by Health Workforce Australia with the input of key stakeholders for the consideration of Commonwealth, State and Territory Health Ministers. </w:t>
      </w:r>
    </w:p>
    <w:p w14:paraId="24DD65AF" w14:textId="77777777" w:rsidR="00232910" w:rsidRPr="00976D1C" w:rsidRDefault="00232910" w:rsidP="00EC4213">
      <w:r w:rsidRPr="00976D1C">
        <w:t xml:space="preserve">Health Workforce Australia was abolished on 8 October 2014. </w:t>
      </w:r>
    </w:p>
    <w:p w14:paraId="5C92C277" w14:textId="541BBC66" w:rsidR="00232910" w:rsidRPr="00976D1C" w:rsidRDefault="00232910" w:rsidP="00EC4213">
      <w:r w:rsidRPr="00976D1C">
        <w:t xml:space="preserve">The Australia’s Future Health Workforce – Oral Health Overview report was approved for publication by the Commonwealth and all State and Territory Health Ministers on 10 October 2014. </w:t>
      </w:r>
    </w:p>
    <w:p w14:paraId="053B2B8C" w14:textId="4BFF701A" w:rsidR="00232910" w:rsidRPr="00976D1C" w:rsidRDefault="00232910" w:rsidP="00EC4213">
      <w:r w:rsidRPr="00976D1C">
        <w:t xml:space="preserve">The recommendations contained in the Australia’s Future Health Workforce – Oral Health Overview report will be the subject of further consideration. </w:t>
      </w:r>
    </w:p>
    <w:p w14:paraId="1446DF3C" w14:textId="77777777" w:rsidR="00A20991" w:rsidRPr="00976D1C" w:rsidRDefault="00A20991" w:rsidP="00EC4213">
      <w:r w:rsidRPr="00976D1C">
        <w:t xml:space="preserve">Enquiries concerning this report and its reproduction should be directed to: </w:t>
      </w:r>
    </w:p>
    <w:p w14:paraId="746F61B0" w14:textId="080AD7D5" w:rsidR="00A20991" w:rsidRPr="00976D1C" w:rsidRDefault="00A20991" w:rsidP="00EC4213">
      <w:r w:rsidRPr="00976D1C">
        <w:t>Department of Health</w:t>
      </w:r>
      <w:r w:rsidR="0033276C" w:rsidRPr="00976D1C">
        <w:br/>
      </w:r>
      <w:r w:rsidRPr="00976D1C">
        <w:t>GPO Box 9848</w:t>
      </w:r>
      <w:r w:rsidR="0033276C" w:rsidRPr="00976D1C">
        <w:br/>
      </w:r>
      <w:r w:rsidRPr="00976D1C">
        <w:t>Canberra ACT 2601</w:t>
      </w:r>
      <w:r w:rsidR="0033276C" w:rsidRPr="00976D1C">
        <w:br/>
      </w:r>
      <w:r w:rsidR="008A79F6" w:rsidRPr="00976D1C">
        <w:t>enquiries@health.gov.au</w:t>
      </w:r>
      <w:r w:rsidRPr="00976D1C">
        <w:t xml:space="preserve"> </w:t>
      </w:r>
    </w:p>
    <w:p w14:paraId="40A21987" w14:textId="0C8198DE" w:rsidR="008F4297" w:rsidRPr="00976D1C" w:rsidRDefault="002C20B4" w:rsidP="00EC4213">
      <w:r w:rsidRPr="00976D1C">
        <w:t>Suggested citation:</w:t>
      </w:r>
      <w:r w:rsidR="00A3210C" w:rsidRPr="00976D1C">
        <w:t xml:space="preserve"> Health Workforce Australia 2014: </w:t>
      </w:r>
      <w:r w:rsidR="00766FB2" w:rsidRPr="00976D1C">
        <w:t>Australia’s Future Health Workforce</w:t>
      </w:r>
      <w:r w:rsidR="00B13FEE" w:rsidRPr="00976D1C">
        <w:t xml:space="preserve"> – Oral </w:t>
      </w:r>
      <w:r w:rsidR="00F201AF" w:rsidRPr="00976D1C">
        <w:t>Health</w:t>
      </w:r>
      <w:r w:rsidR="00B13FEE" w:rsidRPr="00976D1C">
        <w:t xml:space="preserve"> – O</w:t>
      </w:r>
      <w:r w:rsidR="00A3210C" w:rsidRPr="00976D1C">
        <w:t>verview</w:t>
      </w:r>
    </w:p>
    <w:p w14:paraId="25BA1D4C" w14:textId="77777777" w:rsidR="008F4297" w:rsidRPr="00976D1C" w:rsidRDefault="008F4297" w:rsidP="00EC4213">
      <w:pPr>
        <w:rPr>
          <w:lang w:eastAsia="x-none"/>
        </w:rPr>
      </w:pPr>
      <w:r w:rsidRPr="00976D1C">
        <w:br w:type="page"/>
      </w:r>
    </w:p>
    <w:p w14:paraId="7002AA7F" w14:textId="77777777" w:rsidR="00372851" w:rsidRPr="00976D1C" w:rsidRDefault="00372851" w:rsidP="00EC4213">
      <w:pPr>
        <w:pStyle w:val="Heading1"/>
      </w:pPr>
      <w:bookmarkStart w:id="0" w:name="_Toc364166081"/>
      <w:bookmarkStart w:id="1" w:name="_Toc371941192"/>
      <w:bookmarkStart w:id="2" w:name="_Toc371958843"/>
      <w:bookmarkStart w:id="3" w:name="_Toc372795167"/>
      <w:bookmarkStart w:id="4" w:name="_Toc377045767"/>
      <w:bookmarkStart w:id="5" w:name="_Toc407634397"/>
      <w:r w:rsidRPr="00976D1C">
        <w:lastRenderedPageBreak/>
        <w:t>Contents</w:t>
      </w:r>
      <w:bookmarkEnd w:id="0"/>
      <w:bookmarkEnd w:id="1"/>
      <w:bookmarkEnd w:id="2"/>
      <w:bookmarkEnd w:id="3"/>
      <w:bookmarkEnd w:id="4"/>
      <w:bookmarkEnd w:id="5"/>
    </w:p>
    <w:bookmarkStart w:id="6" w:name="_Toc371941193"/>
    <w:bookmarkStart w:id="7" w:name="_Toc371958844"/>
    <w:bookmarkStart w:id="8" w:name="_Toc372795168"/>
    <w:bookmarkStart w:id="9" w:name="_Toc377045768"/>
    <w:bookmarkStart w:id="10" w:name="_Toc364166084"/>
    <w:p w14:paraId="343733F4" w14:textId="77777777" w:rsidR="00A04AD9" w:rsidRPr="00976D1C" w:rsidRDefault="00C241D4" w:rsidP="00EC4213">
      <w:pPr>
        <w:pStyle w:val="TOC1"/>
        <w:tabs>
          <w:tab w:val="right" w:leader="dot" w:pos="9016"/>
        </w:tabs>
        <w:rPr>
          <w:rFonts w:eastAsiaTheme="minorEastAsia" w:cstheme="minorBidi"/>
          <w:b w:val="0"/>
          <w:bCs w:val="0"/>
          <w:caps w:val="0"/>
          <w:noProof/>
          <w:szCs w:val="22"/>
          <w:lang w:eastAsia="en-AU"/>
        </w:rPr>
      </w:pPr>
      <w:r w:rsidRPr="00976D1C">
        <w:rPr>
          <w:rFonts w:ascii="Avenir LT Std 35 Light" w:hAnsi="Avenir LT Std 35 Light"/>
          <w:b w:val="0"/>
          <w:caps w:val="0"/>
        </w:rPr>
        <w:fldChar w:fldCharType="begin"/>
      </w:r>
      <w:r w:rsidRPr="00976D1C">
        <w:rPr>
          <w:rFonts w:ascii="Avenir LT Std 35 Light" w:hAnsi="Avenir LT Std 35 Light"/>
          <w:b w:val="0"/>
          <w:caps w:val="0"/>
        </w:rPr>
        <w:instrText xml:space="preserve"> TOC \o "1-2" \h \z \u </w:instrText>
      </w:r>
      <w:r w:rsidRPr="00976D1C">
        <w:rPr>
          <w:rFonts w:ascii="Avenir LT Std 35 Light" w:hAnsi="Avenir LT Std 35 Light"/>
          <w:b w:val="0"/>
          <w:caps w:val="0"/>
        </w:rPr>
        <w:fldChar w:fldCharType="separate"/>
      </w:r>
      <w:hyperlink w:anchor="_Toc407634397" w:history="1">
        <w:r w:rsidR="00A04AD9" w:rsidRPr="00976D1C">
          <w:rPr>
            <w:rStyle w:val="Hyperlink"/>
            <w:noProof/>
          </w:rPr>
          <w:t>Contents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_Toc407634397 \h </w:instrText>
        </w:r>
        <w:r w:rsidR="00A04AD9" w:rsidRPr="00976D1C">
          <w:rPr>
            <w:noProof/>
            <w:webHidden/>
          </w:rPr>
        </w:r>
        <w:r w:rsidR="00A04AD9" w:rsidRPr="00976D1C">
          <w:rPr>
            <w:noProof/>
            <w:webHidden/>
          </w:rPr>
          <w:fldChar w:fldCharType="separate"/>
        </w:r>
        <w:r w:rsidR="00EC4213">
          <w:rPr>
            <w:noProof/>
            <w:webHidden/>
          </w:rPr>
          <w:t>ii</w:t>
        </w:r>
        <w:r w:rsidR="00A04AD9" w:rsidRPr="00976D1C">
          <w:rPr>
            <w:noProof/>
            <w:webHidden/>
          </w:rPr>
          <w:fldChar w:fldCharType="end"/>
        </w:r>
      </w:hyperlink>
    </w:p>
    <w:p w14:paraId="44D0EFD5"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398" w:history="1">
        <w:r w:rsidR="00A04AD9" w:rsidRPr="00976D1C">
          <w:rPr>
            <w:rStyle w:val="Hyperlink"/>
            <w:noProof/>
          </w:rPr>
          <w:t>List of tables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_Toc407634398 \h </w:instrText>
        </w:r>
        <w:r w:rsidR="00A04AD9" w:rsidRPr="00976D1C">
          <w:rPr>
            <w:noProof/>
            <w:webHidden/>
          </w:rPr>
        </w:r>
        <w:r w:rsidR="00A04AD9" w:rsidRPr="00976D1C">
          <w:rPr>
            <w:noProof/>
            <w:webHidden/>
          </w:rPr>
          <w:fldChar w:fldCharType="separate"/>
        </w:r>
        <w:r w:rsidR="00EC4213">
          <w:rPr>
            <w:noProof/>
            <w:webHidden/>
          </w:rPr>
          <w:t>iv</w:t>
        </w:r>
        <w:r w:rsidR="00A04AD9" w:rsidRPr="00976D1C">
          <w:rPr>
            <w:noProof/>
            <w:webHidden/>
          </w:rPr>
          <w:fldChar w:fldCharType="end"/>
        </w:r>
      </w:hyperlink>
    </w:p>
    <w:p w14:paraId="1E8D9034"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399" w:history="1">
        <w:r w:rsidR="00A04AD9" w:rsidRPr="00976D1C">
          <w:rPr>
            <w:rStyle w:val="Hyperlink"/>
            <w:noProof/>
          </w:rPr>
          <w:t>List of figures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_Toc407634399 \h </w:instrText>
        </w:r>
        <w:r w:rsidR="00A04AD9" w:rsidRPr="00976D1C">
          <w:rPr>
            <w:noProof/>
            <w:webHidden/>
          </w:rPr>
        </w:r>
        <w:r w:rsidR="00A04AD9" w:rsidRPr="00976D1C">
          <w:rPr>
            <w:noProof/>
            <w:webHidden/>
          </w:rPr>
          <w:fldChar w:fldCharType="separate"/>
        </w:r>
        <w:r w:rsidR="00EC4213">
          <w:rPr>
            <w:noProof/>
            <w:webHidden/>
          </w:rPr>
          <w:t>v</w:t>
        </w:r>
        <w:r w:rsidR="00A04AD9" w:rsidRPr="00976D1C">
          <w:rPr>
            <w:noProof/>
            <w:webHidden/>
          </w:rPr>
          <w:fldChar w:fldCharType="end"/>
        </w:r>
      </w:hyperlink>
    </w:p>
    <w:p w14:paraId="37E1DBDB"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00" w:history="1">
        <w:r w:rsidR="00A04AD9" w:rsidRPr="00976D1C">
          <w:rPr>
            <w:rStyle w:val="Hyperlink"/>
            <w:noProof/>
          </w:rPr>
          <w:t>Preface</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_Toc407634400 \h </w:instrText>
        </w:r>
        <w:r w:rsidR="00A04AD9" w:rsidRPr="00976D1C">
          <w:rPr>
            <w:noProof/>
            <w:webHidden/>
          </w:rPr>
        </w:r>
        <w:r w:rsidR="00A04AD9" w:rsidRPr="00976D1C">
          <w:rPr>
            <w:noProof/>
            <w:webHidden/>
          </w:rPr>
          <w:fldChar w:fldCharType="separate"/>
        </w:r>
        <w:r w:rsidR="00EC4213">
          <w:rPr>
            <w:noProof/>
            <w:webHidden/>
          </w:rPr>
          <w:t>1</w:t>
        </w:r>
        <w:r w:rsidR="00A04AD9" w:rsidRPr="00976D1C">
          <w:rPr>
            <w:noProof/>
            <w:webHidden/>
          </w:rPr>
          <w:fldChar w:fldCharType="end"/>
        </w:r>
      </w:hyperlink>
    </w:p>
    <w:p w14:paraId="6EBC268A" w14:textId="77777777" w:rsidR="00A04AD9" w:rsidRPr="00976D1C" w:rsidRDefault="00D01168" w:rsidP="00EC4213">
      <w:pPr>
        <w:pStyle w:val="TOC2"/>
        <w:rPr>
          <w:rFonts w:eastAsiaTheme="minorEastAsia" w:cstheme="minorBidi"/>
          <w:noProof/>
          <w:szCs w:val="22"/>
          <w:lang w:eastAsia="en-AU"/>
        </w:rPr>
      </w:pPr>
      <w:hyperlink w:anchor="_Toc407634401" w:history="1">
        <w:r w:rsidR="00A04AD9" w:rsidRPr="00976D1C">
          <w:rPr>
            <w:rStyle w:val="Hyperlink"/>
            <w:noProof/>
          </w:rPr>
          <w:t>Australia’s Future Health Workforce – Oral health</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_Toc407634401 \h </w:instrText>
        </w:r>
        <w:r w:rsidR="00A04AD9" w:rsidRPr="00976D1C">
          <w:rPr>
            <w:noProof/>
            <w:webHidden/>
          </w:rPr>
        </w:r>
        <w:r w:rsidR="00A04AD9" w:rsidRPr="00976D1C">
          <w:rPr>
            <w:noProof/>
            <w:webHidden/>
          </w:rPr>
          <w:fldChar w:fldCharType="separate"/>
        </w:r>
        <w:r w:rsidR="00EC4213">
          <w:rPr>
            <w:noProof/>
            <w:webHidden/>
          </w:rPr>
          <w:t>1</w:t>
        </w:r>
        <w:r w:rsidR="00A04AD9" w:rsidRPr="00976D1C">
          <w:rPr>
            <w:noProof/>
            <w:webHidden/>
          </w:rPr>
          <w:fldChar w:fldCharType="end"/>
        </w:r>
      </w:hyperlink>
    </w:p>
    <w:p w14:paraId="431F6EFF"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02" w:history="1">
        <w:r w:rsidR="00A04AD9" w:rsidRPr="00976D1C">
          <w:rPr>
            <w:rStyle w:val="Hyperlink"/>
            <w:noProof/>
          </w:rPr>
          <w:t>Summary</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_Toc407634402 \h </w:instrText>
        </w:r>
        <w:r w:rsidR="00A04AD9" w:rsidRPr="00976D1C">
          <w:rPr>
            <w:noProof/>
            <w:webHidden/>
          </w:rPr>
        </w:r>
        <w:r w:rsidR="00A04AD9" w:rsidRPr="00976D1C">
          <w:rPr>
            <w:noProof/>
            <w:webHidden/>
          </w:rPr>
          <w:fldChar w:fldCharType="separate"/>
        </w:r>
        <w:r w:rsidR="00EC4213">
          <w:rPr>
            <w:noProof/>
            <w:webHidden/>
          </w:rPr>
          <w:t>2</w:t>
        </w:r>
        <w:r w:rsidR="00A04AD9" w:rsidRPr="00976D1C">
          <w:rPr>
            <w:noProof/>
            <w:webHidden/>
          </w:rPr>
          <w:fldChar w:fldCharType="end"/>
        </w:r>
      </w:hyperlink>
    </w:p>
    <w:p w14:paraId="27F21803"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03" w:history="1">
        <w:r w:rsidR="00A04AD9" w:rsidRPr="00976D1C">
          <w:rPr>
            <w:rStyle w:val="Hyperlink"/>
            <w:noProof/>
          </w:rPr>
          <w:t>Key points of the Report</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_Toc407634403 \h </w:instrText>
        </w:r>
        <w:r w:rsidR="00A04AD9" w:rsidRPr="00976D1C">
          <w:rPr>
            <w:noProof/>
            <w:webHidden/>
          </w:rPr>
        </w:r>
        <w:r w:rsidR="00A04AD9" w:rsidRPr="00976D1C">
          <w:rPr>
            <w:noProof/>
            <w:webHidden/>
          </w:rPr>
          <w:fldChar w:fldCharType="separate"/>
        </w:r>
        <w:r w:rsidR="00EC4213">
          <w:rPr>
            <w:noProof/>
            <w:webHidden/>
          </w:rPr>
          <w:t>3</w:t>
        </w:r>
        <w:r w:rsidR="00A04AD9" w:rsidRPr="00976D1C">
          <w:rPr>
            <w:noProof/>
            <w:webHidden/>
          </w:rPr>
          <w:fldChar w:fldCharType="end"/>
        </w:r>
      </w:hyperlink>
    </w:p>
    <w:p w14:paraId="0D8FE9BC"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04" w:history="1">
        <w:r w:rsidR="00A04AD9" w:rsidRPr="00976D1C">
          <w:rPr>
            <w:rStyle w:val="Hyperlink"/>
            <w:noProof/>
          </w:rPr>
          <w:t>Introduction</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_Toc407634404 \h </w:instrText>
        </w:r>
        <w:r w:rsidR="00A04AD9" w:rsidRPr="00976D1C">
          <w:rPr>
            <w:noProof/>
            <w:webHidden/>
          </w:rPr>
        </w:r>
        <w:r w:rsidR="00A04AD9" w:rsidRPr="00976D1C">
          <w:rPr>
            <w:noProof/>
            <w:webHidden/>
          </w:rPr>
          <w:fldChar w:fldCharType="separate"/>
        </w:r>
        <w:r w:rsidR="00EC4213">
          <w:rPr>
            <w:noProof/>
            <w:webHidden/>
          </w:rPr>
          <w:t>5</w:t>
        </w:r>
        <w:r w:rsidR="00A04AD9" w:rsidRPr="00976D1C">
          <w:rPr>
            <w:noProof/>
            <w:webHidden/>
          </w:rPr>
          <w:fldChar w:fldCharType="end"/>
        </w:r>
      </w:hyperlink>
    </w:p>
    <w:p w14:paraId="65067F13" w14:textId="77777777" w:rsidR="00A04AD9" w:rsidRPr="00976D1C" w:rsidRDefault="00D01168" w:rsidP="00EC4213">
      <w:pPr>
        <w:pStyle w:val="TOC2"/>
        <w:rPr>
          <w:rFonts w:eastAsiaTheme="minorEastAsia" w:cstheme="minorBidi"/>
          <w:noProof/>
          <w:szCs w:val="22"/>
          <w:lang w:eastAsia="en-AU"/>
        </w:rPr>
      </w:pPr>
      <w:hyperlink w:anchor="_Toc407634405" w:history="1">
        <w:r w:rsidR="00A04AD9" w:rsidRPr="00976D1C">
          <w:rPr>
            <w:rStyle w:val="Hyperlink"/>
            <w:noProof/>
          </w:rPr>
          <w:t>Australia’s Future Health Workforce Reports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_Toc407634405 \h </w:instrText>
        </w:r>
        <w:r w:rsidR="00A04AD9" w:rsidRPr="00976D1C">
          <w:rPr>
            <w:noProof/>
            <w:webHidden/>
          </w:rPr>
        </w:r>
        <w:r w:rsidR="00A04AD9" w:rsidRPr="00976D1C">
          <w:rPr>
            <w:noProof/>
            <w:webHidden/>
          </w:rPr>
          <w:fldChar w:fldCharType="separate"/>
        </w:r>
        <w:r w:rsidR="00EC4213">
          <w:rPr>
            <w:noProof/>
            <w:webHidden/>
          </w:rPr>
          <w:t>5</w:t>
        </w:r>
        <w:r w:rsidR="00A04AD9" w:rsidRPr="00976D1C">
          <w:rPr>
            <w:noProof/>
            <w:webHidden/>
          </w:rPr>
          <w:fldChar w:fldCharType="end"/>
        </w:r>
      </w:hyperlink>
    </w:p>
    <w:p w14:paraId="4545FB6E"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06" w:history="1">
        <w:r w:rsidR="00A04AD9" w:rsidRPr="00976D1C">
          <w:rPr>
            <w:rStyle w:val="Hyperlink"/>
            <w:noProof/>
          </w:rPr>
          <w:t>Oral health in Australia</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_Toc407634406 \h </w:instrText>
        </w:r>
        <w:r w:rsidR="00A04AD9" w:rsidRPr="00976D1C">
          <w:rPr>
            <w:noProof/>
            <w:webHidden/>
          </w:rPr>
        </w:r>
        <w:r w:rsidR="00A04AD9" w:rsidRPr="00976D1C">
          <w:rPr>
            <w:noProof/>
            <w:webHidden/>
          </w:rPr>
          <w:fldChar w:fldCharType="separate"/>
        </w:r>
        <w:r w:rsidR="00EC4213">
          <w:rPr>
            <w:noProof/>
            <w:webHidden/>
          </w:rPr>
          <w:t>6</w:t>
        </w:r>
        <w:r w:rsidR="00A04AD9" w:rsidRPr="00976D1C">
          <w:rPr>
            <w:noProof/>
            <w:webHidden/>
          </w:rPr>
          <w:fldChar w:fldCharType="end"/>
        </w:r>
      </w:hyperlink>
    </w:p>
    <w:p w14:paraId="28CB8AA5" w14:textId="77777777" w:rsidR="00A04AD9" w:rsidRPr="00976D1C" w:rsidRDefault="00D01168" w:rsidP="00EC4213">
      <w:pPr>
        <w:pStyle w:val="TOC2"/>
        <w:rPr>
          <w:rFonts w:eastAsiaTheme="minorEastAsia" w:cstheme="minorBidi"/>
          <w:noProof/>
          <w:szCs w:val="22"/>
          <w:lang w:eastAsia="en-AU"/>
        </w:rPr>
      </w:pPr>
      <w:hyperlink w:anchor="_Toc407634407" w:history="1">
        <w:r w:rsidR="00A04AD9" w:rsidRPr="00976D1C">
          <w:rPr>
            <w:rStyle w:val="Hyperlink"/>
            <w:noProof/>
          </w:rPr>
          <w:t>The importance of oral health</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_Toc407634407 \h </w:instrText>
        </w:r>
        <w:r w:rsidR="00A04AD9" w:rsidRPr="00976D1C">
          <w:rPr>
            <w:noProof/>
            <w:webHidden/>
          </w:rPr>
        </w:r>
        <w:r w:rsidR="00A04AD9" w:rsidRPr="00976D1C">
          <w:rPr>
            <w:noProof/>
            <w:webHidden/>
          </w:rPr>
          <w:fldChar w:fldCharType="separate"/>
        </w:r>
        <w:r w:rsidR="00EC4213">
          <w:rPr>
            <w:noProof/>
            <w:webHidden/>
          </w:rPr>
          <w:t>6</w:t>
        </w:r>
        <w:r w:rsidR="00A04AD9" w:rsidRPr="00976D1C">
          <w:rPr>
            <w:noProof/>
            <w:webHidden/>
          </w:rPr>
          <w:fldChar w:fldCharType="end"/>
        </w:r>
      </w:hyperlink>
    </w:p>
    <w:p w14:paraId="2392B40F" w14:textId="77777777" w:rsidR="00A04AD9" w:rsidRPr="00976D1C" w:rsidRDefault="00D01168" w:rsidP="00EC4213">
      <w:pPr>
        <w:pStyle w:val="TOC2"/>
        <w:rPr>
          <w:rFonts w:eastAsiaTheme="minorEastAsia" w:cstheme="minorBidi"/>
          <w:noProof/>
          <w:szCs w:val="22"/>
          <w:lang w:eastAsia="en-AU"/>
        </w:rPr>
      </w:pPr>
      <w:hyperlink w:anchor="_Toc407634408" w:history="1">
        <w:r w:rsidR="00A04AD9" w:rsidRPr="00976D1C">
          <w:rPr>
            <w:rStyle w:val="Hyperlink"/>
            <w:noProof/>
          </w:rPr>
          <w:t>Oral health services in Australia</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_Toc407634408 \h </w:instrText>
        </w:r>
        <w:r w:rsidR="00A04AD9" w:rsidRPr="00976D1C">
          <w:rPr>
            <w:noProof/>
            <w:webHidden/>
          </w:rPr>
        </w:r>
        <w:r w:rsidR="00A04AD9" w:rsidRPr="00976D1C">
          <w:rPr>
            <w:noProof/>
            <w:webHidden/>
          </w:rPr>
          <w:fldChar w:fldCharType="separate"/>
        </w:r>
        <w:r w:rsidR="00EC4213">
          <w:rPr>
            <w:noProof/>
            <w:webHidden/>
          </w:rPr>
          <w:t>6</w:t>
        </w:r>
        <w:r w:rsidR="00A04AD9" w:rsidRPr="00976D1C">
          <w:rPr>
            <w:noProof/>
            <w:webHidden/>
          </w:rPr>
          <w:fldChar w:fldCharType="end"/>
        </w:r>
      </w:hyperlink>
    </w:p>
    <w:p w14:paraId="4E126E4D" w14:textId="77777777" w:rsidR="00A04AD9" w:rsidRPr="00976D1C" w:rsidRDefault="00D01168" w:rsidP="00EC4213">
      <w:pPr>
        <w:pStyle w:val="TOC2"/>
        <w:rPr>
          <w:rFonts w:eastAsiaTheme="minorEastAsia" w:cstheme="minorBidi"/>
          <w:noProof/>
          <w:szCs w:val="22"/>
          <w:lang w:eastAsia="en-AU"/>
        </w:rPr>
      </w:pPr>
      <w:hyperlink w:anchor="_Toc407634409" w:history="1">
        <w:r w:rsidR="00A04AD9" w:rsidRPr="00976D1C">
          <w:rPr>
            <w:rStyle w:val="Hyperlink"/>
            <w:noProof/>
          </w:rPr>
          <w:t>Public services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_Toc407634409 \h </w:instrText>
        </w:r>
        <w:r w:rsidR="00A04AD9" w:rsidRPr="00976D1C">
          <w:rPr>
            <w:noProof/>
            <w:webHidden/>
          </w:rPr>
        </w:r>
        <w:r w:rsidR="00A04AD9" w:rsidRPr="00976D1C">
          <w:rPr>
            <w:noProof/>
            <w:webHidden/>
          </w:rPr>
          <w:fldChar w:fldCharType="separate"/>
        </w:r>
        <w:r w:rsidR="00EC4213">
          <w:rPr>
            <w:noProof/>
            <w:webHidden/>
          </w:rPr>
          <w:t>6</w:t>
        </w:r>
        <w:r w:rsidR="00A04AD9" w:rsidRPr="00976D1C">
          <w:rPr>
            <w:noProof/>
            <w:webHidden/>
          </w:rPr>
          <w:fldChar w:fldCharType="end"/>
        </w:r>
      </w:hyperlink>
    </w:p>
    <w:p w14:paraId="341E6B6C" w14:textId="77777777" w:rsidR="00A04AD9" w:rsidRPr="00976D1C" w:rsidRDefault="00D01168" w:rsidP="00EC4213">
      <w:pPr>
        <w:pStyle w:val="TOC2"/>
        <w:rPr>
          <w:rFonts w:eastAsiaTheme="minorEastAsia" w:cstheme="minorBidi"/>
          <w:noProof/>
          <w:szCs w:val="22"/>
          <w:lang w:eastAsia="en-AU"/>
        </w:rPr>
      </w:pPr>
      <w:hyperlink w:anchor="_Toc407634410" w:history="1">
        <w:r w:rsidR="00A04AD9" w:rsidRPr="00976D1C">
          <w:rPr>
            <w:rStyle w:val="Hyperlink"/>
            <w:noProof/>
          </w:rPr>
          <w:t>Private services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_Toc407634410 \h </w:instrText>
        </w:r>
        <w:r w:rsidR="00A04AD9" w:rsidRPr="00976D1C">
          <w:rPr>
            <w:noProof/>
            <w:webHidden/>
          </w:rPr>
        </w:r>
        <w:r w:rsidR="00A04AD9" w:rsidRPr="00976D1C">
          <w:rPr>
            <w:noProof/>
            <w:webHidden/>
          </w:rPr>
          <w:fldChar w:fldCharType="separate"/>
        </w:r>
        <w:r w:rsidR="00EC4213">
          <w:rPr>
            <w:noProof/>
            <w:webHidden/>
          </w:rPr>
          <w:t>8</w:t>
        </w:r>
        <w:r w:rsidR="00A04AD9" w:rsidRPr="00976D1C">
          <w:rPr>
            <w:noProof/>
            <w:webHidden/>
          </w:rPr>
          <w:fldChar w:fldCharType="end"/>
        </w:r>
      </w:hyperlink>
    </w:p>
    <w:p w14:paraId="0E0BD3D9" w14:textId="77777777" w:rsidR="00A04AD9" w:rsidRPr="00976D1C" w:rsidRDefault="00D01168" w:rsidP="00EC4213">
      <w:pPr>
        <w:pStyle w:val="TOC2"/>
        <w:rPr>
          <w:rFonts w:eastAsiaTheme="minorEastAsia" w:cstheme="minorBidi"/>
          <w:noProof/>
          <w:szCs w:val="22"/>
          <w:lang w:eastAsia="en-AU"/>
        </w:rPr>
      </w:pPr>
      <w:hyperlink w:anchor="_Toc407634411" w:history="1">
        <w:r w:rsidR="00A04AD9" w:rsidRPr="00976D1C">
          <w:rPr>
            <w:rStyle w:val="Hyperlink"/>
            <w:noProof/>
          </w:rPr>
          <w:t>What workforces deliver oral health services?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_Toc407634411 \h </w:instrText>
        </w:r>
        <w:r w:rsidR="00A04AD9" w:rsidRPr="00976D1C">
          <w:rPr>
            <w:noProof/>
            <w:webHidden/>
          </w:rPr>
        </w:r>
        <w:r w:rsidR="00A04AD9" w:rsidRPr="00976D1C">
          <w:rPr>
            <w:noProof/>
            <w:webHidden/>
          </w:rPr>
          <w:fldChar w:fldCharType="separate"/>
        </w:r>
        <w:r w:rsidR="00EC4213">
          <w:rPr>
            <w:noProof/>
            <w:webHidden/>
          </w:rPr>
          <w:t>9</w:t>
        </w:r>
        <w:r w:rsidR="00A04AD9" w:rsidRPr="00976D1C">
          <w:rPr>
            <w:noProof/>
            <w:webHidden/>
          </w:rPr>
          <w:fldChar w:fldCharType="end"/>
        </w:r>
      </w:hyperlink>
    </w:p>
    <w:p w14:paraId="76CAD57D" w14:textId="77777777" w:rsidR="00A04AD9" w:rsidRPr="00976D1C" w:rsidRDefault="00D01168" w:rsidP="00EC4213">
      <w:pPr>
        <w:pStyle w:val="TOC2"/>
        <w:rPr>
          <w:rFonts w:eastAsiaTheme="minorEastAsia" w:cstheme="minorBidi"/>
          <w:noProof/>
          <w:szCs w:val="22"/>
          <w:lang w:eastAsia="en-AU"/>
        </w:rPr>
      </w:pPr>
      <w:hyperlink w:anchor="_Toc407634412" w:history="1">
        <w:r w:rsidR="00A04AD9" w:rsidRPr="00976D1C">
          <w:rPr>
            <w:rStyle w:val="Hyperlink"/>
            <w:noProof/>
          </w:rPr>
          <w:t>Policy context</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_Toc407634412 \h </w:instrText>
        </w:r>
        <w:r w:rsidR="00A04AD9" w:rsidRPr="00976D1C">
          <w:rPr>
            <w:noProof/>
            <w:webHidden/>
          </w:rPr>
        </w:r>
        <w:r w:rsidR="00A04AD9" w:rsidRPr="00976D1C">
          <w:rPr>
            <w:noProof/>
            <w:webHidden/>
          </w:rPr>
          <w:fldChar w:fldCharType="separate"/>
        </w:r>
        <w:r w:rsidR="00EC4213">
          <w:rPr>
            <w:noProof/>
            <w:webHidden/>
          </w:rPr>
          <w:t>9</w:t>
        </w:r>
        <w:r w:rsidR="00A04AD9" w:rsidRPr="00976D1C">
          <w:rPr>
            <w:noProof/>
            <w:webHidden/>
          </w:rPr>
          <w:fldChar w:fldCharType="end"/>
        </w:r>
      </w:hyperlink>
    </w:p>
    <w:p w14:paraId="5E6D1C50"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13" w:history="1">
        <w:r w:rsidR="00A04AD9" w:rsidRPr="00976D1C">
          <w:rPr>
            <w:rStyle w:val="Hyperlink"/>
            <w:noProof/>
          </w:rPr>
          <w:t>How does HWA assess oral health workforce requirements?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_Toc407634413 \h </w:instrText>
        </w:r>
        <w:r w:rsidR="00A04AD9" w:rsidRPr="00976D1C">
          <w:rPr>
            <w:noProof/>
            <w:webHidden/>
          </w:rPr>
        </w:r>
        <w:r w:rsidR="00A04AD9" w:rsidRPr="00976D1C">
          <w:rPr>
            <w:noProof/>
            <w:webHidden/>
          </w:rPr>
          <w:fldChar w:fldCharType="separate"/>
        </w:r>
        <w:r w:rsidR="00EC4213">
          <w:rPr>
            <w:noProof/>
            <w:webHidden/>
          </w:rPr>
          <w:t>11</w:t>
        </w:r>
        <w:r w:rsidR="00A04AD9" w:rsidRPr="00976D1C">
          <w:rPr>
            <w:noProof/>
            <w:webHidden/>
          </w:rPr>
          <w:fldChar w:fldCharType="end"/>
        </w:r>
      </w:hyperlink>
    </w:p>
    <w:p w14:paraId="1AE4054D" w14:textId="77777777" w:rsidR="00A04AD9" w:rsidRPr="00976D1C" w:rsidRDefault="00D01168" w:rsidP="00EC4213">
      <w:pPr>
        <w:pStyle w:val="TOC2"/>
        <w:rPr>
          <w:rFonts w:eastAsiaTheme="minorEastAsia" w:cstheme="minorBidi"/>
          <w:noProof/>
          <w:szCs w:val="22"/>
          <w:lang w:eastAsia="en-AU"/>
        </w:rPr>
      </w:pPr>
      <w:hyperlink w:anchor="_Toc407634414" w:history="1">
        <w:r w:rsidR="00A04AD9" w:rsidRPr="00976D1C">
          <w:rPr>
            <w:rStyle w:val="Hyperlink"/>
            <w:noProof/>
          </w:rPr>
          <w:t>Workforce planning methodology</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_Toc407634414 \h </w:instrText>
        </w:r>
        <w:r w:rsidR="00A04AD9" w:rsidRPr="00976D1C">
          <w:rPr>
            <w:noProof/>
            <w:webHidden/>
          </w:rPr>
        </w:r>
        <w:r w:rsidR="00A04AD9" w:rsidRPr="00976D1C">
          <w:rPr>
            <w:noProof/>
            <w:webHidden/>
          </w:rPr>
          <w:fldChar w:fldCharType="separate"/>
        </w:r>
        <w:r w:rsidR="00EC4213">
          <w:rPr>
            <w:noProof/>
            <w:webHidden/>
          </w:rPr>
          <w:t>11</w:t>
        </w:r>
        <w:r w:rsidR="00A04AD9" w:rsidRPr="00976D1C">
          <w:rPr>
            <w:noProof/>
            <w:webHidden/>
          </w:rPr>
          <w:fldChar w:fldCharType="end"/>
        </w:r>
      </w:hyperlink>
    </w:p>
    <w:p w14:paraId="38AC2574" w14:textId="77777777" w:rsidR="00A04AD9" w:rsidRPr="00976D1C" w:rsidRDefault="00D01168" w:rsidP="00EC4213">
      <w:pPr>
        <w:pStyle w:val="TOC2"/>
        <w:rPr>
          <w:rFonts w:eastAsiaTheme="minorEastAsia" w:cstheme="minorBidi"/>
          <w:noProof/>
          <w:szCs w:val="22"/>
          <w:lang w:eastAsia="en-AU"/>
        </w:rPr>
      </w:pPr>
      <w:hyperlink w:anchor="_Toc407634415" w:history="1">
        <w:r w:rsidR="00A04AD9" w:rsidRPr="00976D1C">
          <w:rPr>
            <w:rStyle w:val="Hyperlink"/>
            <w:noProof/>
          </w:rPr>
          <w:t>What workforces are included in AFHW – Oral Health?</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_Toc407634415 \h </w:instrText>
        </w:r>
        <w:r w:rsidR="00A04AD9" w:rsidRPr="00976D1C">
          <w:rPr>
            <w:noProof/>
            <w:webHidden/>
          </w:rPr>
        </w:r>
        <w:r w:rsidR="00A04AD9" w:rsidRPr="00976D1C">
          <w:rPr>
            <w:noProof/>
            <w:webHidden/>
          </w:rPr>
          <w:fldChar w:fldCharType="separate"/>
        </w:r>
        <w:r w:rsidR="00EC4213">
          <w:rPr>
            <w:noProof/>
            <w:webHidden/>
          </w:rPr>
          <w:t>15</w:t>
        </w:r>
        <w:r w:rsidR="00A04AD9" w:rsidRPr="00976D1C">
          <w:rPr>
            <w:noProof/>
            <w:webHidden/>
          </w:rPr>
          <w:fldChar w:fldCharType="end"/>
        </w:r>
      </w:hyperlink>
    </w:p>
    <w:p w14:paraId="3F259BBF" w14:textId="77777777" w:rsidR="00A04AD9" w:rsidRPr="00976D1C" w:rsidRDefault="00D01168" w:rsidP="00EC4213">
      <w:pPr>
        <w:pStyle w:val="TOC2"/>
        <w:rPr>
          <w:rFonts w:eastAsiaTheme="minorEastAsia" w:cstheme="minorBidi"/>
          <w:noProof/>
          <w:szCs w:val="22"/>
          <w:lang w:eastAsia="en-AU"/>
        </w:rPr>
      </w:pPr>
      <w:hyperlink w:anchor="_Toc407634416" w:history="1">
        <w:r w:rsidR="00A04AD9" w:rsidRPr="00976D1C">
          <w:rPr>
            <w:rStyle w:val="Hyperlink"/>
            <w:noProof/>
          </w:rPr>
          <w:t>We have extra capacity in the oral health workforce</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_Toc407634416 \h </w:instrText>
        </w:r>
        <w:r w:rsidR="00A04AD9" w:rsidRPr="00976D1C">
          <w:rPr>
            <w:noProof/>
            <w:webHidden/>
          </w:rPr>
        </w:r>
        <w:r w:rsidR="00A04AD9" w:rsidRPr="00976D1C">
          <w:rPr>
            <w:noProof/>
            <w:webHidden/>
          </w:rPr>
          <w:fldChar w:fldCharType="separate"/>
        </w:r>
        <w:r w:rsidR="00EC4213">
          <w:rPr>
            <w:noProof/>
            <w:webHidden/>
          </w:rPr>
          <w:t>16</w:t>
        </w:r>
        <w:r w:rsidR="00A04AD9" w:rsidRPr="00976D1C">
          <w:rPr>
            <w:noProof/>
            <w:webHidden/>
          </w:rPr>
          <w:fldChar w:fldCharType="end"/>
        </w:r>
      </w:hyperlink>
    </w:p>
    <w:p w14:paraId="20D4C89A"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17" w:history="1">
        <w:r w:rsidR="00A04AD9" w:rsidRPr="00976D1C">
          <w:rPr>
            <w:rStyle w:val="Hyperlink"/>
            <w:noProof/>
          </w:rPr>
          <w:t>Differences in oral health outcomes and services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_Toc407634417 \h </w:instrText>
        </w:r>
        <w:r w:rsidR="00A04AD9" w:rsidRPr="00976D1C">
          <w:rPr>
            <w:noProof/>
            <w:webHidden/>
          </w:rPr>
        </w:r>
        <w:r w:rsidR="00A04AD9" w:rsidRPr="00976D1C">
          <w:rPr>
            <w:noProof/>
            <w:webHidden/>
          </w:rPr>
          <w:fldChar w:fldCharType="separate"/>
        </w:r>
        <w:r w:rsidR="00EC4213">
          <w:rPr>
            <w:noProof/>
            <w:webHidden/>
          </w:rPr>
          <w:t>20</w:t>
        </w:r>
        <w:r w:rsidR="00A04AD9" w:rsidRPr="00976D1C">
          <w:rPr>
            <w:noProof/>
            <w:webHidden/>
          </w:rPr>
          <w:fldChar w:fldCharType="end"/>
        </w:r>
      </w:hyperlink>
    </w:p>
    <w:p w14:paraId="1E208A19" w14:textId="77777777" w:rsidR="00A04AD9" w:rsidRPr="00976D1C" w:rsidRDefault="00D01168" w:rsidP="00EC4213">
      <w:pPr>
        <w:pStyle w:val="TOC2"/>
        <w:rPr>
          <w:rFonts w:eastAsiaTheme="minorEastAsia" w:cstheme="minorBidi"/>
          <w:noProof/>
          <w:szCs w:val="22"/>
          <w:lang w:eastAsia="en-AU"/>
        </w:rPr>
      </w:pPr>
      <w:hyperlink w:anchor="_Toc407634418" w:history="1">
        <w:r w:rsidR="00A04AD9" w:rsidRPr="00976D1C">
          <w:rPr>
            <w:rStyle w:val="Hyperlink"/>
            <w:noProof/>
          </w:rPr>
          <w:t>Demand for oral health services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_Toc407634418 \h </w:instrText>
        </w:r>
        <w:r w:rsidR="00A04AD9" w:rsidRPr="00976D1C">
          <w:rPr>
            <w:noProof/>
            <w:webHidden/>
          </w:rPr>
        </w:r>
        <w:r w:rsidR="00A04AD9" w:rsidRPr="00976D1C">
          <w:rPr>
            <w:noProof/>
            <w:webHidden/>
          </w:rPr>
          <w:fldChar w:fldCharType="separate"/>
        </w:r>
        <w:r w:rsidR="00EC4213">
          <w:rPr>
            <w:noProof/>
            <w:webHidden/>
          </w:rPr>
          <w:t>20</w:t>
        </w:r>
        <w:r w:rsidR="00A04AD9" w:rsidRPr="00976D1C">
          <w:rPr>
            <w:noProof/>
            <w:webHidden/>
          </w:rPr>
          <w:fldChar w:fldCharType="end"/>
        </w:r>
      </w:hyperlink>
    </w:p>
    <w:p w14:paraId="615EA5DD" w14:textId="77777777" w:rsidR="00A04AD9" w:rsidRPr="00976D1C" w:rsidRDefault="00D01168" w:rsidP="00EC4213">
      <w:pPr>
        <w:pStyle w:val="TOC2"/>
        <w:rPr>
          <w:rFonts w:eastAsiaTheme="minorEastAsia" w:cstheme="minorBidi"/>
          <w:noProof/>
          <w:szCs w:val="22"/>
          <w:lang w:eastAsia="en-AU"/>
        </w:rPr>
      </w:pPr>
      <w:hyperlink w:anchor="_Toc407634419" w:history="1">
        <w:r w:rsidR="00A04AD9" w:rsidRPr="00976D1C">
          <w:rPr>
            <w:rStyle w:val="Hyperlink"/>
            <w:noProof/>
          </w:rPr>
          <w:t>Barriers to access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_Toc407634419 \h </w:instrText>
        </w:r>
        <w:r w:rsidR="00A04AD9" w:rsidRPr="00976D1C">
          <w:rPr>
            <w:noProof/>
            <w:webHidden/>
          </w:rPr>
        </w:r>
        <w:r w:rsidR="00A04AD9" w:rsidRPr="00976D1C">
          <w:rPr>
            <w:noProof/>
            <w:webHidden/>
          </w:rPr>
          <w:fldChar w:fldCharType="separate"/>
        </w:r>
        <w:r w:rsidR="00EC4213">
          <w:rPr>
            <w:noProof/>
            <w:webHidden/>
          </w:rPr>
          <w:t>22</w:t>
        </w:r>
        <w:r w:rsidR="00A04AD9" w:rsidRPr="00976D1C">
          <w:rPr>
            <w:noProof/>
            <w:webHidden/>
          </w:rPr>
          <w:fldChar w:fldCharType="end"/>
        </w:r>
      </w:hyperlink>
    </w:p>
    <w:p w14:paraId="070E05C0" w14:textId="77777777" w:rsidR="00A04AD9" w:rsidRPr="00976D1C" w:rsidRDefault="00D01168" w:rsidP="00EC4213">
      <w:pPr>
        <w:pStyle w:val="TOC2"/>
        <w:rPr>
          <w:rFonts w:eastAsiaTheme="minorEastAsia" w:cstheme="minorBidi"/>
          <w:noProof/>
          <w:szCs w:val="22"/>
          <w:lang w:eastAsia="en-AU"/>
        </w:rPr>
      </w:pPr>
      <w:hyperlink w:anchor="_Toc407634420" w:history="1">
        <w:r w:rsidR="00A04AD9" w:rsidRPr="00976D1C">
          <w:rPr>
            <w:rStyle w:val="Hyperlink"/>
            <w:noProof/>
          </w:rPr>
          <w:t>Link between oral health and access to services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_Toc407634420 \h </w:instrText>
        </w:r>
        <w:r w:rsidR="00A04AD9" w:rsidRPr="00976D1C">
          <w:rPr>
            <w:noProof/>
            <w:webHidden/>
          </w:rPr>
        </w:r>
        <w:r w:rsidR="00A04AD9" w:rsidRPr="00976D1C">
          <w:rPr>
            <w:noProof/>
            <w:webHidden/>
          </w:rPr>
          <w:fldChar w:fldCharType="separate"/>
        </w:r>
        <w:r w:rsidR="00EC4213">
          <w:rPr>
            <w:noProof/>
            <w:webHidden/>
          </w:rPr>
          <w:t>23</w:t>
        </w:r>
        <w:r w:rsidR="00A04AD9" w:rsidRPr="00976D1C">
          <w:rPr>
            <w:noProof/>
            <w:webHidden/>
          </w:rPr>
          <w:fldChar w:fldCharType="end"/>
        </w:r>
      </w:hyperlink>
    </w:p>
    <w:p w14:paraId="3FFF50E5" w14:textId="77777777" w:rsidR="00A04AD9" w:rsidRPr="00976D1C" w:rsidRDefault="00D01168" w:rsidP="00EC4213">
      <w:pPr>
        <w:pStyle w:val="TOC2"/>
        <w:rPr>
          <w:rFonts w:eastAsiaTheme="minorEastAsia" w:cstheme="minorBidi"/>
          <w:noProof/>
          <w:szCs w:val="22"/>
          <w:lang w:eastAsia="en-AU"/>
        </w:rPr>
      </w:pPr>
      <w:hyperlink w:anchor="_Toc407634421" w:history="1">
        <w:r w:rsidR="00A04AD9" w:rsidRPr="00976D1C">
          <w:rPr>
            <w:rStyle w:val="Hyperlink"/>
            <w:noProof/>
          </w:rPr>
          <w:t>Populations for specific action</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_Toc407634421 \h </w:instrText>
        </w:r>
        <w:r w:rsidR="00A04AD9" w:rsidRPr="00976D1C">
          <w:rPr>
            <w:noProof/>
            <w:webHidden/>
          </w:rPr>
        </w:r>
        <w:r w:rsidR="00A04AD9" w:rsidRPr="00976D1C">
          <w:rPr>
            <w:noProof/>
            <w:webHidden/>
          </w:rPr>
          <w:fldChar w:fldCharType="separate"/>
        </w:r>
        <w:r w:rsidR="00EC4213">
          <w:rPr>
            <w:noProof/>
            <w:webHidden/>
          </w:rPr>
          <w:t>23</w:t>
        </w:r>
        <w:r w:rsidR="00A04AD9" w:rsidRPr="00976D1C">
          <w:rPr>
            <w:noProof/>
            <w:webHidden/>
          </w:rPr>
          <w:fldChar w:fldCharType="end"/>
        </w:r>
      </w:hyperlink>
    </w:p>
    <w:p w14:paraId="40CF393C"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22" w:history="1">
        <w:r w:rsidR="00A04AD9" w:rsidRPr="00976D1C">
          <w:rPr>
            <w:rStyle w:val="Hyperlink"/>
            <w:noProof/>
          </w:rPr>
          <w:t>Dental visiting patterns of populations identified for specific action</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_Toc407634422 \h </w:instrText>
        </w:r>
        <w:r w:rsidR="00A04AD9" w:rsidRPr="00976D1C">
          <w:rPr>
            <w:noProof/>
            <w:webHidden/>
          </w:rPr>
        </w:r>
        <w:r w:rsidR="00A04AD9" w:rsidRPr="00976D1C">
          <w:rPr>
            <w:noProof/>
            <w:webHidden/>
          </w:rPr>
          <w:fldChar w:fldCharType="separate"/>
        </w:r>
        <w:r w:rsidR="00EC4213">
          <w:rPr>
            <w:noProof/>
            <w:webHidden/>
          </w:rPr>
          <w:t>27</w:t>
        </w:r>
        <w:r w:rsidR="00A04AD9" w:rsidRPr="00976D1C">
          <w:rPr>
            <w:noProof/>
            <w:webHidden/>
          </w:rPr>
          <w:fldChar w:fldCharType="end"/>
        </w:r>
      </w:hyperlink>
    </w:p>
    <w:p w14:paraId="68D376AE" w14:textId="77777777" w:rsidR="00A04AD9" w:rsidRPr="00976D1C" w:rsidRDefault="00D01168" w:rsidP="00EC4213">
      <w:pPr>
        <w:pStyle w:val="TOC2"/>
        <w:rPr>
          <w:rFonts w:eastAsiaTheme="minorEastAsia" w:cstheme="minorBidi"/>
          <w:noProof/>
          <w:szCs w:val="22"/>
          <w:lang w:eastAsia="en-AU"/>
        </w:rPr>
      </w:pPr>
      <w:hyperlink w:anchor="_Toc407634423" w:history="1">
        <w:r w:rsidR="00A04AD9" w:rsidRPr="00976D1C">
          <w:rPr>
            <w:rStyle w:val="Hyperlink"/>
            <w:noProof/>
          </w:rPr>
          <w:t>Children (aged two to 12 years)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_Toc407634423 \h </w:instrText>
        </w:r>
        <w:r w:rsidR="00A04AD9" w:rsidRPr="00976D1C">
          <w:rPr>
            <w:noProof/>
            <w:webHidden/>
          </w:rPr>
        </w:r>
        <w:r w:rsidR="00A04AD9" w:rsidRPr="00976D1C">
          <w:rPr>
            <w:noProof/>
            <w:webHidden/>
          </w:rPr>
          <w:fldChar w:fldCharType="separate"/>
        </w:r>
        <w:r w:rsidR="00EC4213">
          <w:rPr>
            <w:noProof/>
            <w:webHidden/>
          </w:rPr>
          <w:t>27</w:t>
        </w:r>
        <w:r w:rsidR="00A04AD9" w:rsidRPr="00976D1C">
          <w:rPr>
            <w:noProof/>
            <w:webHidden/>
          </w:rPr>
          <w:fldChar w:fldCharType="end"/>
        </w:r>
      </w:hyperlink>
    </w:p>
    <w:p w14:paraId="137CE0C8" w14:textId="77777777" w:rsidR="00A04AD9" w:rsidRPr="00976D1C" w:rsidRDefault="00D01168" w:rsidP="00EC4213">
      <w:pPr>
        <w:pStyle w:val="TOC2"/>
        <w:rPr>
          <w:rFonts w:eastAsiaTheme="minorEastAsia" w:cstheme="minorBidi"/>
          <w:noProof/>
          <w:szCs w:val="22"/>
          <w:lang w:eastAsia="en-AU"/>
        </w:rPr>
      </w:pPr>
      <w:hyperlink w:anchor="_Toc407634424" w:history="1">
        <w:r w:rsidR="00A04AD9" w:rsidRPr="00976D1C">
          <w:rPr>
            <w:rStyle w:val="Hyperlink"/>
            <w:noProof/>
          </w:rPr>
          <w:t>Other populations identified for specific action</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_Toc407634424 \h </w:instrText>
        </w:r>
        <w:r w:rsidR="00A04AD9" w:rsidRPr="00976D1C">
          <w:rPr>
            <w:noProof/>
            <w:webHidden/>
          </w:rPr>
        </w:r>
        <w:r w:rsidR="00A04AD9" w:rsidRPr="00976D1C">
          <w:rPr>
            <w:noProof/>
            <w:webHidden/>
          </w:rPr>
          <w:fldChar w:fldCharType="separate"/>
        </w:r>
        <w:r w:rsidR="00EC4213">
          <w:rPr>
            <w:noProof/>
            <w:webHidden/>
          </w:rPr>
          <w:t>28</w:t>
        </w:r>
        <w:r w:rsidR="00A04AD9" w:rsidRPr="00976D1C">
          <w:rPr>
            <w:noProof/>
            <w:webHidden/>
          </w:rPr>
          <w:fldChar w:fldCharType="end"/>
        </w:r>
      </w:hyperlink>
    </w:p>
    <w:p w14:paraId="38C81DE4"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25" w:history="1">
        <w:r w:rsidR="00A04AD9" w:rsidRPr="00976D1C">
          <w:rPr>
            <w:rStyle w:val="Hyperlink"/>
            <w:noProof/>
          </w:rPr>
          <w:t>What would happen if we increased services to populations identified for specific action?</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_Toc407634425 \h </w:instrText>
        </w:r>
        <w:r w:rsidR="00A04AD9" w:rsidRPr="00976D1C">
          <w:rPr>
            <w:noProof/>
            <w:webHidden/>
          </w:rPr>
        </w:r>
        <w:r w:rsidR="00A04AD9" w:rsidRPr="00976D1C">
          <w:rPr>
            <w:noProof/>
            <w:webHidden/>
          </w:rPr>
          <w:fldChar w:fldCharType="separate"/>
        </w:r>
        <w:r w:rsidR="00EC4213">
          <w:rPr>
            <w:noProof/>
            <w:webHidden/>
          </w:rPr>
          <w:t>32</w:t>
        </w:r>
        <w:r w:rsidR="00A04AD9" w:rsidRPr="00976D1C">
          <w:rPr>
            <w:noProof/>
            <w:webHidden/>
          </w:rPr>
          <w:fldChar w:fldCharType="end"/>
        </w:r>
      </w:hyperlink>
    </w:p>
    <w:p w14:paraId="702F875F" w14:textId="77777777" w:rsidR="00A04AD9" w:rsidRPr="00976D1C" w:rsidRDefault="00D01168" w:rsidP="00EC4213">
      <w:pPr>
        <w:pStyle w:val="TOC2"/>
        <w:rPr>
          <w:rFonts w:eastAsiaTheme="minorEastAsia" w:cstheme="minorBidi"/>
          <w:noProof/>
          <w:szCs w:val="22"/>
          <w:lang w:eastAsia="en-AU"/>
        </w:rPr>
      </w:pPr>
      <w:hyperlink w:anchor="_Toc407634426" w:history="1">
        <w:r w:rsidR="00A04AD9" w:rsidRPr="00976D1C">
          <w:rPr>
            <w:rStyle w:val="Hyperlink"/>
            <w:noProof/>
          </w:rPr>
          <w:t>Projecting workforce supply</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_Toc407634426 \h </w:instrText>
        </w:r>
        <w:r w:rsidR="00A04AD9" w:rsidRPr="00976D1C">
          <w:rPr>
            <w:noProof/>
            <w:webHidden/>
          </w:rPr>
        </w:r>
        <w:r w:rsidR="00A04AD9" w:rsidRPr="00976D1C">
          <w:rPr>
            <w:noProof/>
            <w:webHidden/>
          </w:rPr>
          <w:fldChar w:fldCharType="separate"/>
        </w:r>
        <w:r w:rsidR="00EC4213">
          <w:rPr>
            <w:noProof/>
            <w:webHidden/>
          </w:rPr>
          <w:t>32</w:t>
        </w:r>
        <w:r w:rsidR="00A04AD9" w:rsidRPr="00976D1C">
          <w:rPr>
            <w:noProof/>
            <w:webHidden/>
          </w:rPr>
          <w:fldChar w:fldCharType="end"/>
        </w:r>
      </w:hyperlink>
    </w:p>
    <w:p w14:paraId="6A6935A7" w14:textId="77777777" w:rsidR="00A04AD9" w:rsidRPr="00976D1C" w:rsidRDefault="00D01168" w:rsidP="00EC4213">
      <w:pPr>
        <w:pStyle w:val="TOC2"/>
        <w:rPr>
          <w:rFonts w:eastAsiaTheme="minorEastAsia" w:cstheme="minorBidi"/>
          <w:noProof/>
          <w:szCs w:val="22"/>
          <w:lang w:eastAsia="en-AU"/>
        </w:rPr>
      </w:pPr>
      <w:hyperlink w:anchor="_Toc407634427" w:history="1">
        <w:r w:rsidR="00A04AD9" w:rsidRPr="00976D1C">
          <w:rPr>
            <w:rStyle w:val="Hyperlink"/>
            <w:noProof/>
          </w:rPr>
          <w:t>Projecting workforce demand</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_Toc407634427 \h </w:instrText>
        </w:r>
        <w:r w:rsidR="00A04AD9" w:rsidRPr="00976D1C">
          <w:rPr>
            <w:noProof/>
            <w:webHidden/>
          </w:rPr>
        </w:r>
        <w:r w:rsidR="00A04AD9" w:rsidRPr="00976D1C">
          <w:rPr>
            <w:noProof/>
            <w:webHidden/>
          </w:rPr>
          <w:fldChar w:fldCharType="separate"/>
        </w:r>
        <w:r w:rsidR="00EC4213">
          <w:rPr>
            <w:noProof/>
            <w:webHidden/>
          </w:rPr>
          <w:t>32</w:t>
        </w:r>
        <w:r w:rsidR="00A04AD9" w:rsidRPr="00976D1C">
          <w:rPr>
            <w:noProof/>
            <w:webHidden/>
          </w:rPr>
          <w:fldChar w:fldCharType="end"/>
        </w:r>
      </w:hyperlink>
    </w:p>
    <w:p w14:paraId="613C4851"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28" w:history="1">
        <w:r w:rsidR="00A04AD9" w:rsidRPr="00976D1C">
          <w:rPr>
            <w:rStyle w:val="Hyperlink"/>
            <w:noProof/>
          </w:rPr>
          <w:t>Conclusion</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_Toc407634428 \h </w:instrText>
        </w:r>
        <w:r w:rsidR="00A04AD9" w:rsidRPr="00976D1C">
          <w:rPr>
            <w:noProof/>
            <w:webHidden/>
          </w:rPr>
        </w:r>
        <w:r w:rsidR="00A04AD9" w:rsidRPr="00976D1C">
          <w:rPr>
            <w:noProof/>
            <w:webHidden/>
          </w:rPr>
          <w:fldChar w:fldCharType="separate"/>
        </w:r>
        <w:r w:rsidR="00EC4213">
          <w:rPr>
            <w:noProof/>
            <w:webHidden/>
          </w:rPr>
          <w:t>38</w:t>
        </w:r>
        <w:r w:rsidR="00A04AD9" w:rsidRPr="00976D1C">
          <w:rPr>
            <w:noProof/>
            <w:webHidden/>
          </w:rPr>
          <w:fldChar w:fldCharType="end"/>
        </w:r>
      </w:hyperlink>
    </w:p>
    <w:p w14:paraId="60AF46E8"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29" w:history="1">
        <w:r w:rsidR="00A04AD9" w:rsidRPr="00976D1C">
          <w:rPr>
            <w:rStyle w:val="Hyperlink"/>
            <w:noProof/>
          </w:rPr>
          <w:t>Appendix A – Current adult oral health services provided by the States and Territories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_Toc407634429 \h </w:instrText>
        </w:r>
        <w:r w:rsidR="00A04AD9" w:rsidRPr="00976D1C">
          <w:rPr>
            <w:noProof/>
            <w:webHidden/>
          </w:rPr>
        </w:r>
        <w:r w:rsidR="00A04AD9" w:rsidRPr="00976D1C">
          <w:rPr>
            <w:noProof/>
            <w:webHidden/>
          </w:rPr>
          <w:fldChar w:fldCharType="separate"/>
        </w:r>
        <w:r w:rsidR="00EC4213">
          <w:rPr>
            <w:noProof/>
            <w:webHidden/>
          </w:rPr>
          <w:t>39</w:t>
        </w:r>
        <w:r w:rsidR="00A04AD9" w:rsidRPr="00976D1C">
          <w:rPr>
            <w:noProof/>
            <w:webHidden/>
          </w:rPr>
          <w:fldChar w:fldCharType="end"/>
        </w:r>
      </w:hyperlink>
    </w:p>
    <w:p w14:paraId="3F40194F"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30" w:history="1">
        <w:r w:rsidR="00A04AD9" w:rsidRPr="00976D1C">
          <w:rPr>
            <w:rStyle w:val="Hyperlink"/>
            <w:noProof/>
          </w:rPr>
          <w:t>Appendix B – Current child oral health services provided by the States and Territories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_Toc407634430 \h </w:instrText>
        </w:r>
        <w:r w:rsidR="00A04AD9" w:rsidRPr="00976D1C">
          <w:rPr>
            <w:noProof/>
            <w:webHidden/>
          </w:rPr>
        </w:r>
        <w:r w:rsidR="00A04AD9" w:rsidRPr="00976D1C">
          <w:rPr>
            <w:noProof/>
            <w:webHidden/>
          </w:rPr>
          <w:fldChar w:fldCharType="separate"/>
        </w:r>
        <w:r w:rsidR="00EC4213">
          <w:rPr>
            <w:noProof/>
            <w:webHidden/>
          </w:rPr>
          <w:t>44</w:t>
        </w:r>
        <w:r w:rsidR="00A04AD9" w:rsidRPr="00976D1C">
          <w:rPr>
            <w:noProof/>
            <w:webHidden/>
          </w:rPr>
          <w:fldChar w:fldCharType="end"/>
        </w:r>
      </w:hyperlink>
    </w:p>
    <w:p w14:paraId="1917BC2D"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31" w:history="1">
        <w:r w:rsidR="00A04AD9" w:rsidRPr="00976D1C">
          <w:rPr>
            <w:rStyle w:val="Hyperlink"/>
            <w:noProof/>
          </w:rPr>
          <w:t>Appendix C – Commonwealth oral health programmes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_Toc407634431 \h </w:instrText>
        </w:r>
        <w:r w:rsidR="00A04AD9" w:rsidRPr="00976D1C">
          <w:rPr>
            <w:noProof/>
            <w:webHidden/>
          </w:rPr>
        </w:r>
        <w:r w:rsidR="00A04AD9" w:rsidRPr="00976D1C">
          <w:rPr>
            <w:noProof/>
            <w:webHidden/>
          </w:rPr>
          <w:fldChar w:fldCharType="separate"/>
        </w:r>
        <w:r w:rsidR="00EC4213">
          <w:rPr>
            <w:noProof/>
            <w:webHidden/>
          </w:rPr>
          <w:t>48</w:t>
        </w:r>
        <w:r w:rsidR="00A04AD9" w:rsidRPr="00976D1C">
          <w:rPr>
            <w:noProof/>
            <w:webHidden/>
          </w:rPr>
          <w:fldChar w:fldCharType="end"/>
        </w:r>
      </w:hyperlink>
    </w:p>
    <w:p w14:paraId="3E9AC0F9"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32" w:history="1">
        <w:r w:rsidR="00A04AD9" w:rsidRPr="00976D1C">
          <w:rPr>
            <w:rStyle w:val="Hyperlink"/>
            <w:noProof/>
          </w:rPr>
          <w:t>Appendix D – Oral health workforce roles and definitions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_Toc407634432 \h </w:instrText>
        </w:r>
        <w:r w:rsidR="00A04AD9" w:rsidRPr="00976D1C">
          <w:rPr>
            <w:noProof/>
            <w:webHidden/>
          </w:rPr>
        </w:r>
        <w:r w:rsidR="00A04AD9" w:rsidRPr="00976D1C">
          <w:rPr>
            <w:noProof/>
            <w:webHidden/>
          </w:rPr>
          <w:fldChar w:fldCharType="separate"/>
        </w:r>
        <w:r w:rsidR="00EC4213">
          <w:rPr>
            <w:noProof/>
            <w:webHidden/>
          </w:rPr>
          <w:t>50</w:t>
        </w:r>
        <w:r w:rsidR="00A04AD9" w:rsidRPr="00976D1C">
          <w:rPr>
            <w:noProof/>
            <w:webHidden/>
          </w:rPr>
          <w:fldChar w:fldCharType="end"/>
        </w:r>
      </w:hyperlink>
    </w:p>
    <w:p w14:paraId="51E9D3E4"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33" w:history="1">
        <w:r w:rsidR="00A04AD9" w:rsidRPr="00976D1C">
          <w:rPr>
            <w:rStyle w:val="Hyperlink"/>
            <w:noProof/>
          </w:rPr>
          <w:t>Appendix E – Methodology</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_Toc407634433 \h </w:instrText>
        </w:r>
        <w:r w:rsidR="00A04AD9" w:rsidRPr="00976D1C">
          <w:rPr>
            <w:noProof/>
            <w:webHidden/>
          </w:rPr>
        </w:r>
        <w:r w:rsidR="00A04AD9" w:rsidRPr="00976D1C">
          <w:rPr>
            <w:noProof/>
            <w:webHidden/>
          </w:rPr>
          <w:fldChar w:fldCharType="separate"/>
        </w:r>
        <w:r w:rsidR="00EC4213">
          <w:rPr>
            <w:noProof/>
            <w:webHidden/>
          </w:rPr>
          <w:t>52</w:t>
        </w:r>
        <w:r w:rsidR="00A04AD9" w:rsidRPr="00976D1C">
          <w:rPr>
            <w:noProof/>
            <w:webHidden/>
          </w:rPr>
          <w:fldChar w:fldCharType="end"/>
        </w:r>
      </w:hyperlink>
    </w:p>
    <w:p w14:paraId="1272BDF4" w14:textId="77777777" w:rsidR="00A04AD9" w:rsidRPr="00976D1C" w:rsidRDefault="00D01168" w:rsidP="00EC4213">
      <w:pPr>
        <w:pStyle w:val="TOC2"/>
        <w:rPr>
          <w:rFonts w:eastAsiaTheme="minorEastAsia" w:cstheme="minorBidi"/>
          <w:noProof/>
          <w:szCs w:val="22"/>
          <w:lang w:eastAsia="en-AU"/>
        </w:rPr>
      </w:pPr>
      <w:hyperlink w:anchor="_Toc407634434" w:history="1">
        <w:r w:rsidR="00A04AD9" w:rsidRPr="00976D1C">
          <w:rPr>
            <w:rStyle w:val="Hyperlink"/>
            <w:noProof/>
          </w:rPr>
          <w:t>Supply methodology</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_Toc407634434 \h </w:instrText>
        </w:r>
        <w:r w:rsidR="00A04AD9" w:rsidRPr="00976D1C">
          <w:rPr>
            <w:noProof/>
            <w:webHidden/>
          </w:rPr>
        </w:r>
        <w:r w:rsidR="00A04AD9" w:rsidRPr="00976D1C">
          <w:rPr>
            <w:noProof/>
            <w:webHidden/>
          </w:rPr>
          <w:fldChar w:fldCharType="separate"/>
        </w:r>
        <w:r w:rsidR="00EC4213">
          <w:rPr>
            <w:noProof/>
            <w:webHidden/>
          </w:rPr>
          <w:t>52</w:t>
        </w:r>
        <w:r w:rsidR="00A04AD9" w:rsidRPr="00976D1C">
          <w:rPr>
            <w:noProof/>
            <w:webHidden/>
          </w:rPr>
          <w:fldChar w:fldCharType="end"/>
        </w:r>
      </w:hyperlink>
    </w:p>
    <w:p w14:paraId="56EDF13D" w14:textId="77777777" w:rsidR="00A04AD9" w:rsidRPr="00976D1C" w:rsidRDefault="00D01168" w:rsidP="00EC4213">
      <w:pPr>
        <w:pStyle w:val="TOC2"/>
        <w:rPr>
          <w:rFonts w:eastAsiaTheme="minorEastAsia" w:cstheme="minorBidi"/>
          <w:noProof/>
          <w:szCs w:val="22"/>
          <w:lang w:eastAsia="en-AU"/>
        </w:rPr>
      </w:pPr>
      <w:hyperlink w:anchor="_Toc407634435" w:history="1">
        <w:r w:rsidR="00A04AD9" w:rsidRPr="00976D1C">
          <w:rPr>
            <w:rStyle w:val="Hyperlink"/>
            <w:noProof/>
          </w:rPr>
          <w:t>Demand methodology</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_Toc407634435 \h </w:instrText>
        </w:r>
        <w:r w:rsidR="00A04AD9" w:rsidRPr="00976D1C">
          <w:rPr>
            <w:noProof/>
            <w:webHidden/>
          </w:rPr>
        </w:r>
        <w:r w:rsidR="00A04AD9" w:rsidRPr="00976D1C">
          <w:rPr>
            <w:noProof/>
            <w:webHidden/>
          </w:rPr>
          <w:fldChar w:fldCharType="separate"/>
        </w:r>
        <w:r w:rsidR="00EC4213">
          <w:rPr>
            <w:noProof/>
            <w:webHidden/>
          </w:rPr>
          <w:t>55</w:t>
        </w:r>
        <w:r w:rsidR="00A04AD9" w:rsidRPr="00976D1C">
          <w:rPr>
            <w:noProof/>
            <w:webHidden/>
          </w:rPr>
          <w:fldChar w:fldCharType="end"/>
        </w:r>
      </w:hyperlink>
    </w:p>
    <w:p w14:paraId="014C8276" w14:textId="77777777" w:rsidR="00A04AD9" w:rsidRPr="00976D1C" w:rsidRDefault="00D01168" w:rsidP="00EC4213">
      <w:pPr>
        <w:pStyle w:val="TOC2"/>
        <w:rPr>
          <w:rFonts w:eastAsiaTheme="minorEastAsia" w:cstheme="minorBidi"/>
          <w:noProof/>
          <w:szCs w:val="22"/>
          <w:lang w:eastAsia="en-AU"/>
        </w:rPr>
      </w:pPr>
      <w:hyperlink w:anchor="_Toc407634436" w:history="1">
        <w:r w:rsidR="00A04AD9" w:rsidRPr="00976D1C">
          <w:rPr>
            <w:rStyle w:val="Hyperlink"/>
            <w:noProof/>
          </w:rPr>
          <w:t>Assumptions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_Toc407634436 \h </w:instrText>
        </w:r>
        <w:r w:rsidR="00A04AD9" w:rsidRPr="00976D1C">
          <w:rPr>
            <w:noProof/>
            <w:webHidden/>
          </w:rPr>
        </w:r>
        <w:r w:rsidR="00A04AD9" w:rsidRPr="00976D1C">
          <w:rPr>
            <w:noProof/>
            <w:webHidden/>
          </w:rPr>
          <w:fldChar w:fldCharType="separate"/>
        </w:r>
        <w:r w:rsidR="00EC4213">
          <w:rPr>
            <w:noProof/>
            <w:webHidden/>
          </w:rPr>
          <w:t>58</w:t>
        </w:r>
        <w:r w:rsidR="00A04AD9" w:rsidRPr="00976D1C">
          <w:rPr>
            <w:noProof/>
            <w:webHidden/>
          </w:rPr>
          <w:fldChar w:fldCharType="end"/>
        </w:r>
      </w:hyperlink>
    </w:p>
    <w:p w14:paraId="6F359F6A" w14:textId="77777777" w:rsidR="00A04AD9" w:rsidRPr="00976D1C" w:rsidRDefault="00D01168" w:rsidP="00EC4213">
      <w:pPr>
        <w:pStyle w:val="TOC2"/>
        <w:rPr>
          <w:rFonts w:eastAsiaTheme="minorEastAsia" w:cstheme="minorBidi"/>
          <w:noProof/>
          <w:szCs w:val="22"/>
          <w:lang w:eastAsia="en-AU"/>
        </w:rPr>
      </w:pPr>
      <w:hyperlink w:anchor="_Toc407634437" w:history="1">
        <w:r w:rsidR="00A04AD9" w:rsidRPr="00976D1C">
          <w:rPr>
            <w:rStyle w:val="Hyperlink"/>
            <w:noProof/>
          </w:rPr>
          <w:t>Accuracy of workforce projections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_Toc407634437 \h </w:instrText>
        </w:r>
        <w:r w:rsidR="00A04AD9" w:rsidRPr="00976D1C">
          <w:rPr>
            <w:noProof/>
            <w:webHidden/>
          </w:rPr>
        </w:r>
        <w:r w:rsidR="00A04AD9" w:rsidRPr="00976D1C">
          <w:rPr>
            <w:noProof/>
            <w:webHidden/>
          </w:rPr>
          <w:fldChar w:fldCharType="separate"/>
        </w:r>
        <w:r w:rsidR="00EC4213">
          <w:rPr>
            <w:noProof/>
            <w:webHidden/>
          </w:rPr>
          <w:t>59</w:t>
        </w:r>
        <w:r w:rsidR="00A04AD9" w:rsidRPr="00976D1C">
          <w:rPr>
            <w:noProof/>
            <w:webHidden/>
          </w:rPr>
          <w:fldChar w:fldCharType="end"/>
        </w:r>
      </w:hyperlink>
    </w:p>
    <w:p w14:paraId="77318856"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38" w:history="1">
        <w:r w:rsidR="00A04AD9" w:rsidRPr="00976D1C">
          <w:rPr>
            <w:rStyle w:val="Hyperlink"/>
            <w:noProof/>
          </w:rPr>
          <w:t>Appendix F – Data sources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_Toc407634438 \h </w:instrText>
        </w:r>
        <w:r w:rsidR="00A04AD9" w:rsidRPr="00976D1C">
          <w:rPr>
            <w:noProof/>
            <w:webHidden/>
          </w:rPr>
        </w:r>
        <w:r w:rsidR="00A04AD9" w:rsidRPr="00976D1C">
          <w:rPr>
            <w:noProof/>
            <w:webHidden/>
          </w:rPr>
          <w:fldChar w:fldCharType="separate"/>
        </w:r>
        <w:r w:rsidR="00EC4213">
          <w:rPr>
            <w:noProof/>
            <w:webHidden/>
          </w:rPr>
          <w:t>60</w:t>
        </w:r>
        <w:r w:rsidR="00A04AD9" w:rsidRPr="00976D1C">
          <w:rPr>
            <w:noProof/>
            <w:webHidden/>
          </w:rPr>
          <w:fldChar w:fldCharType="end"/>
        </w:r>
      </w:hyperlink>
    </w:p>
    <w:p w14:paraId="424846F3" w14:textId="77777777" w:rsidR="00A04AD9" w:rsidRPr="00976D1C" w:rsidRDefault="00D01168" w:rsidP="00EC4213">
      <w:pPr>
        <w:pStyle w:val="TOC2"/>
        <w:rPr>
          <w:rFonts w:eastAsiaTheme="minorEastAsia" w:cstheme="minorBidi"/>
          <w:noProof/>
          <w:szCs w:val="22"/>
          <w:lang w:eastAsia="en-AU"/>
        </w:rPr>
      </w:pPr>
      <w:hyperlink w:anchor="_Toc407634439" w:history="1">
        <w:r w:rsidR="00A04AD9" w:rsidRPr="00976D1C">
          <w:rPr>
            <w:rStyle w:val="Hyperlink"/>
            <w:noProof/>
          </w:rPr>
          <w:t>Workforce supply data sources and data items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_Toc407634439 \h </w:instrText>
        </w:r>
        <w:r w:rsidR="00A04AD9" w:rsidRPr="00976D1C">
          <w:rPr>
            <w:noProof/>
            <w:webHidden/>
          </w:rPr>
        </w:r>
        <w:r w:rsidR="00A04AD9" w:rsidRPr="00976D1C">
          <w:rPr>
            <w:noProof/>
            <w:webHidden/>
          </w:rPr>
          <w:fldChar w:fldCharType="separate"/>
        </w:r>
        <w:r w:rsidR="00EC4213">
          <w:rPr>
            <w:noProof/>
            <w:webHidden/>
          </w:rPr>
          <w:t>60</w:t>
        </w:r>
        <w:r w:rsidR="00A04AD9" w:rsidRPr="00976D1C">
          <w:rPr>
            <w:noProof/>
            <w:webHidden/>
          </w:rPr>
          <w:fldChar w:fldCharType="end"/>
        </w:r>
      </w:hyperlink>
    </w:p>
    <w:p w14:paraId="69D6ADEB" w14:textId="77777777" w:rsidR="00A04AD9" w:rsidRPr="00976D1C" w:rsidRDefault="00D01168" w:rsidP="00EC4213">
      <w:pPr>
        <w:pStyle w:val="TOC2"/>
        <w:rPr>
          <w:rFonts w:eastAsiaTheme="minorEastAsia" w:cstheme="minorBidi"/>
          <w:noProof/>
          <w:szCs w:val="22"/>
          <w:lang w:eastAsia="en-AU"/>
        </w:rPr>
      </w:pPr>
      <w:hyperlink w:anchor="_Toc407634440" w:history="1">
        <w:r w:rsidR="00A04AD9" w:rsidRPr="00976D1C">
          <w:rPr>
            <w:rStyle w:val="Hyperlink"/>
            <w:noProof/>
          </w:rPr>
          <w:t>Workforce demand data sources and data items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_Toc407634440 \h </w:instrText>
        </w:r>
        <w:r w:rsidR="00A04AD9" w:rsidRPr="00976D1C">
          <w:rPr>
            <w:noProof/>
            <w:webHidden/>
          </w:rPr>
        </w:r>
        <w:r w:rsidR="00A04AD9" w:rsidRPr="00976D1C">
          <w:rPr>
            <w:noProof/>
            <w:webHidden/>
          </w:rPr>
          <w:fldChar w:fldCharType="separate"/>
        </w:r>
        <w:r w:rsidR="00EC4213">
          <w:rPr>
            <w:noProof/>
            <w:webHidden/>
          </w:rPr>
          <w:t>62</w:t>
        </w:r>
        <w:r w:rsidR="00A04AD9" w:rsidRPr="00976D1C">
          <w:rPr>
            <w:noProof/>
            <w:webHidden/>
          </w:rPr>
          <w:fldChar w:fldCharType="end"/>
        </w:r>
      </w:hyperlink>
    </w:p>
    <w:p w14:paraId="6BDB01CF"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41" w:history="1">
        <w:r w:rsidR="00A04AD9" w:rsidRPr="00976D1C">
          <w:rPr>
            <w:rStyle w:val="Hyperlink"/>
            <w:noProof/>
          </w:rPr>
          <w:t>Appendix G – Workforce planning scenario results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_Toc407634441 \h </w:instrText>
        </w:r>
        <w:r w:rsidR="00A04AD9" w:rsidRPr="00976D1C">
          <w:rPr>
            <w:noProof/>
            <w:webHidden/>
          </w:rPr>
        </w:r>
        <w:r w:rsidR="00A04AD9" w:rsidRPr="00976D1C">
          <w:rPr>
            <w:noProof/>
            <w:webHidden/>
          </w:rPr>
          <w:fldChar w:fldCharType="separate"/>
        </w:r>
        <w:r w:rsidR="00EC4213">
          <w:rPr>
            <w:noProof/>
            <w:webHidden/>
          </w:rPr>
          <w:t>66</w:t>
        </w:r>
        <w:r w:rsidR="00A04AD9" w:rsidRPr="00976D1C">
          <w:rPr>
            <w:noProof/>
            <w:webHidden/>
          </w:rPr>
          <w:fldChar w:fldCharType="end"/>
        </w:r>
      </w:hyperlink>
    </w:p>
    <w:p w14:paraId="4BE1628D"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42" w:history="1">
        <w:r w:rsidR="00A04AD9" w:rsidRPr="00976D1C">
          <w:rPr>
            <w:rStyle w:val="Hyperlink"/>
            <w:noProof/>
          </w:rPr>
          <w:t>Glossary</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_Toc407634442 \h </w:instrText>
        </w:r>
        <w:r w:rsidR="00A04AD9" w:rsidRPr="00976D1C">
          <w:rPr>
            <w:noProof/>
            <w:webHidden/>
          </w:rPr>
        </w:r>
        <w:r w:rsidR="00A04AD9" w:rsidRPr="00976D1C">
          <w:rPr>
            <w:noProof/>
            <w:webHidden/>
          </w:rPr>
          <w:fldChar w:fldCharType="separate"/>
        </w:r>
        <w:r w:rsidR="00EC4213">
          <w:rPr>
            <w:noProof/>
            <w:webHidden/>
          </w:rPr>
          <w:t>71</w:t>
        </w:r>
        <w:r w:rsidR="00A04AD9" w:rsidRPr="00976D1C">
          <w:rPr>
            <w:noProof/>
            <w:webHidden/>
          </w:rPr>
          <w:fldChar w:fldCharType="end"/>
        </w:r>
      </w:hyperlink>
    </w:p>
    <w:p w14:paraId="208E9AE9" w14:textId="77777777" w:rsidR="00A04AD9" w:rsidRPr="00976D1C" w:rsidRDefault="00D01168" w:rsidP="00EC4213">
      <w:pPr>
        <w:pStyle w:val="TOC1"/>
        <w:tabs>
          <w:tab w:val="right" w:leader="dot" w:pos="9016"/>
        </w:tabs>
        <w:rPr>
          <w:rFonts w:eastAsiaTheme="minorEastAsia" w:cstheme="minorBidi"/>
          <w:b w:val="0"/>
          <w:bCs w:val="0"/>
          <w:caps w:val="0"/>
          <w:noProof/>
          <w:szCs w:val="22"/>
          <w:lang w:eastAsia="en-AU"/>
        </w:rPr>
      </w:pPr>
      <w:hyperlink w:anchor="_Toc407634443" w:history="1">
        <w:r w:rsidR="00A04AD9" w:rsidRPr="00976D1C">
          <w:rPr>
            <w:rStyle w:val="Hyperlink"/>
            <w:noProof/>
          </w:rPr>
          <w:t>References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_Toc407634443 \h </w:instrText>
        </w:r>
        <w:r w:rsidR="00A04AD9" w:rsidRPr="00976D1C">
          <w:rPr>
            <w:noProof/>
            <w:webHidden/>
          </w:rPr>
        </w:r>
        <w:r w:rsidR="00A04AD9" w:rsidRPr="00976D1C">
          <w:rPr>
            <w:noProof/>
            <w:webHidden/>
          </w:rPr>
          <w:fldChar w:fldCharType="separate"/>
        </w:r>
        <w:r w:rsidR="00EC4213">
          <w:rPr>
            <w:noProof/>
            <w:webHidden/>
          </w:rPr>
          <w:t>72</w:t>
        </w:r>
        <w:r w:rsidR="00A04AD9" w:rsidRPr="00976D1C">
          <w:rPr>
            <w:noProof/>
            <w:webHidden/>
          </w:rPr>
          <w:fldChar w:fldCharType="end"/>
        </w:r>
      </w:hyperlink>
    </w:p>
    <w:p w14:paraId="0DF3B956" w14:textId="6244A280" w:rsidR="00640830" w:rsidRPr="00976D1C" w:rsidRDefault="00C241D4" w:rsidP="00EC4213">
      <w:pPr>
        <w:pStyle w:val="Heading1"/>
      </w:pPr>
      <w:r w:rsidRPr="00976D1C">
        <w:rPr>
          <w:rFonts w:cstheme="minorHAnsi"/>
          <w:caps/>
          <w:color w:val="auto"/>
          <w:kern w:val="0"/>
          <w:sz w:val="20"/>
          <w:szCs w:val="20"/>
        </w:rPr>
        <w:lastRenderedPageBreak/>
        <w:fldChar w:fldCharType="end"/>
      </w:r>
      <w:bookmarkStart w:id="11" w:name="_Toc407634398"/>
      <w:r w:rsidR="004B0DD8" w:rsidRPr="00976D1C">
        <w:t>L</w:t>
      </w:r>
      <w:r w:rsidR="00640830" w:rsidRPr="00976D1C">
        <w:t>ist of tables</w:t>
      </w:r>
      <w:bookmarkEnd w:id="6"/>
      <w:bookmarkEnd w:id="7"/>
      <w:bookmarkEnd w:id="8"/>
      <w:bookmarkEnd w:id="9"/>
      <w:bookmarkEnd w:id="11"/>
    </w:p>
    <w:p w14:paraId="1B65A670" w14:textId="77777777" w:rsidR="00F9573F" w:rsidRDefault="007B4195" w:rsidP="00EC4213">
      <w:pPr>
        <w:pStyle w:val="TableofFigures"/>
        <w:tabs>
          <w:tab w:val="right" w:leader="dot" w:pos="9016"/>
        </w:tabs>
        <w:rPr>
          <w:rFonts w:asciiTheme="minorHAnsi" w:eastAsiaTheme="minorEastAsia" w:hAnsiTheme="minorHAnsi" w:cstheme="minorBidi"/>
          <w:noProof/>
          <w:lang w:eastAsia="en-AU"/>
        </w:rPr>
      </w:pPr>
      <w:r w:rsidRPr="00976D1C">
        <w:rPr>
          <w:rFonts w:ascii="Avenir LT Std 35 Light" w:hAnsi="Avenir LT Std 35 Light"/>
          <w:sz w:val="18"/>
          <w:szCs w:val="18"/>
          <w:lang w:eastAsia="x-none"/>
        </w:rPr>
        <w:fldChar w:fldCharType="begin"/>
      </w:r>
      <w:r w:rsidRPr="00976D1C">
        <w:rPr>
          <w:rFonts w:ascii="Avenir LT Std 35 Light" w:hAnsi="Avenir LT Std 35 Light"/>
          <w:sz w:val="18"/>
          <w:szCs w:val="18"/>
          <w:lang w:eastAsia="x-none"/>
        </w:rPr>
        <w:instrText xml:space="preserve"> TOC \h \z \c "Table" </w:instrText>
      </w:r>
      <w:r w:rsidRPr="00976D1C">
        <w:rPr>
          <w:rFonts w:ascii="Avenir LT Std 35 Light" w:hAnsi="Avenir LT Std 35 Light"/>
          <w:sz w:val="18"/>
          <w:szCs w:val="18"/>
          <w:lang w:eastAsia="x-none"/>
        </w:rPr>
        <w:fldChar w:fldCharType="separate"/>
      </w:r>
      <w:hyperlink w:anchor="_Toc409532339" w:history="1">
        <w:r w:rsidR="00F9573F" w:rsidRPr="000D0CB6">
          <w:rPr>
            <w:rStyle w:val="Hyperlink"/>
            <w:noProof/>
          </w:rPr>
          <w:t>Table 1: Type of practice visited at last dental visit by age, percentage of dentate people aged two and over who visited in last 12 months, 2010</w:t>
        </w:r>
        <w:r w:rsidR="00F9573F">
          <w:rPr>
            <w:noProof/>
            <w:webHidden/>
          </w:rPr>
          <w:tab/>
        </w:r>
        <w:r w:rsidR="00F9573F">
          <w:rPr>
            <w:noProof/>
            <w:webHidden/>
          </w:rPr>
          <w:fldChar w:fldCharType="begin"/>
        </w:r>
        <w:r w:rsidR="00F9573F">
          <w:rPr>
            <w:noProof/>
            <w:webHidden/>
          </w:rPr>
          <w:instrText xml:space="preserve"> PAGEREF _Toc409532339 \h </w:instrText>
        </w:r>
        <w:r w:rsidR="00F9573F">
          <w:rPr>
            <w:noProof/>
            <w:webHidden/>
          </w:rPr>
        </w:r>
        <w:r w:rsidR="00F9573F">
          <w:rPr>
            <w:noProof/>
            <w:webHidden/>
          </w:rPr>
          <w:fldChar w:fldCharType="separate"/>
        </w:r>
        <w:r w:rsidR="00EC4213">
          <w:rPr>
            <w:noProof/>
            <w:webHidden/>
          </w:rPr>
          <w:t>8</w:t>
        </w:r>
        <w:r w:rsidR="00F9573F">
          <w:rPr>
            <w:noProof/>
            <w:webHidden/>
          </w:rPr>
          <w:fldChar w:fldCharType="end"/>
        </w:r>
      </w:hyperlink>
    </w:p>
    <w:p w14:paraId="25AEC705"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0" w:history="1">
        <w:r w:rsidR="00F9573F" w:rsidRPr="000D0CB6">
          <w:rPr>
            <w:rStyle w:val="Hyperlink"/>
            <w:noProof/>
          </w:rPr>
          <w:t>Table 2: Oral health workforce, summary of workforce supply and demand projections, 2020 and 2025</w:t>
        </w:r>
        <w:r w:rsidR="00F9573F">
          <w:rPr>
            <w:noProof/>
            <w:webHidden/>
          </w:rPr>
          <w:tab/>
        </w:r>
        <w:r w:rsidR="00F9573F">
          <w:rPr>
            <w:noProof/>
            <w:webHidden/>
          </w:rPr>
          <w:fldChar w:fldCharType="begin"/>
        </w:r>
        <w:r w:rsidR="00F9573F">
          <w:rPr>
            <w:noProof/>
            <w:webHidden/>
          </w:rPr>
          <w:instrText xml:space="preserve"> PAGEREF _Toc409532340 \h </w:instrText>
        </w:r>
        <w:r w:rsidR="00F9573F">
          <w:rPr>
            <w:noProof/>
            <w:webHidden/>
          </w:rPr>
        </w:r>
        <w:r w:rsidR="00F9573F">
          <w:rPr>
            <w:noProof/>
            <w:webHidden/>
          </w:rPr>
          <w:fldChar w:fldCharType="separate"/>
        </w:r>
        <w:r w:rsidR="00EC4213">
          <w:rPr>
            <w:noProof/>
            <w:webHidden/>
          </w:rPr>
          <w:t>16</w:t>
        </w:r>
        <w:r w:rsidR="00F9573F">
          <w:rPr>
            <w:noProof/>
            <w:webHidden/>
          </w:rPr>
          <w:fldChar w:fldCharType="end"/>
        </w:r>
      </w:hyperlink>
    </w:p>
    <w:p w14:paraId="3D15C45D"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1" w:history="1">
        <w:r w:rsidR="00F9573F" w:rsidRPr="000D0CB6">
          <w:rPr>
            <w:rStyle w:val="Hyperlink"/>
            <w:noProof/>
          </w:rPr>
          <w:t>Table 3: Prevalence of financial barriers to dental visiting, 1994 to 2010 (per cent)</w:t>
        </w:r>
        <w:r w:rsidR="00F9573F">
          <w:rPr>
            <w:noProof/>
            <w:webHidden/>
          </w:rPr>
          <w:tab/>
        </w:r>
        <w:r w:rsidR="00F9573F">
          <w:rPr>
            <w:noProof/>
            <w:webHidden/>
          </w:rPr>
          <w:fldChar w:fldCharType="begin"/>
        </w:r>
        <w:r w:rsidR="00F9573F">
          <w:rPr>
            <w:noProof/>
            <w:webHidden/>
          </w:rPr>
          <w:instrText xml:space="preserve"> PAGEREF _Toc409532341 \h </w:instrText>
        </w:r>
        <w:r w:rsidR="00F9573F">
          <w:rPr>
            <w:noProof/>
            <w:webHidden/>
          </w:rPr>
        </w:r>
        <w:r w:rsidR="00F9573F">
          <w:rPr>
            <w:noProof/>
            <w:webHidden/>
          </w:rPr>
          <w:fldChar w:fldCharType="separate"/>
        </w:r>
        <w:r w:rsidR="00EC4213">
          <w:rPr>
            <w:noProof/>
            <w:webHidden/>
          </w:rPr>
          <w:t>22</w:t>
        </w:r>
        <w:r w:rsidR="00F9573F">
          <w:rPr>
            <w:noProof/>
            <w:webHidden/>
          </w:rPr>
          <w:fldChar w:fldCharType="end"/>
        </w:r>
      </w:hyperlink>
    </w:p>
    <w:p w14:paraId="071AEA72"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2" w:history="1">
        <w:r w:rsidR="00F9573F" w:rsidRPr="000D0CB6">
          <w:rPr>
            <w:rStyle w:val="Hyperlink"/>
            <w:noProof/>
          </w:rPr>
          <w:t>Table 4: Projected Graduates 2012- 2017</w:t>
        </w:r>
        <w:r w:rsidR="00F9573F">
          <w:rPr>
            <w:noProof/>
            <w:webHidden/>
          </w:rPr>
          <w:tab/>
        </w:r>
        <w:r w:rsidR="00F9573F">
          <w:rPr>
            <w:noProof/>
            <w:webHidden/>
          </w:rPr>
          <w:fldChar w:fldCharType="begin"/>
        </w:r>
        <w:r w:rsidR="00F9573F">
          <w:rPr>
            <w:noProof/>
            <w:webHidden/>
          </w:rPr>
          <w:instrText xml:space="preserve"> PAGEREF _Toc409532342 \h </w:instrText>
        </w:r>
        <w:r w:rsidR="00F9573F">
          <w:rPr>
            <w:noProof/>
            <w:webHidden/>
          </w:rPr>
        </w:r>
        <w:r w:rsidR="00F9573F">
          <w:rPr>
            <w:noProof/>
            <w:webHidden/>
          </w:rPr>
          <w:fldChar w:fldCharType="separate"/>
        </w:r>
        <w:r w:rsidR="00EC4213">
          <w:rPr>
            <w:noProof/>
            <w:webHidden/>
          </w:rPr>
          <w:t>54</w:t>
        </w:r>
        <w:r w:rsidR="00F9573F">
          <w:rPr>
            <w:noProof/>
            <w:webHidden/>
          </w:rPr>
          <w:fldChar w:fldCharType="end"/>
        </w:r>
      </w:hyperlink>
    </w:p>
    <w:p w14:paraId="2EA0D5E8"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3" w:history="1">
        <w:r w:rsidR="00F9573F" w:rsidRPr="000D0CB6">
          <w:rPr>
            <w:rStyle w:val="Hyperlink"/>
            <w:noProof/>
          </w:rPr>
          <w:t>Table 5: Temporary and Permanent migrants, 2012</w:t>
        </w:r>
        <w:r w:rsidR="00F9573F">
          <w:rPr>
            <w:noProof/>
            <w:webHidden/>
          </w:rPr>
          <w:tab/>
        </w:r>
        <w:r w:rsidR="00F9573F">
          <w:rPr>
            <w:noProof/>
            <w:webHidden/>
          </w:rPr>
          <w:fldChar w:fldCharType="begin"/>
        </w:r>
        <w:r w:rsidR="00F9573F">
          <w:rPr>
            <w:noProof/>
            <w:webHidden/>
          </w:rPr>
          <w:instrText xml:space="preserve"> PAGEREF _Toc409532343 \h </w:instrText>
        </w:r>
        <w:r w:rsidR="00F9573F">
          <w:rPr>
            <w:noProof/>
            <w:webHidden/>
          </w:rPr>
        </w:r>
        <w:r w:rsidR="00F9573F">
          <w:rPr>
            <w:noProof/>
            <w:webHidden/>
          </w:rPr>
          <w:fldChar w:fldCharType="separate"/>
        </w:r>
        <w:r w:rsidR="00EC4213">
          <w:rPr>
            <w:noProof/>
            <w:webHidden/>
          </w:rPr>
          <w:t>54</w:t>
        </w:r>
        <w:r w:rsidR="00F9573F">
          <w:rPr>
            <w:noProof/>
            <w:webHidden/>
          </w:rPr>
          <w:fldChar w:fldCharType="end"/>
        </w:r>
      </w:hyperlink>
    </w:p>
    <w:p w14:paraId="6B3AEB7D"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4" w:history="1">
        <w:r w:rsidR="00F9573F" w:rsidRPr="000D0CB6">
          <w:rPr>
            <w:rStyle w:val="Hyperlink"/>
            <w:noProof/>
          </w:rPr>
          <w:t>Table 6: Utilisation patterns for oral health</w:t>
        </w:r>
        <w:r w:rsidR="00F9573F">
          <w:rPr>
            <w:noProof/>
            <w:webHidden/>
          </w:rPr>
          <w:tab/>
        </w:r>
        <w:r w:rsidR="00F9573F">
          <w:rPr>
            <w:noProof/>
            <w:webHidden/>
          </w:rPr>
          <w:fldChar w:fldCharType="begin"/>
        </w:r>
        <w:r w:rsidR="00F9573F">
          <w:rPr>
            <w:noProof/>
            <w:webHidden/>
          </w:rPr>
          <w:instrText xml:space="preserve"> PAGEREF _Toc409532344 \h </w:instrText>
        </w:r>
        <w:r w:rsidR="00F9573F">
          <w:rPr>
            <w:noProof/>
            <w:webHidden/>
          </w:rPr>
        </w:r>
        <w:r w:rsidR="00F9573F">
          <w:rPr>
            <w:noProof/>
            <w:webHidden/>
          </w:rPr>
          <w:fldChar w:fldCharType="separate"/>
        </w:r>
        <w:r w:rsidR="00EC4213">
          <w:rPr>
            <w:noProof/>
            <w:webHidden/>
          </w:rPr>
          <w:t>55</w:t>
        </w:r>
        <w:r w:rsidR="00F9573F">
          <w:rPr>
            <w:noProof/>
            <w:webHidden/>
          </w:rPr>
          <w:fldChar w:fldCharType="end"/>
        </w:r>
      </w:hyperlink>
    </w:p>
    <w:p w14:paraId="4E68FBD1"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5" w:history="1">
        <w:r w:rsidR="00F9573F" w:rsidRPr="000D0CB6">
          <w:rPr>
            <w:rStyle w:val="Hyperlink"/>
            <w:noProof/>
          </w:rPr>
          <w:t>Table 7: Oral health workforce, comparison scenario, selected years, headcount</w:t>
        </w:r>
        <w:r w:rsidR="00F9573F">
          <w:rPr>
            <w:noProof/>
            <w:webHidden/>
          </w:rPr>
          <w:tab/>
        </w:r>
        <w:r w:rsidR="00F9573F">
          <w:rPr>
            <w:noProof/>
            <w:webHidden/>
          </w:rPr>
          <w:fldChar w:fldCharType="begin"/>
        </w:r>
        <w:r w:rsidR="00F9573F">
          <w:rPr>
            <w:noProof/>
            <w:webHidden/>
          </w:rPr>
          <w:instrText xml:space="preserve"> PAGEREF _Toc409532345 \h </w:instrText>
        </w:r>
        <w:r w:rsidR="00F9573F">
          <w:rPr>
            <w:noProof/>
            <w:webHidden/>
          </w:rPr>
        </w:r>
        <w:r w:rsidR="00F9573F">
          <w:rPr>
            <w:noProof/>
            <w:webHidden/>
          </w:rPr>
          <w:fldChar w:fldCharType="separate"/>
        </w:r>
        <w:r w:rsidR="00EC4213">
          <w:rPr>
            <w:noProof/>
            <w:webHidden/>
          </w:rPr>
          <w:t>66</w:t>
        </w:r>
        <w:r w:rsidR="00F9573F">
          <w:rPr>
            <w:noProof/>
            <w:webHidden/>
          </w:rPr>
          <w:fldChar w:fldCharType="end"/>
        </w:r>
      </w:hyperlink>
    </w:p>
    <w:p w14:paraId="2C915FDD"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6" w:history="1">
        <w:r w:rsidR="00F9573F" w:rsidRPr="000D0CB6">
          <w:rPr>
            <w:rStyle w:val="Hyperlink"/>
            <w:noProof/>
          </w:rPr>
          <w:t>Table 8: Oral health workforce, medium self-sufficiency scenario, selected years, headcount</w:t>
        </w:r>
        <w:r w:rsidR="00F9573F">
          <w:rPr>
            <w:noProof/>
            <w:webHidden/>
          </w:rPr>
          <w:tab/>
        </w:r>
        <w:r w:rsidR="00F9573F">
          <w:rPr>
            <w:noProof/>
            <w:webHidden/>
          </w:rPr>
          <w:fldChar w:fldCharType="begin"/>
        </w:r>
        <w:r w:rsidR="00F9573F">
          <w:rPr>
            <w:noProof/>
            <w:webHidden/>
          </w:rPr>
          <w:instrText xml:space="preserve"> PAGEREF _Toc409532346 \h </w:instrText>
        </w:r>
        <w:r w:rsidR="00F9573F">
          <w:rPr>
            <w:noProof/>
            <w:webHidden/>
          </w:rPr>
        </w:r>
        <w:r w:rsidR="00F9573F">
          <w:rPr>
            <w:noProof/>
            <w:webHidden/>
          </w:rPr>
          <w:fldChar w:fldCharType="separate"/>
        </w:r>
        <w:r w:rsidR="00EC4213">
          <w:rPr>
            <w:noProof/>
            <w:webHidden/>
          </w:rPr>
          <w:t>67</w:t>
        </w:r>
        <w:r w:rsidR="00F9573F">
          <w:rPr>
            <w:noProof/>
            <w:webHidden/>
          </w:rPr>
          <w:fldChar w:fldCharType="end"/>
        </w:r>
      </w:hyperlink>
    </w:p>
    <w:p w14:paraId="60175A14"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7" w:history="1">
        <w:r w:rsidR="00F9573F" w:rsidRPr="000D0CB6">
          <w:rPr>
            <w:rStyle w:val="Hyperlink"/>
            <w:noProof/>
          </w:rPr>
          <w:t>Table 9: Oral health workforce, productivity scenario, selected years, headcount</w:t>
        </w:r>
        <w:r w:rsidR="00F9573F">
          <w:rPr>
            <w:noProof/>
            <w:webHidden/>
          </w:rPr>
          <w:tab/>
        </w:r>
        <w:r w:rsidR="00F9573F">
          <w:rPr>
            <w:noProof/>
            <w:webHidden/>
          </w:rPr>
          <w:fldChar w:fldCharType="begin"/>
        </w:r>
        <w:r w:rsidR="00F9573F">
          <w:rPr>
            <w:noProof/>
            <w:webHidden/>
          </w:rPr>
          <w:instrText xml:space="preserve"> PAGEREF _Toc409532347 \h </w:instrText>
        </w:r>
        <w:r w:rsidR="00F9573F">
          <w:rPr>
            <w:noProof/>
            <w:webHidden/>
          </w:rPr>
        </w:r>
        <w:r w:rsidR="00F9573F">
          <w:rPr>
            <w:noProof/>
            <w:webHidden/>
          </w:rPr>
          <w:fldChar w:fldCharType="separate"/>
        </w:r>
        <w:r w:rsidR="00EC4213">
          <w:rPr>
            <w:noProof/>
            <w:webHidden/>
          </w:rPr>
          <w:t>67</w:t>
        </w:r>
        <w:r w:rsidR="00F9573F">
          <w:rPr>
            <w:noProof/>
            <w:webHidden/>
          </w:rPr>
          <w:fldChar w:fldCharType="end"/>
        </w:r>
      </w:hyperlink>
    </w:p>
    <w:p w14:paraId="7AE7A554"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8" w:history="1">
        <w:r w:rsidR="00F9573F" w:rsidRPr="000D0CB6">
          <w:rPr>
            <w:rStyle w:val="Hyperlink"/>
            <w:noProof/>
          </w:rPr>
          <w:t>Table 10: Oral health workforce, low demand scenario, selected years, headcount</w:t>
        </w:r>
        <w:r w:rsidR="00F9573F">
          <w:rPr>
            <w:noProof/>
            <w:webHidden/>
          </w:rPr>
          <w:tab/>
        </w:r>
        <w:r w:rsidR="00F9573F">
          <w:rPr>
            <w:noProof/>
            <w:webHidden/>
          </w:rPr>
          <w:fldChar w:fldCharType="begin"/>
        </w:r>
        <w:r w:rsidR="00F9573F">
          <w:rPr>
            <w:noProof/>
            <w:webHidden/>
          </w:rPr>
          <w:instrText xml:space="preserve"> PAGEREF _Toc409532348 \h </w:instrText>
        </w:r>
        <w:r w:rsidR="00F9573F">
          <w:rPr>
            <w:noProof/>
            <w:webHidden/>
          </w:rPr>
        </w:r>
        <w:r w:rsidR="00F9573F">
          <w:rPr>
            <w:noProof/>
            <w:webHidden/>
          </w:rPr>
          <w:fldChar w:fldCharType="separate"/>
        </w:r>
        <w:r w:rsidR="00EC4213">
          <w:rPr>
            <w:noProof/>
            <w:webHidden/>
          </w:rPr>
          <w:t>68</w:t>
        </w:r>
        <w:r w:rsidR="00F9573F">
          <w:rPr>
            <w:noProof/>
            <w:webHidden/>
          </w:rPr>
          <w:fldChar w:fldCharType="end"/>
        </w:r>
      </w:hyperlink>
    </w:p>
    <w:p w14:paraId="23BE6F38"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49" w:history="1">
        <w:r w:rsidR="00F9573F" w:rsidRPr="000D0CB6">
          <w:rPr>
            <w:rStyle w:val="Hyperlink"/>
            <w:noProof/>
          </w:rPr>
          <w:t>Table 11: Oral health workforce, high demand scenario, selected years, headcount</w:t>
        </w:r>
        <w:r w:rsidR="00F9573F">
          <w:rPr>
            <w:noProof/>
            <w:webHidden/>
          </w:rPr>
          <w:tab/>
        </w:r>
        <w:r w:rsidR="00F9573F">
          <w:rPr>
            <w:noProof/>
            <w:webHidden/>
          </w:rPr>
          <w:fldChar w:fldCharType="begin"/>
        </w:r>
        <w:r w:rsidR="00F9573F">
          <w:rPr>
            <w:noProof/>
            <w:webHidden/>
          </w:rPr>
          <w:instrText xml:space="preserve"> PAGEREF _Toc409532349 \h </w:instrText>
        </w:r>
        <w:r w:rsidR="00F9573F">
          <w:rPr>
            <w:noProof/>
            <w:webHidden/>
          </w:rPr>
        </w:r>
        <w:r w:rsidR="00F9573F">
          <w:rPr>
            <w:noProof/>
            <w:webHidden/>
          </w:rPr>
          <w:fldChar w:fldCharType="separate"/>
        </w:r>
        <w:r w:rsidR="00EC4213">
          <w:rPr>
            <w:noProof/>
            <w:webHidden/>
          </w:rPr>
          <w:t>68</w:t>
        </w:r>
        <w:r w:rsidR="00F9573F">
          <w:rPr>
            <w:noProof/>
            <w:webHidden/>
          </w:rPr>
          <w:fldChar w:fldCharType="end"/>
        </w:r>
      </w:hyperlink>
    </w:p>
    <w:p w14:paraId="5BBD79CE"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50" w:history="1">
        <w:r w:rsidR="00F9573F" w:rsidRPr="000D0CB6">
          <w:rPr>
            <w:rStyle w:val="Hyperlink"/>
            <w:noProof/>
          </w:rPr>
          <w:t>Table 12: Oral health workforce, undersupply scenario, selected years, headcount</w:t>
        </w:r>
        <w:r w:rsidR="00F9573F">
          <w:rPr>
            <w:noProof/>
            <w:webHidden/>
          </w:rPr>
          <w:tab/>
        </w:r>
        <w:r w:rsidR="00F9573F">
          <w:rPr>
            <w:noProof/>
            <w:webHidden/>
          </w:rPr>
          <w:fldChar w:fldCharType="begin"/>
        </w:r>
        <w:r w:rsidR="00F9573F">
          <w:rPr>
            <w:noProof/>
            <w:webHidden/>
          </w:rPr>
          <w:instrText xml:space="preserve"> PAGEREF _Toc409532350 \h </w:instrText>
        </w:r>
        <w:r w:rsidR="00F9573F">
          <w:rPr>
            <w:noProof/>
            <w:webHidden/>
          </w:rPr>
        </w:r>
        <w:r w:rsidR="00F9573F">
          <w:rPr>
            <w:noProof/>
            <w:webHidden/>
          </w:rPr>
          <w:fldChar w:fldCharType="separate"/>
        </w:r>
        <w:r w:rsidR="00EC4213">
          <w:rPr>
            <w:noProof/>
            <w:webHidden/>
          </w:rPr>
          <w:t>69</w:t>
        </w:r>
        <w:r w:rsidR="00F9573F">
          <w:rPr>
            <w:noProof/>
            <w:webHidden/>
          </w:rPr>
          <w:fldChar w:fldCharType="end"/>
        </w:r>
      </w:hyperlink>
    </w:p>
    <w:p w14:paraId="0EF6B219"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51" w:history="1">
        <w:r w:rsidR="00F9573F" w:rsidRPr="000D0CB6">
          <w:rPr>
            <w:rStyle w:val="Hyperlink"/>
            <w:b/>
            <w:bCs/>
            <w:noProof/>
          </w:rPr>
          <w:t>Table 13: Oral health workforce, oversupply scenario, selected years, headcount</w:t>
        </w:r>
        <w:r w:rsidR="00F9573F">
          <w:rPr>
            <w:noProof/>
            <w:webHidden/>
          </w:rPr>
          <w:tab/>
        </w:r>
        <w:r w:rsidR="00F9573F">
          <w:rPr>
            <w:noProof/>
            <w:webHidden/>
          </w:rPr>
          <w:fldChar w:fldCharType="begin"/>
        </w:r>
        <w:r w:rsidR="00F9573F">
          <w:rPr>
            <w:noProof/>
            <w:webHidden/>
          </w:rPr>
          <w:instrText xml:space="preserve"> PAGEREF _Toc409532351 \h </w:instrText>
        </w:r>
        <w:r w:rsidR="00F9573F">
          <w:rPr>
            <w:noProof/>
            <w:webHidden/>
          </w:rPr>
        </w:r>
        <w:r w:rsidR="00F9573F">
          <w:rPr>
            <w:noProof/>
            <w:webHidden/>
          </w:rPr>
          <w:fldChar w:fldCharType="separate"/>
        </w:r>
        <w:r w:rsidR="00EC4213">
          <w:rPr>
            <w:noProof/>
            <w:webHidden/>
          </w:rPr>
          <w:t>69</w:t>
        </w:r>
        <w:r w:rsidR="00F9573F">
          <w:rPr>
            <w:noProof/>
            <w:webHidden/>
          </w:rPr>
          <w:fldChar w:fldCharType="end"/>
        </w:r>
      </w:hyperlink>
    </w:p>
    <w:p w14:paraId="291B2FE4" w14:textId="77777777" w:rsidR="00F9573F"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9532352" w:history="1">
        <w:r w:rsidR="00F9573F" w:rsidRPr="000D0CB6">
          <w:rPr>
            <w:rStyle w:val="Hyperlink"/>
            <w:noProof/>
          </w:rPr>
          <w:t>Table 14: Oral health workforce, graduate reduction scenario, selected years, headcount</w:t>
        </w:r>
        <w:r w:rsidR="00F9573F">
          <w:rPr>
            <w:noProof/>
            <w:webHidden/>
          </w:rPr>
          <w:tab/>
        </w:r>
        <w:r w:rsidR="00F9573F">
          <w:rPr>
            <w:noProof/>
            <w:webHidden/>
          </w:rPr>
          <w:fldChar w:fldCharType="begin"/>
        </w:r>
        <w:r w:rsidR="00F9573F">
          <w:rPr>
            <w:noProof/>
            <w:webHidden/>
          </w:rPr>
          <w:instrText xml:space="preserve"> PAGEREF _Toc409532352 \h </w:instrText>
        </w:r>
        <w:r w:rsidR="00F9573F">
          <w:rPr>
            <w:noProof/>
            <w:webHidden/>
          </w:rPr>
        </w:r>
        <w:r w:rsidR="00F9573F">
          <w:rPr>
            <w:noProof/>
            <w:webHidden/>
          </w:rPr>
          <w:fldChar w:fldCharType="separate"/>
        </w:r>
        <w:r w:rsidR="00EC4213">
          <w:rPr>
            <w:noProof/>
            <w:webHidden/>
          </w:rPr>
          <w:t>70</w:t>
        </w:r>
        <w:r w:rsidR="00F9573F">
          <w:rPr>
            <w:noProof/>
            <w:webHidden/>
          </w:rPr>
          <w:fldChar w:fldCharType="end"/>
        </w:r>
      </w:hyperlink>
    </w:p>
    <w:p w14:paraId="32273821" w14:textId="77777777" w:rsidR="00766FB2" w:rsidRPr="00976D1C" w:rsidRDefault="007B4195" w:rsidP="00EC4213">
      <w:pPr>
        <w:rPr>
          <w:lang w:eastAsia="x-none"/>
        </w:rPr>
      </w:pPr>
      <w:r w:rsidRPr="00976D1C">
        <w:rPr>
          <w:rFonts w:ascii="Avenir LT Std 35 Light" w:hAnsi="Avenir LT Std 35 Light"/>
          <w:sz w:val="18"/>
          <w:szCs w:val="18"/>
          <w:lang w:eastAsia="x-none"/>
        </w:rPr>
        <w:fldChar w:fldCharType="end"/>
      </w:r>
    </w:p>
    <w:p w14:paraId="25A12960" w14:textId="77777777" w:rsidR="00640830" w:rsidRPr="00976D1C" w:rsidRDefault="00640830" w:rsidP="00EC4213">
      <w:pPr>
        <w:pStyle w:val="Heading1"/>
      </w:pPr>
      <w:bookmarkStart w:id="12" w:name="_Toc371941194"/>
      <w:bookmarkStart w:id="13" w:name="_Toc371958845"/>
      <w:bookmarkStart w:id="14" w:name="_Toc372795169"/>
      <w:bookmarkStart w:id="15" w:name="_Toc377045769"/>
      <w:bookmarkStart w:id="16" w:name="_Toc407634399"/>
      <w:bookmarkEnd w:id="10"/>
      <w:r w:rsidRPr="00976D1C">
        <w:lastRenderedPageBreak/>
        <w:t>List of figures</w:t>
      </w:r>
      <w:bookmarkEnd w:id="12"/>
      <w:bookmarkEnd w:id="13"/>
      <w:bookmarkEnd w:id="14"/>
      <w:bookmarkEnd w:id="15"/>
      <w:bookmarkEnd w:id="16"/>
    </w:p>
    <w:p w14:paraId="31D7E8FE" w14:textId="77777777" w:rsidR="00A04AD9" w:rsidRPr="00976D1C" w:rsidRDefault="007B4195" w:rsidP="00EC4213">
      <w:pPr>
        <w:pStyle w:val="TableofFigures"/>
        <w:tabs>
          <w:tab w:val="right" w:leader="dot" w:pos="9016"/>
        </w:tabs>
        <w:rPr>
          <w:rFonts w:asciiTheme="minorHAnsi" w:eastAsiaTheme="minorEastAsia" w:hAnsiTheme="minorHAnsi" w:cstheme="minorBidi"/>
          <w:noProof/>
          <w:lang w:eastAsia="en-AU"/>
        </w:rPr>
      </w:pPr>
      <w:r w:rsidRPr="00976D1C">
        <w:rPr>
          <w:sz w:val="18"/>
          <w:szCs w:val="18"/>
          <w:lang w:eastAsia="x-none"/>
        </w:rPr>
        <w:fldChar w:fldCharType="begin"/>
      </w:r>
      <w:r w:rsidRPr="00976D1C">
        <w:rPr>
          <w:sz w:val="18"/>
          <w:szCs w:val="18"/>
          <w:lang w:eastAsia="x-none"/>
        </w:rPr>
        <w:instrText xml:space="preserve"> TOC \h \z \c "Figure" </w:instrText>
      </w:r>
      <w:r w:rsidRPr="00976D1C">
        <w:rPr>
          <w:sz w:val="18"/>
          <w:szCs w:val="18"/>
          <w:lang w:eastAsia="x-none"/>
        </w:rPr>
        <w:fldChar w:fldCharType="separate"/>
      </w:r>
      <w:hyperlink w:anchor="_Toc407634458" w:history="1">
        <w:r w:rsidR="00A04AD9" w:rsidRPr="00976D1C">
          <w:rPr>
            <w:rStyle w:val="Hyperlink"/>
            <w:noProof/>
          </w:rPr>
          <w:t>Figure 1: Oral health workforce supply and demand projections, high and low demand scenarios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_Toc407634458 \h </w:instrText>
        </w:r>
        <w:r w:rsidR="00A04AD9" w:rsidRPr="00976D1C">
          <w:rPr>
            <w:noProof/>
            <w:webHidden/>
          </w:rPr>
        </w:r>
        <w:r w:rsidR="00A04AD9" w:rsidRPr="00976D1C">
          <w:rPr>
            <w:noProof/>
            <w:webHidden/>
          </w:rPr>
          <w:fldChar w:fldCharType="separate"/>
        </w:r>
        <w:r w:rsidR="00EC4213">
          <w:rPr>
            <w:noProof/>
            <w:webHidden/>
          </w:rPr>
          <w:t>17</w:t>
        </w:r>
        <w:r w:rsidR="00A04AD9" w:rsidRPr="00976D1C">
          <w:rPr>
            <w:noProof/>
            <w:webHidden/>
          </w:rPr>
          <w:fldChar w:fldCharType="end"/>
        </w:r>
      </w:hyperlink>
    </w:p>
    <w:p w14:paraId="43123017"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59" w:history="1">
        <w:r w:rsidR="00A04AD9" w:rsidRPr="00976D1C">
          <w:rPr>
            <w:rStyle w:val="Hyperlink"/>
            <w:noProof/>
          </w:rPr>
          <w:t>Figure 2 Oral health workforce planning projections, medium self-sufficiency scenario and graduate reduction scenario</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_Toc407634459 \h </w:instrText>
        </w:r>
        <w:r w:rsidR="00A04AD9" w:rsidRPr="00976D1C">
          <w:rPr>
            <w:noProof/>
            <w:webHidden/>
          </w:rPr>
        </w:r>
        <w:r w:rsidR="00A04AD9" w:rsidRPr="00976D1C">
          <w:rPr>
            <w:noProof/>
            <w:webHidden/>
          </w:rPr>
          <w:fldChar w:fldCharType="separate"/>
        </w:r>
        <w:r w:rsidR="00EC4213">
          <w:rPr>
            <w:noProof/>
            <w:webHidden/>
          </w:rPr>
          <w:t>18</w:t>
        </w:r>
        <w:r w:rsidR="00A04AD9" w:rsidRPr="00976D1C">
          <w:rPr>
            <w:noProof/>
            <w:webHidden/>
          </w:rPr>
          <w:fldChar w:fldCharType="end"/>
        </w:r>
      </w:hyperlink>
    </w:p>
    <w:p w14:paraId="2BCBB7B3"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0" w:history="1">
        <w:r w:rsidR="00A04AD9" w:rsidRPr="00976D1C">
          <w:rPr>
            <w:rStyle w:val="Hyperlink"/>
            <w:noProof/>
          </w:rPr>
          <w:t>Figure 3: Oral health workforce planning projections, productivity scenario</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_Toc407634460 \h </w:instrText>
        </w:r>
        <w:r w:rsidR="00A04AD9" w:rsidRPr="00976D1C">
          <w:rPr>
            <w:noProof/>
            <w:webHidden/>
          </w:rPr>
        </w:r>
        <w:r w:rsidR="00A04AD9" w:rsidRPr="00976D1C">
          <w:rPr>
            <w:noProof/>
            <w:webHidden/>
          </w:rPr>
          <w:fldChar w:fldCharType="separate"/>
        </w:r>
        <w:r w:rsidR="00EC4213">
          <w:rPr>
            <w:noProof/>
            <w:webHidden/>
          </w:rPr>
          <w:t>18</w:t>
        </w:r>
        <w:r w:rsidR="00A04AD9" w:rsidRPr="00976D1C">
          <w:rPr>
            <w:noProof/>
            <w:webHidden/>
          </w:rPr>
          <w:fldChar w:fldCharType="end"/>
        </w:r>
      </w:hyperlink>
    </w:p>
    <w:p w14:paraId="41532398"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1" w:history="1">
        <w:r w:rsidR="00A04AD9" w:rsidRPr="00976D1C">
          <w:rPr>
            <w:rStyle w:val="Hyperlink"/>
            <w:noProof/>
          </w:rPr>
          <w:t>Figure 4: Oral health workforce, oversupply and undersupply scenarios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_Toc407634461 \h </w:instrText>
        </w:r>
        <w:r w:rsidR="00A04AD9" w:rsidRPr="00976D1C">
          <w:rPr>
            <w:noProof/>
            <w:webHidden/>
          </w:rPr>
        </w:r>
        <w:r w:rsidR="00A04AD9" w:rsidRPr="00976D1C">
          <w:rPr>
            <w:noProof/>
            <w:webHidden/>
          </w:rPr>
          <w:fldChar w:fldCharType="separate"/>
        </w:r>
        <w:r w:rsidR="00EC4213">
          <w:rPr>
            <w:noProof/>
            <w:webHidden/>
          </w:rPr>
          <w:t>19</w:t>
        </w:r>
        <w:r w:rsidR="00A04AD9" w:rsidRPr="00976D1C">
          <w:rPr>
            <w:noProof/>
            <w:webHidden/>
          </w:rPr>
          <w:fldChar w:fldCharType="end"/>
        </w:r>
      </w:hyperlink>
    </w:p>
    <w:p w14:paraId="2D8968B1"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2" w:history="1">
        <w:r w:rsidR="00A04AD9" w:rsidRPr="00976D1C">
          <w:rPr>
            <w:rStyle w:val="Hyperlink"/>
            <w:noProof/>
          </w:rPr>
          <w:t>Figure 5: Adults who made a dental visit in the previous 12 months, 1994-2010</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_Toc407634462 \h </w:instrText>
        </w:r>
        <w:r w:rsidR="00A04AD9" w:rsidRPr="00976D1C">
          <w:rPr>
            <w:noProof/>
            <w:webHidden/>
          </w:rPr>
        </w:r>
        <w:r w:rsidR="00A04AD9" w:rsidRPr="00976D1C">
          <w:rPr>
            <w:noProof/>
            <w:webHidden/>
          </w:rPr>
          <w:fldChar w:fldCharType="separate"/>
        </w:r>
        <w:r w:rsidR="00EC4213">
          <w:rPr>
            <w:noProof/>
            <w:webHidden/>
          </w:rPr>
          <w:t>20</w:t>
        </w:r>
        <w:r w:rsidR="00A04AD9" w:rsidRPr="00976D1C">
          <w:rPr>
            <w:noProof/>
            <w:webHidden/>
          </w:rPr>
          <w:fldChar w:fldCharType="end"/>
        </w:r>
      </w:hyperlink>
    </w:p>
    <w:p w14:paraId="0B822C6A"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3" w:history="1">
        <w:r w:rsidR="00A04AD9" w:rsidRPr="00976D1C">
          <w:rPr>
            <w:rStyle w:val="Hyperlink"/>
            <w:noProof/>
          </w:rPr>
          <w:t>Figure 6: General Treatment, Dental Services paid by private health insurers, 1996 to 2013</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_Toc407634463 \h </w:instrText>
        </w:r>
        <w:r w:rsidR="00A04AD9" w:rsidRPr="00976D1C">
          <w:rPr>
            <w:noProof/>
            <w:webHidden/>
          </w:rPr>
        </w:r>
        <w:r w:rsidR="00A04AD9" w:rsidRPr="00976D1C">
          <w:rPr>
            <w:noProof/>
            <w:webHidden/>
          </w:rPr>
          <w:fldChar w:fldCharType="separate"/>
        </w:r>
        <w:r w:rsidR="00EC4213">
          <w:rPr>
            <w:noProof/>
            <w:webHidden/>
          </w:rPr>
          <w:t>21</w:t>
        </w:r>
        <w:r w:rsidR="00A04AD9" w:rsidRPr="00976D1C">
          <w:rPr>
            <w:noProof/>
            <w:webHidden/>
          </w:rPr>
          <w:fldChar w:fldCharType="end"/>
        </w:r>
      </w:hyperlink>
    </w:p>
    <w:p w14:paraId="1BEE9762"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4" w:history="1">
        <w:r w:rsidR="00A04AD9" w:rsidRPr="00976D1C">
          <w:rPr>
            <w:rStyle w:val="Hyperlink"/>
            <w:noProof/>
          </w:rPr>
          <w:t>Figure 7: Projected number of services per person, by age,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_Toc407634464 \h </w:instrText>
        </w:r>
        <w:r w:rsidR="00A04AD9" w:rsidRPr="00976D1C">
          <w:rPr>
            <w:noProof/>
            <w:webHidden/>
          </w:rPr>
        </w:r>
        <w:r w:rsidR="00A04AD9" w:rsidRPr="00976D1C">
          <w:rPr>
            <w:noProof/>
            <w:webHidden/>
          </w:rPr>
          <w:fldChar w:fldCharType="separate"/>
        </w:r>
        <w:r w:rsidR="00EC4213">
          <w:rPr>
            <w:noProof/>
            <w:webHidden/>
          </w:rPr>
          <w:t>28</w:t>
        </w:r>
        <w:r w:rsidR="00A04AD9" w:rsidRPr="00976D1C">
          <w:rPr>
            <w:noProof/>
            <w:webHidden/>
          </w:rPr>
          <w:fldChar w:fldCharType="end"/>
        </w:r>
      </w:hyperlink>
    </w:p>
    <w:p w14:paraId="2B3238E9"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5" w:history="1">
        <w:r w:rsidR="00A04AD9" w:rsidRPr="00976D1C">
          <w:rPr>
            <w:rStyle w:val="Hyperlink"/>
            <w:noProof/>
          </w:rPr>
          <w:t>Figure 8: Projected number of services per person, by IRSAD quintiles,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_Toc407634465 \h </w:instrText>
        </w:r>
        <w:r w:rsidR="00A04AD9" w:rsidRPr="00976D1C">
          <w:rPr>
            <w:noProof/>
            <w:webHidden/>
          </w:rPr>
        </w:r>
        <w:r w:rsidR="00A04AD9" w:rsidRPr="00976D1C">
          <w:rPr>
            <w:noProof/>
            <w:webHidden/>
          </w:rPr>
          <w:fldChar w:fldCharType="separate"/>
        </w:r>
        <w:r w:rsidR="00EC4213">
          <w:rPr>
            <w:noProof/>
            <w:webHidden/>
          </w:rPr>
          <w:t>30</w:t>
        </w:r>
        <w:r w:rsidR="00A04AD9" w:rsidRPr="00976D1C">
          <w:rPr>
            <w:noProof/>
            <w:webHidden/>
          </w:rPr>
          <w:fldChar w:fldCharType="end"/>
        </w:r>
      </w:hyperlink>
    </w:p>
    <w:p w14:paraId="40BDFFDC"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6" w:history="1">
        <w:r w:rsidR="00A04AD9" w:rsidRPr="00976D1C">
          <w:rPr>
            <w:rStyle w:val="Hyperlink"/>
            <w:noProof/>
          </w:rPr>
          <w:t>Figure 9: Projected number of services per population by remoteness areas,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_Toc407634466 \h </w:instrText>
        </w:r>
        <w:r w:rsidR="00A04AD9" w:rsidRPr="00976D1C">
          <w:rPr>
            <w:noProof/>
            <w:webHidden/>
          </w:rPr>
        </w:r>
        <w:r w:rsidR="00A04AD9" w:rsidRPr="00976D1C">
          <w:rPr>
            <w:noProof/>
            <w:webHidden/>
          </w:rPr>
          <w:fldChar w:fldCharType="separate"/>
        </w:r>
        <w:r w:rsidR="00EC4213">
          <w:rPr>
            <w:noProof/>
            <w:webHidden/>
          </w:rPr>
          <w:t>31</w:t>
        </w:r>
        <w:r w:rsidR="00A04AD9" w:rsidRPr="00976D1C">
          <w:rPr>
            <w:noProof/>
            <w:webHidden/>
          </w:rPr>
          <w:fldChar w:fldCharType="end"/>
        </w:r>
      </w:hyperlink>
    </w:p>
    <w:p w14:paraId="540D841F"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7" w:history="1">
        <w:r w:rsidR="00A04AD9" w:rsidRPr="00976D1C">
          <w:rPr>
            <w:rStyle w:val="Hyperlink"/>
            <w:noProof/>
          </w:rPr>
          <w:t>Figure 10: Oral health workforce, workforce supply and revised demand for those aged 65 years and over,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_Toc407634467 \h </w:instrText>
        </w:r>
        <w:r w:rsidR="00A04AD9" w:rsidRPr="00976D1C">
          <w:rPr>
            <w:noProof/>
            <w:webHidden/>
          </w:rPr>
        </w:r>
        <w:r w:rsidR="00A04AD9" w:rsidRPr="00976D1C">
          <w:rPr>
            <w:noProof/>
            <w:webHidden/>
          </w:rPr>
          <w:fldChar w:fldCharType="separate"/>
        </w:r>
        <w:r w:rsidR="00EC4213">
          <w:rPr>
            <w:noProof/>
            <w:webHidden/>
          </w:rPr>
          <w:t>34</w:t>
        </w:r>
        <w:r w:rsidR="00A04AD9" w:rsidRPr="00976D1C">
          <w:rPr>
            <w:noProof/>
            <w:webHidden/>
          </w:rPr>
          <w:fldChar w:fldCharType="end"/>
        </w:r>
      </w:hyperlink>
    </w:p>
    <w:p w14:paraId="25927400"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8" w:history="1">
        <w:r w:rsidR="00A04AD9" w:rsidRPr="00976D1C">
          <w:rPr>
            <w:rStyle w:val="Hyperlink"/>
            <w:noProof/>
          </w:rPr>
          <w:t>Figure 11: Oral health workforce, workforce supply and revised demand for low socioeconomic and at social disadvantage,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_Toc407634468 \h </w:instrText>
        </w:r>
        <w:r w:rsidR="00A04AD9" w:rsidRPr="00976D1C">
          <w:rPr>
            <w:noProof/>
            <w:webHidden/>
          </w:rPr>
        </w:r>
        <w:r w:rsidR="00A04AD9" w:rsidRPr="00976D1C">
          <w:rPr>
            <w:noProof/>
            <w:webHidden/>
          </w:rPr>
          <w:fldChar w:fldCharType="separate"/>
        </w:r>
        <w:r w:rsidR="00EC4213">
          <w:rPr>
            <w:noProof/>
            <w:webHidden/>
          </w:rPr>
          <w:t>34</w:t>
        </w:r>
        <w:r w:rsidR="00A04AD9" w:rsidRPr="00976D1C">
          <w:rPr>
            <w:noProof/>
            <w:webHidden/>
          </w:rPr>
          <w:fldChar w:fldCharType="end"/>
        </w:r>
      </w:hyperlink>
    </w:p>
    <w:p w14:paraId="7E78FC90"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69" w:history="1">
        <w:r w:rsidR="00A04AD9" w:rsidRPr="00976D1C">
          <w:rPr>
            <w:rStyle w:val="Hyperlink"/>
            <w:noProof/>
          </w:rPr>
          <w:t>Figure 12: Oral health workforce, workforce supply and revised demand by selected remoteness areas,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_Toc407634469 \h </w:instrText>
        </w:r>
        <w:r w:rsidR="00A04AD9" w:rsidRPr="00976D1C">
          <w:rPr>
            <w:noProof/>
            <w:webHidden/>
          </w:rPr>
        </w:r>
        <w:r w:rsidR="00A04AD9" w:rsidRPr="00976D1C">
          <w:rPr>
            <w:noProof/>
            <w:webHidden/>
          </w:rPr>
          <w:fldChar w:fldCharType="separate"/>
        </w:r>
        <w:r w:rsidR="00EC4213">
          <w:rPr>
            <w:noProof/>
            <w:webHidden/>
          </w:rPr>
          <w:t>35</w:t>
        </w:r>
        <w:r w:rsidR="00A04AD9" w:rsidRPr="00976D1C">
          <w:rPr>
            <w:noProof/>
            <w:webHidden/>
          </w:rPr>
          <w:fldChar w:fldCharType="end"/>
        </w:r>
      </w:hyperlink>
    </w:p>
    <w:p w14:paraId="027E14FB"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70" w:history="1">
        <w:r w:rsidR="00A04AD9" w:rsidRPr="00976D1C">
          <w:rPr>
            <w:rStyle w:val="Hyperlink"/>
            <w:noProof/>
          </w:rPr>
          <w:t>Figure 13: Oral health workforce, workforce supply and aggregate revised demand,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_Toc407634470 \h </w:instrText>
        </w:r>
        <w:r w:rsidR="00A04AD9" w:rsidRPr="00976D1C">
          <w:rPr>
            <w:noProof/>
            <w:webHidden/>
          </w:rPr>
        </w:r>
        <w:r w:rsidR="00A04AD9" w:rsidRPr="00976D1C">
          <w:rPr>
            <w:noProof/>
            <w:webHidden/>
          </w:rPr>
          <w:fldChar w:fldCharType="separate"/>
        </w:r>
        <w:r w:rsidR="00EC4213">
          <w:rPr>
            <w:noProof/>
            <w:webHidden/>
          </w:rPr>
          <w:t>36</w:t>
        </w:r>
        <w:r w:rsidR="00A04AD9" w:rsidRPr="00976D1C">
          <w:rPr>
            <w:noProof/>
            <w:webHidden/>
          </w:rPr>
          <w:fldChar w:fldCharType="end"/>
        </w:r>
      </w:hyperlink>
    </w:p>
    <w:p w14:paraId="39F78D9E"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71" w:history="1">
        <w:r w:rsidR="00A04AD9" w:rsidRPr="00976D1C">
          <w:rPr>
            <w:rStyle w:val="Hyperlink"/>
            <w:noProof/>
          </w:rPr>
          <w:t>Figure 14: Oral health workforce, workforce supply and incremental aggregate revised demand projections, 2012 to 2025</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_Toc407634471 \h </w:instrText>
        </w:r>
        <w:r w:rsidR="00A04AD9" w:rsidRPr="00976D1C">
          <w:rPr>
            <w:noProof/>
            <w:webHidden/>
          </w:rPr>
        </w:r>
        <w:r w:rsidR="00A04AD9" w:rsidRPr="00976D1C">
          <w:rPr>
            <w:noProof/>
            <w:webHidden/>
          </w:rPr>
          <w:fldChar w:fldCharType="separate"/>
        </w:r>
        <w:r w:rsidR="00EC4213">
          <w:rPr>
            <w:noProof/>
            <w:webHidden/>
          </w:rPr>
          <w:t>37</w:t>
        </w:r>
        <w:r w:rsidR="00A04AD9" w:rsidRPr="00976D1C">
          <w:rPr>
            <w:noProof/>
            <w:webHidden/>
          </w:rPr>
          <w:fldChar w:fldCharType="end"/>
        </w:r>
      </w:hyperlink>
    </w:p>
    <w:p w14:paraId="6900B539" w14:textId="77777777" w:rsidR="00A04AD9" w:rsidRPr="00976D1C" w:rsidRDefault="00D01168" w:rsidP="00EC4213">
      <w:pPr>
        <w:pStyle w:val="TableofFigures"/>
        <w:tabs>
          <w:tab w:val="right" w:leader="dot" w:pos="9016"/>
        </w:tabs>
        <w:rPr>
          <w:rFonts w:asciiTheme="minorHAnsi" w:eastAsiaTheme="minorEastAsia" w:hAnsiTheme="minorHAnsi" w:cstheme="minorBidi"/>
          <w:noProof/>
          <w:lang w:eastAsia="en-AU"/>
        </w:rPr>
      </w:pPr>
      <w:hyperlink w:anchor="_Toc407634472" w:history="1">
        <w:r w:rsidR="00A04AD9" w:rsidRPr="00976D1C">
          <w:rPr>
            <w:rStyle w:val="Hyperlink"/>
            <w:noProof/>
          </w:rPr>
          <w:t>Figure 15: Stock and flow process</w:t>
        </w:r>
        <w:r w:rsidR="00A04AD9" w:rsidRPr="00976D1C">
          <w:rPr>
            <w:noProof/>
            <w:webHidden/>
          </w:rPr>
          <w:tab/>
        </w:r>
        <w:r w:rsidR="00A04AD9" w:rsidRPr="00976D1C">
          <w:rPr>
            <w:noProof/>
            <w:webHidden/>
          </w:rPr>
          <w:fldChar w:fldCharType="begin"/>
        </w:r>
        <w:r w:rsidR="00A04AD9" w:rsidRPr="00976D1C">
          <w:rPr>
            <w:noProof/>
            <w:webHidden/>
          </w:rPr>
          <w:instrText xml:space="preserve"> PAGEREF _Toc407634472 \h </w:instrText>
        </w:r>
        <w:r w:rsidR="00A04AD9" w:rsidRPr="00976D1C">
          <w:rPr>
            <w:noProof/>
            <w:webHidden/>
          </w:rPr>
        </w:r>
        <w:r w:rsidR="00A04AD9" w:rsidRPr="00976D1C">
          <w:rPr>
            <w:noProof/>
            <w:webHidden/>
          </w:rPr>
          <w:fldChar w:fldCharType="separate"/>
        </w:r>
        <w:r w:rsidR="00EC4213">
          <w:rPr>
            <w:noProof/>
            <w:webHidden/>
          </w:rPr>
          <w:t>53</w:t>
        </w:r>
        <w:r w:rsidR="00A04AD9" w:rsidRPr="00976D1C">
          <w:rPr>
            <w:noProof/>
            <w:webHidden/>
          </w:rPr>
          <w:fldChar w:fldCharType="end"/>
        </w:r>
      </w:hyperlink>
    </w:p>
    <w:p w14:paraId="7811F4C6" w14:textId="77777777" w:rsidR="00A3210C" w:rsidRPr="00976D1C" w:rsidRDefault="007B4195" w:rsidP="00EC4213">
      <w:pPr>
        <w:sectPr w:rsidR="00A3210C" w:rsidRPr="00976D1C" w:rsidSect="00A3210C">
          <w:headerReference w:type="even" r:id="rId16"/>
          <w:headerReference w:type="default" r:id="rId17"/>
          <w:headerReference w:type="first" r:id="rId18"/>
          <w:endnotePr>
            <w:numFmt w:val="decimal"/>
          </w:endnotePr>
          <w:pgSz w:w="11906" w:h="16838"/>
          <w:pgMar w:top="1440" w:right="1440" w:bottom="1440" w:left="1440" w:header="708" w:footer="708" w:gutter="0"/>
          <w:pgBorders w:offsetFrom="page">
            <w:right w:val="single" w:sz="4" w:space="24" w:color="FFFFFF" w:themeColor="background1"/>
          </w:pgBorders>
          <w:pgNumType w:fmt="lowerRoman" w:start="1"/>
          <w:cols w:space="708"/>
          <w:docGrid w:linePitch="360"/>
        </w:sectPr>
      </w:pPr>
      <w:r w:rsidRPr="00976D1C">
        <w:fldChar w:fldCharType="end"/>
      </w:r>
    </w:p>
    <w:p w14:paraId="189D524F" w14:textId="77777777" w:rsidR="0069184E" w:rsidRPr="00976D1C" w:rsidRDefault="0069184E" w:rsidP="00EC4213">
      <w:pPr>
        <w:pStyle w:val="Heading1"/>
      </w:pPr>
      <w:bookmarkStart w:id="17" w:name="_Toc407634400"/>
      <w:bookmarkStart w:id="18" w:name="_Toc372795175"/>
      <w:bookmarkStart w:id="19" w:name="_Toc377045771"/>
      <w:r w:rsidRPr="00976D1C">
        <w:lastRenderedPageBreak/>
        <w:t>Preface</w:t>
      </w:r>
      <w:bookmarkEnd w:id="17"/>
    </w:p>
    <w:p w14:paraId="517A241C" w14:textId="666B5DD7" w:rsidR="0069184E" w:rsidRPr="00976D1C" w:rsidRDefault="0069184E" w:rsidP="0061771D">
      <w:pPr>
        <w:pStyle w:val="Heading2"/>
      </w:pPr>
      <w:bookmarkStart w:id="20" w:name="_Toc407634401"/>
      <w:r w:rsidRPr="00976D1C">
        <w:t>Australia’s Future Health Workforce – Oral health</w:t>
      </w:r>
      <w:bookmarkEnd w:id="20"/>
    </w:p>
    <w:p w14:paraId="55C815AB" w14:textId="70F1370B" w:rsidR="0069184E" w:rsidRPr="00976D1C" w:rsidRDefault="0069184E" w:rsidP="00EC4213">
      <w:pPr>
        <w:rPr>
          <w:rFonts w:cs="Century Gothic"/>
          <w:lang w:eastAsia="en-AU"/>
        </w:rPr>
      </w:pPr>
      <w:r w:rsidRPr="00976D1C">
        <w:t xml:space="preserve">Demand for </w:t>
      </w:r>
      <w:r w:rsidRPr="00976D1C">
        <w:rPr>
          <w:lang w:eastAsia="en-AU"/>
        </w:rPr>
        <w:t xml:space="preserve">oral </w:t>
      </w:r>
      <w:r w:rsidR="000F470E" w:rsidRPr="00976D1C">
        <w:rPr>
          <w:lang w:eastAsia="en-AU"/>
        </w:rPr>
        <w:t>health</w:t>
      </w:r>
      <w:r w:rsidRPr="00976D1C">
        <w:rPr>
          <w:lang w:eastAsia="en-AU"/>
        </w:rPr>
        <w:t>care services is expected to continue to grow in response to population growth, increased tooth retention into older age, greater awareness of the importance of oral health, and more advanced restorative procedures and technologies.</w:t>
      </w:r>
      <w:r w:rsidRPr="00A90656">
        <w:rPr>
          <w:rStyle w:val="EndnoteReference"/>
        </w:rPr>
        <w:endnoteReference w:id="1"/>
      </w:r>
      <w:r w:rsidRPr="00976D1C">
        <w:rPr>
          <w:rFonts w:cs="Century Gothic"/>
          <w:lang w:eastAsia="en-AU"/>
        </w:rPr>
        <w:t xml:space="preserve"> Recent federal funding can also be expected to have flow-on implications for the oral health workforce. </w:t>
      </w:r>
    </w:p>
    <w:p w14:paraId="77F4369B" w14:textId="142B32FC" w:rsidR="0069184E" w:rsidRPr="00976D1C" w:rsidRDefault="0069184E" w:rsidP="00EC4213">
      <w:pPr>
        <w:rPr>
          <w:lang w:eastAsia="en-AU"/>
        </w:rPr>
      </w:pPr>
      <w:r w:rsidRPr="00976D1C">
        <w:rPr>
          <w:lang w:eastAsia="en-AU"/>
        </w:rPr>
        <w:t>It is therefore timely for H</w:t>
      </w:r>
      <w:r w:rsidR="00D86906" w:rsidRPr="00976D1C">
        <w:rPr>
          <w:lang w:eastAsia="en-AU"/>
        </w:rPr>
        <w:t xml:space="preserve">ealth </w:t>
      </w:r>
      <w:r w:rsidRPr="00976D1C">
        <w:rPr>
          <w:lang w:eastAsia="en-AU"/>
        </w:rPr>
        <w:t>W</w:t>
      </w:r>
      <w:r w:rsidR="00D86906" w:rsidRPr="00976D1C">
        <w:rPr>
          <w:lang w:eastAsia="en-AU"/>
        </w:rPr>
        <w:t xml:space="preserve">orkforce </w:t>
      </w:r>
      <w:r w:rsidRPr="00976D1C">
        <w:rPr>
          <w:lang w:eastAsia="en-AU"/>
        </w:rPr>
        <w:t>A</w:t>
      </w:r>
      <w:r w:rsidR="00D86906" w:rsidRPr="00976D1C">
        <w:rPr>
          <w:lang w:eastAsia="en-AU"/>
        </w:rPr>
        <w:t>ustralia (HWA)</w:t>
      </w:r>
      <w:r w:rsidRPr="00976D1C">
        <w:rPr>
          <w:lang w:eastAsia="en-AU"/>
        </w:rPr>
        <w:t xml:space="preserve"> to examine the oral health workforce, with a focus on workforce planning projections. In particular, this work will complement the </w:t>
      </w:r>
      <w:r w:rsidRPr="00976D1C">
        <w:rPr>
          <w:i/>
          <w:lang w:eastAsia="en-AU"/>
        </w:rPr>
        <w:t>National Oral Health Plan 2014-2023</w:t>
      </w:r>
      <w:r w:rsidRPr="00976D1C">
        <w:rPr>
          <w:lang w:eastAsia="en-AU"/>
        </w:rPr>
        <w:t xml:space="preserve">, providing a strong evidence-base for recommendations made on the oral health workforce. </w:t>
      </w:r>
    </w:p>
    <w:p w14:paraId="6EDFD151" w14:textId="2F39D658" w:rsidR="0069184E" w:rsidRPr="00976D1C" w:rsidRDefault="0069184E" w:rsidP="00EC4213">
      <w:r w:rsidRPr="00976D1C">
        <w:t>A</w:t>
      </w:r>
      <w:r w:rsidR="00B13FEE" w:rsidRPr="00976D1C">
        <w:t xml:space="preserve">ustralia’s </w:t>
      </w:r>
      <w:r w:rsidRPr="00976D1C">
        <w:t>F</w:t>
      </w:r>
      <w:r w:rsidR="00B13FEE" w:rsidRPr="00976D1C">
        <w:t xml:space="preserve">uture Health Workforce </w:t>
      </w:r>
      <w:r w:rsidRPr="00976D1C">
        <w:t>– Oral Health</w:t>
      </w:r>
      <w:r w:rsidR="00B13FEE" w:rsidRPr="00976D1C">
        <w:t xml:space="preserve"> (AFHW – Oral Health)</w:t>
      </w:r>
      <w:r w:rsidRPr="00976D1C">
        <w:t xml:space="preserve"> provides the results of the oral health workforce planning projections conducted by HWA. It is presented in two publications. </w:t>
      </w:r>
    </w:p>
    <w:p w14:paraId="1B6DF7C1" w14:textId="3215A7BF" w:rsidR="0069184E" w:rsidRPr="00976D1C" w:rsidRDefault="0069184E" w:rsidP="00EC4213">
      <w:pPr>
        <w:pStyle w:val="ListParagraph"/>
        <w:numPr>
          <w:ilvl w:val="0"/>
          <w:numId w:val="27"/>
        </w:numPr>
        <w:rPr>
          <w:rFonts w:eastAsia="Calibri"/>
        </w:rPr>
      </w:pPr>
      <w:r w:rsidRPr="00976D1C">
        <w:rPr>
          <w:rFonts w:eastAsia="Calibri"/>
          <w:b/>
        </w:rPr>
        <w:t>AFHW – Oral Health – Overview</w:t>
      </w:r>
      <w:r w:rsidRPr="00976D1C">
        <w:rPr>
          <w:rFonts w:eastAsia="Calibri"/>
        </w:rPr>
        <w:t xml:space="preserve">. This publication presents HWA’s workforce planning projections for the total oral health workforce, along with a brief description of Australia’s oral health services and demand for those services, particularly among specific population groups (children, older people, low income and socially disadvantaged people, people with special needs, Aboriginal and Torres Strait Islander people, and people living in rural and remote areas). </w:t>
      </w:r>
    </w:p>
    <w:p w14:paraId="64C66D2B" w14:textId="03470C8F" w:rsidR="0069184E" w:rsidRPr="00976D1C" w:rsidRDefault="0069184E" w:rsidP="00EC4213">
      <w:pPr>
        <w:pStyle w:val="ListParagraph"/>
        <w:numPr>
          <w:ilvl w:val="0"/>
          <w:numId w:val="27"/>
        </w:numPr>
        <w:rPr>
          <w:rFonts w:eastAsia="Calibri"/>
          <w:szCs w:val="20"/>
        </w:rPr>
      </w:pPr>
      <w:r w:rsidRPr="00976D1C">
        <w:rPr>
          <w:rFonts w:eastAsia="Calibri"/>
          <w:b/>
        </w:rPr>
        <w:t>AFHW – Oral Health – Detailed</w:t>
      </w:r>
      <w:r w:rsidRPr="00976D1C">
        <w:rPr>
          <w:rFonts w:eastAsia="Calibri"/>
        </w:rPr>
        <w:t xml:space="preserve">. This publication supports the overview, and </w:t>
      </w:r>
      <w:r w:rsidRPr="00976D1C">
        <w:rPr>
          <w:rFonts w:eastAsia="Calibri"/>
          <w:szCs w:val="20"/>
        </w:rPr>
        <w:t xml:space="preserve">provides: </w:t>
      </w:r>
    </w:p>
    <w:p w14:paraId="2B570475" w14:textId="3DAC50D0" w:rsidR="0069184E" w:rsidRPr="00976D1C" w:rsidRDefault="00D86906" w:rsidP="00EC4213">
      <w:pPr>
        <w:pStyle w:val="ListParagraph"/>
        <w:numPr>
          <w:ilvl w:val="1"/>
          <w:numId w:val="26"/>
        </w:numPr>
        <w:rPr>
          <w:rFonts w:eastAsia="Calibri"/>
        </w:rPr>
      </w:pPr>
      <w:r w:rsidRPr="00976D1C">
        <w:rPr>
          <w:rFonts w:eastAsia="Calibri"/>
        </w:rPr>
        <w:t>I</w:t>
      </w:r>
      <w:r w:rsidR="0069184E" w:rsidRPr="00976D1C">
        <w:rPr>
          <w:rFonts w:eastAsia="Calibri"/>
        </w:rPr>
        <w:t>nformation on the methodology used to generate the workforce projections for individual oral health workforces</w:t>
      </w:r>
      <w:r w:rsidRPr="00976D1C">
        <w:rPr>
          <w:rFonts w:eastAsia="Calibri"/>
        </w:rPr>
        <w:t>.</w:t>
      </w:r>
      <w:r w:rsidR="0069184E" w:rsidRPr="00976D1C">
        <w:rPr>
          <w:rFonts w:eastAsia="Calibri"/>
        </w:rPr>
        <w:t xml:space="preserve"> </w:t>
      </w:r>
    </w:p>
    <w:p w14:paraId="4452BD51" w14:textId="048EDD46" w:rsidR="0069184E" w:rsidRPr="00976D1C" w:rsidRDefault="00D86906" w:rsidP="00EC4213">
      <w:pPr>
        <w:pStyle w:val="ListParagraph"/>
        <w:numPr>
          <w:ilvl w:val="1"/>
          <w:numId w:val="26"/>
        </w:numPr>
        <w:rPr>
          <w:rFonts w:eastAsia="Calibri"/>
        </w:rPr>
      </w:pPr>
      <w:r w:rsidRPr="00976D1C">
        <w:rPr>
          <w:rFonts w:eastAsia="Calibri"/>
        </w:rPr>
        <w:t>W</w:t>
      </w:r>
      <w:r w:rsidR="0069184E" w:rsidRPr="00976D1C">
        <w:rPr>
          <w:rFonts w:eastAsia="Calibri"/>
        </w:rPr>
        <w:t>orkforce planning projection results for dentists, oral health practitioners (comprised of dental hygienists, dental therapists and oral health therapists) and dental prosthetists</w:t>
      </w:r>
      <w:r w:rsidRPr="00976D1C">
        <w:rPr>
          <w:rFonts w:eastAsia="Calibri"/>
        </w:rPr>
        <w:t>.</w:t>
      </w:r>
    </w:p>
    <w:p w14:paraId="3535AAD6" w14:textId="55E23600" w:rsidR="0069184E" w:rsidRPr="00976D1C" w:rsidRDefault="00D86906" w:rsidP="00EC4213">
      <w:pPr>
        <w:pStyle w:val="ListParagraph"/>
        <w:numPr>
          <w:ilvl w:val="1"/>
          <w:numId w:val="26"/>
        </w:numPr>
        <w:rPr>
          <w:rFonts w:eastAsia="Calibri"/>
        </w:rPr>
      </w:pPr>
      <w:r w:rsidRPr="00976D1C">
        <w:rPr>
          <w:rFonts w:eastAsia="Calibri"/>
        </w:rPr>
        <w:t>W</w:t>
      </w:r>
      <w:r w:rsidR="0069184E" w:rsidRPr="00976D1C">
        <w:rPr>
          <w:rFonts w:eastAsia="Calibri"/>
        </w:rPr>
        <w:t xml:space="preserve">orkforce profiles for each oral health workforce, including a brief overview of their role and training pathway, presentation of information describing the number and characteristics of the existing workforce, a summary of issues expected to impact supply and/or demand for the workforce, and an assessment of existing workforce position (whether workforce supply matches demand for services or not). </w:t>
      </w:r>
    </w:p>
    <w:p w14:paraId="790E28B2" w14:textId="2F3C2E59" w:rsidR="00E73B6F" w:rsidRPr="00976D1C" w:rsidRDefault="00E73B6F" w:rsidP="00EC4213">
      <w:pPr>
        <w:pStyle w:val="Heading1"/>
      </w:pPr>
      <w:bookmarkStart w:id="21" w:name="_Toc407634402"/>
      <w:r w:rsidRPr="00976D1C">
        <w:lastRenderedPageBreak/>
        <w:t>Summary</w:t>
      </w:r>
      <w:bookmarkEnd w:id="21"/>
    </w:p>
    <w:p w14:paraId="32CAE593" w14:textId="19E1A8E6" w:rsidR="00E73B6F" w:rsidRPr="00976D1C" w:rsidRDefault="00E73B6F" w:rsidP="00EC4213">
      <w:pPr>
        <w:rPr>
          <w:lang w:eastAsia="en-AU"/>
        </w:rPr>
      </w:pPr>
      <w:r w:rsidRPr="00976D1C">
        <w:rPr>
          <w:lang w:eastAsia="en-AU"/>
        </w:rPr>
        <w:t xml:space="preserve">Workforce planning projections conducted by HWA, and based on current utilisation patterns, indicate that extra capacity exists within </w:t>
      </w:r>
      <w:r w:rsidR="002D7F16" w:rsidRPr="00976D1C">
        <w:rPr>
          <w:lang w:eastAsia="en-AU"/>
        </w:rPr>
        <w:t xml:space="preserve">the </w:t>
      </w:r>
      <w:r w:rsidRPr="00976D1C">
        <w:rPr>
          <w:lang w:eastAsia="en-AU"/>
        </w:rPr>
        <w:t xml:space="preserve">oral health workforce.  </w:t>
      </w:r>
    </w:p>
    <w:p w14:paraId="28E73015" w14:textId="0CD7E98D" w:rsidR="006A7FA4" w:rsidRPr="00976D1C" w:rsidRDefault="006A7FA4" w:rsidP="00EC4213">
      <w:pPr>
        <w:rPr>
          <w:lang w:eastAsia="en-AU"/>
        </w:rPr>
      </w:pPr>
      <w:r w:rsidRPr="00976D1C">
        <w:rPr>
          <w:lang w:eastAsia="en-AU"/>
        </w:rPr>
        <w:t>However a particular problem in assessing the balance between workforce supply and service demand in the dental sector is assessing the underlying level of demand.</w:t>
      </w:r>
    </w:p>
    <w:p w14:paraId="6BA0618E" w14:textId="66F52AD7" w:rsidR="006A7FA4" w:rsidRPr="00976D1C" w:rsidRDefault="006A7FA4" w:rsidP="00EC4213">
      <w:pPr>
        <w:rPr>
          <w:lang w:eastAsia="en-AU"/>
        </w:rPr>
      </w:pPr>
      <w:r w:rsidRPr="00976D1C">
        <w:rPr>
          <w:lang w:eastAsia="en-AU"/>
        </w:rPr>
        <w:t xml:space="preserve">Australia's broader health system is underpinned by universal access to public hospitals and Medicare funded services.  While there are some problems with access to medical services in some </w:t>
      </w:r>
      <w:r w:rsidR="00CA73D5" w:rsidRPr="00976D1C">
        <w:rPr>
          <w:lang w:eastAsia="en-AU"/>
        </w:rPr>
        <w:t xml:space="preserve">geographical </w:t>
      </w:r>
      <w:r w:rsidRPr="00976D1C">
        <w:rPr>
          <w:lang w:eastAsia="en-AU"/>
        </w:rPr>
        <w:t xml:space="preserve">areas, it is reasonable to assume that the level provided is close to the level of demand, and this assumption can underpin estimates of demand for medical services and the workforce supply.  By contrast, dental care is largely privately based and funded principally by individuals and to a lesser extent, private health insurance funds and government.  </w:t>
      </w:r>
    </w:p>
    <w:p w14:paraId="550E06FD" w14:textId="63FC6CF4" w:rsidR="006A7FA4" w:rsidRPr="00976D1C" w:rsidRDefault="006A7FA4" w:rsidP="00EC4213">
      <w:pPr>
        <w:rPr>
          <w:lang w:eastAsia="en-AU"/>
        </w:rPr>
      </w:pPr>
      <w:r w:rsidRPr="00976D1C">
        <w:rPr>
          <w:lang w:eastAsia="en-AU"/>
        </w:rPr>
        <w:t>Many people who are unable to access private dental care largely rely on the public system, although some low income earners without concession cards will be ineligible for these services.  The Report of the National Advisory Council on Dental Health highlighted the significant barriers for public patients where limited funding constrained access and led to significant waiting times for general treatment.  These long waiting times may discourage some people from seeking care, with the result that they do not appear on waiting lists.  As a result</w:t>
      </w:r>
      <w:r w:rsidR="00FE3ECD" w:rsidRPr="00976D1C">
        <w:rPr>
          <w:lang w:eastAsia="en-AU"/>
        </w:rPr>
        <w:t>,</w:t>
      </w:r>
      <w:r w:rsidRPr="00976D1C">
        <w:rPr>
          <w:lang w:eastAsia="en-AU"/>
        </w:rPr>
        <w:t xml:space="preserve"> it is not valid to assume that workforce supply and underlying demand for services are currently in equilibrium. </w:t>
      </w:r>
    </w:p>
    <w:p w14:paraId="26332AEE" w14:textId="49189A37" w:rsidR="006A7FA4" w:rsidRPr="00976D1C" w:rsidRDefault="006A7FA4" w:rsidP="00EC4213">
      <w:pPr>
        <w:rPr>
          <w:lang w:eastAsia="en-AU"/>
        </w:rPr>
      </w:pPr>
      <w:r w:rsidRPr="00976D1C">
        <w:rPr>
          <w:lang w:eastAsia="en-AU"/>
        </w:rPr>
        <w:t>Research from the AIHW provides some insight into the potential level of unmet demand. Low income households are more likely to avoid dental care due to cost, have poor visiting patterns and access care less often than high income households.  Survey results for different age groups show that between 20 and 37 per cent of people (depending on age) avoided or delayed dental care due to cost</w:t>
      </w:r>
      <w:r w:rsidR="00056045" w:rsidRPr="00976D1C">
        <w:endnoteReference w:id="2"/>
      </w:r>
      <w:r w:rsidRPr="00976D1C">
        <w:rPr>
          <w:lang w:eastAsia="en-AU"/>
        </w:rPr>
        <w:t xml:space="preserve">.  </w:t>
      </w:r>
    </w:p>
    <w:p w14:paraId="46706CD2" w14:textId="15AB63FD" w:rsidR="006A7FA4" w:rsidRPr="00976D1C" w:rsidRDefault="006A7FA4" w:rsidP="00EC4213">
      <w:pPr>
        <w:rPr>
          <w:lang w:eastAsia="en-AU"/>
        </w:rPr>
      </w:pPr>
      <w:r w:rsidRPr="00976D1C">
        <w:rPr>
          <w:lang w:eastAsia="en-AU"/>
        </w:rPr>
        <w:t>Some 11.9 per cent of people aged 15 years and over (or over 2.1 million people) had not visited a dental practitioner in the last 2 years, and a further 8.2 per cent (estimated at around 1.5 million people) had not made a visit to a dental practitioner in the last 5 years</w:t>
      </w:r>
      <w:r w:rsidR="00056045" w:rsidRPr="00976D1C">
        <w:endnoteReference w:id="3"/>
      </w:r>
      <w:r w:rsidRPr="00976D1C">
        <w:rPr>
          <w:lang w:eastAsia="en-AU"/>
        </w:rPr>
        <w:t>.  In other words, almost one fifth of adults visit a dentist less often than necessary for optimum dental care.</w:t>
      </w:r>
    </w:p>
    <w:p w14:paraId="2CD5F8B1" w14:textId="75209EDF" w:rsidR="00E73B6F" w:rsidRPr="00976D1C" w:rsidRDefault="00FE3ECD" w:rsidP="00EC4213">
      <w:pPr>
        <w:rPr>
          <w:lang w:eastAsia="en-AU"/>
        </w:rPr>
      </w:pPr>
      <w:r w:rsidRPr="00976D1C">
        <w:rPr>
          <w:lang w:eastAsia="en-AU"/>
        </w:rPr>
        <w:t>In addition, there is a maldistribution of dentists</w:t>
      </w:r>
      <w:r w:rsidR="00CA73D5" w:rsidRPr="00976D1C">
        <w:rPr>
          <w:lang w:eastAsia="en-AU"/>
        </w:rPr>
        <w:t xml:space="preserve"> across geographical areas,</w:t>
      </w:r>
      <w:r w:rsidRPr="00976D1C">
        <w:rPr>
          <w:lang w:eastAsia="en-AU"/>
        </w:rPr>
        <w:t xml:space="preserve"> with most dentists employed in Major </w:t>
      </w:r>
      <w:r w:rsidR="006C755C" w:rsidRPr="00976D1C">
        <w:rPr>
          <w:lang w:eastAsia="en-AU"/>
        </w:rPr>
        <w:t>Cities</w:t>
      </w:r>
      <w:r w:rsidRPr="00976D1C">
        <w:rPr>
          <w:lang w:eastAsia="en-AU"/>
        </w:rPr>
        <w:t xml:space="preserve"> (79.7% of all employed dentists), while only 0.9% were </w:t>
      </w:r>
      <w:r w:rsidR="00CA73D5" w:rsidRPr="00976D1C">
        <w:rPr>
          <w:lang w:eastAsia="en-AU"/>
        </w:rPr>
        <w:t xml:space="preserve">employed </w:t>
      </w:r>
      <w:r w:rsidRPr="00976D1C">
        <w:rPr>
          <w:lang w:eastAsia="en-AU"/>
        </w:rPr>
        <w:t>in Remote/Very remote areas</w:t>
      </w:r>
      <w:r w:rsidR="00056045" w:rsidRPr="00976D1C">
        <w:rPr>
          <w:lang w:eastAsia="en-AU"/>
        </w:rPr>
        <w:endnoteReference w:id="4"/>
      </w:r>
      <w:r w:rsidR="00CA73D5" w:rsidRPr="00976D1C">
        <w:rPr>
          <w:lang w:eastAsia="en-AU"/>
        </w:rPr>
        <w:t xml:space="preserve">.  </w:t>
      </w:r>
    </w:p>
    <w:p w14:paraId="2582E4AA" w14:textId="3FD2A19D" w:rsidR="00CA73D5" w:rsidRPr="00976D1C" w:rsidRDefault="00CA73D5" w:rsidP="00EC4213">
      <w:pPr>
        <w:rPr>
          <w:lang w:eastAsia="en-AU"/>
        </w:rPr>
      </w:pPr>
      <w:r w:rsidRPr="00976D1C">
        <w:rPr>
          <w:lang w:eastAsia="en-AU"/>
        </w:rPr>
        <w:t xml:space="preserve">It is therefore important to note that where the report refers to a “supply in excess of demand” it is a reference to supply exceeding the current demand, not </w:t>
      </w:r>
      <w:r w:rsidR="00FE0963" w:rsidRPr="00976D1C">
        <w:rPr>
          <w:lang w:eastAsia="en-AU"/>
        </w:rPr>
        <w:t>unmet</w:t>
      </w:r>
      <w:r w:rsidRPr="00976D1C">
        <w:rPr>
          <w:lang w:eastAsia="en-AU"/>
        </w:rPr>
        <w:t xml:space="preserve"> demand.</w:t>
      </w:r>
    </w:p>
    <w:p w14:paraId="23B4A66A" w14:textId="4968ECBE" w:rsidR="00615CCD" w:rsidRPr="00976D1C" w:rsidRDefault="00E34264" w:rsidP="00EC4213">
      <w:pPr>
        <w:pStyle w:val="Heading1"/>
      </w:pPr>
      <w:bookmarkStart w:id="22" w:name="_Toc407634403"/>
      <w:r w:rsidRPr="00976D1C">
        <w:lastRenderedPageBreak/>
        <w:t>Key points</w:t>
      </w:r>
      <w:r w:rsidR="00FE0963" w:rsidRPr="00976D1C">
        <w:t xml:space="preserve"> of the Report</w:t>
      </w:r>
      <w:bookmarkEnd w:id="22"/>
    </w:p>
    <w:p w14:paraId="77AE2999" w14:textId="4199A53C" w:rsidR="00E34264" w:rsidRPr="00976D1C" w:rsidRDefault="00091BB7" w:rsidP="00EC4213">
      <w:pPr>
        <w:pStyle w:val="ListParagraph"/>
        <w:numPr>
          <w:ilvl w:val="0"/>
          <w:numId w:val="28"/>
        </w:numPr>
      </w:pPr>
      <w:r w:rsidRPr="00976D1C">
        <w:t xml:space="preserve">Good oral health </w:t>
      </w:r>
      <w:r w:rsidR="00D27EE3" w:rsidRPr="00976D1C">
        <w:t>is an integral part of good general health, and is essential in being able to participate in daily activities without limitation.</w:t>
      </w:r>
    </w:p>
    <w:p w14:paraId="5C11DAAC" w14:textId="77777777" w:rsidR="00D27EE3" w:rsidRPr="00976D1C" w:rsidRDefault="00D27EE3" w:rsidP="00EC4213">
      <w:pPr>
        <w:pStyle w:val="ListParagraph"/>
        <w:numPr>
          <w:ilvl w:val="0"/>
          <w:numId w:val="28"/>
        </w:numPr>
      </w:pPr>
      <w:r w:rsidRPr="00976D1C">
        <w:t>States and territories provide most public dental services, however private practitioners provide most dental services in Australia.</w:t>
      </w:r>
    </w:p>
    <w:p w14:paraId="6E0C02B4" w14:textId="40CCFF8C" w:rsidR="00D27EE3" w:rsidRPr="00976D1C" w:rsidRDefault="00D27EE3" w:rsidP="00EC4213">
      <w:pPr>
        <w:pStyle w:val="ListParagraph"/>
        <w:numPr>
          <w:ilvl w:val="0"/>
          <w:numId w:val="28"/>
        </w:numPr>
      </w:pPr>
      <w:r w:rsidRPr="00976D1C">
        <w:t xml:space="preserve">The private sector is the only place non-concession card holding adults, and those ineligible for other Commonwealth </w:t>
      </w:r>
      <w:r w:rsidR="00DA310F" w:rsidRPr="00976D1C">
        <w:t>programme</w:t>
      </w:r>
      <w:r w:rsidRPr="00976D1C">
        <w:t>s can access dental care; and these services need to be funded by individuals and families.</w:t>
      </w:r>
    </w:p>
    <w:p w14:paraId="3EC0D4DD" w14:textId="6E4776E1" w:rsidR="00791584" w:rsidRPr="00976D1C" w:rsidRDefault="00D86906" w:rsidP="00EC4213">
      <w:pPr>
        <w:pStyle w:val="ListParagraph"/>
        <w:numPr>
          <w:ilvl w:val="0"/>
          <w:numId w:val="28"/>
        </w:numPr>
      </w:pPr>
      <w:r w:rsidRPr="00976D1C">
        <w:t>Demand for oral health</w:t>
      </w:r>
      <w:r w:rsidR="00D27EE3" w:rsidRPr="00976D1C">
        <w:t>care services is expected to grow</w:t>
      </w:r>
      <w:r w:rsidR="00393588" w:rsidRPr="00976D1C">
        <w:t xml:space="preserve"> for reasons including </w:t>
      </w:r>
      <w:r w:rsidR="00D27EE3" w:rsidRPr="00976D1C">
        <w:t xml:space="preserve">population growth, </w:t>
      </w:r>
      <w:r w:rsidR="00393588" w:rsidRPr="00976D1C">
        <w:t>an ageing population, increased tooth retention, consumer expectations and changing dental service offerings.</w:t>
      </w:r>
    </w:p>
    <w:p w14:paraId="15F38F89" w14:textId="195AC2F7" w:rsidR="00393588" w:rsidRPr="00976D1C" w:rsidRDefault="00572328" w:rsidP="00EC4213">
      <w:pPr>
        <w:pStyle w:val="ListParagraph"/>
        <w:numPr>
          <w:ilvl w:val="0"/>
          <w:numId w:val="28"/>
        </w:numPr>
      </w:pPr>
      <w:r w:rsidRPr="00976D1C">
        <w:t>Seven</w:t>
      </w:r>
      <w:r w:rsidR="00393588" w:rsidRPr="00976D1C">
        <w:t xml:space="preserve"> alternative </w:t>
      </w:r>
      <w:r w:rsidR="00B42757" w:rsidRPr="00976D1C">
        <w:t xml:space="preserve">workforce planning projection </w:t>
      </w:r>
      <w:r w:rsidR="00393588" w:rsidRPr="00976D1C">
        <w:t>scenarios were</w:t>
      </w:r>
      <w:r w:rsidR="00B42757" w:rsidRPr="00976D1C">
        <w:t xml:space="preserve"> developed, examining changes in demand, immigration, the number of graduates, productivity, an existing workforce</w:t>
      </w:r>
      <w:r w:rsidR="00B31E59" w:rsidRPr="00976D1C">
        <w:t xml:space="preserve"> supply in excess of demand, and existing workf</w:t>
      </w:r>
      <w:r w:rsidR="00496730" w:rsidRPr="00976D1C">
        <w:t>orce demand in excess of supply</w:t>
      </w:r>
      <w:r w:rsidR="00B42757" w:rsidRPr="00976D1C">
        <w:t xml:space="preserve">. All scenarios </w:t>
      </w:r>
      <w:r w:rsidR="00393588" w:rsidRPr="00976D1C">
        <w:t xml:space="preserve">presented the same result – that across the projection period the supply of the oral health workforce is projected to exceed demand. </w:t>
      </w:r>
    </w:p>
    <w:p w14:paraId="562BC9BC" w14:textId="1ACC27B1" w:rsidR="00393588" w:rsidRPr="00976D1C" w:rsidRDefault="00CF7382" w:rsidP="00EC4213">
      <w:pPr>
        <w:pStyle w:val="ListParagraph"/>
        <w:numPr>
          <w:ilvl w:val="0"/>
          <w:numId w:val="28"/>
        </w:numPr>
      </w:pPr>
      <w:r w:rsidRPr="00976D1C">
        <w:t>Difference</w:t>
      </w:r>
      <w:r w:rsidR="00393588" w:rsidRPr="00976D1C">
        <w:t>s exist in a</w:t>
      </w:r>
      <w:r w:rsidR="0069184E" w:rsidRPr="00976D1C">
        <w:t>ccess to oral health services. Certain pop</w:t>
      </w:r>
      <w:r w:rsidR="00393588" w:rsidRPr="00976D1C">
        <w:t>ulations</w:t>
      </w:r>
      <w:r w:rsidR="0069184E" w:rsidRPr="00976D1C">
        <w:t xml:space="preserve"> were</w:t>
      </w:r>
      <w:r w:rsidR="00393588" w:rsidRPr="00976D1C">
        <w:t xml:space="preserve"> </w:t>
      </w:r>
      <w:r w:rsidR="0022623F" w:rsidRPr="00976D1C">
        <w:t xml:space="preserve">identified for </w:t>
      </w:r>
      <w:r w:rsidR="00393588" w:rsidRPr="00976D1C">
        <w:t xml:space="preserve">specific action in the </w:t>
      </w:r>
      <w:r w:rsidR="00393588" w:rsidRPr="00976D1C">
        <w:rPr>
          <w:i/>
        </w:rPr>
        <w:t>National Oral Health Plan 2004 – 2013</w:t>
      </w:r>
      <w:r w:rsidR="0069184E" w:rsidRPr="00976D1C">
        <w:rPr>
          <w:i/>
        </w:rPr>
        <w:t xml:space="preserve">. </w:t>
      </w:r>
      <w:r w:rsidR="0069184E" w:rsidRPr="00976D1C">
        <w:t xml:space="preserve">These </w:t>
      </w:r>
      <w:r w:rsidR="00393588" w:rsidRPr="00976D1C">
        <w:t>were children and adolescents, older people, low income and socia</w:t>
      </w:r>
      <w:r w:rsidR="00C30AB3" w:rsidRPr="00976D1C">
        <w:t>l</w:t>
      </w:r>
      <w:r w:rsidR="00393588" w:rsidRPr="00976D1C">
        <w:t>l</w:t>
      </w:r>
      <w:r w:rsidR="00C30AB3" w:rsidRPr="00976D1C">
        <w:t>y</w:t>
      </w:r>
      <w:r w:rsidR="00393588" w:rsidRPr="00976D1C">
        <w:t xml:space="preserve"> disadvantage</w:t>
      </w:r>
      <w:r w:rsidR="00C30AB3" w:rsidRPr="00976D1C">
        <w:t>d people</w:t>
      </w:r>
      <w:r w:rsidR="00393588" w:rsidRPr="00976D1C">
        <w:t xml:space="preserve">, people with special needs, Aboriginal and Torres Strait Islander people, </w:t>
      </w:r>
      <w:r w:rsidR="00C30AB3" w:rsidRPr="00976D1C">
        <w:t xml:space="preserve">and </w:t>
      </w:r>
      <w:r w:rsidR="00393588" w:rsidRPr="00976D1C">
        <w:t xml:space="preserve">people living in rural and remote areas. </w:t>
      </w:r>
    </w:p>
    <w:p w14:paraId="6E2DBAA8" w14:textId="22FD2A39" w:rsidR="00791584" w:rsidRPr="00976D1C" w:rsidRDefault="00BA5A2E" w:rsidP="00EC4213">
      <w:pPr>
        <w:pStyle w:val="ListParagraph"/>
        <w:numPr>
          <w:ilvl w:val="0"/>
          <w:numId w:val="28"/>
        </w:numPr>
      </w:pPr>
      <w:r w:rsidRPr="00976D1C">
        <w:t>Linkages exist between oral health and dental visiting patterns</w:t>
      </w:r>
      <w:r w:rsidR="00572328" w:rsidRPr="00976D1C">
        <w:t>, with adults who usually made a dental visit at least once a year having fewer missing teeth on average than those who visit less frequently, and i</w:t>
      </w:r>
      <w:r w:rsidR="00572328" w:rsidRPr="00976D1C">
        <w:rPr>
          <w:lang w:eastAsia="en-AU"/>
        </w:rPr>
        <w:t>ndividuals who visit regularly more likely to report that their oral health has a positive effect on their quality of life</w:t>
      </w:r>
      <w:r w:rsidRPr="00976D1C">
        <w:t xml:space="preserve">. </w:t>
      </w:r>
    </w:p>
    <w:p w14:paraId="69A9A34D" w14:textId="6722CBC1" w:rsidR="008F072B" w:rsidRPr="00976D1C" w:rsidRDefault="008F072B" w:rsidP="00EC4213">
      <w:pPr>
        <w:pStyle w:val="ListParagraph"/>
        <w:numPr>
          <w:ilvl w:val="0"/>
          <w:numId w:val="28"/>
        </w:numPr>
      </w:pPr>
      <w:r w:rsidRPr="00976D1C">
        <w:t>It can be assumed if the number of oral health services accessed by those ide</w:t>
      </w:r>
      <w:r w:rsidR="00B20F77" w:rsidRPr="00976D1C">
        <w:t>ntified populations increased, this would result</w:t>
      </w:r>
      <w:r w:rsidRPr="00976D1C">
        <w:t xml:space="preserve"> in improved oral health.</w:t>
      </w:r>
    </w:p>
    <w:p w14:paraId="2451E362" w14:textId="531999EC" w:rsidR="00791584" w:rsidRPr="00976D1C" w:rsidRDefault="00B42757" w:rsidP="00EC4213">
      <w:pPr>
        <w:pStyle w:val="ListParagraph"/>
        <w:numPr>
          <w:ilvl w:val="0"/>
          <w:numId w:val="28"/>
        </w:numPr>
      </w:pPr>
      <w:r w:rsidRPr="00976D1C">
        <w:t xml:space="preserve">Workforce planning </w:t>
      </w:r>
      <w:r w:rsidR="00791584" w:rsidRPr="00976D1C">
        <w:t xml:space="preserve">analysis, where expressed demand levels were increased </w:t>
      </w:r>
      <w:r w:rsidR="00B20F77" w:rsidRPr="00976D1C">
        <w:t xml:space="preserve">by an arbitrary amount (to reflect potential existing unmet need) </w:t>
      </w:r>
      <w:r w:rsidR="00791584" w:rsidRPr="00976D1C">
        <w:t>for the populations of interest, still results in the supply of the oral health workforce exceeding demand.</w:t>
      </w:r>
    </w:p>
    <w:p w14:paraId="68E70DAE" w14:textId="65193D18" w:rsidR="00393588" w:rsidRPr="00976D1C" w:rsidRDefault="00791584" w:rsidP="00EC4213">
      <w:pPr>
        <w:pStyle w:val="ListParagraph"/>
        <w:numPr>
          <w:ilvl w:val="0"/>
          <w:numId w:val="28"/>
        </w:numPr>
      </w:pPr>
      <w:r w:rsidRPr="00976D1C">
        <w:t xml:space="preserve">This analysis indicates there is scope to effect change and support better oral health outcomes for populations of interest, </w:t>
      </w:r>
      <w:r w:rsidR="00CE235B" w:rsidRPr="00976D1C">
        <w:t>within the scope of the projected new entrants to the workforce (</w:t>
      </w:r>
      <w:r w:rsidRPr="00976D1C">
        <w:t>through domestic education or immigration).</w:t>
      </w:r>
      <w:r w:rsidR="00B42757" w:rsidRPr="00976D1C">
        <w:t xml:space="preserve"> </w:t>
      </w:r>
    </w:p>
    <w:p w14:paraId="2001E896" w14:textId="47A88C27" w:rsidR="00B20F77" w:rsidRPr="00976D1C" w:rsidRDefault="00B20F77" w:rsidP="00EC4213">
      <w:pPr>
        <w:pStyle w:val="ListParagraph"/>
        <w:numPr>
          <w:ilvl w:val="0"/>
          <w:numId w:val="28"/>
        </w:numPr>
      </w:pPr>
      <w:r w:rsidRPr="00976D1C">
        <w:t xml:space="preserve">Workforce planning projections were also conducted for dentists (including dental specialists), oral health practitioners (comprised of dental hygienists, dental therapists and oral health practitioners) and dental prosthetists, </w:t>
      </w:r>
      <w:r w:rsidRPr="00976D1C">
        <w:lastRenderedPageBreak/>
        <w:t xml:space="preserve">however it should be noted data limitations exist in assigning demand to individual workforces.  </w:t>
      </w:r>
    </w:p>
    <w:p w14:paraId="2DEEF9B9" w14:textId="4A145686" w:rsidR="005A26C8" w:rsidRPr="00976D1C" w:rsidRDefault="005A26C8" w:rsidP="00EC4213">
      <w:pPr>
        <w:pStyle w:val="Heading1"/>
      </w:pPr>
      <w:bookmarkStart w:id="23" w:name="_Toc407634404"/>
      <w:r w:rsidRPr="00976D1C">
        <w:lastRenderedPageBreak/>
        <w:t>Introduction</w:t>
      </w:r>
      <w:bookmarkEnd w:id="18"/>
      <w:bookmarkEnd w:id="19"/>
      <w:bookmarkEnd w:id="23"/>
    </w:p>
    <w:p w14:paraId="41F8ED46" w14:textId="1CFCECE5" w:rsidR="00A878E8" w:rsidRPr="00976D1C" w:rsidRDefault="00A878E8" w:rsidP="00EC4213">
      <w:pPr>
        <w:pStyle w:val="Heading2"/>
      </w:pPr>
      <w:bookmarkStart w:id="24" w:name="_Toc407634405"/>
      <w:bookmarkStart w:id="25" w:name="_Toc377045772"/>
      <w:r w:rsidRPr="00976D1C">
        <w:t xml:space="preserve">Australia’s Future Health Workforce </w:t>
      </w:r>
      <w:r w:rsidR="00A760CB" w:rsidRPr="00976D1C">
        <w:t>Reports</w:t>
      </w:r>
      <w:bookmarkEnd w:id="24"/>
    </w:p>
    <w:p w14:paraId="05B37A63" w14:textId="020D9047" w:rsidR="00D007E5" w:rsidRPr="00976D1C" w:rsidRDefault="004269F9" w:rsidP="00EC4213">
      <w:r w:rsidRPr="00976D1C">
        <w:t>Australia’</w:t>
      </w:r>
      <w:r w:rsidR="007F039B" w:rsidRPr="00976D1C">
        <w:t>s</w:t>
      </w:r>
      <w:r w:rsidRPr="00976D1C">
        <w:t xml:space="preserve"> Future Health Workforce </w:t>
      </w:r>
      <w:r w:rsidR="00273433" w:rsidRPr="00976D1C">
        <w:t>(AFHW</w:t>
      </w:r>
      <w:r w:rsidR="00A878E8" w:rsidRPr="00976D1C">
        <w:t>)</w:t>
      </w:r>
      <w:r w:rsidRPr="00976D1C">
        <w:t xml:space="preserve"> </w:t>
      </w:r>
      <w:r w:rsidR="00A878E8" w:rsidRPr="00976D1C">
        <w:t xml:space="preserve">provide medium to long-term national workforce planning projections for different professions and sectors. </w:t>
      </w:r>
      <w:r w:rsidR="005C391D" w:rsidRPr="00976D1C">
        <w:t>Workforce planning projections identify potential gaps between</w:t>
      </w:r>
      <w:r w:rsidR="009335CB" w:rsidRPr="00976D1C">
        <w:t xml:space="preserve"> the </w:t>
      </w:r>
      <w:r w:rsidR="005C391D" w:rsidRPr="00976D1C">
        <w:t>future</w:t>
      </w:r>
      <w:r w:rsidR="00804216" w:rsidRPr="00976D1C">
        <w:t xml:space="preserve"> supply of, and demand </w:t>
      </w:r>
      <w:r w:rsidR="009335CB" w:rsidRPr="00976D1C">
        <w:t>f</w:t>
      </w:r>
      <w:r w:rsidR="00804216" w:rsidRPr="00976D1C">
        <w:t>or, the workforce in scope</w:t>
      </w:r>
      <w:r w:rsidR="009335CB" w:rsidRPr="00976D1C">
        <w:t xml:space="preserve"> under a range of scenarios</w:t>
      </w:r>
      <w:r w:rsidR="00D007E5" w:rsidRPr="00976D1C">
        <w:t xml:space="preserve">. A scenario </w:t>
      </w:r>
      <w:r w:rsidR="009335CB" w:rsidRPr="00976D1C">
        <w:t>represents a par</w:t>
      </w:r>
      <w:r w:rsidR="00A66FF9" w:rsidRPr="00976D1C">
        <w:t>ticular vision of future health</w:t>
      </w:r>
      <w:r w:rsidR="009335CB" w:rsidRPr="00976D1C">
        <w:t xml:space="preserve">care </w:t>
      </w:r>
      <w:r w:rsidR="00D007E5" w:rsidRPr="00976D1C">
        <w:t>delivery, and in the health workforce context, scenarios are often developed to reflect potential government policy decisions, higher education/training sector activities, employer practices, trends within the existing health workforce</w:t>
      </w:r>
      <w:r w:rsidR="00F21194" w:rsidRPr="00976D1C">
        <w:t xml:space="preserve"> and trends within service demand. </w:t>
      </w:r>
    </w:p>
    <w:p w14:paraId="516AE747" w14:textId="44CC285D" w:rsidR="00F43A83" w:rsidRPr="00976D1C" w:rsidRDefault="00AF1A20" w:rsidP="00EC4213">
      <w:r w:rsidRPr="00976D1C">
        <w:t xml:space="preserve">The identification of potential workforce gaps through workforce planning projections provides government, professional bodies, employers, </w:t>
      </w:r>
      <w:r w:rsidR="00B7497E" w:rsidRPr="00976D1C">
        <w:t xml:space="preserve">and </w:t>
      </w:r>
      <w:r w:rsidRPr="00976D1C">
        <w:t xml:space="preserve">higher education and training providers the opportunity to develop </w:t>
      </w:r>
      <w:r w:rsidR="009335CB" w:rsidRPr="00976D1C">
        <w:t>and implement plans to</w:t>
      </w:r>
      <w:r w:rsidRPr="00976D1C">
        <w:t xml:space="preserve"> minim</w:t>
      </w:r>
      <w:r w:rsidR="001D28D1" w:rsidRPr="00976D1C">
        <w:t xml:space="preserve">ise </w:t>
      </w:r>
      <w:r w:rsidR="00227979" w:rsidRPr="00976D1C">
        <w:t>such</w:t>
      </w:r>
      <w:r w:rsidR="001D28D1" w:rsidRPr="00976D1C">
        <w:t xml:space="preserve"> gaps. Such plans can involve </w:t>
      </w:r>
      <w:r w:rsidRPr="00976D1C">
        <w:t xml:space="preserve">workforce reform, changes to training intakes or pathways, </w:t>
      </w:r>
      <w:r w:rsidR="001D28D1" w:rsidRPr="00976D1C">
        <w:t xml:space="preserve">changes to immigration levels, or a combination of all factors. It is this step that is essential in the </w:t>
      </w:r>
      <w:r w:rsidRPr="00976D1C">
        <w:t>delivery of a</w:t>
      </w:r>
      <w:r w:rsidR="001D28D1" w:rsidRPr="00976D1C">
        <w:t xml:space="preserve"> sustainable health workforce.</w:t>
      </w:r>
    </w:p>
    <w:p w14:paraId="5BF64AC7" w14:textId="5D649775" w:rsidR="00787D8A" w:rsidRPr="00976D1C" w:rsidRDefault="005C391D" w:rsidP="00EC4213">
      <w:r w:rsidRPr="00976D1C">
        <w:t xml:space="preserve">AFHW </w:t>
      </w:r>
      <w:r w:rsidR="009335CB" w:rsidRPr="00976D1C">
        <w:t xml:space="preserve">focuses on workforce planning at the national level. It is at this level that </w:t>
      </w:r>
      <w:r w:rsidRPr="00976D1C">
        <w:t>questions of aggregate supply and demand can be separated from issues of allocation and distribution – the principal aim being to ensure an appropriate pool of professionals is available to meet aggregate demand</w:t>
      </w:r>
      <w:r w:rsidR="00B7497E" w:rsidRPr="00976D1C">
        <w:t xml:space="preserve"> in Australia</w:t>
      </w:r>
      <w:r w:rsidRPr="00976D1C">
        <w:t xml:space="preserve">. </w:t>
      </w:r>
    </w:p>
    <w:p w14:paraId="6B95E3F6" w14:textId="27A80FC2" w:rsidR="00CD6A0E" w:rsidRPr="00976D1C" w:rsidRDefault="00CD6A0E" w:rsidP="00EC4213">
      <w:pPr>
        <w:pStyle w:val="Heading1"/>
      </w:pPr>
      <w:bookmarkStart w:id="26" w:name="_Toc407634406"/>
      <w:r w:rsidRPr="00976D1C">
        <w:lastRenderedPageBreak/>
        <w:t>Oral health in Australia</w:t>
      </w:r>
      <w:bookmarkEnd w:id="26"/>
    </w:p>
    <w:p w14:paraId="76692E37" w14:textId="77777777" w:rsidR="008579C4" w:rsidRPr="00976D1C" w:rsidRDefault="008579C4" w:rsidP="00EC4213">
      <w:pPr>
        <w:pStyle w:val="Heading2"/>
      </w:pPr>
      <w:bookmarkStart w:id="27" w:name="_Toc407634407"/>
      <w:r w:rsidRPr="00976D1C">
        <w:t>The importance of oral health</w:t>
      </w:r>
      <w:bookmarkEnd w:id="27"/>
    </w:p>
    <w:p w14:paraId="16D2939C" w14:textId="08111B54" w:rsidR="00C752B8" w:rsidRPr="00976D1C" w:rsidRDefault="00C752B8" w:rsidP="00EC4213">
      <w:pPr>
        <w:rPr>
          <w:lang w:eastAsia="en-AU"/>
        </w:rPr>
      </w:pPr>
      <w:r w:rsidRPr="00976D1C">
        <w:rPr>
          <w:lang w:eastAsia="en-AU"/>
        </w:rPr>
        <w:t>Having good oral health means being able to eat, speak and socialise without discomfort or embarrassment and without active disease that affects overall wellbeing. Good oral health is an integral part of good general health, and is essential to being able to participate in daily activities without limitation, or without physical or psychological discomfort as a result of poor oral health.</w:t>
      </w:r>
      <w:r w:rsidR="00024239" w:rsidRPr="00A90656">
        <w:rPr>
          <w:rStyle w:val="EndnoteReference"/>
        </w:rPr>
        <w:endnoteReference w:id="5"/>
      </w:r>
      <w:r w:rsidRPr="00976D1C">
        <w:rPr>
          <w:lang w:eastAsia="en-AU"/>
        </w:rPr>
        <w:t xml:space="preserve"> </w:t>
      </w:r>
    </w:p>
    <w:p w14:paraId="3B3C972F" w14:textId="111960D2" w:rsidR="00B25656" w:rsidRPr="00976D1C" w:rsidRDefault="005B1F66" w:rsidP="00EC4213">
      <w:pPr>
        <w:rPr>
          <w:lang w:eastAsia="en-AU"/>
        </w:rPr>
      </w:pPr>
      <w:r w:rsidRPr="00976D1C">
        <w:rPr>
          <w:lang w:eastAsia="en-AU"/>
        </w:rPr>
        <w:t xml:space="preserve">Oral health disease can have wide-ranging impacts on </w:t>
      </w:r>
      <w:r w:rsidR="00D841D0" w:rsidRPr="00976D1C">
        <w:rPr>
          <w:lang w:eastAsia="en-AU"/>
        </w:rPr>
        <w:t>people’s every</w:t>
      </w:r>
      <w:r w:rsidR="004C0AD1" w:rsidRPr="00976D1C">
        <w:rPr>
          <w:lang w:eastAsia="en-AU"/>
        </w:rPr>
        <w:t>day lives</w:t>
      </w:r>
      <w:r w:rsidRPr="00976D1C">
        <w:rPr>
          <w:lang w:eastAsia="en-AU"/>
        </w:rPr>
        <w:t xml:space="preserve">, the health system and society. Individual impacts </w:t>
      </w:r>
      <w:r w:rsidR="00B25656" w:rsidRPr="00976D1C">
        <w:rPr>
          <w:lang w:eastAsia="en-AU"/>
        </w:rPr>
        <w:t xml:space="preserve">can </w:t>
      </w:r>
      <w:r w:rsidR="004C0AD1" w:rsidRPr="00976D1C">
        <w:rPr>
          <w:lang w:eastAsia="en-AU"/>
        </w:rPr>
        <w:t>include</w:t>
      </w:r>
      <w:r w:rsidRPr="00976D1C">
        <w:rPr>
          <w:lang w:eastAsia="en-AU"/>
        </w:rPr>
        <w:t xml:space="preserve"> </w:t>
      </w:r>
      <w:r w:rsidR="004C0AD1" w:rsidRPr="00976D1C">
        <w:rPr>
          <w:lang w:eastAsia="en-AU"/>
        </w:rPr>
        <w:t>pain and discomfort</w:t>
      </w:r>
      <w:r w:rsidR="00B25656" w:rsidRPr="00976D1C">
        <w:rPr>
          <w:lang w:eastAsia="en-AU"/>
        </w:rPr>
        <w:t xml:space="preserve"> and </w:t>
      </w:r>
      <w:r w:rsidR="004C0AD1" w:rsidRPr="00976D1C">
        <w:rPr>
          <w:lang w:eastAsia="en-AU"/>
        </w:rPr>
        <w:t xml:space="preserve">difficulty eating, </w:t>
      </w:r>
      <w:r w:rsidR="00B25656" w:rsidRPr="00976D1C">
        <w:rPr>
          <w:lang w:eastAsia="en-AU"/>
        </w:rPr>
        <w:t xml:space="preserve">broader </w:t>
      </w:r>
      <w:r w:rsidR="00ED6B42" w:rsidRPr="00976D1C">
        <w:rPr>
          <w:lang w:eastAsia="en-AU"/>
        </w:rPr>
        <w:t xml:space="preserve">impacts on </w:t>
      </w:r>
      <w:r w:rsidR="004C0AD1" w:rsidRPr="00976D1C">
        <w:rPr>
          <w:lang w:eastAsia="en-AU"/>
        </w:rPr>
        <w:t xml:space="preserve">general health through to </w:t>
      </w:r>
      <w:r w:rsidR="00ED6B42" w:rsidRPr="00976D1C">
        <w:rPr>
          <w:lang w:eastAsia="en-AU"/>
        </w:rPr>
        <w:t xml:space="preserve">concerns about appearance </w:t>
      </w:r>
      <w:r w:rsidR="00B25656" w:rsidRPr="00976D1C">
        <w:rPr>
          <w:lang w:eastAsia="en-AU"/>
        </w:rPr>
        <w:t>and self-esteem issues – all influencing</w:t>
      </w:r>
      <w:r w:rsidR="004C0AD1" w:rsidRPr="00976D1C">
        <w:rPr>
          <w:lang w:eastAsia="en-AU"/>
        </w:rPr>
        <w:t xml:space="preserve"> eating, sleeping and work. </w:t>
      </w:r>
      <w:r w:rsidR="00B25656" w:rsidRPr="00976D1C">
        <w:rPr>
          <w:lang w:eastAsia="en-AU"/>
        </w:rPr>
        <w:t>System costs include health costs through the high cost of oral health disease treatments, and costs associated with absenteeism and reduced productivity.</w:t>
      </w:r>
      <w:r w:rsidR="00B25656" w:rsidRPr="00A90656">
        <w:rPr>
          <w:rStyle w:val="EndnoteReference"/>
        </w:rPr>
        <w:endnoteReference w:id="6"/>
      </w:r>
    </w:p>
    <w:p w14:paraId="20A93DB6" w14:textId="36753822" w:rsidR="0048480B" w:rsidRPr="00976D1C" w:rsidRDefault="00B25656" w:rsidP="00EC4213">
      <w:r w:rsidRPr="00976D1C">
        <w:t>In terms of expenditure, dental services costs are significant, particularly for individuals.</w:t>
      </w:r>
      <w:r w:rsidR="004C0AD1" w:rsidRPr="00976D1C">
        <w:t xml:space="preserve"> In 2011-12, a</w:t>
      </w:r>
      <w:r w:rsidR="0048480B" w:rsidRPr="00976D1C">
        <w:t>pproximately $8.3 billio</w:t>
      </w:r>
      <w:r w:rsidR="00B7497E" w:rsidRPr="00976D1C">
        <w:t>n was spent on dental services alone</w:t>
      </w:r>
      <w:r w:rsidR="0048480B" w:rsidRPr="00976D1C">
        <w:t>, accounting for approximately 6.3 per</w:t>
      </w:r>
      <w:r w:rsidR="00B7497E" w:rsidRPr="00976D1C">
        <w:t xml:space="preserve"> </w:t>
      </w:r>
      <w:r w:rsidR="0048480B" w:rsidRPr="00976D1C">
        <w:t xml:space="preserve">cent of total health expenditure. </w:t>
      </w:r>
      <w:r w:rsidR="00022F3B" w:rsidRPr="00976D1C">
        <w:t xml:space="preserve">Individuals </w:t>
      </w:r>
      <w:r w:rsidR="00B85C09" w:rsidRPr="00976D1C">
        <w:t>were</w:t>
      </w:r>
      <w:r w:rsidR="00022F3B" w:rsidRPr="00976D1C">
        <w:t xml:space="preserve"> responsible </w:t>
      </w:r>
      <w:r w:rsidR="00B7497E" w:rsidRPr="00976D1C">
        <w:t>for funding over half of all dental services expenditure</w:t>
      </w:r>
      <w:r w:rsidR="004C0AD1" w:rsidRPr="00976D1C">
        <w:t xml:space="preserve">, </w:t>
      </w:r>
      <w:r w:rsidR="00B7497E" w:rsidRPr="00976D1C">
        <w:t>$4.7 billion or 56.8 per cent</w:t>
      </w:r>
      <w:r w:rsidR="00022F3B" w:rsidRPr="00976D1C">
        <w:t>. This is unlike many other areas of health</w:t>
      </w:r>
      <w:r w:rsidR="00B85C09" w:rsidRPr="00976D1C">
        <w:t xml:space="preserve"> expenditure</w:t>
      </w:r>
      <w:r w:rsidR="00022F3B" w:rsidRPr="00976D1C">
        <w:t xml:space="preserve">, for example, </w:t>
      </w:r>
      <w:r w:rsidR="004C0AD1" w:rsidRPr="00976D1C">
        <w:t xml:space="preserve">medical services, where </w:t>
      </w:r>
      <w:r w:rsidR="00022F3B" w:rsidRPr="00976D1C">
        <w:t>individuals funded only 12.4 per cent of expenditure in 2011-12.</w:t>
      </w:r>
      <w:r w:rsidR="00B7497E" w:rsidRPr="00A90656">
        <w:rPr>
          <w:rStyle w:val="EndnoteReference"/>
        </w:rPr>
        <w:endnoteReference w:id="7"/>
      </w:r>
      <w:r w:rsidR="00B7497E" w:rsidRPr="00976D1C">
        <w:t xml:space="preserve"> </w:t>
      </w:r>
    </w:p>
    <w:p w14:paraId="0F35D3DB" w14:textId="6A48E60D" w:rsidR="00AF5DF7" w:rsidRPr="00976D1C" w:rsidRDefault="00B85C09" w:rsidP="00EC4213">
      <w:r w:rsidRPr="00976D1C">
        <w:t>For both the health and economic impac</w:t>
      </w:r>
      <w:r w:rsidR="00227979" w:rsidRPr="00976D1C">
        <w:t>ts of oral health on Australian</w:t>
      </w:r>
      <w:r w:rsidRPr="00976D1C">
        <w:t xml:space="preserve">s, a sustainable oral health workforce providing effective services to the Australian community is essential. </w:t>
      </w:r>
    </w:p>
    <w:p w14:paraId="365F5802" w14:textId="77777777" w:rsidR="00A22AAF" w:rsidRPr="00976D1C" w:rsidRDefault="00A22AAF" w:rsidP="00EC4213">
      <w:pPr>
        <w:pStyle w:val="Heading2"/>
      </w:pPr>
      <w:bookmarkStart w:id="28" w:name="_Toc407634408"/>
      <w:r w:rsidRPr="00976D1C">
        <w:t>Oral health services in Australia</w:t>
      </w:r>
      <w:bookmarkEnd w:id="28"/>
    </w:p>
    <w:p w14:paraId="44C1D12D" w14:textId="7BDBEFBD" w:rsidR="006379F1" w:rsidRPr="00976D1C" w:rsidRDefault="00991F40" w:rsidP="00EC4213">
      <w:r w:rsidRPr="00976D1C">
        <w:t>Understanding how oral health services are delivered provides important contextual information</w:t>
      </w:r>
      <w:r w:rsidR="006379F1" w:rsidRPr="00976D1C">
        <w:t xml:space="preserve"> for </w:t>
      </w:r>
      <w:r w:rsidR="00A1419B" w:rsidRPr="00976D1C">
        <w:t xml:space="preserve">developing recommendations or policy considerations that </w:t>
      </w:r>
      <w:r w:rsidR="00227979" w:rsidRPr="00976D1C">
        <w:t>are</w:t>
      </w:r>
      <w:r w:rsidR="00A1419B" w:rsidRPr="00976D1C">
        <w:t xml:space="preserve"> best able to </w:t>
      </w:r>
      <w:r w:rsidR="006379F1" w:rsidRPr="00976D1C">
        <w:t xml:space="preserve">influence provision of services and workforce outcomes. Oral health services in Australia are provided in both the public and private sectors. This section provides a brief summary of those services. </w:t>
      </w:r>
    </w:p>
    <w:p w14:paraId="5DF9E010" w14:textId="49DBC114" w:rsidR="006379F1" w:rsidRPr="00976D1C" w:rsidRDefault="006379F1" w:rsidP="00EC4213">
      <w:pPr>
        <w:pStyle w:val="Heading2"/>
      </w:pPr>
      <w:bookmarkStart w:id="29" w:name="_Toc407634409"/>
      <w:r w:rsidRPr="00976D1C">
        <w:t>Public services</w:t>
      </w:r>
      <w:bookmarkEnd w:id="29"/>
    </w:p>
    <w:p w14:paraId="37969BFE" w14:textId="57FA7300" w:rsidR="0039175F" w:rsidRPr="00976D1C" w:rsidRDefault="00227979" w:rsidP="00EC4213">
      <w:r w:rsidRPr="00976D1C">
        <w:t>Public</w:t>
      </w:r>
      <w:r w:rsidR="00FF1C82" w:rsidRPr="00976D1C">
        <w:t xml:space="preserve"> services can be provided directly through public dental services or by funding </w:t>
      </w:r>
      <w:r w:rsidR="00A1419B" w:rsidRPr="00976D1C">
        <w:t xml:space="preserve">private </w:t>
      </w:r>
      <w:r w:rsidR="00FF1C82" w:rsidRPr="00976D1C">
        <w:t>practitioners to provide services.</w:t>
      </w:r>
      <w:r w:rsidR="00281643" w:rsidRPr="00976D1C">
        <w:t xml:space="preserve"> This can include dental services provided through University dental schools, or teaching practices. In these practices, for example JCU Dental in Queensland (at James Cook University) senior dental students provide services to the public under clinical supervision. </w:t>
      </w:r>
    </w:p>
    <w:p w14:paraId="11515EB2" w14:textId="79AA823E" w:rsidR="004F433C" w:rsidRPr="00976D1C" w:rsidRDefault="004F433C" w:rsidP="00EC4213">
      <w:pPr>
        <w:pStyle w:val="Heading3"/>
        <w:rPr>
          <w:lang w:val="en-AU"/>
        </w:rPr>
      </w:pPr>
      <w:r w:rsidRPr="00976D1C">
        <w:rPr>
          <w:lang w:val="en-AU"/>
        </w:rPr>
        <w:lastRenderedPageBreak/>
        <w:t>States and territories</w:t>
      </w:r>
    </w:p>
    <w:p w14:paraId="7F5C51CB" w14:textId="44368173" w:rsidR="00DE707A" w:rsidRPr="00976D1C" w:rsidRDefault="00DE707A" w:rsidP="00EC4213">
      <w:r w:rsidRPr="00976D1C">
        <w:t xml:space="preserve">States and territories are the current providers of most public dental services. They provide emergency dental care and general dental treatment to eligible adults and school aged children. Adult eligibility is largely determined by eligibility for concession cards, </w:t>
      </w:r>
      <w:r w:rsidR="004F433C" w:rsidRPr="00976D1C">
        <w:t>with the type of concession card allowing access to public dental services varying across states and territories. Waiting times for public d</w:t>
      </w:r>
      <w:r w:rsidR="00FF1C82" w:rsidRPr="00976D1C">
        <w:t>ental services are significant</w:t>
      </w:r>
      <w:r w:rsidR="004F433C" w:rsidRPr="00976D1C">
        <w:t>.</w:t>
      </w:r>
      <w:r w:rsidR="00FF1C82" w:rsidRPr="00A90656">
        <w:rPr>
          <w:rStyle w:val="EndnoteReference"/>
        </w:rPr>
        <w:endnoteReference w:id="8"/>
      </w:r>
      <w:r w:rsidR="00FF1C82" w:rsidRPr="00976D1C">
        <w:t xml:space="preserve"> </w:t>
      </w:r>
    </w:p>
    <w:p w14:paraId="034406E4" w14:textId="1EA4A059" w:rsidR="00DE707A" w:rsidRPr="00976D1C" w:rsidRDefault="00DE707A" w:rsidP="00EC4213">
      <w:r w:rsidRPr="00976D1C">
        <w:t xml:space="preserve">For children, </w:t>
      </w:r>
      <w:r w:rsidR="007F4AE4" w:rsidRPr="00976D1C">
        <w:t xml:space="preserve">models of service delivery vary state to state, ranging from dedicated school dental </w:t>
      </w:r>
      <w:r w:rsidR="00DA310F" w:rsidRPr="00976D1C">
        <w:t>programme</w:t>
      </w:r>
      <w:r w:rsidR="007F4AE4" w:rsidRPr="00976D1C">
        <w:t xml:space="preserve">s to community-based clinics, and hybrid models that use both school-based clinics and community-based services. Clinical services provided to children also vary state to state, however children are seen as a matter of priority for </w:t>
      </w:r>
      <w:r w:rsidR="00FF1C82" w:rsidRPr="00976D1C">
        <w:t>emergency and general services.</w:t>
      </w:r>
      <w:r w:rsidR="00FF1C82" w:rsidRPr="00A90656">
        <w:rPr>
          <w:rStyle w:val="EndnoteReference"/>
        </w:rPr>
        <w:endnoteReference w:id="9"/>
      </w:r>
    </w:p>
    <w:p w14:paraId="33B5F4D4" w14:textId="6B35A1C1" w:rsidR="00DE707A" w:rsidRPr="00976D1C" w:rsidRDefault="00A1419B" w:rsidP="00EC4213">
      <w:r w:rsidRPr="00976D1C">
        <w:t>State</w:t>
      </w:r>
      <w:r w:rsidR="00C30AB3" w:rsidRPr="00976D1C">
        <w:t>s</w:t>
      </w:r>
      <w:r w:rsidRPr="00976D1C">
        <w:t xml:space="preserve"> and territories </w:t>
      </w:r>
      <w:r w:rsidR="00230B4E" w:rsidRPr="00976D1C">
        <w:t xml:space="preserve">also provide funding to private practitioners to provide services to eligible consumers, for example the New South Wales Oral Health Fee for Service Scheme. </w:t>
      </w:r>
    </w:p>
    <w:p w14:paraId="5D35739F" w14:textId="77777777" w:rsidR="00DE707A" w:rsidRPr="00976D1C" w:rsidRDefault="00DE707A" w:rsidP="00EC4213">
      <w:pPr>
        <w:pStyle w:val="Heading3"/>
        <w:rPr>
          <w:lang w:val="en-AU"/>
        </w:rPr>
      </w:pPr>
      <w:r w:rsidRPr="00976D1C">
        <w:rPr>
          <w:lang w:val="en-AU"/>
        </w:rPr>
        <w:t xml:space="preserve">Commonwealth Government </w:t>
      </w:r>
    </w:p>
    <w:p w14:paraId="34B0398D" w14:textId="2CA834F9" w:rsidR="00222858" w:rsidRPr="00976D1C" w:rsidRDefault="00DE707A" w:rsidP="00EC4213">
      <w:r w:rsidRPr="00976D1C">
        <w:rPr>
          <w:szCs w:val="20"/>
        </w:rPr>
        <w:t xml:space="preserve">The Commonwealth </w:t>
      </w:r>
      <w:r w:rsidR="00FF1C82" w:rsidRPr="00976D1C">
        <w:rPr>
          <w:szCs w:val="20"/>
        </w:rPr>
        <w:t>focuses on fund</w:t>
      </w:r>
      <w:r w:rsidR="00230B4E" w:rsidRPr="00976D1C">
        <w:rPr>
          <w:szCs w:val="20"/>
        </w:rPr>
        <w:t xml:space="preserve">ing </w:t>
      </w:r>
      <w:r w:rsidR="00DA310F" w:rsidRPr="00976D1C">
        <w:rPr>
          <w:szCs w:val="20"/>
        </w:rPr>
        <w:t>programme</w:t>
      </w:r>
      <w:r w:rsidR="00230B4E" w:rsidRPr="00976D1C">
        <w:rPr>
          <w:szCs w:val="20"/>
        </w:rPr>
        <w:t xml:space="preserve">s to provide </w:t>
      </w:r>
      <w:r w:rsidR="00FF1C82" w:rsidRPr="00976D1C">
        <w:rPr>
          <w:szCs w:val="20"/>
        </w:rPr>
        <w:t xml:space="preserve">services to </w:t>
      </w:r>
      <w:r w:rsidR="00A1419B" w:rsidRPr="00976D1C">
        <w:rPr>
          <w:szCs w:val="20"/>
        </w:rPr>
        <w:t xml:space="preserve">children and low </w:t>
      </w:r>
      <w:r w:rsidR="00FF1C82" w:rsidRPr="00976D1C">
        <w:rPr>
          <w:szCs w:val="20"/>
        </w:rPr>
        <w:t>income adults.</w:t>
      </w:r>
      <w:r w:rsidR="00222858" w:rsidRPr="00976D1C">
        <w:rPr>
          <w:szCs w:val="20"/>
        </w:rPr>
        <w:t xml:space="preserve"> </w:t>
      </w:r>
      <w:r w:rsidR="00222858" w:rsidRPr="00976D1C">
        <w:t>From 2007 to 2012, Medicare’s Chronic Disease Dental Scheme (CDDS) provided up to $4,250 over two calendar years in Medicare benefits for dental services for people with a chronic medical condition and complex care needs and whose oral health was impacting on their general health. To be eligible for the CDDS, patients must have had a GP Management Plan and Team Care Arrangements in place to manage their condition, and must have been referred to a dentist by their GP.</w:t>
      </w:r>
      <w:r w:rsidR="00222858" w:rsidRPr="00A90656">
        <w:rPr>
          <w:rStyle w:val="EndnoteReference"/>
        </w:rPr>
        <w:endnoteReference w:id="10"/>
      </w:r>
      <w:r w:rsidR="00222858" w:rsidRPr="00976D1C">
        <w:t xml:space="preserve"> The CDDS closed from 1 December 2012.</w:t>
      </w:r>
      <w:r w:rsidR="0043219E" w:rsidRPr="00976D1C">
        <w:t xml:space="preserve"> </w:t>
      </w:r>
    </w:p>
    <w:p w14:paraId="6BB54720" w14:textId="11309625" w:rsidR="00422120" w:rsidRPr="00976D1C" w:rsidRDefault="00222B10" w:rsidP="00EC4213">
      <w:r w:rsidRPr="00976D1C">
        <w:t>T</w:t>
      </w:r>
      <w:r w:rsidR="00422120" w:rsidRPr="00976D1C">
        <w:t xml:space="preserve">he Commonwealth funds the Child Dental Benefits Schedule (CDBS), which provides eligible children with up to $1,000 in benefits for basic dental services, </w:t>
      </w:r>
      <w:r w:rsidRPr="00976D1C">
        <w:t xml:space="preserve">with benefits capped over </w:t>
      </w:r>
      <w:r w:rsidR="00D841D0" w:rsidRPr="00976D1C">
        <w:t>two</w:t>
      </w:r>
      <w:r w:rsidRPr="00976D1C">
        <w:t xml:space="preserve"> consecutive </w:t>
      </w:r>
      <w:r w:rsidR="00D841D0" w:rsidRPr="00976D1C">
        <w:t>calendar</w:t>
      </w:r>
      <w:r w:rsidRPr="00976D1C">
        <w:t xml:space="preserve"> years</w:t>
      </w:r>
      <w:r w:rsidR="00422120" w:rsidRPr="00976D1C">
        <w:t xml:space="preserve">. </w:t>
      </w:r>
      <w:r w:rsidRPr="00976D1C">
        <w:t xml:space="preserve">The CDBS </w:t>
      </w:r>
      <w:r w:rsidR="00422120" w:rsidRPr="00976D1C">
        <w:t xml:space="preserve">commenced on 1 January 2014 and replaced and expanded the Medicare Teen Dental Plan (which covered those aged 12 to 17 years), by also covering children aged between two to 11 years and expanding the range of services. The CDBS provides access to individual benefits for basic dental services including examinations, x-rays, cleaning, fissure sealing, fillings, root canals and extractions for children aged two to 17 years. </w:t>
      </w:r>
    </w:p>
    <w:p w14:paraId="3160095B" w14:textId="032C7C53" w:rsidR="00422120" w:rsidRPr="00976D1C" w:rsidRDefault="00422120" w:rsidP="00EC4213">
      <w:r w:rsidRPr="00976D1C">
        <w:t xml:space="preserve">The Commonwealth is providing $344 million to the states </w:t>
      </w:r>
      <w:r w:rsidR="00D841D0" w:rsidRPr="00976D1C">
        <w:t>and</w:t>
      </w:r>
      <w:r w:rsidRPr="00976D1C">
        <w:t xml:space="preserve"> territories through the National Partnership Agreement (NPA) on Treating More Public Dental Patients to alleviate pressure on public dental waiting lists. The Government is committed to a second NPA on Adult Public Dental Services, which will provide funding to the states and territories for services to adult public dental patients.</w:t>
      </w:r>
    </w:p>
    <w:p w14:paraId="1C9A9DB3" w14:textId="1404911B" w:rsidR="00755304" w:rsidRPr="00976D1C" w:rsidRDefault="00755304" w:rsidP="00EC4213">
      <w:pPr>
        <w:rPr>
          <w:szCs w:val="20"/>
        </w:rPr>
      </w:pPr>
      <w:r w:rsidRPr="00976D1C">
        <w:lastRenderedPageBreak/>
        <w:t xml:space="preserve">The Commonwealth also funds the Dental Relocation and Infrastructure Support Scheme, the Voluntary Dental Graduate Year Programme and the Oral Health Therapy Graduate Year </w:t>
      </w:r>
      <w:r w:rsidR="00DA310F" w:rsidRPr="00976D1C">
        <w:t>Programme</w:t>
      </w:r>
      <w:r w:rsidRPr="00976D1C">
        <w:t>.</w:t>
      </w:r>
    </w:p>
    <w:p w14:paraId="6212AACD" w14:textId="1F232B46" w:rsidR="006379F1" w:rsidRPr="00976D1C" w:rsidRDefault="006379F1" w:rsidP="00EC4213">
      <w:r w:rsidRPr="00976D1C">
        <w:t xml:space="preserve">Further </w:t>
      </w:r>
      <w:r w:rsidR="00230B4E" w:rsidRPr="00976D1C">
        <w:t xml:space="preserve">details on public dental </w:t>
      </w:r>
      <w:r w:rsidR="00DA310F" w:rsidRPr="00976D1C">
        <w:t>programme</w:t>
      </w:r>
      <w:r w:rsidR="00230B4E" w:rsidRPr="00976D1C">
        <w:t>s are</w:t>
      </w:r>
      <w:r w:rsidR="004F433C" w:rsidRPr="00976D1C">
        <w:t xml:space="preserve"> provided in Appendices</w:t>
      </w:r>
      <w:r w:rsidR="003373AF" w:rsidRPr="00976D1C">
        <w:t xml:space="preserve"> A to C</w:t>
      </w:r>
      <w:r w:rsidR="00A10488" w:rsidRPr="00976D1C">
        <w:t xml:space="preserve">. </w:t>
      </w:r>
    </w:p>
    <w:p w14:paraId="116E9F78" w14:textId="7F531ADF" w:rsidR="006379F1" w:rsidRPr="00976D1C" w:rsidRDefault="006379F1" w:rsidP="00EC4213">
      <w:pPr>
        <w:pStyle w:val="Heading2"/>
      </w:pPr>
      <w:bookmarkStart w:id="30" w:name="_Toc407634410"/>
      <w:r w:rsidRPr="00976D1C">
        <w:t>Private services</w:t>
      </w:r>
      <w:bookmarkEnd w:id="30"/>
    </w:p>
    <w:p w14:paraId="01C7FF25" w14:textId="233FDCCC" w:rsidR="00A61F72" w:rsidRPr="00976D1C" w:rsidRDefault="00DC7638" w:rsidP="00EC4213">
      <w:r w:rsidRPr="00976D1C">
        <w:t xml:space="preserve">Private practitioners in Australia provide most dental services. The </w:t>
      </w:r>
      <w:r w:rsidR="00FF1C82" w:rsidRPr="00976D1C">
        <w:t>private sector is the only place non-concession card hold</w:t>
      </w:r>
      <w:r w:rsidRPr="00976D1C">
        <w:t>ing</w:t>
      </w:r>
      <w:r w:rsidR="00FF1C82" w:rsidRPr="00976D1C">
        <w:t xml:space="preserve"> adults</w:t>
      </w:r>
      <w:r w:rsidRPr="00976D1C">
        <w:t xml:space="preserve">, and those ineligible for other Commonwealth </w:t>
      </w:r>
      <w:r w:rsidR="00DA310F" w:rsidRPr="00976D1C">
        <w:t>programme</w:t>
      </w:r>
      <w:r w:rsidRPr="00976D1C">
        <w:t xml:space="preserve">s, can access dental care. </w:t>
      </w:r>
      <w:r w:rsidR="00A34766" w:rsidRPr="00976D1C">
        <w:t>A full range of services is</w:t>
      </w:r>
      <w:r w:rsidR="00FF1C82" w:rsidRPr="00976D1C">
        <w:t xml:space="preserve"> provided, from emergency and general dental to orthodontic and endo</w:t>
      </w:r>
      <w:r w:rsidRPr="00976D1C">
        <w:t>dontic</w:t>
      </w:r>
      <w:r w:rsidR="00FF1C82" w:rsidRPr="00976D1C">
        <w:t xml:space="preserve"> services.</w:t>
      </w:r>
      <w:r w:rsidR="00FF1C82" w:rsidRPr="00976D1C">
        <w:rPr>
          <w:vertAlign w:val="superscript"/>
        </w:rPr>
        <w:endnoteReference w:id="11"/>
      </w:r>
      <w:r w:rsidR="00FF1C82" w:rsidRPr="00976D1C">
        <w:t xml:space="preserve"> </w:t>
      </w:r>
      <w:r w:rsidRPr="00976D1C">
        <w:t>Services provided have to be funded by individual</w:t>
      </w:r>
      <w:r w:rsidR="00230B4E" w:rsidRPr="00976D1C">
        <w:t>s and families</w:t>
      </w:r>
      <w:r w:rsidRPr="00976D1C">
        <w:t xml:space="preserve">. For people with private health insurance, a proportion of dental costs may be covered, but consumers face relatively high </w:t>
      </w:r>
      <w:r w:rsidR="006379F1" w:rsidRPr="00976D1C">
        <w:t>out-of-pocke</w:t>
      </w:r>
      <w:r w:rsidR="00A34766" w:rsidRPr="00976D1C">
        <w:t>t costs for dental services.</w:t>
      </w:r>
      <w:r w:rsidRPr="00976D1C">
        <w:rPr>
          <w:vertAlign w:val="superscript"/>
        </w:rPr>
        <w:endnoteReference w:id="12"/>
      </w:r>
      <w:r w:rsidR="006379F1" w:rsidRPr="00976D1C">
        <w:t xml:space="preserve"> </w:t>
      </w:r>
    </w:p>
    <w:p w14:paraId="786FE4E5" w14:textId="5C04DB94" w:rsidR="0058066B" w:rsidRPr="00976D1C" w:rsidRDefault="0058066B" w:rsidP="00EC4213">
      <w:r w:rsidRPr="00976D1C">
        <w:t xml:space="preserve">Table </w:t>
      </w:r>
      <w:r w:rsidR="00BF02C5" w:rsidRPr="00976D1C">
        <w:t>1</w:t>
      </w:r>
      <w:r w:rsidRPr="00976D1C">
        <w:t xml:space="preserve"> shows </w:t>
      </w:r>
      <w:r w:rsidR="00BF02C5" w:rsidRPr="00976D1C">
        <w:t xml:space="preserve">data from the </w:t>
      </w:r>
      <w:r w:rsidR="00BF02C5" w:rsidRPr="00976D1C">
        <w:rPr>
          <w:rFonts w:cs="TimesNewRomanPSMT"/>
          <w:lang w:eastAsia="en-AU"/>
        </w:rPr>
        <w:t xml:space="preserve">Australian Research Centre for Population Oral Health </w:t>
      </w:r>
      <w:r w:rsidR="00BF02C5" w:rsidRPr="00976D1C">
        <w:t xml:space="preserve">National Dental Telephone Interview Survey (ARCPOH NDTIS) on the </w:t>
      </w:r>
      <w:r w:rsidRPr="00976D1C">
        <w:t>type of practice people reported visiting at their last dental visit.</w:t>
      </w:r>
      <w:r w:rsidR="00BF02C5" w:rsidRPr="00976D1C">
        <w:t xml:space="preserve"> It clearly shows the predominance of private practice – most </w:t>
      </w:r>
      <w:r w:rsidRPr="00976D1C">
        <w:t>people (88 per cent) reported their last dental visit was to a private dental practice</w:t>
      </w:r>
      <w:r w:rsidR="00BF02C5" w:rsidRPr="00976D1C">
        <w:t xml:space="preserve"> in 2010</w:t>
      </w:r>
      <w:r w:rsidR="00CA1B0E" w:rsidRPr="00976D1C">
        <w:t>, compared with six</w:t>
      </w:r>
      <w:r w:rsidRPr="00976D1C">
        <w:t xml:space="preserve"> per cent </w:t>
      </w:r>
      <w:r w:rsidR="00CA1B0E" w:rsidRPr="00976D1C">
        <w:t>at a public dental service and five</w:t>
      </w:r>
      <w:r w:rsidRPr="00976D1C">
        <w:t xml:space="preserve"> per cent at a school dental service (SDS).</w:t>
      </w:r>
      <w:r w:rsidR="00BF02C5" w:rsidRPr="00976D1C">
        <w:t xml:space="preserve"> Th</w:t>
      </w:r>
      <w:r w:rsidR="00C30AB3" w:rsidRPr="00976D1C">
        <w:t>e only variation to this across age groups was for school-ag</w:t>
      </w:r>
      <w:r w:rsidR="00CA1B0E" w:rsidRPr="00976D1C">
        <w:t xml:space="preserve">ed children (five to </w:t>
      </w:r>
      <w:r w:rsidR="0022623F" w:rsidRPr="00976D1C">
        <w:t>14 years), where</w:t>
      </w:r>
      <w:r w:rsidR="00C30AB3" w:rsidRPr="00976D1C">
        <w:t xml:space="preserve"> </w:t>
      </w:r>
      <w:r w:rsidR="00BF02C5" w:rsidRPr="00976D1C">
        <w:t xml:space="preserve">a substantially higher percentage reported visiting a SDS. </w:t>
      </w:r>
    </w:p>
    <w:p w14:paraId="359DB40B" w14:textId="3C983235" w:rsidR="0058066B" w:rsidRPr="00976D1C" w:rsidRDefault="00BF02C5" w:rsidP="00EC4213">
      <w:pPr>
        <w:pStyle w:val="Caption"/>
      </w:pPr>
      <w:bookmarkStart w:id="31" w:name="_Toc409532339"/>
      <w:r w:rsidRPr="00976D1C">
        <w:t xml:space="preserve">Table </w:t>
      </w:r>
      <w:fldSimple w:instr=" SEQ Table \* ARABIC ">
        <w:r w:rsidR="00496730" w:rsidRPr="00976D1C">
          <w:rPr>
            <w:noProof/>
          </w:rPr>
          <w:t>1</w:t>
        </w:r>
      </w:fldSimple>
      <w:r w:rsidRPr="00976D1C">
        <w:t>: Type of practice visited at last dental visit by age, percentage o</w:t>
      </w:r>
      <w:r w:rsidR="00CA1B0E" w:rsidRPr="00976D1C">
        <w:t>f dentate people aged two</w:t>
      </w:r>
      <w:r w:rsidRPr="00976D1C">
        <w:t xml:space="preserve"> and over who visited in last 12 months, 2010</w:t>
      </w:r>
      <w:bookmarkEnd w:id="31"/>
    </w:p>
    <w:tbl>
      <w:tblP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Caption w:val="Table 1: Type of practice visited at last dental visit by age, percentage of dentate people aged two and over who visited in last 12 months, 2010"/>
        <w:tblDescription w:val="Age 2–4 years    Private 76.7  Public 12.5  SDS 6.0  Other 4.8&#10;Age 5–14 years    Private 68.2  Public 8.6  SDS 22.8  Other 0.3&#10;Age 15–24 years     Private 87.7  Public 5.8  SDS 5.1  Other1.2&#10;Age 25–44 years   Private 94.6  Public 4.0  SDS . .  Other 1.4&#10;Age 45–64 years   Private 95.3  Public 3.8  SDS . .  Other 0.9&#10;Age 65+ years   Private 87.9  Public 11.6  SDS . .  Other 0.5&#10;All people 2+ years Private 88.2  Public 6.1  SDS 4.8  Other 1.0&#10;All people 5+ years Private  88.3 Public 6.0  SDS 4.8  Other 0.9&#10;"/>
      </w:tblPr>
      <w:tblGrid>
        <w:gridCol w:w="1951"/>
        <w:gridCol w:w="1559"/>
        <w:gridCol w:w="1418"/>
        <w:gridCol w:w="1417"/>
        <w:gridCol w:w="1418"/>
      </w:tblGrid>
      <w:tr w:rsidR="00994E36" w:rsidRPr="00976D1C" w14:paraId="55392DED" w14:textId="77777777" w:rsidTr="00D01168">
        <w:tc>
          <w:tcPr>
            <w:tcW w:w="1951" w:type="dxa"/>
            <w:tcBorders>
              <w:top w:val="nil"/>
              <w:left w:val="nil"/>
              <w:bottom w:val="nil"/>
              <w:right w:val="nil"/>
            </w:tcBorders>
            <w:shd w:val="clear" w:color="auto" w:fill="0070C0"/>
          </w:tcPr>
          <w:p w14:paraId="2C5354E5" w14:textId="77777777" w:rsidR="00994E36" w:rsidRPr="00976D1C" w:rsidRDefault="00994E36" w:rsidP="00EC4213">
            <w:pPr>
              <w:pStyle w:val="TableHeader"/>
            </w:pPr>
            <w:bookmarkStart w:id="32" w:name="Title_1"/>
            <w:bookmarkEnd w:id="32"/>
          </w:p>
        </w:tc>
        <w:tc>
          <w:tcPr>
            <w:tcW w:w="5812" w:type="dxa"/>
            <w:gridSpan w:val="4"/>
            <w:tcBorders>
              <w:top w:val="nil"/>
              <w:left w:val="nil"/>
              <w:bottom w:val="nil"/>
              <w:right w:val="nil"/>
            </w:tcBorders>
            <w:shd w:val="clear" w:color="auto" w:fill="0070C0"/>
          </w:tcPr>
          <w:p w14:paraId="544AD0CD" w14:textId="01F40598" w:rsidR="00994E36" w:rsidRPr="00A90656" w:rsidRDefault="00994E36" w:rsidP="00EC4213">
            <w:pPr>
              <w:pStyle w:val="TableHeader"/>
              <w:jc w:val="center"/>
              <w:rPr>
                <w:bCs/>
              </w:rPr>
            </w:pPr>
            <w:r w:rsidRPr="00A90656">
              <w:rPr>
                <w:bCs/>
              </w:rPr>
              <w:t>Type of practice visited at last dental visit</w:t>
            </w:r>
          </w:p>
        </w:tc>
      </w:tr>
      <w:tr w:rsidR="00994E36" w:rsidRPr="00976D1C" w14:paraId="16C23F95" w14:textId="77777777" w:rsidTr="00D01168">
        <w:tc>
          <w:tcPr>
            <w:tcW w:w="1951" w:type="dxa"/>
            <w:tcBorders>
              <w:top w:val="nil"/>
              <w:left w:val="nil"/>
              <w:bottom w:val="nil"/>
              <w:right w:val="nil"/>
            </w:tcBorders>
            <w:shd w:val="clear" w:color="auto" w:fill="0070C0"/>
          </w:tcPr>
          <w:p w14:paraId="72468A19" w14:textId="2629E835" w:rsidR="00994E36" w:rsidRPr="00A90656" w:rsidRDefault="00994E36" w:rsidP="00EC4213">
            <w:pPr>
              <w:pStyle w:val="TableHeader"/>
            </w:pPr>
            <w:r w:rsidRPr="00A90656">
              <w:t>Age (years)</w:t>
            </w:r>
          </w:p>
        </w:tc>
        <w:tc>
          <w:tcPr>
            <w:tcW w:w="1559" w:type="dxa"/>
            <w:tcBorders>
              <w:top w:val="nil"/>
              <w:left w:val="nil"/>
              <w:bottom w:val="nil"/>
              <w:right w:val="nil"/>
            </w:tcBorders>
            <w:shd w:val="clear" w:color="auto" w:fill="0070C0"/>
          </w:tcPr>
          <w:p w14:paraId="172CDAFE" w14:textId="19FBFB67" w:rsidR="00994E36" w:rsidRPr="00A90656" w:rsidRDefault="00994E36" w:rsidP="00EC4213">
            <w:pPr>
              <w:pStyle w:val="TableHeader"/>
              <w:jc w:val="center"/>
              <w:rPr>
                <w:bCs/>
              </w:rPr>
            </w:pPr>
            <w:r w:rsidRPr="00A90656">
              <w:rPr>
                <w:bCs/>
              </w:rPr>
              <w:t>Private</w:t>
            </w:r>
          </w:p>
        </w:tc>
        <w:tc>
          <w:tcPr>
            <w:tcW w:w="1418" w:type="dxa"/>
            <w:tcBorders>
              <w:top w:val="nil"/>
              <w:left w:val="nil"/>
              <w:bottom w:val="nil"/>
              <w:right w:val="nil"/>
            </w:tcBorders>
            <w:shd w:val="clear" w:color="auto" w:fill="0070C0"/>
          </w:tcPr>
          <w:p w14:paraId="2EDA0A22" w14:textId="54320C85" w:rsidR="00994E36" w:rsidRPr="00A90656" w:rsidRDefault="00994E36" w:rsidP="00EC4213">
            <w:pPr>
              <w:pStyle w:val="TableHeader"/>
              <w:jc w:val="center"/>
              <w:rPr>
                <w:bCs/>
              </w:rPr>
            </w:pPr>
            <w:r w:rsidRPr="00A90656">
              <w:rPr>
                <w:bCs/>
              </w:rPr>
              <w:t>Public</w:t>
            </w:r>
          </w:p>
        </w:tc>
        <w:tc>
          <w:tcPr>
            <w:tcW w:w="1417" w:type="dxa"/>
            <w:tcBorders>
              <w:top w:val="nil"/>
              <w:left w:val="nil"/>
              <w:bottom w:val="nil"/>
              <w:right w:val="nil"/>
            </w:tcBorders>
            <w:shd w:val="clear" w:color="auto" w:fill="0070C0"/>
          </w:tcPr>
          <w:p w14:paraId="7DC3753E" w14:textId="3418A033" w:rsidR="00994E36" w:rsidRPr="00A90656" w:rsidRDefault="00994E36" w:rsidP="00EC4213">
            <w:pPr>
              <w:pStyle w:val="TableHeader"/>
              <w:jc w:val="center"/>
              <w:rPr>
                <w:bCs/>
              </w:rPr>
            </w:pPr>
            <w:r w:rsidRPr="00A90656">
              <w:rPr>
                <w:bCs/>
              </w:rPr>
              <w:t>SDS</w:t>
            </w:r>
          </w:p>
        </w:tc>
        <w:tc>
          <w:tcPr>
            <w:tcW w:w="1418" w:type="dxa"/>
            <w:tcBorders>
              <w:top w:val="nil"/>
              <w:left w:val="nil"/>
              <w:bottom w:val="nil"/>
              <w:right w:val="nil"/>
            </w:tcBorders>
            <w:shd w:val="clear" w:color="auto" w:fill="0070C0"/>
          </w:tcPr>
          <w:p w14:paraId="4E75C2E2" w14:textId="65C52CC3" w:rsidR="00994E36" w:rsidRPr="00A90656" w:rsidRDefault="00994E36" w:rsidP="00EC4213">
            <w:pPr>
              <w:pStyle w:val="TableHeader"/>
              <w:jc w:val="center"/>
              <w:rPr>
                <w:bCs/>
              </w:rPr>
            </w:pPr>
            <w:r w:rsidRPr="00A90656">
              <w:rPr>
                <w:bCs/>
              </w:rPr>
              <w:t>Other</w:t>
            </w:r>
          </w:p>
        </w:tc>
      </w:tr>
      <w:tr w:rsidR="00687D37" w:rsidRPr="00976D1C" w14:paraId="604CD6C6" w14:textId="77777777" w:rsidTr="00D01168">
        <w:tc>
          <w:tcPr>
            <w:tcW w:w="1951" w:type="dxa"/>
            <w:tcBorders>
              <w:top w:val="nil"/>
              <w:left w:val="nil"/>
              <w:bottom w:val="nil"/>
              <w:right w:val="nil"/>
            </w:tcBorders>
            <w:shd w:val="clear" w:color="auto" w:fill="CCE0ED"/>
          </w:tcPr>
          <w:p w14:paraId="37ABD15F" w14:textId="77777777" w:rsidR="00687D37" w:rsidRPr="00976D1C" w:rsidRDefault="00687D37" w:rsidP="00EC4213">
            <w:pPr>
              <w:pStyle w:val="TableText"/>
            </w:pPr>
            <w:r w:rsidRPr="00976D1C">
              <w:t>2–4</w:t>
            </w:r>
          </w:p>
        </w:tc>
        <w:tc>
          <w:tcPr>
            <w:tcW w:w="1559" w:type="dxa"/>
            <w:tcBorders>
              <w:top w:val="nil"/>
              <w:left w:val="nil"/>
              <w:bottom w:val="nil"/>
              <w:right w:val="nil"/>
            </w:tcBorders>
            <w:shd w:val="clear" w:color="auto" w:fill="CCE0ED"/>
          </w:tcPr>
          <w:p w14:paraId="558BEDC5" w14:textId="77777777" w:rsidR="00687D37" w:rsidRPr="00976D1C" w:rsidRDefault="00687D37" w:rsidP="00EC4213">
            <w:pPr>
              <w:pStyle w:val="TableText"/>
              <w:jc w:val="center"/>
            </w:pPr>
            <w:r w:rsidRPr="00976D1C">
              <w:t>76.7</w:t>
            </w:r>
          </w:p>
        </w:tc>
        <w:tc>
          <w:tcPr>
            <w:tcW w:w="1418" w:type="dxa"/>
            <w:tcBorders>
              <w:top w:val="nil"/>
              <w:left w:val="nil"/>
              <w:bottom w:val="nil"/>
              <w:right w:val="nil"/>
            </w:tcBorders>
            <w:shd w:val="clear" w:color="auto" w:fill="CCE0ED"/>
          </w:tcPr>
          <w:p w14:paraId="742D8A9C" w14:textId="77777777" w:rsidR="00687D37" w:rsidRPr="00976D1C" w:rsidRDefault="00687D37" w:rsidP="00EC4213">
            <w:pPr>
              <w:pStyle w:val="TableText"/>
              <w:jc w:val="center"/>
            </w:pPr>
            <w:r w:rsidRPr="00976D1C">
              <w:t>12.5</w:t>
            </w:r>
          </w:p>
        </w:tc>
        <w:tc>
          <w:tcPr>
            <w:tcW w:w="1417" w:type="dxa"/>
            <w:tcBorders>
              <w:top w:val="nil"/>
              <w:left w:val="nil"/>
              <w:bottom w:val="nil"/>
              <w:right w:val="nil"/>
            </w:tcBorders>
            <w:shd w:val="clear" w:color="auto" w:fill="CCE0ED"/>
          </w:tcPr>
          <w:p w14:paraId="122B8008" w14:textId="77777777" w:rsidR="00687D37" w:rsidRPr="00976D1C" w:rsidRDefault="00687D37" w:rsidP="00EC4213">
            <w:pPr>
              <w:pStyle w:val="TableText"/>
              <w:jc w:val="center"/>
            </w:pPr>
            <w:r w:rsidRPr="00976D1C">
              <w:t>6.0</w:t>
            </w:r>
          </w:p>
        </w:tc>
        <w:tc>
          <w:tcPr>
            <w:tcW w:w="1418" w:type="dxa"/>
            <w:tcBorders>
              <w:top w:val="nil"/>
              <w:left w:val="nil"/>
              <w:bottom w:val="nil"/>
              <w:right w:val="nil"/>
            </w:tcBorders>
            <w:shd w:val="clear" w:color="auto" w:fill="CCE0ED"/>
          </w:tcPr>
          <w:p w14:paraId="29DB620A" w14:textId="77777777" w:rsidR="00687D37" w:rsidRPr="00976D1C" w:rsidRDefault="00687D37" w:rsidP="00EC4213">
            <w:pPr>
              <w:pStyle w:val="TableText"/>
              <w:jc w:val="center"/>
            </w:pPr>
            <w:r w:rsidRPr="00976D1C">
              <w:t>4.8</w:t>
            </w:r>
          </w:p>
        </w:tc>
      </w:tr>
      <w:tr w:rsidR="00687D37" w:rsidRPr="00976D1C" w14:paraId="6593444F" w14:textId="77777777" w:rsidTr="00D01168">
        <w:tc>
          <w:tcPr>
            <w:tcW w:w="1951" w:type="dxa"/>
            <w:tcBorders>
              <w:top w:val="nil"/>
              <w:left w:val="nil"/>
              <w:bottom w:val="nil"/>
              <w:right w:val="nil"/>
            </w:tcBorders>
            <w:shd w:val="clear" w:color="auto" w:fill="CCEFFC"/>
          </w:tcPr>
          <w:p w14:paraId="7ED84C28" w14:textId="77777777" w:rsidR="00687D37" w:rsidRPr="00976D1C" w:rsidRDefault="00687D37" w:rsidP="00EC4213">
            <w:pPr>
              <w:pStyle w:val="TableText"/>
            </w:pPr>
            <w:r w:rsidRPr="00976D1C">
              <w:t>5–14</w:t>
            </w:r>
          </w:p>
        </w:tc>
        <w:tc>
          <w:tcPr>
            <w:tcW w:w="1559" w:type="dxa"/>
            <w:tcBorders>
              <w:top w:val="nil"/>
              <w:left w:val="nil"/>
              <w:bottom w:val="nil"/>
              <w:right w:val="nil"/>
            </w:tcBorders>
            <w:shd w:val="clear" w:color="auto" w:fill="CCEFFC"/>
          </w:tcPr>
          <w:p w14:paraId="4AEE9FC1" w14:textId="77777777" w:rsidR="00687D37" w:rsidRPr="00976D1C" w:rsidRDefault="00687D37" w:rsidP="00EC4213">
            <w:pPr>
              <w:pStyle w:val="TableText"/>
              <w:jc w:val="center"/>
            </w:pPr>
            <w:r w:rsidRPr="00976D1C">
              <w:t>68.2</w:t>
            </w:r>
          </w:p>
        </w:tc>
        <w:tc>
          <w:tcPr>
            <w:tcW w:w="1418" w:type="dxa"/>
            <w:tcBorders>
              <w:top w:val="nil"/>
              <w:left w:val="nil"/>
              <w:bottom w:val="nil"/>
              <w:right w:val="nil"/>
            </w:tcBorders>
            <w:shd w:val="clear" w:color="auto" w:fill="CCEFFC"/>
          </w:tcPr>
          <w:p w14:paraId="3F738774" w14:textId="77777777" w:rsidR="00687D37" w:rsidRPr="00976D1C" w:rsidRDefault="00687D37" w:rsidP="00EC4213">
            <w:pPr>
              <w:pStyle w:val="TableText"/>
              <w:jc w:val="center"/>
            </w:pPr>
            <w:r w:rsidRPr="00976D1C">
              <w:t>8.6</w:t>
            </w:r>
          </w:p>
        </w:tc>
        <w:tc>
          <w:tcPr>
            <w:tcW w:w="1417" w:type="dxa"/>
            <w:tcBorders>
              <w:top w:val="nil"/>
              <w:left w:val="nil"/>
              <w:bottom w:val="nil"/>
              <w:right w:val="nil"/>
            </w:tcBorders>
            <w:shd w:val="clear" w:color="auto" w:fill="CCEFFC"/>
          </w:tcPr>
          <w:p w14:paraId="4E204CE6" w14:textId="77777777" w:rsidR="00687D37" w:rsidRPr="00976D1C" w:rsidRDefault="00687D37" w:rsidP="00EC4213">
            <w:pPr>
              <w:pStyle w:val="TableText"/>
              <w:jc w:val="center"/>
            </w:pPr>
            <w:r w:rsidRPr="00976D1C">
              <w:t>22.8</w:t>
            </w:r>
          </w:p>
        </w:tc>
        <w:tc>
          <w:tcPr>
            <w:tcW w:w="1418" w:type="dxa"/>
            <w:tcBorders>
              <w:top w:val="nil"/>
              <w:left w:val="nil"/>
              <w:bottom w:val="nil"/>
              <w:right w:val="nil"/>
            </w:tcBorders>
            <w:shd w:val="clear" w:color="auto" w:fill="CCEFFC"/>
          </w:tcPr>
          <w:p w14:paraId="4832F2A3" w14:textId="77777777" w:rsidR="00687D37" w:rsidRPr="00976D1C" w:rsidRDefault="00687D37" w:rsidP="00EC4213">
            <w:pPr>
              <w:pStyle w:val="TableText"/>
              <w:jc w:val="center"/>
            </w:pPr>
            <w:r w:rsidRPr="00976D1C">
              <w:t>0.3</w:t>
            </w:r>
          </w:p>
        </w:tc>
      </w:tr>
      <w:tr w:rsidR="00687D37" w:rsidRPr="00976D1C" w14:paraId="63291A4E" w14:textId="77777777" w:rsidTr="00D01168">
        <w:tc>
          <w:tcPr>
            <w:tcW w:w="1951" w:type="dxa"/>
            <w:tcBorders>
              <w:top w:val="nil"/>
              <w:left w:val="nil"/>
              <w:bottom w:val="nil"/>
              <w:right w:val="nil"/>
            </w:tcBorders>
            <w:shd w:val="clear" w:color="auto" w:fill="CCE0ED"/>
          </w:tcPr>
          <w:p w14:paraId="5DB07685" w14:textId="77777777" w:rsidR="00687D37" w:rsidRPr="00976D1C" w:rsidRDefault="00687D37" w:rsidP="00EC4213">
            <w:pPr>
              <w:pStyle w:val="TableText"/>
            </w:pPr>
            <w:r w:rsidRPr="00976D1C">
              <w:t>15–24</w:t>
            </w:r>
          </w:p>
        </w:tc>
        <w:tc>
          <w:tcPr>
            <w:tcW w:w="1559" w:type="dxa"/>
            <w:tcBorders>
              <w:top w:val="nil"/>
              <w:left w:val="nil"/>
              <w:bottom w:val="nil"/>
              <w:right w:val="nil"/>
            </w:tcBorders>
            <w:shd w:val="clear" w:color="auto" w:fill="CCE0ED"/>
          </w:tcPr>
          <w:p w14:paraId="55BFB4C4" w14:textId="77777777" w:rsidR="00687D37" w:rsidRPr="00976D1C" w:rsidRDefault="00687D37" w:rsidP="00EC4213">
            <w:pPr>
              <w:pStyle w:val="TableText"/>
              <w:jc w:val="center"/>
            </w:pPr>
            <w:r w:rsidRPr="00976D1C">
              <w:t>87.7</w:t>
            </w:r>
          </w:p>
        </w:tc>
        <w:tc>
          <w:tcPr>
            <w:tcW w:w="1418" w:type="dxa"/>
            <w:tcBorders>
              <w:top w:val="nil"/>
              <w:left w:val="nil"/>
              <w:bottom w:val="nil"/>
              <w:right w:val="nil"/>
            </w:tcBorders>
            <w:shd w:val="clear" w:color="auto" w:fill="CCE0ED"/>
          </w:tcPr>
          <w:p w14:paraId="3686A4FC" w14:textId="77777777" w:rsidR="00687D37" w:rsidRPr="00976D1C" w:rsidRDefault="00687D37" w:rsidP="00EC4213">
            <w:pPr>
              <w:pStyle w:val="TableText"/>
              <w:jc w:val="center"/>
            </w:pPr>
            <w:r w:rsidRPr="00976D1C">
              <w:t>5.8</w:t>
            </w:r>
          </w:p>
        </w:tc>
        <w:tc>
          <w:tcPr>
            <w:tcW w:w="1417" w:type="dxa"/>
            <w:tcBorders>
              <w:top w:val="nil"/>
              <w:left w:val="nil"/>
              <w:bottom w:val="nil"/>
              <w:right w:val="nil"/>
            </w:tcBorders>
            <w:shd w:val="clear" w:color="auto" w:fill="CCE0ED"/>
          </w:tcPr>
          <w:p w14:paraId="667432F5" w14:textId="77777777" w:rsidR="00687D37" w:rsidRPr="00976D1C" w:rsidRDefault="00687D37" w:rsidP="00EC4213">
            <w:pPr>
              <w:pStyle w:val="TableText"/>
              <w:jc w:val="center"/>
            </w:pPr>
            <w:r w:rsidRPr="00976D1C">
              <w:t>5.1</w:t>
            </w:r>
          </w:p>
        </w:tc>
        <w:tc>
          <w:tcPr>
            <w:tcW w:w="1418" w:type="dxa"/>
            <w:tcBorders>
              <w:top w:val="nil"/>
              <w:left w:val="nil"/>
              <w:bottom w:val="nil"/>
              <w:right w:val="nil"/>
            </w:tcBorders>
            <w:shd w:val="clear" w:color="auto" w:fill="CCE0ED"/>
          </w:tcPr>
          <w:p w14:paraId="12D3D1ED" w14:textId="77777777" w:rsidR="00687D37" w:rsidRPr="00976D1C" w:rsidRDefault="00687D37" w:rsidP="00EC4213">
            <w:pPr>
              <w:pStyle w:val="TableText"/>
              <w:jc w:val="center"/>
            </w:pPr>
            <w:r w:rsidRPr="00976D1C">
              <w:t>1.2</w:t>
            </w:r>
          </w:p>
        </w:tc>
      </w:tr>
      <w:tr w:rsidR="00687D37" w:rsidRPr="00976D1C" w14:paraId="0ED33572" w14:textId="77777777" w:rsidTr="00D01168">
        <w:tc>
          <w:tcPr>
            <w:tcW w:w="1951" w:type="dxa"/>
            <w:tcBorders>
              <w:top w:val="nil"/>
              <w:left w:val="nil"/>
              <w:bottom w:val="nil"/>
              <w:right w:val="nil"/>
            </w:tcBorders>
            <w:shd w:val="clear" w:color="auto" w:fill="CCEFFC"/>
          </w:tcPr>
          <w:p w14:paraId="3AE31ECB" w14:textId="77777777" w:rsidR="00687D37" w:rsidRPr="00976D1C" w:rsidRDefault="00687D37" w:rsidP="00EC4213">
            <w:pPr>
              <w:pStyle w:val="TableText"/>
            </w:pPr>
            <w:r w:rsidRPr="00976D1C">
              <w:t>25–44</w:t>
            </w:r>
          </w:p>
        </w:tc>
        <w:tc>
          <w:tcPr>
            <w:tcW w:w="1559" w:type="dxa"/>
            <w:tcBorders>
              <w:top w:val="nil"/>
              <w:left w:val="nil"/>
              <w:bottom w:val="nil"/>
              <w:right w:val="nil"/>
            </w:tcBorders>
            <w:shd w:val="clear" w:color="auto" w:fill="CCEFFC"/>
          </w:tcPr>
          <w:p w14:paraId="36212046" w14:textId="77777777" w:rsidR="00687D37" w:rsidRPr="00976D1C" w:rsidRDefault="00687D37" w:rsidP="00EC4213">
            <w:pPr>
              <w:pStyle w:val="TableText"/>
              <w:jc w:val="center"/>
            </w:pPr>
            <w:r w:rsidRPr="00976D1C">
              <w:t>94.6</w:t>
            </w:r>
          </w:p>
        </w:tc>
        <w:tc>
          <w:tcPr>
            <w:tcW w:w="1418" w:type="dxa"/>
            <w:tcBorders>
              <w:top w:val="nil"/>
              <w:left w:val="nil"/>
              <w:bottom w:val="nil"/>
              <w:right w:val="nil"/>
            </w:tcBorders>
            <w:shd w:val="clear" w:color="auto" w:fill="CCEFFC"/>
          </w:tcPr>
          <w:p w14:paraId="2FDFDEB2" w14:textId="77777777" w:rsidR="00687D37" w:rsidRPr="00976D1C" w:rsidRDefault="00687D37" w:rsidP="00EC4213">
            <w:pPr>
              <w:pStyle w:val="TableText"/>
              <w:jc w:val="center"/>
            </w:pPr>
            <w:r w:rsidRPr="00976D1C">
              <w:t>4.0</w:t>
            </w:r>
          </w:p>
        </w:tc>
        <w:tc>
          <w:tcPr>
            <w:tcW w:w="1417" w:type="dxa"/>
            <w:tcBorders>
              <w:top w:val="nil"/>
              <w:left w:val="nil"/>
              <w:bottom w:val="nil"/>
              <w:right w:val="nil"/>
            </w:tcBorders>
            <w:shd w:val="clear" w:color="auto" w:fill="CCEFFC"/>
          </w:tcPr>
          <w:p w14:paraId="3A6F0E28" w14:textId="1D8557CA" w:rsidR="00687D37" w:rsidRPr="00976D1C" w:rsidRDefault="00A72648" w:rsidP="00EC4213">
            <w:pPr>
              <w:pStyle w:val="TableText"/>
              <w:jc w:val="center"/>
            </w:pPr>
            <w:r w:rsidRPr="00976D1C">
              <w:t>–</w:t>
            </w:r>
          </w:p>
        </w:tc>
        <w:tc>
          <w:tcPr>
            <w:tcW w:w="1418" w:type="dxa"/>
            <w:tcBorders>
              <w:top w:val="nil"/>
              <w:left w:val="nil"/>
              <w:bottom w:val="nil"/>
              <w:right w:val="nil"/>
            </w:tcBorders>
            <w:shd w:val="clear" w:color="auto" w:fill="CCEFFC"/>
          </w:tcPr>
          <w:p w14:paraId="517EF6E9" w14:textId="77777777" w:rsidR="00687D37" w:rsidRPr="00976D1C" w:rsidRDefault="00687D37" w:rsidP="00EC4213">
            <w:pPr>
              <w:pStyle w:val="TableText"/>
              <w:jc w:val="center"/>
            </w:pPr>
            <w:r w:rsidRPr="00976D1C">
              <w:t>1.4</w:t>
            </w:r>
          </w:p>
        </w:tc>
      </w:tr>
      <w:tr w:rsidR="00687D37" w:rsidRPr="00976D1C" w14:paraId="76AA7752" w14:textId="77777777" w:rsidTr="00D01168">
        <w:tc>
          <w:tcPr>
            <w:tcW w:w="1951" w:type="dxa"/>
            <w:tcBorders>
              <w:top w:val="nil"/>
              <w:left w:val="nil"/>
              <w:bottom w:val="nil"/>
              <w:right w:val="nil"/>
            </w:tcBorders>
            <w:shd w:val="clear" w:color="auto" w:fill="CCE0ED"/>
          </w:tcPr>
          <w:p w14:paraId="57B60000" w14:textId="77777777" w:rsidR="00687D37" w:rsidRPr="00976D1C" w:rsidRDefault="00687D37" w:rsidP="00EC4213">
            <w:pPr>
              <w:pStyle w:val="TableText"/>
            </w:pPr>
            <w:r w:rsidRPr="00976D1C">
              <w:t>45–64</w:t>
            </w:r>
          </w:p>
        </w:tc>
        <w:tc>
          <w:tcPr>
            <w:tcW w:w="1559" w:type="dxa"/>
            <w:tcBorders>
              <w:top w:val="nil"/>
              <w:left w:val="nil"/>
              <w:bottom w:val="nil"/>
              <w:right w:val="nil"/>
            </w:tcBorders>
            <w:shd w:val="clear" w:color="auto" w:fill="CCE0ED"/>
          </w:tcPr>
          <w:p w14:paraId="7C2AD291" w14:textId="77777777" w:rsidR="00687D37" w:rsidRPr="00976D1C" w:rsidRDefault="00687D37" w:rsidP="00EC4213">
            <w:pPr>
              <w:pStyle w:val="TableText"/>
              <w:jc w:val="center"/>
            </w:pPr>
            <w:r w:rsidRPr="00976D1C">
              <w:t>95.3</w:t>
            </w:r>
          </w:p>
        </w:tc>
        <w:tc>
          <w:tcPr>
            <w:tcW w:w="1418" w:type="dxa"/>
            <w:tcBorders>
              <w:top w:val="nil"/>
              <w:left w:val="nil"/>
              <w:bottom w:val="nil"/>
              <w:right w:val="nil"/>
            </w:tcBorders>
            <w:shd w:val="clear" w:color="auto" w:fill="CCE0ED"/>
          </w:tcPr>
          <w:p w14:paraId="11DD0B53" w14:textId="77777777" w:rsidR="00687D37" w:rsidRPr="00976D1C" w:rsidRDefault="00687D37" w:rsidP="00EC4213">
            <w:pPr>
              <w:pStyle w:val="TableText"/>
              <w:jc w:val="center"/>
            </w:pPr>
            <w:r w:rsidRPr="00976D1C">
              <w:t>3.8</w:t>
            </w:r>
          </w:p>
        </w:tc>
        <w:tc>
          <w:tcPr>
            <w:tcW w:w="1417" w:type="dxa"/>
            <w:tcBorders>
              <w:top w:val="nil"/>
              <w:left w:val="nil"/>
              <w:bottom w:val="nil"/>
              <w:right w:val="nil"/>
            </w:tcBorders>
            <w:shd w:val="clear" w:color="auto" w:fill="CCE0ED"/>
          </w:tcPr>
          <w:p w14:paraId="6808325C" w14:textId="5E726A29" w:rsidR="00687D37" w:rsidRPr="00976D1C" w:rsidRDefault="00A72648" w:rsidP="00EC4213">
            <w:pPr>
              <w:pStyle w:val="TableText"/>
              <w:jc w:val="center"/>
            </w:pPr>
            <w:r w:rsidRPr="00976D1C">
              <w:t>–</w:t>
            </w:r>
          </w:p>
        </w:tc>
        <w:tc>
          <w:tcPr>
            <w:tcW w:w="1418" w:type="dxa"/>
            <w:tcBorders>
              <w:top w:val="nil"/>
              <w:left w:val="nil"/>
              <w:bottom w:val="nil"/>
              <w:right w:val="nil"/>
            </w:tcBorders>
            <w:shd w:val="clear" w:color="auto" w:fill="CCE0ED"/>
          </w:tcPr>
          <w:p w14:paraId="1D80F101" w14:textId="77777777" w:rsidR="00687D37" w:rsidRPr="00976D1C" w:rsidRDefault="00687D37" w:rsidP="00EC4213">
            <w:pPr>
              <w:pStyle w:val="TableText"/>
              <w:jc w:val="center"/>
            </w:pPr>
            <w:r w:rsidRPr="00976D1C">
              <w:t>0.9</w:t>
            </w:r>
          </w:p>
        </w:tc>
      </w:tr>
      <w:tr w:rsidR="00687D37" w:rsidRPr="00976D1C" w14:paraId="4C8D1FEA" w14:textId="77777777" w:rsidTr="00D01168">
        <w:tc>
          <w:tcPr>
            <w:tcW w:w="1951" w:type="dxa"/>
            <w:tcBorders>
              <w:top w:val="nil"/>
              <w:left w:val="nil"/>
              <w:bottom w:val="nil"/>
              <w:right w:val="nil"/>
            </w:tcBorders>
            <w:shd w:val="clear" w:color="auto" w:fill="CCEFFC"/>
          </w:tcPr>
          <w:p w14:paraId="04B07B54" w14:textId="77777777" w:rsidR="00687D37" w:rsidRPr="00976D1C" w:rsidRDefault="00687D37" w:rsidP="00EC4213">
            <w:pPr>
              <w:pStyle w:val="TableText"/>
            </w:pPr>
            <w:r w:rsidRPr="00976D1C">
              <w:t>65+</w:t>
            </w:r>
          </w:p>
        </w:tc>
        <w:tc>
          <w:tcPr>
            <w:tcW w:w="1559" w:type="dxa"/>
            <w:tcBorders>
              <w:top w:val="nil"/>
              <w:left w:val="nil"/>
              <w:bottom w:val="nil"/>
              <w:right w:val="nil"/>
            </w:tcBorders>
            <w:shd w:val="clear" w:color="auto" w:fill="CCEFFC"/>
          </w:tcPr>
          <w:p w14:paraId="017806C8" w14:textId="77777777" w:rsidR="00687D37" w:rsidRPr="00976D1C" w:rsidRDefault="00687D37" w:rsidP="00EC4213">
            <w:pPr>
              <w:pStyle w:val="TableText"/>
              <w:jc w:val="center"/>
            </w:pPr>
            <w:r w:rsidRPr="00976D1C">
              <w:t>87.9</w:t>
            </w:r>
          </w:p>
        </w:tc>
        <w:tc>
          <w:tcPr>
            <w:tcW w:w="1418" w:type="dxa"/>
            <w:tcBorders>
              <w:top w:val="nil"/>
              <w:left w:val="nil"/>
              <w:bottom w:val="nil"/>
              <w:right w:val="nil"/>
            </w:tcBorders>
            <w:shd w:val="clear" w:color="auto" w:fill="CCEFFC"/>
          </w:tcPr>
          <w:p w14:paraId="74A8E225" w14:textId="77777777" w:rsidR="00687D37" w:rsidRPr="00976D1C" w:rsidRDefault="00687D37" w:rsidP="00EC4213">
            <w:pPr>
              <w:pStyle w:val="TableText"/>
              <w:jc w:val="center"/>
            </w:pPr>
            <w:r w:rsidRPr="00976D1C">
              <w:t>11.6</w:t>
            </w:r>
          </w:p>
        </w:tc>
        <w:tc>
          <w:tcPr>
            <w:tcW w:w="1417" w:type="dxa"/>
            <w:tcBorders>
              <w:top w:val="nil"/>
              <w:left w:val="nil"/>
              <w:bottom w:val="nil"/>
              <w:right w:val="nil"/>
            </w:tcBorders>
            <w:shd w:val="clear" w:color="auto" w:fill="CCEFFC"/>
          </w:tcPr>
          <w:p w14:paraId="0DF8AE31" w14:textId="7BDCDB4E" w:rsidR="00687D37" w:rsidRPr="00976D1C" w:rsidRDefault="00A72648" w:rsidP="00EC4213">
            <w:pPr>
              <w:pStyle w:val="TableText"/>
              <w:jc w:val="center"/>
            </w:pPr>
            <w:r w:rsidRPr="00976D1C">
              <w:t>–</w:t>
            </w:r>
          </w:p>
        </w:tc>
        <w:tc>
          <w:tcPr>
            <w:tcW w:w="1418" w:type="dxa"/>
            <w:tcBorders>
              <w:top w:val="nil"/>
              <w:left w:val="nil"/>
              <w:bottom w:val="nil"/>
              <w:right w:val="nil"/>
            </w:tcBorders>
            <w:shd w:val="clear" w:color="auto" w:fill="CCEFFC"/>
          </w:tcPr>
          <w:p w14:paraId="183F397D" w14:textId="77777777" w:rsidR="00687D37" w:rsidRPr="00976D1C" w:rsidRDefault="00687D37" w:rsidP="00EC4213">
            <w:pPr>
              <w:pStyle w:val="TableText"/>
              <w:jc w:val="center"/>
            </w:pPr>
            <w:r w:rsidRPr="00976D1C">
              <w:t>0.5</w:t>
            </w:r>
          </w:p>
        </w:tc>
      </w:tr>
      <w:tr w:rsidR="00687D37" w:rsidRPr="00976D1C" w14:paraId="6067313A" w14:textId="77777777" w:rsidTr="00D01168">
        <w:tc>
          <w:tcPr>
            <w:tcW w:w="1951" w:type="dxa"/>
            <w:tcBorders>
              <w:top w:val="nil"/>
              <w:left w:val="nil"/>
              <w:bottom w:val="nil"/>
              <w:right w:val="nil"/>
            </w:tcBorders>
            <w:shd w:val="clear" w:color="auto" w:fill="CCE0ED"/>
          </w:tcPr>
          <w:p w14:paraId="5D0E33FD" w14:textId="77777777" w:rsidR="00687D37" w:rsidRPr="00976D1C" w:rsidRDefault="00687D37" w:rsidP="00EC4213">
            <w:pPr>
              <w:pStyle w:val="TableText"/>
            </w:pPr>
            <w:r w:rsidRPr="00976D1C">
              <w:rPr>
                <w:b/>
              </w:rPr>
              <w:t>All people 2+</w:t>
            </w:r>
          </w:p>
        </w:tc>
        <w:tc>
          <w:tcPr>
            <w:tcW w:w="1559" w:type="dxa"/>
            <w:tcBorders>
              <w:top w:val="nil"/>
              <w:left w:val="nil"/>
              <w:bottom w:val="nil"/>
              <w:right w:val="nil"/>
            </w:tcBorders>
            <w:shd w:val="clear" w:color="auto" w:fill="CCE0ED"/>
          </w:tcPr>
          <w:p w14:paraId="04ED64E7" w14:textId="77777777" w:rsidR="00687D37" w:rsidRPr="00976D1C" w:rsidRDefault="00687D37" w:rsidP="00EC4213">
            <w:pPr>
              <w:pStyle w:val="TableText"/>
              <w:jc w:val="center"/>
            </w:pPr>
            <w:r w:rsidRPr="00976D1C">
              <w:rPr>
                <w:b/>
              </w:rPr>
              <w:t>88.2</w:t>
            </w:r>
          </w:p>
        </w:tc>
        <w:tc>
          <w:tcPr>
            <w:tcW w:w="1418" w:type="dxa"/>
            <w:tcBorders>
              <w:top w:val="nil"/>
              <w:left w:val="nil"/>
              <w:bottom w:val="nil"/>
              <w:right w:val="nil"/>
            </w:tcBorders>
            <w:shd w:val="clear" w:color="auto" w:fill="CCE0ED"/>
          </w:tcPr>
          <w:p w14:paraId="2244AC4A" w14:textId="77777777" w:rsidR="00687D37" w:rsidRPr="00976D1C" w:rsidRDefault="00687D37" w:rsidP="00EC4213">
            <w:pPr>
              <w:pStyle w:val="TableText"/>
              <w:jc w:val="center"/>
            </w:pPr>
            <w:r w:rsidRPr="00976D1C">
              <w:rPr>
                <w:b/>
              </w:rPr>
              <w:t>6.1</w:t>
            </w:r>
          </w:p>
        </w:tc>
        <w:tc>
          <w:tcPr>
            <w:tcW w:w="1417" w:type="dxa"/>
            <w:tcBorders>
              <w:top w:val="nil"/>
              <w:left w:val="nil"/>
              <w:bottom w:val="nil"/>
              <w:right w:val="nil"/>
            </w:tcBorders>
            <w:shd w:val="clear" w:color="auto" w:fill="CCE0ED"/>
          </w:tcPr>
          <w:p w14:paraId="3F925977" w14:textId="77777777" w:rsidR="00687D37" w:rsidRPr="00976D1C" w:rsidRDefault="00687D37" w:rsidP="00EC4213">
            <w:pPr>
              <w:pStyle w:val="TableText"/>
              <w:jc w:val="center"/>
            </w:pPr>
            <w:r w:rsidRPr="00976D1C">
              <w:rPr>
                <w:b/>
              </w:rPr>
              <w:t>4.8</w:t>
            </w:r>
          </w:p>
        </w:tc>
        <w:tc>
          <w:tcPr>
            <w:tcW w:w="1418" w:type="dxa"/>
            <w:tcBorders>
              <w:top w:val="nil"/>
              <w:left w:val="nil"/>
              <w:bottom w:val="nil"/>
              <w:right w:val="nil"/>
            </w:tcBorders>
            <w:shd w:val="clear" w:color="auto" w:fill="CCE0ED"/>
          </w:tcPr>
          <w:p w14:paraId="6C7F081D" w14:textId="77777777" w:rsidR="00687D37" w:rsidRPr="00976D1C" w:rsidRDefault="00687D37" w:rsidP="00EC4213">
            <w:pPr>
              <w:pStyle w:val="TableText"/>
              <w:jc w:val="center"/>
            </w:pPr>
            <w:r w:rsidRPr="00976D1C">
              <w:rPr>
                <w:b/>
              </w:rPr>
              <w:t>1.0</w:t>
            </w:r>
          </w:p>
        </w:tc>
      </w:tr>
      <w:tr w:rsidR="00687D37" w:rsidRPr="00976D1C" w14:paraId="3989EAE1" w14:textId="77777777" w:rsidTr="00D01168">
        <w:tc>
          <w:tcPr>
            <w:tcW w:w="1951" w:type="dxa"/>
            <w:tcBorders>
              <w:top w:val="nil"/>
              <w:left w:val="nil"/>
              <w:bottom w:val="nil"/>
              <w:right w:val="nil"/>
            </w:tcBorders>
            <w:shd w:val="clear" w:color="auto" w:fill="CCEFFC"/>
          </w:tcPr>
          <w:p w14:paraId="71D85F1A" w14:textId="77777777" w:rsidR="00687D37" w:rsidRPr="00976D1C" w:rsidRDefault="00687D37" w:rsidP="00EC4213">
            <w:pPr>
              <w:pStyle w:val="TableText"/>
            </w:pPr>
            <w:r w:rsidRPr="00976D1C">
              <w:rPr>
                <w:b/>
              </w:rPr>
              <w:t>All people 5+</w:t>
            </w:r>
          </w:p>
        </w:tc>
        <w:tc>
          <w:tcPr>
            <w:tcW w:w="1559" w:type="dxa"/>
            <w:tcBorders>
              <w:top w:val="nil"/>
              <w:left w:val="nil"/>
              <w:bottom w:val="nil"/>
              <w:right w:val="nil"/>
            </w:tcBorders>
            <w:shd w:val="clear" w:color="auto" w:fill="CCEFFC"/>
          </w:tcPr>
          <w:p w14:paraId="14C54AE7" w14:textId="77777777" w:rsidR="00687D37" w:rsidRPr="00976D1C" w:rsidRDefault="00687D37" w:rsidP="00EC4213">
            <w:pPr>
              <w:pStyle w:val="TableText"/>
              <w:jc w:val="center"/>
            </w:pPr>
            <w:r w:rsidRPr="00976D1C">
              <w:rPr>
                <w:b/>
              </w:rPr>
              <w:t>88.3</w:t>
            </w:r>
          </w:p>
        </w:tc>
        <w:tc>
          <w:tcPr>
            <w:tcW w:w="1418" w:type="dxa"/>
            <w:tcBorders>
              <w:top w:val="nil"/>
              <w:left w:val="nil"/>
              <w:bottom w:val="nil"/>
              <w:right w:val="nil"/>
            </w:tcBorders>
            <w:shd w:val="clear" w:color="auto" w:fill="CCEFFC"/>
          </w:tcPr>
          <w:p w14:paraId="6FD74D77" w14:textId="77777777" w:rsidR="00687D37" w:rsidRPr="00976D1C" w:rsidRDefault="00687D37" w:rsidP="00EC4213">
            <w:pPr>
              <w:pStyle w:val="TableText"/>
              <w:jc w:val="center"/>
            </w:pPr>
            <w:r w:rsidRPr="00976D1C">
              <w:rPr>
                <w:b/>
              </w:rPr>
              <w:t>6.0</w:t>
            </w:r>
          </w:p>
        </w:tc>
        <w:tc>
          <w:tcPr>
            <w:tcW w:w="1417" w:type="dxa"/>
            <w:tcBorders>
              <w:top w:val="nil"/>
              <w:left w:val="nil"/>
              <w:bottom w:val="nil"/>
              <w:right w:val="nil"/>
            </w:tcBorders>
            <w:shd w:val="clear" w:color="auto" w:fill="CCEFFC"/>
          </w:tcPr>
          <w:p w14:paraId="31C3CE5C" w14:textId="77777777" w:rsidR="00687D37" w:rsidRPr="00976D1C" w:rsidRDefault="00687D37" w:rsidP="00EC4213">
            <w:pPr>
              <w:pStyle w:val="TableText"/>
              <w:jc w:val="center"/>
            </w:pPr>
            <w:r w:rsidRPr="00976D1C">
              <w:rPr>
                <w:b/>
              </w:rPr>
              <w:t>4.8</w:t>
            </w:r>
          </w:p>
        </w:tc>
        <w:tc>
          <w:tcPr>
            <w:tcW w:w="1418" w:type="dxa"/>
            <w:tcBorders>
              <w:top w:val="nil"/>
              <w:left w:val="nil"/>
              <w:bottom w:val="nil"/>
              <w:right w:val="nil"/>
            </w:tcBorders>
            <w:shd w:val="clear" w:color="auto" w:fill="CCEFFC"/>
          </w:tcPr>
          <w:p w14:paraId="3FD06A47" w14:textId="77777777" w:rsidR="00687D37" w:rsidRPr="00976D1C" w:rsidRDefault="00687D37" w:rsidP="00EC4213">
            <w:pPr>
              <w:pStyle w:val="TableText"/>
              <w:jc w:val="center"/>
            </w:pPr>
            <w:r w:rsidRPr="00976D1C">
              <w:rPr>
                <w:b/>
              </w:rPr>
              <w:t>0.9</w:t>
            </w:r>
          </w:p>
        </w:tc>
      </w:tr>
    </w:tbl>
    <w:p w14:paraId="70B29A3B" w14:textId="135039CF" w:rsidR="0058066B" w:rsidRPr="00976D1C" w:rsidRDefault="0058066B" w:rsidP="00EC4213">
      <w:pPr>
        <w:pStyle w:val="Tablenotes"/>
      </w:pPr>
      <w:r w:rsidRPr="00976D1C">
        <w:t xml:space="preserve">Source: AIHW, </w:t>
      </w:r>
      <w:r w:rsidRPr="00976D1C">
        <w:rPr>
          <w:lang w:eastAsia="en-AU"/>
        </w:rPr>
        <w:t>Chrisopoulos S &amp; Harford JE 2013. Oral health and dental care in Australia: key facts and figures 2012. Cat. no. DEN 224. Canberra: AIHW</w:t>
      </w:r>
    </w:p>
    <w:p w14:paraId="4AD5DCB6" w14:textId="28C93685" w:rsidR="005C1A78" w:rsidRPr="00976D1C" w:rsidRDefault="005C1A78" w:rsidP="00EC4213">
      <w:pPr>
        <w:pStyle w:val="Heading2"/>
      </w:pPr>
      <w:bookmarkStart w:id="33" w:name="_Toc407634411"/>
      <w:bookmarkEnd w:id="25"/>
      <w:r w:rsidRPr="00976D1C">
        <w:lastRenderedPageBreak/>
        <w:t>What workforces deliver oral health services?</w:t>
      </w:r>
      <w:bookmarkEnd w:id="33"/>
    </w:p>
    <w:p w14:paraId="09811B9F" w14:textId="2D56AD5E" w:rsidR="005C1A78" w:rsidRPr="00976D1C" w:rsidRDefault="005C1A78" w:rsidP="00EC4213">
      <w:r w:rsidRPr="00976D1C">
        <w:t>Australia’s oral health workforce is comprised of a broad mix of care providers and support workers</w:t>
      </w:r>
      <w:r w:rsidR="00227979" w:rsidRPr="00976D1C">
        <w:t xml:space="preserve"> providing services to consumers through the public and private sectors</w:t>
      </w:r>
      <w:r w:rsidRPr="00976D1C">
        <w:t>. The following registere</w:t>
      </w:r>
      <w:r w:rsidR="00213D50" w:rsidRPr="00976D1C">
        <w:t>d</w:t>
      </w:r>
      <w:r w:rsidR="00447A46" w:rsidRPr="00A90656">
        <w:rPr>
          <w:rStyle w:val="FootnoteReference"/>
        </w:rPr>
        <w:footnoteReference w:id="1"/>
      </w:r>
      <w:r w:rsidR="00447A46" w:rsidRPr="00976D1C">
        <w:t xml:space="preserve"> </w:t>
      </w:r>
      <w:r w:rsidRPr="00976D1C">
        <w:t>and unregistered occupations provide oral health services in Australia.</w:t>
      </w:r>
      <w:r w:rsidR="00C65DF0" w:rsidRPr="00976D1C">
        <w:t xml:space="preserve"> </w:t>
      </w:r>
    </w:p>
    <w:p w14:paraId="390D4CA6" w14:textId="77777777" w:rsidR="005C1A78" w:rsidRPr="00976D1C" w:rsidRDefault="005C1A78" w:rsidP="00EC4213">
      <w:r w:rsidRPr="00976D1C">
        <w:t>Registered workforces:</w:t>
      </w:r>
    </w:p>
    <w:p w14:paraId="4E424463" w14:textId="3E2EEB7F" w:rsidR="005C1A78" w:rsidRPr="00976D1C" w:rsidRDefault="005C1A78" w:rsidP="00EC4213">
      <w:pPr>
        <w:pStyle w:val="ListParagraph"/>
        <w:numPr>
          <w:ilvl w:val="0"/>
          <w:numId w:val="29"/>
        </w:numPr>
      </w:pPr>
      <w:r w:rsidRPr="00976D1C">
        <w:t>Dentists –</w:t>
      </w:r>
      <w:r w:rsidR="007361CB" w:rsidRPr="00976D1C">
        <w:t xml:space="preserve"> </w:t>
      </w:r>
      <w:r w:rsidRPr="00976D1C">
        <w:t>which includes general dentists and dental specialists</w:t>
      </w:r>
    </w:p>
    <w:p w14:paraId="5F4659C3" w14:textId="77777777" w:rsidR="005C1A78" w:rsidRPr="00976D1C" w:rsidRDefault="005C1A78" w:rsidP="00EC4213">
      <w:pPr>
        <w:pStyle w:val="ListParagraph"/>
        <w:numPr>
          <w:ilvl w:val="0"/>
          <w:numId w:val="29"/>
        </w:numPr>
      </w:pPr>
      <w:r w:rsidRPr="00976D1C">
        <w:t>Dental hygienists</w:t>
      </w:r>
    </w:p>
    <w:p w14:paraId="28EE78D7" w14:textId="77777777" w:rsidR="005C1A78" w:rsidRPr="00976D1C" w:rsidRDefault="005C1A78" w:rsidP="00EC4213">
      <w:pPr>
        <w:pStyle w:val="ListParagraph"/>
        <w:numPr>
          <w:ilvl w:val="0"/>
          <w:numId w:val="29"/>
        </w:numPr>
      </w:pPr>
      <w:r w:rsidRPr="00976D1C">
        <w:t>Dental therapists</w:t>
      </w:r>
    </w:p>
    <w:p w14:paraId="5F9E9244" w14:textId="77777777" w:rsidR="005C1A78" w:rsidRPr="00976D1C" w:rsidRDefault="005C1A78" w:rsidP="00EC4213">
      <w:pPr>
        <w:pStyle w:val="ListParagraph"/>
        <w:numPr>
          <w:ilvl w:val="0"/>
          <w:numId w:val="29"/>
        </w:numPr>
      </w:pPr>
      <w:r w:rsidRPr="00976D1C">
        <w:t>Oral health therapists</w:t>
      </w:r>
    </w:p>
    <w:p w14:paraId="615E2373" w14:textId="77777777" w:rsidR="005C1A78" w:rsidRPr="00976D1C" w:rsidRDefault="005C1A78" w:rsidP="00EC4213">
      <w:pPr>
        <w:pStyle w:val="ListParagraph"/>
        <w:numPr>
          <w:ilvl w:val="0"/>
          <w:numId w:val="29"/>
        </w:numPr>
      </w:pPr>
      <w:r w:rsidRPr="00976D1C">
        <w:t>Dental prosthetists</w:t>
      </w:r>
    </w:p>
    <w:p w14:paraId="7382F06E" w14:textId="77777777" w:rsidR="005C1A78" w:rsidRPr="00976D1C" w:rsidRDefault="005C1A78" w:rsidP="00EC4213">
      <w:r w:rsidRPr="00976D1C">
        <w:t>Unregistered workforces</w:t>
      </w:r>
    </w:p>
    <w:p w14:paraId="014E9D42" w14:textId="77777777" w:rsidR="005C1A78" w:rsidRPr="00976D1C" w:rsidRDefault="005C1A78" w:rsidP="00EC4213">
      <w:pPr>
        <w:pStyle w:val="ListParagraph"/>
        <w:numPr>
          <w:ilvl w:val="0"/>
          <w:numId w:val="30"/>
        </w:numPr>
      </w:pPr>
      <w:r w:rsidRPr="00976D1C">
        <w:t>Dental assistants</w:t>
      </w:r>
    </w:p>
    <w:p w14:paraId="3FF392AA" w14:textId="77777777" w:rsidR="005C1A78" w:rsidRPr="00976D1C" w:rsidRDefault="005C1A78" w:rsidP="00EC4213">
      <w:pPr>
        <w:pStyle w:val="ListParagraph"/>
        <w:numPr>
          <w:ilvl w:val="0"/>
          <w:numId w:val="30"/>
        </w:numPr>
      </w:pPr>
      <w:r w:rsidRPr="00976D1C">
        <w:t xml:space="preserve">Dental technicians. </w:t>
      </w:r>
    </w:p>
    <w:p w14:paraId="7E4E6B9B" w14:textId="038B5A42" w:rsidR="005C1A78" w:rsidRPr="00976D1C" w:rsidRDefault="005C1A78" w:rsidP="00EC4213">
      <w:r w:rsidRPr="00976D1C">
        <w:t xml:space="preserve">A detailed description of oral health workforce roles is provided in Appendix </w:t>
      </w:r>
      <w:r w:rsidR="003127EE" w:rsidRPr="00976D1C">
        <w:t>D</w:t>
      </w:r>
      <w:r w:rsidRPr="00976D1C">
        <w:t xml:space="preserve">. </w:t>
      </w:r>
    </w:p>
    <w:p w14:paraId="73F0DD57" w14:textId="7510387D" w:rsidR="00481026" w:rsidRPr="00976D1C" w:rsidRDefault="00481026" w:rsidP="00EC4213">
      <w:pPr>
        <w:pStyle w:val="Heading2"/>
      </w:pPr>
      <w:bookmarkStart w:id="34" w:name="_Toc407634412"/>
      <w:r w:rsidRPr="00976D1C">
        <w:t>Policy context</w:t>
      </w:r>
      <w:bookmarkEnd w:id="34"/>
    </w:p>
    <w:p w14:paraId="7A68508F" w14:textId="36C9397F" w:rsidR="00481026" w:rsidRPr="00976D1C" w:rsidRDefault="00481026" w:rsidP="00EC4213">
      <w:r w:rsidRPr="00976D1C">
        <w:rPr>
          <w:i/>
        </w:rPr>
        <w:t>Health Mouths, Healthy Lives – Australia’s National Oral Health Plan 2004 – 2013</w:t>
      </w:r>
      <w:r w:rsidRPr="00976D1C">
        <w:t xml:space="preserve"> guide</w:t>
      </w:r>
      <w:r w:rsidR="00E2386F" w:rsidRPr="00976D1C">
        <w:t>d</w:t>
      </w:r>
      <w:r w:rsidRPr="00976D1C">
        <w:t xml:space="preserve"> efforts to improve oral health in Australia. This plan was supported by Commonwealth, State and Territory Health Ministers, and aimed to ‘improve health and wellbeing across the Australian population by improving oral health status and reducing the burden of oral disease’. The Plan identified workforce development as an action area, calling for consistent national planning </w:t>
      </w:r>
      <w:r w:rsidRPr="00976D1C">
        <w:rPr>
          <w:rFonts w:cs="Century Gothic"/>
          <w:lang w:eastAsia="en-AU"/>
        </w:rPr>
        <w:t xml:space="preserve">across all states and territories and an understanding of the appropriate aggregate number and mix of oral health professionals. Additionally, it identified the following as specific action areas: </w:t>
      </w:r>
      <w:r w:rsidR="005B5E8D" w:rsidRPr="00976D1C">
        <w:t>children and adolescents,</w:t>
      </w:r>
      <w:r w:rsidR="005B5E8D" w:rsidRPr="00976D1C">
        <w:rPr>
          <w:rFonts w:cs="Times"/>
          <w:lang w:eastAsia="en-AU"/>
        </w:rPr>
        <w:t xml:space="preserve"> older people, low </w:t>
      </w:r>
      <w:r w:rsidR="008B3D6F" w:rsidRPr="00976D1C">
        <w:rPr>
          <w:rFonts w:cs="Times"/>
          <w:lang w:eastAsia="en-AU"/>
        </w:rPr>
        <w:t>income and social</w:t>
      </w:r>
      <w:r w:rsidR="00365F24" w:rsidRPr="00976D1C">
        <w:rPr>
          <w:rFonts w:cs="Times"/>
          <w:lang w:eastAsia="en-AU"/>
        </w:rPr>
        <w:t>ly</w:t>
      </w:r>
      <w:r w:rsidR="008B3D6F" w:rsidRPr="00976D1C">
        <w:rPr>
          <w:rFonts w:cs="Times"/>
          <w:lang w:eastAsia="en-AU"/>
        </w:rPr>
        <w:t xml:space="preserve"> disadvantage</w:t>
      </w:r>
      <w:r w:rsidR="00365F24" w:rsidRPr="00976D1C">
        <w:rPr>
          <w:rFonts w:cs="Times"/>
          <w:lang w:eastAsia="en-AU"/>
        </w:rPr>
        <w:t>d people</w:t>
      </w:r>
      <w:r w:rsidR="005B5E8D" w:rsidRPr="00976D1C">
        <w:rPr>
          <w:rFonts w:cs="Times"/>
          <w:lang w:eastAsia="en-AU"/>
        </w:rPr>
        <w:t xml:space="preserve">, </w:t>
      </w:r>
      <w:r w:rsidRPr="00976D1C">
        <w:rPr>
          <w:rFonts w:cs="Times"/>
          <w:lang w:eastAsia="en-AU"/>
        </w:rPr>
        <w:t xml:space="preserve">Aboriginal and </w:t>
      </w:r>
      <w:r w:rsidR="005B5E8D" w:rsidRPr="00976D1C">
        <w:rPr>
          <w:rFonts w:cs="Times"/>
          <w:lang w:eastAsia="en-AU"/>
        </w:rPr>
        <w:t>Torres Strait Islander peoples, those with special needs</w:t>
      </w:r>
      <w:r w:rsidR="005B5E8D" w:rsidRPr="00976D1C">
        <w:t xml:space="preserve"> </w:t>
      </w:r>
      <w:r w:rsidRPr="00976D1C">
        <w:t>and people living in rural and remote areas.</w:t>
      </w:r>
      <w:r w:rsidR="00C65DF0" w:rsidRPr="00976D1C">
        <w:t xml:space="preserve"> </w:t>
      </w:r>
    </w:p>
    <w:p w14:paraId="0EE764D4" w14:textId="2DA844D2" w:rsidR="00481026" w:rsidRPr="00976D1C" w:rsidRDefault="00481026" w:rsidP="00EC4213">
      <w:r w:rsidRPr="00976D1C">
        <w:t>With the current plan reaching the end of its lifespan, the Standing Council on Health</w:t>
      </w:r>
      <w:r w:rsidR="00222858" w:rsidRPr="00976D1C">
        <w:t>,</w:t>
      </w:r>
      <w:r w:rsidRPr="00976D1C">
        <w:t xml:space="preserve"> through the Australian Health Ministers’ Advisory Council</w:t>
      </w:r>
      <w:r w:rsidR="00222858" w:rsidRPr="00976D1C">
        <w:t>,</w:t>
      </w:r>
      <w:r w:rsidRPr="00976D1C">
        <w:t xml:space="preserve"> has tasked the National Oral Health Plan Monitoring Group to develop a new national plan for the period 2014-2023. This is currently underway, and is expected to be </w:t>
      </w:r>
      <w:r w:rsidR="00E2386F" w:rsidRPr="00976D1C">
        <w:t>signed</w:t>
      </w:r>
      <w:r w:rsidR="00365F24" w:rsidRPr="00976D1C">
        <w:t xml:space="preserve"> </w:t>
      </w:r>
      <w:r w:rsidR="00E2386F" w:rsidRPr="00976D1C">
        <w:t>off in 2014.</w:t>
      </w:r>
    </w:p>
    <w:p w14:paraId="5E13DBA0" w14:textId="2B6508FA" w:rsidR="00481026" w:rsidRPr="00976D1C" w:rsidRDefault="00481026" w:rsidP="00EC4213">
      <w:r w:rsidRPr="00976D1C">
        <w:lastRenderedPageBreak/>
        <w:t xml:space="preserve">In 2009, the National Health and Hospitals Reform Commission (NHHRC) report </w:t>
      </w:r>
      <w:r w:rsidRPr="00976D1C">
        <w:rPr>
          <w:i/>
        </w:rPr>
        <w:t>A healthier future for all Australians</w:t>
      </w:r>
      <w:r w:rsidRPr="00976D1C">
        <w:t xml:space="preserve"> identified i</w:t>
      </w:r>
      <w:r w:rsidR="00CA1B0E" w:rsidRPr="00976D1C">
        <w:t>mproved access to dental health</w:t>
      </w:r>
      <w:r w:rsidRPr="00976D1C">
        <w:t>care as a priority under the reform goal to tackle ‘major access and equity issues that affect h</w:t>
      </w:r>
      <w:r w:rsidR="00222858" w:rsidRPr="00976D1C">
        <w:t xml:space="preserve">ealth outcomes for people now’. </w:t>
      </w:r>
      <w:r w:rsidRPr="00976D1C">
        <w:t xml:space="preserve">Recommendations from this report included a new universal scheme for access to basic dental services, internships for graduating dentists and oral health professionals to provide broader clinical experience and training, as well as to expand the public dental workforce, and the national expansion of preschool and school dental </w:t>
      </w:r>
      <w:r w:rsidR="00DA310F" w:rsidRPr="00976D1C">
        <w:t>programme</w:t>
      </w:r>
      <w:r w:rsidRPr="00976D1C">
        <w:t>s.</w:t>
      </w:r>
    </w:p>
    <w:p w14:paraId="4BF4C714" w14:textId="62702789" w:rsidR="00F60CF7" w:rsidRPr="00976D1C" w:rsidRDefault="00085EEA" w:rsidP="00EC4213">
      <w:r w:rsidRPr="00976D1C">
        <w:t xml:space="preserve">In 2011, the National Advisory Council on Dental Health was established to provide strategic, independent advice on dental health issues. This informed the development of new dental measures in the 2012-13 Budget and the measures announced in August 2012 by the then Minister for Health (outlined in the Mid-Year Economic and Fiscal Outlook 2012-13). </w:t>
      </w:r>
    </w:p>
    <w:p w14:paraId="36FFCBAD" w14:textId="77777777" w:rsidR="00085EEA" w:rsidRPr="00976D1C" w:rsidRDefault="00085EEA" w:rsidP="00EC4213">
      <w:r w:rsidRPr="00976D1C">
        <w:t>In the 2012-13 Budget, $344 million was allocated to the NPA on Treating More Public Dental Patients. The programme runs over three years from 2012-13 until 2014-15 and has a national target to treat an additional 400,000 public dental patients.</w:t>
      </w:r>
    </w:p>
    <w:p w14:paraId="467DC80B" w14:textId="2F0EF0CA" w:rsidR="00085EEA" w:rsidRPr="00976D1C" w:rsidRDefault="00085EEA" w:rsidP="00EC4213">
      <w:r w:rsidRPr="00976D1C">
        <w:t xml:space="preserve">The Government also committed to the NPA on Adult Public Dental Services, which will provide public dental services to adult public dental patients, as announced in August 2012 by the then Minister for Health (outlined in the Mid-Year Economic and Fiscal Outlook 2012-13). </w:t>
      </w:r>
      <w:r w:rsidR="007403CC" w:rsidRPr="00976D1C">
        <w:t>The Child Dental Benefits Schedule was implemented from 1 January 2014.</w:t>
      </w:r>
    </w:p>
    <w:p w14:paraId="064FACD0" w14:textId="17FEA90A" w:rsidR="004F23BD" w:rsidRPr="00976D1C" w:rsidRDefault="00365F24" w:rsidP="00EC4213">
      <w:pPr>
        <w:pStyle w:val="Heading1"/>
      </w:pPr>
      <w:bookmarkStart w:id="35" w:name="_Toc407634413"/>
      <w:r w:rsidRPr="00976D1C">
        <w:lastRenderedPageBreak/>
        <w:t>How does HWA assess oral health workforce</w:t>
      </w:r>
      <w:r w:rsidR="0069184E" w:rsidRPr="00976D1C">
        <w:t xml:space="preserve"> requirements</w:t>
      </w:r>
      <w:r w:rsidRPr="00976D1C">
        <w:t>?</w:t>
      </w:r>
      <w:bookmarkEnd w:id="35"/>
    </w:p>
    <w:p w14:paraId="5BB095A5" w14:textId="26B634A8" w:rsidR="008721A6" w:rsidRPr="00976D1C" w:rsidRDefault="00F85FD5" w:rsidP="00EC4213">
      <w:r w:rsidRPr="00976D1C">
        <w:t xml:space="preserve">This section presents HWA’s workforce planning projections for the </w:t>
      </w:r>
      <w:r w:rsidR="00AE793B" w:rsidRPr="00976D1C">
        <w:t xml:space="preserve">total </w:t>
      </w:r>
      <w:r w:rsidRPr="00976D1C">
        <w:t>oral health workforce. Firstly</w:t>
      </w:r>
      <w:r w:rsidR="00CA1B0E" w:rsidRPr="00976D1C">
        <w:t>,</w:t>
      </w:r>
      <w:r w:rsidRPr="00976D1C">
        <w:t xml:space="preserve"> summary information on the </w:t>
      </w:r>
      <w:r w:rsidR="00AE793B" w:rsidRPr="00976D1C">
        <w:t xml:space="preserve">projection </w:t>
      </w:r>
      <w:r w:rsidRPr="00976D1C">
        <w:t>methodology a</w:t>
      </w:r>
      <w:r w:rsidR="00615CCD" w:rsidRPr="00976D1C">
        <w:t>nd planning scenarios used to generate the results is presented, along with an outline of the workforces included in the oral health projections</w:t>
      </w:r>
      <w:r w:rsidR="00AE793B" w:rsidRPr="00976D1C">
        <w:t>. This is followed by the workforce planning projection results</w:t>
      </w:r>
      <w:r w:rsidR="00615CCD" w:rsidRPr="00976D1C">
        <w:t>.</w:t>
      </w:r>
    </w:p>
    <w:p w14:paraId="0D3BB90B" w14:textId="03E3A0B5" w:rsidR="00F85FD5" w:rsidRPr="00976D1C" w:rsidRDefault="00F85FD5" w:rsidP="00EC4213">
      <w:pPr>
        <w:pStyle w:val="Heading2"/>
      </w:pPr>
      <w:bookmarkStart w:id="36" w:name="_Toc407634414"/>
      <w:r w:rsidRPr="00976D1C">
        <w:t xml:space="preserve">Workforce planning </w:t>
      </w:r>
      <w:r w:rsidR="00615CCD" w:rsidRPr="00976D1C">
        <w:t>methodology</w:t>
      </w:r>
      <w:bookmarkEnd w:id="36"/>
    </w:p>
    <w:p w14:paraId="552F849A" w14:textId="344C68AF" w:rsidR="009C13DD" w:rsidRPr="00976D1C" w:rsidRDefault="009C13DD" w:rsidP="00EC4213">
      <w:pPr>
        <w:rPr>
          <w:b/>
        </w:rPr>
      </w:pPr>
      <w:r w:rsidRPr="00976D1C">
        <w:rPr>
          <w:lang w:eastAsia="en-AU"/>
        </w:rPr>
        <w:t xml:space="preserve">Workforce projections require two components – </w:t>
      </w:r>
      <w:r w:rsidR="00AE793B" w:rsidRPr="00976D1C">
        <w:rPr>
          <w:lang w:eastAsia="en-AU"/>
        </w:rPr>
        <w:t>estimating</w:t>
      </w:r>
      <w:r w:rsidRPr="00976D1C">
        <w:rPr>
          <w:lang w:eastAsia="en-AU"/>
        </w:rPr>
        <w:t xml:space="preserve"> future </w:t>
      </w:r>
      <w:r w:rsidR="00A1540D" w:rsidRPr="00976D1C">
        <w:rPr>
          <w:lang w:eastAsia="en-AU"/>
        </w:rPr>
        <w:t>workforce supply and estimating future demand for the workforce</w:t>
      </w:r>
      <w:r w:rsidRPr="00976D1C">
        <w:rPr>
          <w:lang w:eastAsia="en-AU"/>
        </w:rPr>
        <w:t>.</w:t>
      </w:r>
    </w:p>
    <w:p w14:paraId="0A851219" w14:textId="010E3A5D" w:rsidR="00AE793B" w:rsidRPr="00976D1C" w:rsidRDefault="00AE793B" w:rsidP="00EC4213">
      <w:pPr>
        <w:rPr>
          <w:i/>
          <w:lang w:eastAsia="en-AU"/>
        </w:rPr>
      </w:pPr>
      <w:r w:rsidRPr="00976D1C">
        <w:rPr>
          <w:lang w:eastAsia="en-AU"/>
        </w:rPr>
        <w:t xml:space="preserve">A detailed discussion of the methodology used in AFHW – Oral Health is contained in the HWA publication </w:t>
      </w:r>
      <w:r w:rsidRPr="00976D1C">
        <w:rPr>
          <w:i/>
          <w:lang w:eastAsia="en-AU"/>
        </w:rPr>
        <w:t>H</w:t>
      </w:r>
      <w:r w:rsidR="000258A0" w:rsidRPr="00976D1C">
        <w:rPr>
          <w:i/>
          <w:lang w:eastAsia="en-AU"/>
        </w:rPr>
        <w:t xml:space="preserve">ealth </w:t>
      </w:r>
      <w:r w:rsidRPr="00976D1C">
        <w:rPr>
          <w:i/>
          <w:lang w:eastAsia="en-AU"/>
        </w:rPr>
        <w:t>W</w:t>
      </w:r>
      <w:r w:rsidR="000258A0" w:rsidRPr="00976D1C">
        <w:rPr>
          <w:i/>
          <w:lang w:eastAsia="en-AU"/>
        </w:rPr>
        <w:t>orkforce</w:t>
      </w:r>
      <w:r w:rsidRPr="00976D1C">
        <w:rPr>
          <w:i/>
          <w:lang w:eastAsia="en-AU"/>
        </w:rPr>
        <w:t xml:space="preserve"> 2025 </w:t>
      </w:r>
      <w:r w:rsidR="00646000" w:rsidRPr="00976D1C">
        <w:rPr>
          <w:i/>
          <w:lang w:eastAsia="en-AU"/>
        </w:rPr>
        <w:t xml:space="preserve">– </w:t>
      </w:r>
      <w:r w:rsidRPr="00976D1C">
        <w:rPr>
          <w:i/>
          <w:lang w:eastAsia="en-AU"/>
        </w:rPr>
        <w:t>Oral Health, Supply and Demand Methodology</w:t>
      </w:r>
      <w:r w:rsidR="00213D50" w:rsidRPr="00976D1C">
        <w:rPr>
          <w:rStyle w:val="EndnoteReference"/>
          <w:rFonts w:ascii="Avenir LT Std 35 Light" w:hAnsi="Avenir LT Std 35 Light" w:cs="Century Gothic"/>
          <w:i/>
          <w:szCs w:val="20"/>
          <w:lang w:eastAsia="en-AU"/>
        </w:rPr>
        <w:endnoteReference w:id="13"/>
      </w:r>
      <w:r w:rsidRPr="00976D1C">
        <w:rPr>
          <w:i/>
          <w:lang w:eastAsia="en-AU"/>
        </w:rPr>
        <w:t>.</w:t>
      </w:r>
      <w:r w:rsidRPr="00976D1C">
        <w:rPr>
          <w:lang w:eastAsia="en-AU"/>
        </w:rPr>
        <w:t xml:space="preserve"> </w:t>
      </w:r>
      <w:r w:rsidR="00381F17" w:rsidRPr="00976D1C">
        <w:rPr>
          <w:lang w:eastAsia="en-AU"/>
        </w:rPr>
        <w:t>This is followed by</w:t>
      </w:r>
      <w:r w:rsidRPr="00976D1C">
        <w:rPr>
          <w:lang w:eastAsia="en-AU"/>
        </w:rPr>
        <w:t xml:space="preserve"> a brief summary of the methodology used to generate the oral health workforce planning projections. </w:t>
      </w:r>
    </w:p>
    <w:p w14:paraId="00B4A08D" w14:textId="45315950" w:rsidR="00D33C1B" w:rsidRPr="00976D1C" w:rsidRDefault="00D33C1B" w:rsidP="00EC4213">
      <w:pPr>
        <w:pStyle w:val="Heading3"/>
        <w:rPr>
          <w:lang w:val="en-AU"/>
        </w:rPr>
      </w:pPr>
      <w:r w:rsidRPr="00976D1C">
        <w:rPr>
          <w:lang w:val="en-AU"/>
        </w:rPr>
        <w:t>Projecting future workforce supply</w:t>
      </w:r>
    </w:p>
    <w:p w14:paraId="0AD499F9" w14:textId="770068E4" w:rsidR="00D33C1B" w:rsidRPr="00976D1C" w:rsidRDefault="00227979" w:rsidP="00EC4213">
      <w:pPr>
        <w:rPr>
          <w:szCs w:val="20"/>
          <w:lang w:eastAsia="en-GB"/>
        </w:rPr>
      </w:pPr>
      <w:r w:rsidRPr="00976D1C">
        <w:rPr>
          <w:lang w:eastAsia="en-GB"/>
        </w:rPr>
        <w:t>AFHW – Oral H</w:t>
      </w:r>
      <w:r w:rsidR="002D0DDD" w:rsidRPr="00976D1C">
        <w:rPr>
          <w:lang w:eastAsia="en-GB"/>
        </w:rPr>
        <w:t xml:space="preserve">ealth </w:t>
      </w:r>
      <w:r w:rsidR="00D33C1B" w:rsidRPr="00976D1C">
        <w:rPr>
          <w:lang w:eastAsia="en-GB"/>
        </w:rPr>
        <w:t>used a dynamic stock and flow model to estimate future workforce supply at national level in Australia. The four key inputs in the dynamic stock and flow model were:</w:t>
      </w:r>
    </w:p>
    <w:p w14:paraId="19238A8D" w14:textId="77777777" w:rsidR="00D33C1B" w:rsidRPr="00976D1C" w:rsidRDefault="00D33C1B" w:rsidP="00EC4213">
      <w:pPr>
        <w:pStyle w:val="ListParagraph"/>
        <w:numPr>
          <w:ilvl w:val="0"/>
          <w:numId w:val="31"/>
        </w:numPr>
        <w:rPr>
          <w:lang w:eastAsia="en-GB"/>
        </w:rPr>
      </w:pPr>
      <w:r w:rsidRPr="00976D1C">
        <w:rPr>
          <w:lang w:eastAsia="en-GB"/>
        </w:rPr>
        <w:t>Workforce stock (in five-year age and gender cohorts)</w:t>
      </w:r>
    </w:p>
    <w:p w14:paraId="0386F355" w14:textId="77777777" w:rsidR="00D33C1B" w:rsidRPr="00976D1C" w:rsidRDefault="00D33C1B" w:rsidP="00EC4213">
      <w:pPr>
        <w:pStyle w:val="ListParagraph"/>
        <w:numPr>
          <w:ilvl w:val="0"/>
          <w:numId w:val="31"/>
        </w:numPr>
        <w:rPr>
          <w:lang w:eastAsia="en-GB"/>
        </w:rPr>
      </w:pPr>
      <w:r w:rsidRPr="00976D1C">
        <w:rPr>
          <w:lang w:eastAsia="en-GB"/>
        </w:rPr>
        <w:t>Domestic new entrants</w:t>
      </w:r>
    </w:p>
    <w:p w14:paraId="6B31A884" w14:textId="04B5C958" w:rsidR="00D33C1B" w:rsidRPr="00976D1C" w:rsidRDefault="00D33C1B" w:rsidP="00EC4213">
      <w:pPr>
        <w:pStyle w:val="ListParagraph"/>
        <w:numPr>
          <w:ilvl w:val="0"/>
          <w:numId w:val="31"/>
        </w:numPr>
        <w:rPr>
          <w:lang w:eastAsia="en-GB"/>
        </w:rPr>
      </w:pPr>
      <w:r w:rsidRPr="00976D1C">
        <w:rPr>
          <w:lang w:eastAsia="en-GB"/>
        </w:rPr>
        <w:t>Migratio</w:t>
      </w:r>
      <w:r w:rsidR="00381F17" w:rsidRPr="00976D1C">
        <w:rPr>
          <w:lang w:eastAsia="en-GB"/>
        </w:rPr>
        <w:t>n (permanent and temporary)</w:t>
      </w:r>
    </w:p>
    <w:p w14:paraId="6B1AC956" w14:textId="77777777" w:rsidR="00D33C1B" w:rsidRPr="00976D1C" w:rsidRDefault="00D33C1B" w:rsidP="00EC4213">
      <w:pPr>
        <w:pStyle w:val="ListParagraph"/>
        <w:numPr>
          <w:ilvl w:val="0"/>
          <w:numId w:val="31"/>
        </w:numPr>
        <w:rPr>
          <w:lang w:eastAsia="en-GB"/>
        </w:rPr>
      </w:pPr>
      <w:r w:rsidRPr="00976D1C">
        <w:rPr>
          <w:lang w:eastAsia="en-GB"/>
        </w:rPr>
        <w:t>Net exits, which included all permanent and temporary flows out of the workforce.</w:t>
      </w:r>
    </w:p>
    <w:p w14:paraId="074A9EF2" w14:textId="77777777" w:rsidR="002D0DDD" w:rsidRPr="00976D1C" w:rsidRDefault="00D33C1B" w:rsidP="00EC4213">
      <w:pPr>
        <w:rPr>
          <w:lang w:eastAsia="en-GB"/>
        </w:rPr>
      </w:pPr>
      <w:r w:rsidRPr="00976D1C">
        <w:rPr>
          <w:szCs w:val="20"/>
          <w:lang w:eastAsia="en-GB"/>
        </w:rPr>
        <w:t>In t</w:t>
      </w:r>
      <w:r w:rsidRPr="00976D1C">
        <w:rPr>
          <w:lang w:eastAsia="en-GB"/>
        </w:rPr>
        <w:t>he stock and flow method, the number and characteristics of the current workforce (stock) are identified, along with the sources and number of workforce inflows and outflows. Trends or influences impacting on the stock and flows are also identified</w:t>
      </w:r>
      <w:r w:rsidR="002D0DDD" w:rsidRPr="00976D1C">
        <w:rPr>
          <w:lang w:eastAsia="en-GB"/>
        </w:rPr>
        <w:t xml:space="preserve">, including the effect of people ageing. </w:t>
      </w:r>
    </w:p>
    <w:p w14:paraId="1C5FE04F" w14:textId="60B0516E" w:rsidR="00D33C1B" w:rsidRPr="00976D1C" w:rsidRDefault="002D0DDD" w:rsidP="00EC4213">
      <w:pPr>
        <w:rPr>
          <w:lang w:eastAsia="en-GB"/>
        </w:rPr>
      </w:pPr>
      <w:r w:rsidRPr="00976D1C">
        <w:rPr>
          <w:lang w:eastAsia="en-GB"/>
        </w:rPr>
        <w:t>To project</w:t>
      </w:r>
      <w:r w:rsidR="00D33C1B" w:rsidRPr="00976D1C">
        <w:rPr>
          <w:lang w:eastAsia="en-GB"/>
        </w:rPr>
        <w:t xml:space="preserve"> future </w:t>
      </w:r>
      <w:r w:rsidRPr="00976D1C">
        <w:rPr>
          <w:lang w:eastAsia="en-GB"/>
        </w:rPr>
        <w:t xml:space="preserve">workforce </w:t>
      </w:r>
      <w:r w:rsidR="00D33C1B" w:rsidRPr="00976D1C">
        <w:rPr>
          <w:lang w:eastAsia="en-GB"/>
        </w:rPr>
        <w:t>supply, the initial workforce stock is moved forward based on expected inflows and outflows, allowing for the impact of identified trends and influences on the stock</w:t>
      </w:r>
      <w:r w:rsidRPr="00976D1C">
        <w:rPr>
          <w:lang w:eastAsia="en-GB"/>
        </w:rPr>
        <w:t>. This is an iterative calculation for each year over the projection period, and provides for a more realistic representation of labour market dynamics.</w:t>
      </w:r>
    </w:p>
    <w:p w14:paraId="5DF03A4B" w14:textId="2BA5DB55" w:rsidR="009C13DD" w:rsidRPr="00976D1C" w:rsidRDefault="00D33C1B" w:rsidP="00EC4213">
      <w:pPr>
        <w:pStyle w:val="Heading3"/>
        <w:rPr>
          <w:lang w:val="en-AU"/>
        </w:rPr>
      </w:pPr>
      <w:r w:rsidRPr="00976D1C">
        <w:rPr>
          <w:lang w:val="en-AU"/>
        </w:rPr>
        <w:lastRenderedPageBreak/>
        <w:t>Projecting future workforce demand</w:t>
      </w:r>
    </w:p>
    <w:p w14:paraId="4B51DF91" w14:textId="6B383AB0" w:rsidR="00371303" w:rsidRPr="00976D1C" w:rsidRDefault="00787D8A" w:rsidP="00EC4213">
      <w:pPr>
        <w:rPr>
          <w:lang w:eastAsia="en-AU"/>
        </w:rPr>
      </w:pPr>
      <w:r w:rsidRPr="00976D1C">
        <w:rPr>
          <w:lang w:eastAsia="en-AU"/>
        </w:rPr>
        <w:t>Demand projections employ</w:t>
      </w:r>
      <w:r w:rsidR="00D33C1B" w:rsidRPr="00976D1C">
        <w:rPr>
          <w:lang w:eastAsia="en-AU"/>
        </w:rPr>
        <w:t>ed</w:t>
      </w:r>
      <w:r w:rsidRPr="00976D1C">
        <w:rPr>
          <w:lang w:eastAsia="en-AU"/>
        </w:rPr>
        <w:t xml:space="preserve"> the utilisation method – which measures expressed demand</w:t>
      </w:r>
      <w:r w:rsidR="002D0E49" w:rsidRPr="00976D1C">
        <w:rPr>
          <w:lang w:eastAsia="en-AU"/>
        </w:rPr>
        <w:t xml:space="preserve"> – a</w:t>
      </w:r>
      <w:r w:rsidRPr="00976D1C">
        <w:rPr>
          <w:lang w:eastAsia="en-AU"/>
        </w:rPr>
        <w:t xml:space="preserve">nd </w:t>
      </w:r>
      <w:r w:rsidR="005566C0" w:rsidRPr="00976D1C">
        <w:rPr>
          <w:lang w:eastAsia="en-AU"/>
        </w:rPr>
        <w:t>are</w:t>
      </w:r>
      <w:r w:rsidRPr="00976D1C">
        <w:rPr>
          <w:lang w:eastAsia="en-AU"/>
        </w:rPr>
        <w:t xml:space="preserve"> based on utilisation patterns a</w:t>
      </w:r>
      <w:r w:rsidR="00D33C1B" w:rsidRPr="00976D1C">
        <w:rPr>
          <w:lang w:eastAsia="en-AU"/>
        </w:rPr>
        <w:t>s they currently exist for</w:t>
      </w:r>
      <w:r w:rsidR="00A75272" w:rsidRPr="00976D1C">
        <w:rPr>
          <w:lang w:eastAsia="en-AU"/>
        </w:rPr>
        <w:t xml:space="preserve"> population</w:t>
      </w:r>
      <w:r w:rsidR="00D33C1B" w:rsidRPr="00976D1C">
        <w:rPr>
          <w:lang w:eastAsia="en-AU"/>
        </w:rPr>
        <w:t xml:space="preserve"> five-</w:t>
      </w:r>
      <w:r w:rsidRPr="00976D1C">
        <w:rPr>
          <w:lang w:eastAsia="en-AU"/>
        </w:rPr>
        <w:t>year age and gender cohorts.</w:t>
      </w:r>
      <w:r w:rsidR="00371303" w:rsidRPr="00976D1C">
        <w:rPr>
          <w:lang w:eastAsia="en-AU"/>
        </w:rPr>
        <w:t xml:space="preserve"> </w:t>
      </w:r>
      <w:r w:rsidR="00CE05E0" w:rsidRPr="00976D1C">
        <w:rPr>
          <w:lang w:eastAsia="en-AU"/>
        </w:rPr>
        <w:t xml:space="preserve">Any potential unmet need is not accounted for in the demand projections. </w:t>
      </w:r>
    </w:p>
    <w:p w14:paraId="171EF609" w14:textId="48B17F96" w:rsidR="00371303" w:rsidRPr="00976D1C" w:rsidRDefault="008540AD" w:rsidP="00EC4213">
      <w:r w:rsidRPr="00976D1C">
        <w:t>U</w:t>
      </w:r>
      <w:r w:rsidR="00371303" w:rsidRPr="00976D1C">
        <w:t xml:space="preserve">tilisation data was matched against age and gender cohorts, and once mapped, was projected against future demographic structures. </w:t>
      </w:r>
    </w:p>
    <w:p w14:paraId="7FBDC489" w14:textId="1EEA196B" w:rsidR="00A75272" w:rsidRPr="00976D1C" w:rsidRDefault="00A455E3" w:rsidP="00EC4213">
      <w:r w:rsidRPr="00976D1C">
        <w:t>For the total population, the expressed demand rate for the comp</w:t>
      </w:r>
      <w:r w:rsidR="00444C79" w:rsidRPr="00976D1C">
        <w:t xml:space="preserve">arison scenario was calculated based on the growth in the number of </w:t>
      </w:r>
      <w:r w:rsidR="00FD1938" w:rsidRPr="00976D1C">
        <w:t xml:space="preserve">visits </w:t>
      </w:r>
      <w:r w:rsidR="00444C79" w:rsidRPr="00976D1C">
        <w:t xml:space="preserve">between 1994 and 2010, using data from the ARCPOH NDTIS. This was calculated to be </w:t>
      </w:r>
      <w:r w:rsidRPr="00976D1C">
        <w:t>2.55 per cent</w:t>
      </w:r>
      <w:r w:rsidR="00444C79" w:rsidRPr="00976D1C">
        <w:t>.</w:t>
      </w:r>
      <w:r w:rsidR="0022623F" w:rsidRPr="00976D1C">
        <w:t xml:space="preserve"> </w:t>
      </w:r>
      <w:r w:rsidR="00A75272" w:rsidRPr="00976D1C">
        <w:t>It should be noted that in calculating this rate, demand attributable to the CDDS (which closed from 1 December 2012) was</w:t>
      </w:r>
      <w:r w:rsidR="0022623F" w:rsidRPr="00976D1C">
        <w:t>,</w:t>
      </w:r>
      <w:r w:rsidR="00A75272" w:rsidRPr="00976D1C">
        <w:t xml:space="preserve"> as much as possible</w:t>
      </w:r>
      <w:r w:rsidR="0022623F" w:rsidRPr="00976D1C">
        <w:t xml:space="preserve">, removed from the calculation. This was done to provide a more realistic representation of future workforce demand, and this approach was supported by HWA’s Oral Health Clinical Advisory Group and Project Advisory Group. </w:t>
      </w:r>
    </w:p>
    <w:p w14:paraId="5CF255BD" w14:textId="4CF9ECB7" w:rsidR="00A1540D" w:rsidRPr="00976D1C" w:rsidRDefault="009C13DD" w:rsidP="00EC4213">
      <w:pPr>
        <w:rPr>
          <w:lang w:eastAsia="en-AU"/>
        </w:rPr>
      </w:pPr>
      <w:r w:rsidRPr="00976D1C">
        <w:rPr>
          <w:lang w:eastAsia="en-AU"/>
        </w:rPr>
        <w:t>Using the methods above</w:t>
      </w:r>
      <w:r w:rsidR="00381F17" w:rsidRPr="00976D1C">
        <w:rPr>
          <w:lang w:eastAsia="en-AU"/>
        </w:rPr>
        <w:t>,</w:t>
      </w:r>
      <w:r w:rsidRPr="00976D1C">
        <w:rPr>
          <w:lang w:eastAsia="en-AU"/>
        </w:rPr>
        <w:t xml:space="preserve"> it is possible to project the relationship of supply and demand in future periods. </w:t>
      </w:r>
    </w:p>
    <w:p w14:paraId="4A023A91" w14:textId="41A88C1E" w:rsidR="004913D2" w:rsidRPr="00976D1C" w:rsidRDefault="004913D2" w:rsidP="00EC4213">
      <w:pPr>
        <w:pStyle w:val="Heading3"/>
        <w:rPr>
          <w:lang w:val="en-AU"/>
        </w:rPr>
      </w:pPr>
      <w:r w:rsidRPr="00976D1C">
        <w:rPr>
          <w:lang w:val="en-AU"/>
        </w:rPr>
        <w:t>Data limitations</w:t>
      </w:r>
    </w:p>
    <w:p w14:paraId="022D247F" w14:textId="64B5E3C7" w:rsidR="0070288B" w:rsidRPr="00976D1C" w:rsidRDefault="0070288B" w:rsidP="00EC4213">
      <w:r w:rsidRPr="00976D1C">
        <w:t xml:space="preserve">The </w:t>
      </w:r>
      <w:r w:rsidR="00213D50" w:rsidRPr="00976D1C">
        <w:t xml:space="preserve">methods </w:t>
      </w:r>
      <w:r w:rsidRPr="00976D1C">
        <w:t xml:space="preserve">used to produce the workforce planning projections rely on two key inputs: </w:t>
      </w:r>
    </w:p>
    <w:p w14:paraId="39E26FD3" w14:textId="6D017AB9" w:rsidR="0070288B" w:rsidRPr="00976D1C" w:rsidRDefault="0070288B" w:rsidP="00EC4213">
      <w:pPr>
        <w:pStyle w:val="ListParagraph"/>
        <w:numPr>
          <w:ilvl w:val="0"/>
          <w:numId w:val="32"/>
        </w:numPr>
      </w:pPr>
      <w:r w:rsidRPr="00976D1C">
        <w:t>The set of assumptions about future conditions</w:t>
      </w:r>
    </w:p>
    <w:p w14:paraId="3EE8B5FD" w14:textId="77777777" w:rsidR="0070288B" w:rsidRPr="00976D1C" w:rsidRDefault="0070288B" w:rsidP="00EC4213">
      <w:pPr>
        <w:pStyle w:val="ListParagraph"/>
        <w:numPr>
          <w:ilvl w:val="0"/>
          <w:numId w:val="32"/>
        </w:numPr>
      </w:pPr>
      <w:r w:rsidRPr="00976D1C">
        <w:t xml:space="preserve">The data from which the model’s parameters inputs and starting position are derived. </w:t>
      </w:r>
    </w:p>
    <w:p w14:paraId="677E672D" w14:textId="77777777" w:rsidR="008018E1" w:rsidRPr="00976D1C" w:rsidRDefault="00F501BF" w:rsidP="00EC4213">
      <w:r w:rsidRPr="00976D1C">
        <w:t>The assumptions underpinning the</w:t>
      </w:r>
      <w:r w:rsidR="008018E1" w:rsidRPr="00976D1C">
        <w:t xml:space="preserve"> workforce projections are outlined in Appendix E</w:t>
      </w:r>
      <w:r w:rsidRPr="00976D1C">
        <w:t xml:space="preserve">. </w:t>
      </w:r>
    </w:p>
    <w:p w14:paraId="36F68C09" w14:textId="443CE40E" w:rsidR="00250959" w:rsidRPr="00976D1C" w:rsidRDefault="00213D50" w:rsidP="00EC4213">
      <w:r w:rsidRPr="00976D1C">
        <w:t xml:space="preserve">In terms of data, as HWA is conducting national workforce planning, national datasets are used. For workforce supply, </w:t>
      </w:r>
      <w:r w:rsidR="00250959" w:rsidRPr="00976D1C">
        <w:t>reliable</w:t>
      </w:r>
      <w:r w:rsidR="00693FE0" w:rsidRPr="00976D1C">
        <w:t>,</w:t>
      </w:r>
      <w:r w:rsidR="00250959" w:rsidRPr="00976D1C">
        <w:t xml:space="preserve"> national datasets exist that are used to establish the existing workforce and workforce inflows. </w:t>
      </w:r>
    </w:p>
    <w:p w14:paraId="4762563B" w14:textId="3E49B8CB" w:rsidR="008018E1" w:rsidRPr="00976D1C" w:rsidRDefault="00250959" w:rsidP="00EC4213">
      <w:r w:rsidRPr="00976D1C">
        <w:t>T</w:t>
      </w:r>
      <w:r w:rsidR="00213D50" w:rsidRPr="00976D1C">
        <w:t xml:space="preserve">he National Health Workforce Dataset (which combines data from the annual registration process, together with data from a workforce survey completed at the time of registration) provides extensive, reliable, national information on the number and characteristics of the registered oral health workforces, forming a strong basis for the workforce projections. </w:t>
      </w:r>
    </w:p>
    <w:p w14:paraId="733849E8" w14:textId="3B8395DB" w:rsidR="00213D50" w:rsidRPr="00976D1C" w:rsidRDefault="00213D50" w:rsidP="00EC4213">
      <w:r w:rsidRPr="00976D1C">
        <w:t xml:space="preserve">For workforce inflows, Department of Immigration and Border Protection visa grant data </w:t>
      </w:r>
      <w:r w:rsidR="00693FE0" w:rsidRPr="00976D1C">
        <w:t xml:space="preserve">is used, </w:t>
      </w:r>
      <w:r w:rsidR="00250959" w:rsidRPr="00976D1C">
        <w:t xml:space="preserve">while for graduates, </w:t>
      </w:r>
      <w:r w:rsidRPr="00976D1C">
        <w:t xml:space="preserve">Australasian Council of Dental Schools data </w:t>
      </w:r>
      <w:r w:rsidR="00250959" w:rsidRPr="00976D1C">
        <w:t xml:space="preserve">(for dentists), and </w:t>
      </w:r>
      <w:r w:rsidRPr="00976D1C">
        <w:t xml:space="preserve">Department of Education and National Centre for Vocational Education Research </w:t>
      </w:r>
      <w:r w:rsidR="00250959" w:rsidRPr="00976D1C">
        <w:t>(</w:t>
      </w:r>
      <w:r w:rsidRPr="00976D1C">
        <w:t xml:space="preserve">for oral health therapists, dental hygienists and dental </w:t>
      </w:r>
      <w:r w:rsidRPr="00976D1C">
        <w:lastRenderedPageBreak/>
        <w:t>therapists</w:t>
      </w:r>
      <w:r w:rsidR="00250959" w:rsidRPr="00976D1C">
        <w:t xml:space="preserve">) provide national data for use in the workforce projections. The use of Australian Health Practitioner Regulation Authority student registration information will also be investigated as a potential future national data source on graduate numbers. </w:t>
      </w:r>
    </w:p>
    <w:p w14:paraId="5D372FDB" w14:textId="402AE746" w:rsidR="0028200E" w:rsidRPr="00976D1C" w:rsidRDefault="0022623F" w:rsidP="00EC4213">
      <w:r w:rsidRPr="00976D1C">
        <w:t>The primary limitation</w:t>
      </w:r>
      <w:r w:rsidR="00A921A5" w:rsidRPr="00976D1C">
        <w:t xml:space="preserve"> on the supply side for the workforce planning projections is that the unregistered component of the oral health workforce (dental assistants and dental technicians) </w:t>
      </w:r>
      <w:r w:rsidR="001A42F6" w:rsidRPr="00976D1C">
        <w:t>is</w:t>
      </w:r>
      <w:r w:rsidR="00A921A5" w:rsidRPr="00976D1C">
        <w:t xml:space="preserve"> not included. For these two workforces, the </w:t>
      </w:r>
      <w:r w:rsidR="00000AB2" w:rsidRPr="00976D1C">
        <w:t>Australian Bureau of Statistics Census of Population and Housing</w:t>
      </w:r>
      <w:r w:rsidR="0028200E" w:rsidRPr="00976D1C">
        <w:t xml:space="preserve"> (the Census)</w:t>
      </w:r>
      <w:r w:rsidR="00000AB2" w:rsidRPr="00976D1C">
        <w:t xml:space="preserve"> is the only data source available. </w:t>
      </w:r>
      <w:r w:rsidR="0028200E" w:rsidRPr="00976D1C">
        <w:t>From the Census, the number and characteristics of people who self-report as dental assistants and dental technicians can be identified. However for workforce planning purposes, limitations with Census data include that information is self-reported, responses provided depend on an individual’s understanding and interpretation of the questions asked, and of particular importance, it is only conducted every five years. While this is useful for identifying long-term workforce trends, the information is quickly out-of-date for workforce planning purposes. Therefore, f</w:t>
      </w:r>
      <w:r w:rsidRPr="00976D1C">
        <w:t xml:space="preserve">or these two workforces, there </w:t>
      </w:r>
      <w:r w:rsidR="0028200E" w:rsidRPr="00976D1C">
        <w:t>was</w:t>
      </w:r>
      <w:r w:rsidRPr="00976D1C">
        <w:t xml:space="preserve"> no systematic collection of workforce data able to be used to establish workforce supply</w:t>
      </w:r>
      <w:r w:rsidR="0028200E" w:rsidRPr="00976D1C">
        <w:t>.</w:t>
      </w:r>
    </w:p>
    <w:p w14:paraId="5DB50FDD" w14:textId="5C42A301" w:rsidR="0070288B" w:rsidRPr="00976D1C" w:rsidRDefault="00000AB2" w:rsidP="00EC4213">
      <w:pPr>
        <w:rPr>
          <w:szCs w:val="20"/>
        </w:rPr>
      </w:pPr>
      <w:r w:rsidRPr="00976D1C">
        <w:t>L</w:t>
      </w:r>
      <w:r w:rsidR="00693FE0" w:rsidRPr="00976D1C">
        <w:t xml:space="preserve">imitations </w:t>
      </w:r>
      <w:r w:rsidRPr="00976D1C">
        <w:t xml:space="preserve">also </w:t>
      </w:r>
      <w:r w:rsidR="00693FE0" w:rsidRPr="00976D1C">
        <w:t xml:space="preserve">exist in the availability of reliable, national datasets to measure workforce demand. </w:t>
      </w:r>
      <w:r w:rsidR="00721560" w:rsidRPr="00976D1C">
        <w:t>Following are the primary options available, and a brief outline of their limitations</w:t>
      </w:r>
      <w:r w:rsidR="00F22419" w:rsidRPr="00976D1C">
        <w:t>.</w:t>
      </w:r>
      <w:r w:rsidR="00721560" w:rsidRPr="00976D1C">
        <w:t xml:space="preserve"> </w:t>
      </w:r>
    </w:p>
    <w:p w14:paraId="4E749CC0" w14:textId="14A66822" w:rsidR="00213D50" w:rsidRPr="00976D1C" w:rsidRDefault="00213D50" w:rsidP="00EC4213">
      <w:pPr>
        <w:pStyle w:val="ListParagraph"/>
        <w:numPr>
          <w:ilvl w:val="0"/>
          <w:numId w:val="33"/>
        </w:numPr>
        <w:rPr>
          <w:rFonts w:eastAsia="Calibri"/>
        </w:rPr>
      </w:pPr>
      <w:r w:rsidRPr="00976D1C">
        <w:rPr>
          <w:rFonts w:eastAsia="Calibri"/>
        </w:rPr>
        <w:t>Information from the Commonwealth Government (collected by Medicare and the Department of Veterans Affairs) and State and Territory departments</w:t>
      </w:r>
      <w:r w:rsidR="00721560" w:rsidRPr="00976D1C">
        <w:rPr>
          <w:rFonts w:eastAsia="Calibri"/>
        </w:rPr>
        <w:t xml:space="preserve">. This covers </w:t>
      </w:r>
      <w:r w:rsidRPr="00976D1C">
        <w:rPr>
          <w:rFonts w:eastAsia="Calibri"/>
        </w:rPr>
        <w:t xml:space="preserve">services </w:t>
      </w:r>
      <w:r w:rsidR="00615FB2" w:rsidRPr="00976D1C">
        <w:rPr>
          <w:rFonts w:eastAsia="Calibri"/>
        </w:rPr>
        <w:t xml:space="preserve">provided under Commonwealth funded schemes and by states and territories, </w:t>
      </w:r>
      <w:r w:rsidRPr="00976D1C">
        <w:rPr>
          <w:rFonts w:eastAsia="Calibri"/>
        </w:rPr>
        <w:t xml:space="preserve">which only account for a small percentage of all oral health services provided. </w:t>
      </w:r>
    </w:p>
    <w:p w14:paraId="6AAE5DA5" w14:textId="2C65A1E3" w:rsidR="00213D50" w:rsidRPr="00976D1C" w:rsidRDefault="00213D50" w:rsidP="00EC4213">
      <w:pPr>
        <w:pStyle w:val="ListParagraph"/>
        <w:numPr>
          <w:ilvl w:val="0"/>
          <w:numId w:val="33"/>
        </w:numPr>
      </w:pPr>
      <w:r w:rsidRPr="00976D1C">
        <w:rPr>
          <w:rFonts w:eastAsia="Calibri"/>
        </w:rPr>
        <w:t>Private Health Insurance Administration Council</w:t>
      </w:r>
      <w:r w:rsidR="00F22419" w:rsidRPr="00976D1C">
        <w:rPr>
          <w:rFonts w:eastAsia="Calibri"/>
        </w:rPr>
        <w:t xml:space="preserve"> (PHIAC)</w:t>
      </w:r>
      <w:r w:rsidRPr="00976D1C">
        <w:rPr>
          <w:rFonts w:eastAsia="Calibri"/>
        </w:rPr>
        <w:t xml:space="preserve"> data</w:t>
      </w:r>
      <w:r w:rsidR="00721560" w:rsidRPr="00976D1C">
        <w:rPr>
          <w:rFonts w:eastAsia="Calibri"/>
        </w:rPr>
        <w:t xml:space="preserve">. While this covers private sector services (where the majority of dental services are provided), </w:t>
      </w:r>
      <w:r w:rsidR="00F22419" w:rsidRPr="00976D1C">
        <w:rPr>
          <w:rFonts w:eastAsia="Calibri"/>
        </w:rPr>
        <w:t xml:space="preserve">there are coverage concerns in that it </w:t>
      </w:r>
      <w:r w:rsidR="00721560" w:rsidRPr="00976D1C">
        <w:rPr>
          <w:rFonts w:eastAsia="Calibri"/>
        </w:rPr>
        <w:t>is only those services able to be claimed through private health insur</w:t>
      </w:r>
      <w:r w:rsidR="00F22419" w:rsidRPr="00976D1C">
        <w:rPr>
          <w:rFonts w:eastAsia="Calibri"/>
        </w:rPr>
        <w:t xml:space="preserve">ance. </w:t>
      </w:r>
      <w:r w:rsidR="00721560" w:rsidRPr="00976D1C">
        <w:rPr>
          <w:rFonts w:eastAsia="Calibri"/>
        </w:rPr>
        <w:t xml:space="preserve">Additionally, for detailed workforce planning by practitioner type, information is not readily available on which </w:t>
      </w:r>
      <w:r w:rsidRPr="00976D1C">
        <w:rPr>
          <w:rFonts w:eastAsia="Calibri"/>
        </w:rPr>
        <w:t xml:space="preserve">practitioner type provided which service. </w:t>
      </w:r>
    </w:p>
    <w:p w14:paraId="0C56BCF4" w14:textId="086A7550" w:rsidR="00786912" w:rsidRPr="00976D1C" w:rsidRDefault="00213D50" w:rsidP="00EC4213">
      <w:pPr>
        <w:pStyle w:val="ListParagraph"/>
        <w:numPr>
          <w:ilvl w:val="0"/>
          <w:numId w:val="33"/>
        </w:numPr>
      </w:pPr>
      <w:r w:rsidRPr="00976D1C">
        <w:rPr>
          <w:rFonts w:eastAsia="Calibri"/>
        </w:rPr>
        <w:t>Information from individual insurance funds</w:t>
      </w:r>
      <w:r w:rsidR="00F22419" w:rsidRPr="00976D1C">
        <w:rPr>
          <w:rFonts w:eastAsia="Calibri"/>
        </w:rPr>
        <w:t>. This information could identify the practitioner type providing services, however access to data is not readily available. Additionally</w:t>
      </w:r>
      <w:r w:rsidR="0022623F" w:rsidRPr="00976D1C">
        <w:rPr>
          <w:rFonts w:eastAsia="Calibri"/>
        </w:rPr>
        <w:t>, as for</w:t>
      </w:r>
      <w:r w:rsidR="00F22419" w:rsidRPr="00976D1C">
        <w:rPr>
          <w:rFonts w:eastAsia="Calibri"/>
        </w:rPr>
        <w:t xml:space="preserve"> PHIAC, there are </w:t>
      </w:r>
      <w:r w:rsidRPr="00976D1C">
        <w:rPr>
          <w:rFonts w:eastAsia="Calibri"/>
        </w:rPr>
        <w:t xml:space="preserve">coverage concerns, as this only covers those people who hold extras cover and claim dental through their private health insurance. </w:t>
      </w:r>
    </w:p>
    <w:p w14:paraId="3F2FFBF5" w14:textId="3DAFBAAB" w:rsidR="00DA1F41" w:rsidRPr="00976D1C" w:rsidRDefault="00213D50" w:rsidP="00EC4213">
      <w:pPr>
        <w:pStyle w:val="ListParagraph"/>
        <w:numPr>
          <w:ilvl w:val="0"/>
          <w:numId w:val="33"/>
        </w:numPr>
      </w:pPr>
      <w:r w:rsidRPr="00976D1C">
        <w:t>ARCPOH NDTIS</w:t>
      </w:r>
      <w:r w:rsidR="00721560" w:rsidRPr="00976D1C">
        <w:rPr>
          <w:rFonts w:cs="Century Gothic"/>
          <w:lang w:eastAsia="en-AU"/>
        </w:rPr>
        <w:t>.</w:t>
      </w:r>
      <w:r w:rsidR="00F22419" w:rsidRPr="00976D1C">
        <w:rPr>
          <w:rFonts w:cs="Century Gothic"/>
          <w:lang w:eastAsia="en-AU"/>
        </w:rPr>
        <w:t xml:space="preserve"> Th</w:t>
      </w:r>
      <w:r w:rsidR="00BD188F" w:rsidRPr="00976D1C">
        <w:rPr>
          <w:rFonts w:cs="Century Gothic"/>
          <w:lang w:eastAsia="en-AU"/>
        </w:rPr>
        <w:t xml:space="preserve">e NDTIS </w:t>
      </w:r>
      <w:r w:rsidR="00F83A62" w:rsidRPr="00976D1C">
        <w:rPr>
          <w:rFonts w:cs="Century Gothic"/>
          <w:lang w:eastAsia="en-AU"/>
        </w:rPr>
        <w:t>is the only source to</w:t>
      </w:r>
      <w:r w:rsidR="00F22419" w:rsidRPr="00976D1C">
        <w:rPr>
          <w:rFonts w:cs="Century Gothic"/>
          <w:lang w:eastAsia="en-AU"/>
        </w:rPr>
        <w:t xml:space="preserve"> provide information on private and public services accessed</w:t>
      </w:r>
      <w:r w:rsidR="00F83A62" w:rsidRPr="00976D1C">
        <w:rPr>
          <w:rFonts w:cs="Century Gothic"/>
          <w:lang w:eastAsia="en-AU"/>
        </w:rPr>
        <w:t xml:space="preserve"> on a </w:t>
      </w:r>
      <w:r w:rsidR="00F22419" w:rsidRPr="00976D1C">
        <w:rPr>
          <w:rFonts w:cs="Century Gothic"/>
          <w:lang w:eastAsia="en-AU"/>
        </w:rPr>
        <w:t xml:space="preserve">consistent, national </w:t>
      </w:r>
      <w:r w:rsidR="00F83A62" w:rsidRPr="00976D1C">
        <w:rPr>
          <w:rFonts w:cs="Century Gothic"/>
          <w:lang w:eastAsia="en-AU"/>
        </w:rPr>
        <w:t>basis</w:t>
      </w:r>
      <w:r w:rsidR="00F22419" w:rsidRPr="00976D1C">
        <w:rPr>
          <w:rFonts w:cs="Century Gothic"/>
          <w:lang w:eastAsia="en-AU"/>
        </w:rPr>
        <w:t>..</w:t>
      </w:r>
      <w:r w:rsidR="00BD188F" w:rsidRPr="00976D1C">
        <w:rPr>
          <w:rFonts w:cs="Century Gothic"/>
          <w:lang w:eastAsia="en-AU"/>
        </w:rPr>
        <w:t xml:space="preserve"> However the NDTIS is a sample survey designed to produce population level estimates</w:t>
      </w:r>
      <w:r w:rsidR="00EE0C4C" w:rsidRPr="00976D1C">
        <w:rPr>
          <w:rFonts w:cs="Century Gothic"/>
          <w:lang w:eastAsia="en-AU"/>
        </w:rPr>
        <w:t xml:space="preserve"> for the most common dental services received only (that is, information on all dental services received is not collected).</w:t>
      </w:r>
      <w:r w:rsidR="00BD188F" w:rsidRPr="00976D1C">
        <w:rPr>
          <w:rFonts w:cs="Century Gothic"/>
          <w:lang w:eastAsia="en-AU"/>
        </w:rPr>
        <w:t xml:space="preserve"> Therefore for some specific sub-</w:t>
      </w:r>
      <w:r w:rsidR="00BD188F" w:rsidRPr="00976D1C">
        <w:rPr>
          <w:rFonts w:cs="Century Gothic"/>
          <w:lang w:eastAsia="en-AU"/>
        </w:rPr>
        <w:lastRenderedPageBreak/>
        <w:t xml:space="preserve">populations of interest, there </w:t>
      </w:r>
      <w:r w:rsidR="00F301CC" w:rsidRPr="00976D1C">
        <w:rPr>
          <w:rFonts w:cs="Century Gothic"/>
          <w:lang w:eastAsia="en-AU"/>
        </w:rPr>
        <w:t>are</w:t>
      </w:r>
      <w:r w:rsidR="00BD188F" w:rsidRPr="00976D1C">
        <w:rPr>
          <w:rFonts w:cs="Century Gothic"/>
          <w:lang w:eastAsia="en-AU"/>
        </w:rPr>
        <w:t xml:space="preserve"> an insufficient number of records to provide stable estimates for service use</w:t>
      </w:r>
      <w:r w:rsidR="00F301CC" w:rsidRPr="00976D1C">
        <w:rPr>
          <w:rFonts w:cs="Century Gothic"/>
          <w:lang w:eastAsia="en-AU"/>
        </w:rPr>
        <w:t>, and there is also the likelihood that the total count of services is conservative</w:t>
      </w:r>
      <w:r w:rsidR="00BD188F" w:rsidRPr="00976D1C">
        <w:rPr>
          <w:rFonts w:cs="Century Gothic"/>
          <w:lang w:eastAsia="en-AU"/>
        </w:rPr>
        <w:t>.</w:t>
      </w:r>
      <w:r w:rsidR="0043219E" w:rsidRPr="00976D1C">
        <w:rPr>
          <w:rFonts w:cs="Century Gothic"/>
          <w:lang w:eastAsia="en-AU"/>
        </w:rPr>
        <w:t xml:space="preserve"> </w:t>
      </w:r>
      <w:r w:rsidR="00F22419" w:rsidRPr="00976D1C">
        <w:rPr>
          <w:rFonts w:cs="Century Gothic"/>
          <w:lang w:eastAsia="en-AU"/>
        </w:rPr>
        <w:t xml:space="preserve">Additionally, </w:t>
      </w:r>
      <w:r w:rsidR="00DA1F41" w:rsidRPr="00976D1C">
        <w:rPr>
          <w:rFonts w:eastAsia="Calibri"/>
        </w:rPr>
        <w:t xml:space="preserve">for detailed workforce planning by practitioner type, information is not readily available on which practitioner type provided which service. </w:t>
      </w:r>
    </w:p>
    <w:p w14:paraId="0A2A8117" w14:textId="15A41D13" w:rsidR="00F83A62" w:rsidRPr="00976D1C" w:rsidRDefault="00F83A62" w:rsidP="00EC4213">
      <w:pPr>
        <w:rPr>
          <w:lang w:eastAsia="en-AU"/>
        </w:rPr>
      </w:pPr>
      <w:r w:rsidRPr="00976D1C">
        <w:rPr>
          <w:lang w:eastAsia="en-AU"/>
        </w:rPr>
        <w:t xml:space="preserve">In considering data availability and associated limitations of each data source, HWA decided to use the ARCPOH NDTIS for measuring workforce demand in this workforce planning exercise. This was on the basis that it is the only available source that </w:t>
      </w:r>
      <w:r w:rsidR="009F0F22" w:rsidRPr="00976D1C">
        <w:rPr>
          <w:lang w:eastAsia="en-AU"/>
        </w:rPr>
        <w:t>provides a consistent, national measure on dental services</w:t>
      </w:r>
      <w:r w:rsidR="0074581D" w:rsidRPr="00976D1C">
        <w:rPr>
          <w:lang w:eastAsia="en-AU"/>
        </w:rPr>
        <w:t xml:space="preserve"> received and dental visits</w:t>
      </w:r>
      <w:r w:rsidR="00D841D0" w:rsidRPr="00976D1C">
        <w:rPr>
          <w:lang w:eastAsia="en-AU"/>
        </w:rPr>
        <w:t xml:space="preserve"> </w:t>
      </w:r>
      <w:r w:rsidR="009F0F22" w:rsidRPr="00976D1C">
        <w:rPr>
          <w:lang w:eastAsia="en-AU"/>
        </w:rPr>
        <w:t xml:space="preserve">in the private and public sectors, with </w:t>
      </w:r>
      <w:r w:rsidRPr="00976D1C">
        <w:rPr>
          <w:lang w:eastAsia="en-AU"/>
        </w:rPr>
        <w:t xml:space="preserve">time-series information also </w:t>
      </w:r>
      <w:r w:rsidR="009F0F22" w:rsidRPr="00976D1C">
        <w:rPr>
          <w:lang w:eastAsia="en-AU"/>
        </w:rPr>
        <w:t xml:space="preserve">readily </w:t>
      </w:r>
      <w:r w:rsidRPr="00976D1C">
        <w:rPr>
          <w:lang w:eastAsia="en-AU"/>
        </w:rPr>
        <w:t xml:space="preserve">available. </w:t>
      </w:r>
    </w:p>
    <w:p w14:paraId="198AD5AD" w14:textId="0DE29278" w:rsidR="00783BE6" w:rsidRPr="00976D1C" w:rsidRDefault="00120750" w:rsidP="00EC4213">
      <w:pPr>
        <w:rPr>
          <w:lang w:eastAsia="en-AU"/>
        </w:rPr>
      </w:pPr>
      <w:r w:rsidRPr="00976D1C">
        <w:rPr>
          <w:lang w:eastAsia="en-AU"/>
        </w:rPr>
        <w:t>While t</w:t>
      </w:r>
      <w:r w:rsidR="00ED6E8E" w:rsidRPr="00976D1C">
        <w:rPr>
          <w:lang w:eastAsia="en-AU"/>
        </w:rPr>
        <w:t xml:space="preserve">he </w:t>
      </w:r>
      <w:r w:rsidR="00F83A62" w:rsidRPr="00976D1C">
        <w:rPr>
          <w:lang w:eastAsia="en-AU"/>
        </w:rPr>
        <w:t xml:space="preserve">limitations highlighted </w:t>
      </w:r>
      <w:r w:rsidRPr="00976D1C">
        <w:rPr>
          <w:lang w:eastAsia="en-AU"/>
        </w:rPr>
        <w:t>above do need to</w:t>
      </w:r>
      <w:r w:rsidR="009F0F22" w:rsidRPr="00976D1C">
        <w:rPr>
          <w:lang w:eastAsia="en-AU"/>
        </w:rPr>
        <w:t xml:space="preserve"> be </w:t>
      </w:r>
      <w:r w:rsidR="00ED6E8E" w:rsidRPr="00976D1C">
        <w:rPr>
          <w:lang w:eastAsia="en-AU"/>
        </w:rPr>
        <w:t>considered</w:t>
      </w:r>
      <w:r w:rsidR="009F0F22" w:rsidRPr="00976D1C">
        <w:rPr>
          <w:lang w:eastAsia="en-AU"/>
        </w:rPr>
        <w:t xml:space="preserve"> when </w:t>
      </w:r>
      <w:r w:rsidR="00ED6E8E" w:rsidRPr="00976D1C">
        <w:rPr>
          <w:lang w:eastAsia="en-AU"/>
        </w:rPr>
        <w:t>interpreting</w:t>
      </w:r>
      <w:r w:rsidR="009F0F22" w:rsidRPr="00976D1C">
        <w:rPr>
          <w:lang w:eastAsia="en-AU"/>
        </w:rPr>
        <w:t xml:space="preserve"> the workforce planning projection results</w:t>
      </w:r>
      <w:r w:rsidRPr="00976D1C">
        <w:rPr>
          <w:lang w:eastAsia="en-AU"/>
        </w:rPr>
        <w:t xml:space="preserve">, having used the best available data, HWA is confident in the </w:t>
      </w:r>
      <w:r w:rsidRPr="00976D1C">
        <w:t xml:space="preserve">workforce planning projections presented in this publication, and in the findings resulting from those projections for the overall oral health workforce. Given questions raised by some stakeholders regarding the accuracy of attributing oral health activity to specific practitioners, care should be taken in the interpretation of the results for individual professions (with these results contained in </w:t>
      </w:r>
      <w:r w:rsidRPr="00976D1C">
        <w:rPr>
          <w:i/>
        </w:rPr>
        <w:t>AFHW – Oral Health – Detailed</w:t>
      </w:r>
      <w:r w:rsidRPr="00976D1C">
        <w:t>).</w:t>
      </w:r>
      <w:r w:rsidR="00F0036F" w:rsidRPr="00976D1C">
        <w:rPr>
          <w:lang w:eastAsia="en-AU"/>
        </w:rPr>
        <w:t xml:space="preserve"> </w:t>
      </w:r>
    </w:p>
    <w:p w14:paraId="4BBC9178" w14:textId="7AD1E6EF" w:rsidR="00D33C1B" w:rsidRPr="00976D1C" w:rsidRDefault="00437A4F" w:rsidP="00EC4213">
      <w:pPr>
        <w:rPr>
          <w:lang w:eastAsia="en-AU"/>
        </w:rPr>
      </w:pPr>
      <w:r w:rsidRPr="00976D1C">
        <w:rPr>
          <w:lang w:eastAsia="en-AU"/>
        </w:rPr>
        <w:t xml:space="preserve">Appendix </w:t>
      </w:r>
      <w:r w:rsidR="008018E1" w:rsidRPr="00976D1C">
        <w:rPr>
          <w:lang w:eastAsia="en-AU"/>
        </w:rPr>
        <w:t>F</w:t>
      </w:r>
      <w:r w:rsidRPr="00976D1C">
        <w:rPr>
          <w:lang w:eastAsia="en-AU"/>
        </w:rPr>
        <w:t xml:space="preserve"> contains the list of data sources used in generating the oral health workforce planning projections. </w:t>
      </w:r>
    </w:p>
    <w:p w14:paraId="6A82D175" w14:textId="77777777" w:rsidR="007B66B1" w:rsidRPr="00976D1C" w:rsidRDefault="007B66B1" w:rsidP="00EC4213">
      <w:pPr>
        <w:pStyle w:val="Heading3"/>
        <w:rPr>
          <w:lang w:val="en-AU"/>
        </w:rPr>
      </w:pPr>
      <w:r w:rsidRPr="00976D1C">
        <w:rPr>
          <w:lang w:val="en-AU"/>
        </w:rPr>
        <w:t>Planning scenarios</w:t>
      </w:r>
    </w:p>
    <w:p w14:paraId="3C358E12" w14:textId="7B63CC25" w:rsidR="00D33C1B" w:rsidRPr="00976D1C" w:rsidRDefault="004F23BD" w:rsidP="00EC4213">
      <w:r w:rsidRPr="00976D1C">
        <w:t xml:space="preserve">Scenario modelling is used to demonstrate the impact of potential policy options on future workforce supply and demand. </w:t>
      </w:r>
      <w:r w:rsidR="00D33C1B" w:rsidRPr="00976D1C">
        <w:t>A scenario represents a par</w:t>
      </w:r>
      <w:r w:rsidR="00381F17" w:rsidRPr="00976D1C">
        <w:t>ticular vision of future health</w:t>
      </w:r>
      <w:r w:rsidR="00D33C1B" w:rsidRPr="00976D1C">
        <w:t xml:space="preserve">care delivery, and in the health workforce context, scenarios are often developed to reflect potential government policy decisions, higher education/training sector activities, employer practices, trends within the existing health workforce and trends within service demand. </w:t>
      </w:r>
    </w:p>
    <w:p w14:paraId="33FCEBC3" w14:textId="1DD48068" w:rsidR="009C13DD" w:rsidRPr="00976D1C" w:rsidRDefault="00D33C1B" w:rsidP="00EC4213">
      <w:r w:rsidRPr="00976D1C">
        <w:t>The impact of these scenarios is measured by comparing their workforce projection results with the comparison scenario – a technical construct where current trends are assumed to continue into the future</w:t>
      </w:r>
      <w:r w:rsidR="004F23BD" w:rsidRPr="00976D1C">
        <w:t xml:space="preserve">. The comparison scenario is not a prediction of the </w:t>
      </w:r>
      <w:r w:rsidR="00FD1938" w:rsidRPr="00976D1C">
        <w:t>future;</w:t>
      </w:r>
      <w:r w:rsidR="004F23BD" w:rsidRPr="00976D1C">
        <w:t xml:space="preserve"> </w:t>
      </w:r>
      <w:r w:rsidR="00CE05E0" w:rsidRPr="00976D1C">
        <w:t xml:space="preserve">it is based on utilisation patterns as they currently exist; and </w:t>
      </w:r>
      <w:r w:rsidR="004F23BD" w:rsidRPr="00976D1C">
        <w:t xml:space="preserve">should be interpreted as a ‘do nothing’ scenario, </w:t>
      </w:r>
      <w:r w:rsidR="007B66B1" w:rsidRPr="00976D1C">
        <w:t xml:space="preserve">which assumes known policy settings are held constant as their future levels cannot be predicted. </w:t>
      </w:r>
      <w:r w:rsidR="009C13DD" w:rsidRPr="00976D1C">
        <w:t xml:space="preserve">This allows an assessment of the effects of other </w:t>
      </w:r>
      <w:r w:rsidR="001B749A" w:rsidRPr="00976D1C">
        <w:t>changes, which</w:t>
      </w:r>
      <w:r w:rsidR="009C13DD" w:rsidRPr="00976D1C">
        <w:t xml:space="preserve"> may impact the workforce.</w:t>
      </w:r>
    </w:p>
    <w:p w14:paraId="08ED65EB" w14:textId="0FECBC42" w:rsidR="009C13DD" w:rsidRPr="00976D1C" w:rsidRDefault="00516A23" w:rsidP="00EC4213">
      <w:pPr>
        <w:rPr>
          <w:rFonts w:cs="Times"/>
          <w:lang w:eastAsia="en-AU"/>
        </w:rPr>
      </w:pPr>
      <w:r w:rsidRPr="00976D1C">
        <w:rPr>
          <w:lang w:eastAsia="en-AU"/>
        </w:rPr>
        <w:t>Seven</w:t>
      </w:r>
      <w:r w:rsidR="007B66B1" w:rsidRPr="00976D1C">
        <w:rPr>
          <w:lang w:eastAsia="en-AU"/>
        </w:rPr>
        <w:t xml:space="preserve"> alternative scenarios were developed for AFHW – Oral Health. It </w:t>
      </w:r>
      <w:r w:rsidR="009C13DD" w:rsidRPr="00976D1C">
        <w:rPr>
          <w:lang w:eastAsia="en-AU"/>
        </w:rPr>
        <w:t>is important to note the scenarios are not predictions of what will happen o</w:t>
      </w:r>
      <w:r w:rsidR="009C13DD" w:rsidRPr="00976D1C">
        <w:t>v</w:t>
      </w:r>
      <w:r w:rsidR="009C13DD" w:rsidRPr="00976D1C">
        <w:rPr>
          <w:lang w:eastAsia="en-AU"/>
        </w:rPr>
        <w:t>er the period to 2025 – each provides an estimate of a likely outcome given the set of conditions upon which it is based.</w:t>
      </w:r>
    </w:p>
    <w:p w14:paraId="74872C54" w14:textId="7C4ED28B" w:rsidR="00C15887" w:rsidRPr="00976D1C" w:rsidRDefault="00C15887" w:rsidP="00EC4213">
      <w:pPr>
        <w:pStyle w:val="ListParagraph"/>
        <w:numPr>
          <w:ilvl w:val="0"/>
          <w:numId w:val="34"/>
        </w:numPr>
      </w:pPr>
      <w:r w:rsidRPr="00976D1C">
        <w:rPr>
          <w:b/>
        </w:rPr>
        <w:lastRenderedPageBreak/>
        <w:t>Medium self-sufficiency</w:t>
      </w:r>
      <w:r w:rsidRPr="00976D1C">
        <w:t xml:space="preserve"> – showing the impact of reducing net international migration and international students graduating from Australian dental </w:t>
      </w:r>
      <w:r w:rsidR="00DA310F" w:rsidRPr="00976D1C">
        <w:t>programme</w:t>
      </w:r>
      <w:r w:rsidRPr="00976D1C">
        <w:t>s.</w:t>
      </w:r>
    </w:p>
    <w:p w14:paraId="00BC889B" w14:textId="5B83EE00" w:rsidR="00C15887" w:rsidRPr="00976D1C" w:rsidRDefault="00C15887" w:rsidP="00EC4213">
      <w:pPr>
        <w:pStyle w:val="ListParagraph"/>
        <w:numPr>
          <w:ilvl w:val="0"/>
          <w:numId w:val="34"/>
        </w:numPr>
      </w:pPr>
      <w:r w:rsidRPr="00976D1C">
        <w:rPr>
          <w:b/>
        </w:rPr>
        <w:t>Productivity</w:t>
      </w:r>
      <w:r w:rsidRPr="00976D1C">
        <w:t xml:space="preserve"> – showing the impact of a five per cent productivity gain over the projection period. </w:t>
      </w:r>
    </w:p>
    <w:p w14:paraId="5BD15FF9" w14:textId="77777777" w:rsidR="00C15887" w:rsidRPr="00976D1C" w:rsidRDefault="00C15887" w:rsidP="00EC4213">
      <w:pPr>
        <w:pStyle w:val="ListParagraph"/>
        <w:numPr>
          <w:ilvl w:val="0"/>
          <w:numId w:val="34"/>
        </w:numPr>
      </w:pPr>
      <w:r w:rsidRPr="00976D1C">
        <w:rPr>
          <w:b/>
        </w:rPr>
        <w:t>Low demand</w:t>
      </w:r>
      <w:r w:rsidRPr="00976D1C">
        <w:t xml:space="preserve"> – showing the impact of a reduction in demand for the oral health services.</w:t>
      </w:r>
    </w:p>
    <w:p w14:paraId="0A5BC01C" w14:textId="77777777" w:rsidR="00C15887" w:rsidRPr="00976D1C" w:rsidRDefault="00C15887" w:rsidP="00EC4213">
      <w:pPr>
        <w:pStyle w:val="ListParagraph"/>
        <w:numPr>
          <w:ilvl w:val="0"/>
          <w:numId w:val="34"/>
        </w:numPr>
      </w:pPr>
      <w:r w:rsidRPr="00976D1C">
        <w:rPr>
          <w:b/>
        </w:rPr>
        <w:t>High demand</w:t>
      </w:r>
      <w:r w:rsidRPr="00976D1C">
        <w:t xml:space="preserve"> – showing the impact of an increase in demand for oral health services. </w:t>
      </w:r>
    </w:p>
    <w:p w14:paraId="7CE59948" w14:textId="74D628B4" w:rsidR="00C15887" w:rsidRPr="00976D1C" w:rsidRDefault="00C15887" w:rsidP="00EC4213">
      <w:pPr>
        <w:pStyle w:val="ListParagraph"/>
        <w:numPr>
          <w:ilvl w:val="0"/>
          <w:numId w:val="34"/>
        </w:numPr>
      </w:pPr>
      <w:r w:rsidRPr="00976D1C">
        <w:rPr>
          <w:b/>
        </w:rPr>
        <w:t>Undersupply</w:t>
      </w:r>
      <w:r w:rsidRPr="00976D1C">
        <w:t xml:space="preserve"> – showing the impact on the workforce planning projections of a commencing </w:t>
      </w:r>
      <w:r w:rsidR="00524A34" w:rsidRPr="00976D1C">
        <w:t xml:space="preserve">workforce </w:t>
      </w:r>
      <w:r w:rsidRPr="00976D1C">
        <w:t>supply gap</w:t>
      </w:r>
      <w:r w:rsidR="00103E92" w:rsidRPr="00976D1C">
        <w:t>, that is, workforce demand exceeds workforce supply</w:t>
      </w:r>
      <w:r w:rsidRPr="00976D1C">
        <w:t xml:space="preserve">. </w:t>
      </w:r>
    </w:p>
    <w:p w14:paraId="0F365852" w14:textId="565F71B6" w:rsidR="00C15887" w:rsidRPr="00976D1C" w:rsidRDefault="00C15887" w:rsidP="00EC4213">
      <w:pPr>
        <w:pStyle w:val="ListParagraph"/>
        <w:numPr>
          <w:ilvl w:val="0"/>
          <w:numId w:val="34"/>
        </w:numPr>
      </w:pPr>
      <w:r w:rsidRPr="00976D1C">
        <w:rPr>
          <w:b/>
        </w:rPr>
        <w:t>Oversupply</w:t>
      </w:r>
      <w:r w:rsidRPr="00976D1C">
        <w:t xml:space="preserve"> – showing the impact on the workforce planning projections of a commencing </w:t>
      </w:r>
      <w:r w:rsidR="00524A34" w:rsidRPr="00976D1C">
        <w:t xml:space="preserve">workforce </w:t>
      </w:r>
      <w:r w:rsidRPr="00976D1C">
        <w:t>supply excess</w:t>
      </w:r>
      <w:r w:rsidR="00103E92" w:rsidRPr="00976D1C">
        <w:t>, that is, workforce supply exceeds workforce demand</w:t>
      </w:r>
      <w:r w:rsidRPr="00976D1C">
        <w:t xml:space="preserve">. </w:t>
      </w:r>
    </w:p>
    <w:p w14:paraId="5FB85641" w14:textId="76F02A9C" w:rsidR="00C15887" w:rsidRPr="00976D1C" w:rsidRDefault="00C15887" w:rsidP="00EC4213">
      <w:pPr>
        <w:pStyle w:val="ListParagraph"/>
        <w:numPr>
          <w:ilvl w:val="0"/>
          <w:numId w:val="34"/>
        </w:numPr>
      </w:pPr>
      <w:r w:rsidRPr="00976D1C">
        <w:rPr>
          <w:b/>
        </w:rPr>
        <w:t xml:space="preserve">Graduate reduction </w:t>
      </w:r>
      <w:r w:rsidRPr="00976D1C">
        <w:t xml:space="preserve">– showing the impact of a reduction in the number of graduates (both domestic and international) from Australian dental </w:t>
      </w:r>
      <w:r w:rsidR="00DA310F" w:rsidRPr="00976D1C">
        <w:t>programme</w:t>
      </w:r>
      <w:r w:rsidRPr="00976D1C">
        <w:t>s.</w:t>
      </w:r>
    </w:p>
    <w:p w14:paraId="3DD1EF3A" w14:textId="79705937" w:rsidR="00C15887" w:rsidRPr="00976D1C" w:rsidRDefault="00C15887" w:rsidP="00EC4213">
      <w:pPr>
        <w:rPr>
          <w:lang w:eastAsia="en-AU"/>
        </w:rPr>
      </w:pPr>
      <w:r w:rsidRPr="00976D1C">
        <w:rPr>
          <w:lang w:eastAsia="en-AU"/>
        </w:rPr>
        <w:t xml:space="preserve">Details of </w:t>
      </w:r>
      <w:r w:rsidR="00524A34" w:rsidRPr="00976D1C">
        <w:rPr>
          <w:lang w:eastAsia="en-AU"/>
        </w:rPr>
        <w:t xml:space="preserve">how the scenarios were constructed are </w:t>
      </w:r>
      <w:r w:rsidRPr="00976D1C">
        <w:rPr>
          <w:lang w:eastAsia="en-AU"/>
        </w:rPr>
        <w:t xml:space="preserve">provided in Appendix </w:t>
      </w:r>
      <w:r w:rsidR="008018E1" w:rsidRPr="00976D1C">
        <w:rPr>
          <w:lang w:eastAsia="en-AU"/>
        </w:rPr>
        <w:t>E</w:t>
      </w:r>
      <w:r w:rsidRPr="00976D1C">
        <w:rPr>
          <w:lang w:eastAsia="en-AU"/>
        </w:rPr>
        <w:t>.</w:t>
      </w:r>
    </w:p>
    <w:p w14:paraId="18181D48" w14:textId="5493E4A4" w:rsidR="00615CCD" w:rsidRPr="00976D1C" w:rsidRDefault="00615CCD" w:rsidP="00EC4213">
      <w:pPr>
        <w:pStyle w:val="Heading2"/>
      </w:pPr>
      <w:bookmarkStart w:id="37" w:name="_Toc407634415"/>
      <w:r w:rsidRPr="00976D1C">
        <w:t>What work</w:t>
      </w:r>
      <w:r w:rsidR="00227979" w:rsidRPr="00976D1C">
        <w:t>forces are included in AFHW –</w:t>
      </w:r>
      <w:r w:rsidR="002E41DC" w:rsidRPr="00976D1C">
        <w:t xml:space="preserve"> Oral Health</w:t>
      </w:r>
      <w:r w:rsidRPr="00976D1C">
        <w:t>?</w:t>
      </w:r>
      <w:bookmarkEnd w:id="37"/>
    </w:p>
    <w:p w14:paraId="7AD62392" w14:textId="3271477B" w:rsidR="005C1A78" w:rsidRPr="00976D1C" w:rsidRDefault="005C1A78" w:rsidP="00EC4213">
      <w:r w:rsidRPr="00976D1C">
        <w:t xml:space="preserve">As noted earlier, </w:t>
      </w:r>
      <w:r w:rsidR="00615CCD" w:rsidRPr="00976D1C">
        <w:t>Australia’s oral health workforce is comprised of a broad mix of care providers and support workers</w:t>
      </w:r>
      <w:r w:rsidR="00227979" w:rsidRPr="00976D1C">
        <w:t xml:space="preserve"> delivering services to consumers</w:t>
      </w:r>
      <w:r w:rsidR="00615CCD" w:rsidRPr="00976D1C">
        <w:t xml:space="preserve">. </w:t>
      </w:r>
      <w:r w:rsidRPr="00976D1C">
        <w:t xml:space="preserve">For the workforce planning projections, only those occupations which form the registered oral health workforce – dentists, oral health therapists, dental hygienists, dental therapists, and dental prosthetists – have been included. </w:t>
      </w:r>
    </w:p>
    <w:p w14:paraId="2B1A1E84" w14:textId="3ACBA320" w:rsidR="005C1A78" w:rsidRPr="00976D1C" w:rsidRDefault="00DB5297" w:rsidP="00EC4213">
      <w:r w:rsidRPr="00976D1C">
        <w:t xml:space="preserve">Workforce planning projections were not able to </w:t>
      </w:r>
      <w:r w:rsidR="007F0BB6" w:rsidRPr="00976D1C">
        <w:t xml:space="preserve">be </w:t>
      </w:r>
      <w:r w:rsidRPr="00976D1C">
        <w:t xml:space="preserve">conducted for the </w:t>
      </w:r>
      <w:r w:rsidR="005C1A78" w:rsidRPr="00976D1C">
        <w:t>unregistered component of the oral health workforce</w:t>
      </w:r>
      <w:r w:rsidRPr="00976D1C">
        <w:t xml:space="preserve"> (</w:t>
      </w:r>
      <w:r w:rsidR="005C1A78" w:rsidRPr="00976D1C">
        <w:t>dental assistants and dental technicians</w:t>
      </w:r>
      <w:r w:rsidRPr="00976D1C">
        <w:t xml:space="preserve">) due to data limitations – there is no </w:t>
      </w:r>
      <w:r w:rsidR="005C1A78" w:rsidRPr="00976D1C">
        <w:t xml:space="preserve">systematic collection of workforce data </w:t>
      </w:r>
      <w:r w:rsidRPr="00976D1C">
        <w:t xml:space="preserve">able to be used to establish workforce supply. A description of the number and characteristics of the unregistered oral health workforce is provided in </w:t>
      </w:r>
      <w:r w:rsidR="00227979" w:rsidRPr="00976D1C">
        <w:rPr>
          <w:i/>
          <w:lang w:eastAsia="x-none"/>
        </w:rPr>
        <w:t>AFHW – Oral H</w:t>
      </w:r>
      <w:r w:rsidRPr="00976D1C">
        <w:rPr>
          <w:i/>
          <w:lang w:eastAsia="x-none"/>
        </w:rPr>
        <w:t>ealth – Detailed</w:t>
      </w:r>
      <w:r w:rsidR="005C1A78" w:rsidRPr="00976D1C">
        <w:t>.</w:t>
      </w:r>
    </w:p>
    <w:p w14:paraId="4C7FABDA" w14:textId="3DC579BC" w:rsidR="005C1A78" w:rsidRPr="00976D1C" w:rsidRDefault="00DB5297" w:rsidP="00EC4213">
      <w:r w:rsidRPr="00976D1C">
        <w:t xml:space="preserve">In this publication, </w:t>
      </w:r>
      <w:r w:rsidR="005C1A78" w:rsidRPr="00976D1C">
        <w:t xml:space="preserve">workforce planning projections are presented for the total registered oral health workforce, that is, </w:t>
      </w:r>
      <w:r w:rsidR="00227979" w:rsidRPr="00976D1C">
        <w:t xml:space="preserve">the combined total of </w:t>
      </w:r>
      <w:r w:rsidR="005C1A78" w:rsidRPr="00976D1C">
        <w:t>dentists, oral health therapists, dental hygienists, dental therapists, and dental prosthetists.</w:t>
      </w:r>
    </w:p>
    <w:p w14:paraId="3E709895" w14:textId="313DC58A" w:rsidR="005C1A78" w:rsidRPr="00976D1C" w:rsidRDefault="005C1A78" w:rsidP="00EC4213">
      <w:pPr>
        <w:rPr>
          <w:i/>
        </w:rPr>
      </w:pPr>
      <w:r w:rsidRPr="00976D1C">
        <w:t>Mor</w:t>
      </w:r>
      <w:r w:rsidR="00DB5297" w:rsidRPr="00976D1C">
        <w:t>e detailed projections for den</w:t>
      </w:r>
      <w:r w:rsidRPr="00976D1C">
        <w:t>tists</w:t>
      </w:r>
      <w:r w:rsidR="00DC3122" w:rsidRPr="00976D1C">
        <w:t xml:space="preserve"> (including dental specialists)</w:t>
      </w:r>
      <w:r w:rsidRPr="00976D1C">
        <w:t>, oral health practitioners (comprised of oral health therapists, dental hygienists</w:t>
      </w:r>
      <w:r w:rsidR="007F0BB6" w:rsidRPr="00976D1C">
        <w:t xml:space="preserve"> and </w:t>
      </w:r>
      <w:r w:rsidRPr="00976D1C">
        <w:t xml:space="preserve">dental therapists) and dental prosthetists are presented in </w:t>
      </w:r>
      <w:r w:rsidR="00227979" w:rsidRPr="00976D1C">
        <w:rPr>
          <w:i/>
        </w:rPr>
        <w:t>AFHW – Oral H</w:t>
      </w:r>
      <w:r w:rsidRPr="00976D1C">
        <w:rPr>
          <w:i/>
        </w:rPr>
        <w:t>ealth – Detailed.</w:t>
      </w:r>
    </w:p>
    <w:p w14:paraId="2595477C" w14:textId="757905DE" w:rsidR="00A61F72" w:rsidRPr="00976D1C" w:rsidRDefault="00A61F72" w:rsidP="00EC4213">
      <w:pPr>
        <w:pStyle w:val="Heading2"/>
      </w:pPr>
      <w:bookmarkStart w:id="38" w:name="_Toc407634416"/>
      <w:r w:rsidRPr="00976D1C">
        <w:lastRenderedPageBreak/>
        <w:t>W</w:t>
      </w:r>
      <w:r w:rsidR="00CF7382" w:rsidRPr="00976D1C">
        <w:t>e have extra capacity in the oral health workforce</w:t>
      </w:r>
      <w:bookmarkEnd w:id="38"/>
    </w:p>
    <w:p w14:paraId="5C4B4D19" w14:textId="634F931B" w:rsidR="004A5C6A" w:rsidRPr="00976D1C" w:rsidRDefault="004A5C6A" w:rsidP="00EC4213">
      <w:r w:rsidRPr="00976D1C">
        <w:fldChar w:fldCharType="begin"/>
      </w:r>
      <w:r w:rsidRPr="00976D1C">
        <w:instrText xml:space="preserve"> REF _Ref378844233 \h </w:instrText>
      </w:r>
      <w:r w:rsidR="004C1C20" w:rsidRPr="00976D1C">
        <w:instrText xml:space="preserve"> \* MERGEFORMAT </w:instrText>
      </w:r>
      <w:r w:rsidRPr="00976D1C">
        <w:fldChar w:fldCharType="separate"/>
      </w:r>
      <w:r w:rsidR="00496730" w:rsidRPr="00976D1C">
        <w:t xml:space="preserve">Table </w:t>
      </w:r>
      <w:r w:rsidR="00496730" w:rsidRPr="00976D1C">
        <w:rPr>
          <w:noProof/>
        </w:rPr>
        <w:t>2</w:t>
      </w:r>
      <w:r w:rsidRPr="00976D1C">
        <w:fldChar w:fldCharType="end"/>
      </w:r>
      <w:r w:rsidRPr="00976D1C">
        <w:t xml:space="preserve"> provides a summary of the scenario modelling results for the oral health workforce. The intention of the scenarios presented is to illustrate policy alternatives and their effects. The scenarios presented are not directly representative of real policies. </w:t>
      </w:r>
    </w:p>
    <w:p w14:paraId="2227E61F" w14:textId="08E8C3C2" w:rsidR="00275E82" w:rsidRPr="00976D1C" w:rsidRDefault="004A5C6A" w:rsidP="00EC4213">
      <w:pPr>
        <w:rPr>
          <w:lang w:eastAsia="x-none"/>
        </w:rPr>
      </w:pPr>
      <w:r w:rsidRPr="00976D1C">
        <w:t xml:space="preserve">The comparison scenario, or ‘do nothing’ scenario, where known settings are held constant into the future, shows the supply of the oral health workforce is projected to exceed demand </w:t>
      </w:r>
      <w:r w:rsidR="00CE05E0" w:rsidRPr="00976D1C">
        <w:t xml:space="preserve">(which is based on utilisation patterns as they currently exist) </w:t>
      </w:r>
      <w:r w:rsidRPr="00976D1C">
        <w:t xml:space="preserve">across the entire projection period to 2025. While the size and direction of the movement relative to the comparison scenario varies according to each scenario, all present the same result as the comparison scenario – that across the projection period the supply of the oral health workforce is projected to exceed demand. This </w:t>
      </w:r>
      <w:r w:rsidRPr="00976D1C">
        <w:rPr>
          <w:lang w:eastAsia="x-none"/>
        </w:rPr>
        <w:t xml:space="preserve">clearly indicates capacity exists within Australia’s oral health workforce to provide an increased number of services, in the absence of any other changes. </w:t>
      </w:r>
    </w:p>
    <w:p w14:paraId="6BED7451" w14:textId="77777777" w:rsidR="004A5C6A" w:rsidRPr="00976D1C" w:rsidRDefault="004A5C6A" w:rsidP="00EC4213">
      <w:pPr>
        <w:pStyle w:val="Caption"/>
      </w:pPr>
      <w:bookmarkStart w:id="39" w:name="_Ref378844233"/>
      <w:bookmarkStart w:id="40" w:name="_Ref382492842"/>
      <w:bookmarkStart w:id="41" w:name="_Toc409532340"/>
      <w:r w:rsidRPr="00976D1C">
        <w:t xml:space="preserve">Table </w:t>
      </w:r>
      <w:fldSimple w:instr=" SEQ Table \* ARABIC ">
        <w:r w:rsidR="00496730" w:rsidRPr="00976D1C">
          <w:t>2</w:t>
        </w:r>
      </w:fldSimple>
      <w:bookmarkEnd w:id="39"/>
      <w:r w:rsidRPr="00976D1C">
        <w:t>: Oral health workforce, summary of workforce supply and demand projections, 2020 and 2025</w:t>
      </w:r>
      <w:bookmarkEnd w:id="40"/>
      <w:bookmarkEnd w:id="41"/>
    </w:p>
    <w:tbl>
      <w:tblP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Caption w:val="Table 2: Oral health workforce, summary of workforce supply and demand projections, 2020 and 2025"/>
        <w:tblDescription w:val="The table presents the summary workforce supply and demand projections for 2020 and 2025 for each scenario modelled.&#10;Comparison scenario 2020: Supply 22,314 Demand 19,021 Difference 3,292 ; &#10;Comparison scenario 2025: Supply 26,140 Demand 20,496 Difference 5,644&#10;Medium self-sufficiency 2020: Supply 21,827 Demand 19,021 Difference 2,806 &#10;Medium self-sufficiency 2025: Supply 24,782 Demand 20,496 Difference 4,286&#10;Productivity 2020: Supply 22,314 Demand 18,410 Difference 3,904 ; Productivity 2025: Supply 26,140 Demand 19,471 Difference 6,669&#10;Low demand 2020: Supply 22,314 Demand 18,054 Difference 4,260&#10;Low demand 2025: Supply 26,140 Demand 18,919 Difference 7,221&#10;High demand 2020: Supply 22,314 Demand 21,442 Difference 872&#10;High demand 2025: Supply 26,140 Demand 24,443 Difference 1,697&#10;Initial undersupply 2020: Supply 22,314 Demand 19,873 Difference 2,441&#10;Initial undersupply 2025: Supply 26,140 Demand 21,351 Difference 4,789&#10;Initial oversupply 2020: Supply 22,946 Demand 19,021 Difference 3,925&#10;Initial oversupply 2025: Supply 26,638 Demand 20,496 Difference 6,142&#10;Graduate reduction 2020: Supply 21,677 Demand 19,040 Difference 2,637&#10;Graduate reduction 2025: Supply 24,903 Demand 20,529 Difference 4,374&#10;"/>
      </w:tblPr>
      <w:tblGrid>
        <w:gridCol w:w="1294"/>
        <w:gridCol w:w="1323"/>
        <w:gridCol w:w="1325"/>
        <w:gridCol w:w="1326"/>
        <w:gridCol w:w="1323"/>
        <w:gridCol w:w="1325"/>
        <w:gridCol w:w="1326"/>
      </w:tblGrid>
      <w:tr w:rsidR="00994E36" w:rsidRPr="00EC4213" w14:paraId="1725533C" w14:textId="77777777" w:rsidTr="00406A2C">
        <w:trPr>
          <w:tblHeader/>
        </w:trPr>
        <w:tc>
          <w:tcPr>
            <w:tcW w:w="0" w:type="auto"/>
            <w:shd w:val="clear" w:color="auto" w:fill="0070C0"/>
            <w:vAlign w:val="bottom"/>
          </w:tcPr>
          <w:p w14:paraId="39E775D7" w14:textId="045E7012" w:rsidR="00994E36" w:rsidRPr="00EC4213" w:rsidRDefault="00994E36" w:rsidP="00EC4213">
            <w:pPr>
              <w:pStyle w:val="TableHeader"/>
              <w:rPr>
                <w:sz w:val="18"/>
                <w:szCs w:val="18"/>
              </w:rPr>
            </w:pPr>
            <w:r w:rsidRPr="00EC4213">
              <w:rPr>
                <w:bCs/>
                <w:sz w:val="18"/>
                <w:szCs w:val="18"/>
              </w:rPr>
              <w:t>Scena</w:t>
            </w:r>
            <w:bookmarkStart w:id="42" w:name="ColumnTitle_2"/>
            <w:bookmarkEnd w:id="42"/>
            <w:r w:rsidRPr="00EC4213">
              <w:rPr>
                <w:bCs/>
                <w:sz w:val="18"/>
                <w:szCs w:val="18"/>
              </w:rPr>
              <w:t>rio</w:t>
            </w:r>
          </w:p>
        </w:tc>
        <w:tc>
          <w:tcPr>
            <w:tcW w:w="0" w:type="auto"/>
            <w:shd w:val="clear" w:color="auto" w:fill="0070C0"/>
            <w:vAlign w:val="bottom"/>
          </w:tcPr>
          <w:p w14:paraId="7FA07C50" w14:textId="48F8503B" w:rsidR="00994E36" w:rsidRPr="00EC4213" w:rsidRDefault="00EC4213" w:rsidP="00EC4213">
            <w:pPr>
              <w:pStyle w:val="TableHeader"/>
              <w:jc w:val="center"/>
              <w:rPr>
                <w:bCs/>
                <w:sz w:val="18"/>
                <w:szCs w:val="18"/>
              </w:rPr>
            </w:pPr>
            <w:r w:rsidRPr="00EC4213">
              <w:rPr>
                <w:bCs/>
                <w:sz w:val="18"/>
                <w:szCs w:val="18"/>
              </w:rPr>
              <w:t xml:space="preserve">2020 (headcount) – </w:t>
            </w:r>
            <w:r w:rsidR="00994E36" w:rsidRPr="00EC4213">
              <w:rPr>
                <w:bCs/>
                <w:sz w:val="18"/>
                <w:szCs w:val="18"/>
              </w:rPr>
              <w:t>Supply</w:t>
            </w:r>
          </w:p>
        </w:tc>
        <w:tc>
          <w:tcPr>
            <w:tcW w:w="0" w:type="auto"/>
            <w:shd w:val="clear" w:color="auto" w:fill="0070C0"/>
            <w:vAlign w:val="bottom"/>
          </w:tcPr>
          <w:p w14:paraId="4ACE06A4" w14:textId="0916A220" w:rsidR="00994E36" w:rsidRPr="00EC4213" w:rsidRDefault="00EC4213" w:rsidP="00EC4213">
            <w:pPr>
              <w:pStyle w:val="TableHeader"/>
              <w:jc w:val="center"/>
              <w:rPr>
                <w:bCs/>
                <w:sz w:val="18"/>
                <w:szCs w:val="18"/>
              </w:rPr>
            </w:pPr>
            <w:r w:rsidRPr="00EC4213">
              <w:rPr>
                <w:bCs/>
                <w:sz w:val="18"/>
                <w:szCs w:val="18"/>
              </w:rPr>
              <w:t xml:space="preserve">2020 (headcount) – </w:t>
            </w:r>
            <w:r w:rsidR="00994E36" w:rsidRPr="00EC4213">
              <w:rPr>
                <w:bCs/>
                <w:sz w:val="18"/>
                <w:szCs w:val="18"/>
              </w:rPr>
              <w:t>Demand</w:t>
            </w:r>
          </w:p>
        </w:tc>
        <w:tc>
          <w:tcPr>
            <w:tcW w:w="0" w:type="auto"/>
            <w:shd w:val="clear" w:color="auto" w:fill="0070C0"/>
            <w:vAlign w:val="bottom"/>
          </w:tcPr>
          <w:p w14:paraId="5CE1ABE6" w14:textId="44564B77" w:rsidR="00994E36" w:rsidRPr="00EC4213" w:rsidRDefault="00EC4213" w:rsidP="00EC4213">
            <w:pPr>
              <w:pStyle w:val="TableHeader"/>
              <w:jc w:val="center"/>
              <w:rPr>
                <w:bCs/>
                <w:sz w:val="18"/>
                <w:szCs w:val="18"/>
              </w:rPr>
            </w:pPr>
            <w:r w:rsidRPr="00EC4213">
              <w:rPr>
                <w:bCs/>
                <w:sz w:val="18"/>
                <w:szCs w:val="18"/>
              </w:rPr>
              <w:t xml:space="preserve">2020 (headcount) – </w:t>
            </w:r>
            <w:r w:rsidR="00994E36" w:rsidRPr="00EC4213">
              <w:rPr>
                <w:bCs/>
                <w:sz w:val="18"/>
                <w:szCs w:val="18"/>
              </w:rPr>
              <w:t>Difference</w:t>
            </w:r>
          </w:p>
        </w:tc>
        <w:tc>
          <w:tcPr>
            <w:tcW w:w="0" w:type="auto"/>
            <w:shd w:val="clear" w:color="auto" w:fill="0070C0"/>
            <w:vAlign w:val="bottom"/>
          </w:tcPr>
          <w:p w14:paraId="588C8D17" w14:textId="129365C5" w:rsidR="00994E36" w:rsidRPr="00EC4213" w:rsidRDefault="00EC4213" w:rsidP="00EC4213">
            <w:pPr>
              <w:pStyle w:val="TableHeader"/>
              <w:jc w:val="center"/>
              <w:rPr>
                <w:bCs/>
                <w:sz w:val="18"/>
                <w:szCs w:val="18"/>
              </w:rPr>
            </w:pPr>
            <w:r w:rsidRPr="00EC4213">
              <w:rPr>
                <w:bCs/>
                <w:sz w:val="18"/>
                <w:szCs w:val="18"/>
              </w:rPr>
              <w:t xml:space="preserve">2025 (headcount) – </w:t>
            </w:r>
            <w:r w:rsidR="00994E36" w:rsidRPr="00EC4213">
              <w:rPr>
                <w:bCs/>
                <w:sz w:val="18"/>
                <w:szCs w:val="18"/>
              </w:rPr>
              <w:t>Supply</w:t>
            </w:r>
          </w:p>
        </w:tc>
        <w:tc>
          <w:tcPr>
            <w:tcW w:w="0" w:type="auto"/>
            <w:shd w:val="clear" w:color="auto" w:fill="0070C0"/>
            <w:vAlign w:val="bottom"/>
          </w:tcPr>
          <w:p w14:paraId="230D92D5" w14:textId="62A5FC6C" w:rsidR="00994E36" w:rsidRPr="00EC4213" w:rsidRDefault="00EC4213" w:rsidP="00EC4213">
            <w:pPr>
              <w:pStyle w:val="TableHeader"/>
              <w:jc w:val="center"/>
              <w:rPr>
                <w:bCs/>
                <w:sz w:val="18"/>
                <w:szCs w:val="18"/>
              </w:rPr>
            </w:pPr>
            <w:r w:rsidRPr="00EC4213">
              <w:rPr>
                <w:bCs/>
                <w:sz w:val="18"/>
                <w:szCs w:val="18"/>
              </w:rPr>
              <w:t xml:space="preserve">2025 (headcount) – </w:t>
            </w:r>
            <w:r w:rsidR="00994E36" w:rsidRPr="00EC4213">
              <w:rPr>
                <w:bCs/>
                <w:sz w:val="18"/>
                <w:szCs w:val="18"/>
              </w:rPr>
              <w:t>Demand</w:t>
            </w:r>
          </w:p>
        </w:tc>
        <w:tc>
          <w:tcPr>
            <w:tcW w:w="0" w:type="auto"/>
            <w:shd w:val="clear" w:color="auto" w:fill="0070C0"/>
            <w:vAlign w:val="bottom"/>
          </w:tcPr>
          <w:p w14:paraId="5AC6C94C" w14:textId="14D1AEC7" w:rsidR="00994E36" w:rsidRPr="00EC4213" w:rsidRDefault="00EC4213" w:rsidP="00EC4213">
            <w:pPr>
              <w:pStyle w:val="TableHeader"/>
              <w:jc w:val="center"/>
              <w:rPr>
                <w:bCs/>
                <w:sz w:val="18"/>
                <w:szCs w:val="18"/>
              </w:rPr>
            </w:pPr>
            <w:r w:rsidRPr="00EC4213">
              <w:rPr>
                <w:bCs/>
                <w:sz w:val="18"/>
                <w:szCs w:val="18"/>
              </w:rPr>
              <w:t xml:space="preserve">2025 (headcount) – </w:t>
            </w:r>
            <w:r w:rsidR="00994E36" w:rsidRPr="00EC4213">
              <w:rPr>
                <w:bCs/>
                <w:sz w:val="18"/>
                <w:szCs w:val="18"/>
              </w:rPr>
              <w:t>Difference</w:t>
            </w:r>
          </w:p>
        </w:tc>
      </w:tr>
      <w:tr w:rsidR="00F329B7" w:rsidRPr="00976D1C" w14:paraId="17C4836B" w14:textId="77777777" w:rsidTr="00406A2C">
        <w:tc>
          <w:tcPr>
            <w:tcW w:w="0" w:type="auto"/>
            <w:shd w:val="clear" w:color="auto" w:fill="CCE0ED"/>
            <w:vAlign w:val="bottom"/>
          </w:tcPr>
          <w:p w14:paraId="73EE9138" w14:textId="5393F0DA" w:rsidR="00F329B7" w:rsidRPr="00976D1C" w:rsidRDefault="00F329B7" w:rsidP="00EC4213">
            <w:pPr>
              <w:pStyle w:val="TableText"/>
            </w:pPr>
            <w:r w:rsidRPr="00976D1C">
              <w:t>Comparison</w:t>
            </w:r>
          </w:p>
        </w:tc>
        <w:tc>
          <w:tcPr>
            <w:tcW w:w="0" w:type="auto"/>
            <w:shd w:val="clear" w:color="auto" w:fill="CCE0ED"/>
            <w:vAlign w:val="bottom"/>
          </w:tcPr>
          <w:p w14:paraId="22460423" w14:textId="6D8BAF7D" w:rsidR="00F329B7" w:rsidRPr="00976D1C" w:rsidRDefault="00F329B7" w:rsidP="00EC4213">
            <w:pPr>
              <w:pStyle w:val="TableText"/>
              <w:jc w:val="center"/>
            </w:pPr>
            <w:r w:rsidRPr="00976D1C">
              <w:t>22,314</w:t>
            </w:r>
          </w:p>
        </w:tc>
        <w:tc>
          <w:tcPr>
            <w:tcW w:w="0" w:type="auto"/>
            <w:shd w:val="clear" w:color="auto" w:fill="CCE0ED"/>
            <w:vAlign w:val="bottom"/>
          </w:tcPr>
          <w:p w14:paraId="731970AE" w14:textId="22D83583" w:rsidR="00F329B7" w:rsidRPr="00976D1C" w:rsidRDefault="00F329B7" w:rsidP="00EC4213">
            <w:pPr>
              <w:pStyle w:val="TableText"/>
              <w:jc w:val="center"/>
            </w:pPr>
            <w:r w:rsidRPr="00976D1C">
              <w:t>19,021</w:t>
            </w:r>
          </w:p>
        </w:tc>
        <w:tc>
          <w:tcPr>
            <w:tcW w:w="0" w:type="auto"/>
            <w:shd w:val="clear" w:color="auto" w:fill="CCE0ED"/>
            <w:vAlign w:val="bottom"/>
          </w:tcPr>
          <w:p w14:paraId="3204A55E" w14:textId="5B89BA08" w:rsidR="00F329B7" w:rsidRPr="00976D1C" w:rsidRDefault="00F329B7" w:rsidP="00EC4213">
            <w:pPr>
              <w:pStyle w:val="TableText"/>
              <w:jc w:val="center"/>
            </w:pPr>
            <w:r w:rsidRPr="00976D1C">
              <w:t>3,293</w:t>
            </w:r>
          </w:p>
        </w:tc>
        <w:tc>
          <w:tcPr>
            <w:tcW w:w="0" w:type="auto"/>
            <w:shd w:val="clear" w:color="auto" w:fill="CCE0ED"/>
            <w:vAlign w:val="bottom"/>
          </w:tcPr>
          <w:p w14:paraId="7748DF30" w14:textId="4DB29DC5" w:rsidR="00F329B7" w:rsidRPr="00976D1C" w:rsidRDefault="00F329B7" w:rsidP="00EC4213">
            <w:pPr>
              <w:pStyle w:val="TableText"/>
              <w:jc w:val="center"/>
            </w:pPr>
            <w:r w:rsidRPr="00976D1C">
              <w:t>26,140</w:t>
            </w:r>
          </w:p>
        </w:tc>
        <w:tc>
          <w:tcPr>
            <w:tcW w:w="0" w:type="auto"/>
            <w:shd w:val="clear" w:color="auto" w:fill="CCE0ED"/>
            <w:vAlign w:val="bottom"/>
          </w:tcPr>
          <w:p w14:paraId="41A71EB0" w14:textId="585B78BD" w:rsidR="00F329B7" w:rsidRPr="00976D1C" w:rsidRDefault="00F329B7" w:rsidP="00EC4213">
            <w:pPr>
              <w:pStyle w:val="TableText"/>
              <w:jc w:val="center"/>
            </w:pPr>
            <w:r w:rsidRPr="00976D1C">
              <w:t>20,496</w:t>
            </w:r>
          </w:p>
        </w:tc>
        <w:tc>
          <w:tcPr>
            <w:tcW w:w="0" w:type="auto"/>
            <w:shd w:val="clear" w:color="auto" w:fill="CCE0ED"/>
            <w:vAlign w:val="bottom"/>
          </w:tcPr>
          <w:p w14:paraId="43510F4B" w14:textId="4833D343" w:rsidR="00F329B7" w:rsidRPr="00976D1C" w:rsidRDefault="00F329B7" w:rsidP="00EC4213">
            <w:pPr>
              <w:pStyle w:val="TableText"/>
              <w:jc w:val="center"/>
            </w:pPr>
            <w:r w:rsidRPr="00976D1C">
              <w:t>5,644</w:t>
            </w:r>
          </w:p>
        </w:tc>
      </w:tr>
      <w:tr w:rsidR="00F329B7" w:rsidRPr="00976D1C" w14:paraId="68824840" w14:textId="77777777" w:rsidTr="00406A2C">
        <w:tc>
          <w:tcPr>
            <w:tcW w:w="0" w:type="auto"/>
            <w:shd w:val="clear" w:color="auto" w:fill="CCEFFC"/>
            <w:vAlign w:val="bottom"/>
          </w:tcPr>
          <w:p w14:paraId="68F26B2C" w14:textId="363BD1D6" w:rsidR="00F329B7" w:rsidRPr="00976D1C" w:rsidRDefault="00F329B7" w:rsidP="00EC4213">
            <w:pPr>
              <w:pStyle w:val="TableText"/>
            </w:pPr>
            <w:r w:rsidRPr="00976D1C">
              <w:t>Medium self-sufficiency</w:t>
            </w:r>
          </w:p>
        </w:tc>
        <w:tc>
          <w:tcPr>
            <w:tcW w:w="0" w:type="auto"/>
            <w:shd w:val="clear" w:color="auto" w:fill="CCEFFC"/>
            <w:vAlign w:val="bottom"/>
          </w:tcPr>
          <w:p w14:paraId="370665E1" w14:textId="2FEDCA0C" w:rsidR="00F329B7" w:rsidRPr="00976D1C" w:rsidRDefault="00F329B7" w:rsidP="00EC4213">
            <w:pPr>
              <w:pStyle w:val="TableText"/>
              <w:jc w:val="center"/>
            </w:pPr>
            <w:r w:rsidRPr="00976D1C">
              <w:t>21,827</w:t>
            </w:r>
          </w:p>
        </w:tc>
        <w:tc>
          <w:tcPr>
            <w:tcW w:w="0" w:type="auto"/>
            <w:shd w:val="clear" w:color="auto" w:fill="CCEFFC"/>
            <w:vAlign w:val="bottom"/>
          </w:tcPr>
          <w:p w14:paraId="0B7F3BFD" w14:textId="506CF6E4" w:rsidR="00F329B7" w:rsidRPr="00976D1C" w:rsidRDefault="00F329B7" w:rsidP="00EC4213">
            <w:pPr>
              <w:pStyle w:val="TableText"/>
              <w:jc w:val="center"/>
            </w:pPr>
            <w:r w:rsidRPr="00976D1C">
              <w:t>19,021</w:t>
            </w:r>
          </w:p>
        </w:tc>
        <w:tc>
          <w:tcPr>
            <w:tcW w:w="0" w:type="auto"/>
            <w:shd w:val="clear" w:color="auto" w:fill="CCEFFC"/>
            <w:vAlign w:val="bottom"/>
          </w:tcPr>
          <w:p w14:paraId="2B2D04D2" w14:textId="7F485C12" w:rsidR="00F329B7" w:rsidRPr="00976D1C" w:rsidRDefault="00F329B7" w:rsidP="00EC4213">
            <w:pPr>
              <w:pStyle w:val="TableText"/>
              <w:jc w:val="center"/>
            </w:pPr>
            <w:r w:rsidRPr="00976D1C">
              <w:t>2,806</w:t>
            </w:r>
          </w:p>
        </w:tc>
        <w:tc>
          <w:tcPr>
            <w:tcW w:w="0" w:type="auto"/>
            <w:shd w:val="clear" w:color="auto" w:fill="CCEFFC"/>
            <w:vAlign w:val="bottom"/>
          </w:tcPr>
          <w:p w14:paraId="791EB0B2" w14:textId="1601172D" w:rsidR="00F329B7" w:rsidRPr="00976D1C" w:rsidRDefault="00F329B7" w:rsidP="00EC4213">
            <w:pPr>
              <w:pStyle w:val="TableText"/>
              <w:jc w:val="center"/>
            </w:pPr>
            <w:r w:rsidRPr="00976D1C">
              <w:t>24,782</w:t>
            </w:r>
          </w:p>
        </w:tc>
        <w:tc>
          <w:tcPr>
            <w:tcW w:w="0" w:type="auto"/>
            <w:shd w:val="clear" w:color="auto" w:fill="CCEFFC"/>
            <w:vAlign w:val="bottom"/>
          </w:tcPr>
          <w:p w14:paraId="296D96A6" w14:textId="42E2DDE8" w:rsidR="00F329B7" w:rsidRPr="00976D1C" w:rsidRDefault="00F329B7" w:rsidP="00EC4213">
            <w:pPr>
              <w:pStyle w:val="TableText"/>
              <w:jc w:val="center"/>
            </w:pPr>
            <w:r w:rsidRPr="00976D1C">
              <w:t>20,496</w:t>
            </w:r>
          </w:p>
        </w:tc>
        <w:tc>
          <w:tcPr>
            <w:tcW w:w="0" w:type="auto"/>
            <w:shd w:val="clear" w:color="auto" w:fill="CCEFFC"/>
            <w:vAlign w:val="bottom"/>
          </w:tcPr>
          <w:p w14:paraId="6C392D0D" w14:textId="1467EED7" w:rsidR="00F329B7" w:rsidRPr="00976D1C" w:rsidRDefault="00F329B7" w:rsidP="00EC4213">
            <w:pPr>
              <w:pStyle w:val="TableText"/>
              <w:jc w:val="center"/>
            </w:pPr>
            <w:r w:rsidRPr="00976D1C">
              <w:t>4,286</w:t>
            </w:r>
          </w:p>
        </w:tc>
      </w:tr>
      <w:tr w:rsidR="00F329B7" w:rsidRPr="00976D1C" w14:paraId="1CC8DA3B" w14:textId="77777777" w:rsidTr="00406A2C">
        <w:tc>
          <w:tcPr>
            <w:tcW w:w="0" w:type="auto"/>
            <w:shd w:val="clear" w:color="auto" w:fill="CCE0ED"/>
            <w:vAlign w:val="bottom"/>
          </w:tcPr>
          <w:p w14:paraId="691ABB41" w14:textId="7A8081F3" w:rsidR="00F329B7" w:rsidRPr="00976D1C" w:rsidRDefault="00F329B7" w:rsidP="00EC4213">
            <w:pPr>
              <w:pStyle w:val="TableText"/>
            </w:pPr>
            <w:r w:rsidRPr="00976D1C">
              <w:t>Productivity</w:t>
            </w:r>
          </w:p>
        </w:tc>
        <w:tc>
          <w:tcPr>
            <w:tcW w:w="0" w:type="auto"/>
            <w:shd w:val="clear" w:color="auto" w:fill="CCE0ED"/>
            <w:vAlign w:val="bottom"/>
          </w:tcPr>
          <w:p w14:paraId="418E9E0E" w14:textId="2F063C18" w:rsidR="00F329B7" w:rsidRPr="00976D1C" w:rsidRDefault="00F329B7" w:rsidP="00EC4213">
            <w:pPr>
              <w:pStyle w:val="TableText"/>
              <w:jc w:val="center"/>
            </w:pPr>
            <w:r w:rsidRPr="00976D1C">
              <w:t>22,314</w:t>
            </w:r>
          </w:p>
        </w:tc>
        <w:tc>
          <w:tcPr>
            <w:tcW w:w="0" w:type="auto"/>
            <w:shd w:val="clear" w:color="auto" w:fill="CCE0ED"/>
            <w:vAlign w:val="bottom"/>
          </w:tcPr>
          <w:p w14:paraId="17525914" w14:textId="1D3C1F17" w:rsidR="00F329B7" w:rsidRPr="00976D1C" w:rsidRDefault="00F329B7" w:rsidP="00EC4213">
            <w:pPr>
              <w:pStyle w:val="TableText"/>
              <w:jc w:val="center"/>
            </w:pPr>
            <w:r w:rsidRPr="00976D1C">
              <w:t>18,410</w:t>
            </w:r>
          </w:p>
        </w:tc>
        <w:tc>
          <w:tcPr>
            <w:tcW w:w="0" w:type="auto"/>
            <w:shd w:val="clear" w:color="auto" w:fill="CCE0ED"/>
            <w:vAlign w:val="bottom"/>
          </w:tcPr>
          <w:p w14:paraId="4D300D83" w14:textId="26817BF1" w:rsidR="00F329B7" w:rsidRPr="00976D1C" w:rsidRDefault="00F329B7" w:rsidP="00EC4213">
            <w:pPr>
              <w:pStyle w:val="TableText"/>
              <w:jc w:val="center"/>
            </w:pPr>
            <w:r w:rsidRPr="00976D1C">
              <w:t>3,904</w:t>
            </w:r>
          </w:p>
        </w:tc>
        <w:tc>
          <w:tcPr>
            <w:tcW w:w="0" w:type="auto"/>
            <w:shd w:val="clear" w:color="auto" w:fill="CCE0ED"/>
            <w:vAlign w:val="bottom"/>
          </w:tcPr>
          <w:p w14:paraId="47832BBD" w14:textId="507C8412" w:rsidR="00F329B7" w:rsidRPr="00976D1C" w:rsidRDefault="00F329B7" w:rsidP="00EC4213">
            <w:pPr>
              <w:pStyle w:val="TableText"/>
              <w:jc w:val="center"/>
            </w:pPr>
            <w:r w:rsidRPr="00976D1C">
              <w:t>26,140</w:t>
            </w:r>
          </w:p>
        </w:tc>
        <w:tc>
          <w:tcPr>
            <w:tcW w:w="0" w:type="auto"/>
            <w:shd w:val="clear" w:color="auto" w:fill="CCE0ED"/>
            <w:vAlign w:val="bottom"/>
          </w:tcPr>
          <w:p w14:paraId="0E31C0A3" w14:textId="53E3973B" w:rsidR="00F329B7" w:rsidRPr="00976D1C" w:rsidRDefault="00F329B7" w:rsidP="00EC4213">
            <w:pPr>
              <w:pStyle w:val="TableText"/>
              <w:jc w:val="center"/>
            </w:pPr>
            <w:r w:rsidRPr="00976D1C">
              <w:t>19,471</w:t>
            </w:r>
          </w:p>
        </w:tc>
        <w:tc>
          <w:tcPr>
            <w:tcW w:w="0" w:type="auto"/>
            <w:shd w:val="clear" w:color="auto" w:fill="CCE0ED"/>
            <w:vAlign w:val="bottom"/>
          </w:tcPr>
          <w:p w14:paraId="25B7F1ED" w14:textId="5D2D9377" w:rsidR="00F329B7" w:rsidRPr="00976D1C" w:rsidRDefault="00F329B7" w:rsidP="00EC4213">
            <w:pPr>
              <w:pStyle w:val="TableText"/>
              <w:jc w:val="center"/>
            </w:pPr>
            <w:r w:rsidRPr="00976D1C">
              <w:t>6,669</w:t>
            </w:r>
          </w:p>
        </w:tc>
      </w:tr>
      <w:tr w:rsidR="00F329B7" w:rsidRPr="00976D1C" w14:paraId="1324D873" w14:textId="77777777" w:rsidTr="00406A2C">
        <w:tc>
          <w:tcPr>
            <w:tcW w:w="0" w:type="auto"/>
            <w:shd w:val="clear" w:color="auto" w:fill="CCEFFC"/>
            <w:vAlign w:val="bottom"/>
          </w:tcPr>
          <w:p w14:paraId="6068C7B3" w14:textId="7FC91356" w:rsidR="00F329B7" w:rsidRPr="00976D1C" w:rsidRDefault="00F329B7" w:rsidP="00EC4213">
            <w:pPr>
              <w:pStyle w:val="TableText"/>
            </w:pPr>
            <w:r w:rsidRPr="00976D1C">
              <w:t>Low demand</w:t>
            </w:r>
          </w:p>
        </w:tc>
        <w:tc>
          <w:tcPr>
            <w:tcW w:w="0" w:type="auto"/>
            <w:shd w:val="clear" w:color="auto" w:fill="CCEFFC"/>
            <w:vAlign w:val="bottom"/>
          </w:tcPr>
          <w:p w14:paraId="2EC1F5B2" w14:textId="5FF7BC6E" w:rsidR="00F329B7" w:rsidRPr="00976D1C" w:rsidRDefault="00F329B7" w:rsidP="00EC4213">
            <w:pPr>
              <w:pStyle w:val="TableText"/>
              <w:jc w:val="center"/>
            </w:pPr>
            <w:r w:rsidRPr="00976D1C">
              <w:t>22,314</w:t>
            </w:r>
          </w:p>
        </w:tc>
        <w:tc>
          <w:tcPr>
            <w:tcW w:w="0" w:type="auto"/>
            <w:shd w:val="clear" w:color="auto" w:fill="CCEFFC"/>
            <w:vAlign w:val="bottom"/>
          </w:tcPr>
          <w:p w14:paraId="61FB7512" w14:textId="3E04C145" w:rsidR="00F329B7" w:rsidRPr="00976D1C" w:rsidRDefault="00F329B7" w:rsidP="00EC4213">
            <w:pPr>
              <w:pStyle w:val="TableText"/>
              <w:jc w:val="center"/>
            </w:pPr>
            <w:r w:rsidRPr="00976D1C">
              <w:t>18,054</w:t>
            </w:r>
          </w:p>
        </w:tc>
        <w:tc>
          <w:tcPr>
            <w:tcW w:w="0" w:type="auto"/>
            <w:shd w:val="clear" w:color="auto" w:fill="CCEFFC"/>
            <w:vAlign w:val="bottom"/>
          </w:tcPr>
          <w:p w14:paraId="06C7115A" w14:textId="577750D4" w:rsidR="00F329B7" w:rsidRPr="00976D1C" w:rsidRDefault="00F329B7" w:rsidP="00EC4213">
            <w:pPr>
              <w:pStyle w:val="TableText"/>
              <w:jc w:val="center"/>
            </w:pPr>
            <w:r w:rsidRPr="00976D1C">
              <w:t>4,260</w:t>
            </w:r>
          </w:p>
        </w:tc>
        <w:tc>
          <w:tcPr>
            <w:tcW w:w="0" w:type="auto"/>
            <w:shd w:val="clear" w:color="auto" w:fill="CCEFFC"/>
            <w:vAlign w:val="bottom"/>
          </w:tcPr>
          <w:p w14:paraId="1DF16D0F" w14:textId="1764A9EA" w:rsidR="00F329B7" w:rsidRPr="00976D1C" w:rsidRDefault="00F329B7" w:rsidP="00EC4213">
            <w:pPr>
              <w:pStyle w:val="TableText"/>
              <w:jc w:val="center"/>
            </w:pPr>
            <w:r w:rsidRPr="00976D1C">
              <w:t>26,140</w:t>
            </w:r>
          </w:p>
        </w:tc>
        <w:tc>
          <w:tcPr>
            <w:tcW w:w="0" w:type="auto"/>
            <w:shd w:val="clear" w:color="auto" w:fill="CCEFFC"/>
            <w:vAlign w:val="bottom"/>
          </w:tcPr>
          <w:p w14:paraId="51F1973D" w14:textId="0BD721C5" w:rsidR="00F329B7" w:rsidRPr="00976D1C" w:rsidRDefault="00F329B7" w:rsidP="00EC4213">
            <w:pPr>
              <w:pStyle w:val="TableText"/>
              <w:jc w:val="center"/>
            </w:pPr>
            <w:r w:rsidRPr="00976D1C">
              <w:t>18,919</w:t>
            </w:r>
          </w:p>
        </w:tc>
        <w:tc>
          <w:tcPr>
            <w:tcW w:w="0" w:type="auto"/>
            <w:shd w:val="clear" w:color="auto" w:fill="CCEFFC"/>
            <w:vAlign w:val="bottom"/>
          </w:tcPr>
          <w:p w14:paraId="3C43E13E" w14:textId="5737390A" w:rsidR="00F329B7" w:rsidRPr="00976D1C" w:rsidRDefault="00F329B7" w:rsidP="00EC4213">
            <w:pPr>
              <w:pStyle w:val="TableText"/>
              <w:jc w:val="center"/>
            </w:pPr>
            <w:r w:rsidRPr="00976D1C">
              <w:t>7,221</w:t>
            </w:r>
          </w:p>
        </w:tc>
      </w:tr>
      <w:tr w:rsidR="00F329B7" w:rsidRPr="00976D1C" w14:paraId="5F89260B" w14:textId="77777777" w:rsidTr="00406A2C">
        <w:tc>
          <w:tcPr>
            <w:tcW w:w="0" w:type="auto"/>
            <w:shd w:val="clear" w:color="auto" w:fill="CCE0ED"/>
            <w:vAlign w:val="bottom"/>
          </w:tcPr>
          <w:p w14:paraId="07906DDA" w14:textId="5749A623" w:rsidR="00F329B7" w:rsidRPr="00976D1C" w:rsidRDefault="00F329B7" w:rsidP="00EC4213">
            <w:pPr>
              <w:pStyle w:val="TableText"/>
            </w:pPr>
            <w:r w:rsidRPr="00976D1C">
              <w:t>High demand</w:t>
            </w:r>
          </w:p>
        </w:tc>
        <w:tc>
          <w:tcPr>
            <w:tcW w:w="0" w:type="auto"/>
            <w:shd w:val="clear" w:color="auto" w:fill="CCE0ED"/>
            <w:vAlign w:val="bottom"/>
          </w:tcPr>
          <w:p w14:paraId="4AD2EEE7" w14:textId="3F776A00" w:rsidR="00F329B7" w:rsidRPr="00976D1C" w:rsidRDefault="00F329B7" w:rsidP="00EC4213">
            <w:pPr>
              <w:pStyle w:val="TableText"/>
              <w:jc w:val="center"/>
            </w:pPr>
            <w:r w:rsidRPr="00976D1C">
              <w:t>22,314</w:t>
            </w:r>
          </w:p>
        </w:tc>
        <w:tc>
          <w:tcPr>
            <w:tcW w:w="0" w:type="auto"/>
            <w:shd w:val="clear" w:color="auto" w:fill="CCE0ED"/>
            <w:vAlign w:val="bottom"/>
          </w:tcPr>
          <w:p w14:paraId="1924024A" w14:textId="632A614F" w:rsidR="00F329B7" w:rsidRPr="00976D1C" w:rsidRDefault="00F329B7" w:rsidP="00EC4213">
            <w:pPr>
              <w:pStyle w:val="TableText"/>
              <w:jc w:val="center"/>
            </w:pPr>
            <w:r w:rsidRPr="00976D1C">
              <w:t>21,442</w:t>
            </w:r>
          </w:p>
        </w:tc>
        <w:tc>
          <w:tcPr>
            <w:tcW w:w="0" w:type="auto"/>
            <w:shd w:val="clear" w:color="auto" w:fill="CCE0ED"/>
            <w:vAlign w:val="bottom"/>
          </w:tcPr>
          <w:p w14:paraId="157899B7" w14:textId="6BE3EF56" w:rsidR="00F329B7" w:rsidRPr="00976D1C" w:rsidRDefault="00F329B7" w:rsidP="00EC4213">
            <w:pPr>
              <w:pStyle w:val="TableText"/>
              <w:jc w:val="center"/>
            </w:pPr>
            <w:r w:rsidRPr="00976D1C">
              <w:t>872</w:t>
            </w:r>
          </w:p>
        </w:tc>
        <w:tc>
          <w:tcPr>
            <w:tcW w:w="0" w:type="auto"/>
            <w:shd w:val="clear" w:color="auto" w:fill="CCE0ED"/>
            <w:vAlign w:val="bottom"/>
          </w:tcPr>
          <w:p w14:paraId="4EADCA3C" w14:textId="226195B4" w:rsidR="00F329B7" w:rsidRPr="00976D1C" w:rsidRDefault="00F329B7" w:rsidP="00EC4213">
            <w:pPr>
              <w:pStyle w:val="TableText"/>
              <w:jc w:val="center"/>
            </w:pPr>
            <w:r w:rsidRPr="00976D1C">
              <w:t>26,140</w:t>
            </w:r>
          </w:p>
        </w:tc>
        <w:tc>
          <w:tcPr>
            <w:tcW w:w="0" w:type="auto"/>
            <w:shd w:val="clear" w:color="auto" w:fill="CCE0ED"/>
            <w:vAlign w:val="bottom"/>
          </w:tcPr>
          <w:p w14:paraId="7C3447F2" w14:textId="14B8DDC1" w:rsidR="00F329B7" w:rsidRPr="00976D1C" w:rsidRDefault="00F329B7" w:rsidP="00EC4213">
            <w:pPr>
              <w:pStyle w:val="TableText"/>
              <w:jc w:val="center"/>
            </w:pPr>
            <w:r w:rsidRPr="00976D1C">
              <w:t>24,443</w:t>
            </w:r>
          </w:p>
        </w:tc>
        <w:tc>
          <w:tcPr>
            <w:tcW w:w="0" w:type="auto"/>
            <w:shd w:val="clear" w:color="auto" w:fill="CCE0ED"/>
            <w:vAlign w:val="bottom"/>
          </w:tcPr>
          <w:p w14:paraId="7CB8FB2F" w14:textId="131FF3E8" w:rsidR="00F329B7" w:rsidRPr="00976D1C" w:rsidRDefault="00F329B7" w:rsidP="00EC4213">
            <w:pPr>
              <w:pStyle w:val="TableText"/>
              <w:jc w:val="center"/>
            </w:pPr>
            <w:r w:rsidRPr="00976D1C">
              <w:t>1,697</w:t>
            </w:r>
          </w:p>
        </w:tc>
      </w:tr>
      <w:tr w:rsidR="00F329B7" w:rsidRPr="00976D1C" w14:paraId="2F8F0C7A" w14:textId="77777777" w:rsidTr="00406A2C">
        <w:tc>
          <w:tcPr>
            <w:tcW w:w="0" w:type="auto"/>
            <w:shd w:val="clear" w:color="auto" w:fill="CCEFFC"/>
            <w:vAlign w:val="bottom"/>
          </w:tcPr>
          <w:p w14:paraId="2B856A76" w14:textId="6FCB1BEC" w:rsidR="00F329B7" w:rsidRPr="00976D1C" w:rsidRDefault="00F329B7" w:rsidP="00EC4213">
            <w:pPr>
              <w:pStyle w:val="TableText"/>
            </w:pPr>
            <w:r w:rsidRPr="00976D1C">
              <w:t>Initial undersupply</w:t>
            </w:r>
          </w:p>
        </w:tc>
        <w:tc>
          <w:tcPr>
            <w:tcW w:w="0" w:type="auto"/>
            <w:shd w:val="clear" w:color="auto" w:fill="CCEFFC"/>
            <w:vAlign w:val="bottom"/>
          </w:tcPr>
          <w:p w14:paraId="3851EB03" w14:textId="5DFB0D2A" w:rsidR="00F329B7" w:rsidRPr="00976D1C" w:rsidRDefault="00F329B7" w:rsidP="00EC4213">
            <w:pPr>
              <w:pStyle w:val="TableText"/>
              <w:jc w:val="center"/>
            </w:pPr>
            <w:r w:rsidRPr="00976D1C">
              <w:t>22,314</w:t>
            </w:r>
          </w:p>
        </w:tc>
        <w:tc>
          <w:tcPr>
            <w:tcW w:w="0" w:type="auto"/>
            <w:shd w:val="clear" w:color="auto" w:fill="CCEFFC"/>
            <w:vAlign w:val="bottom"/>
          </w:tcPr>
          <w:p w14:paraId="39B1AA22" w14:textId="0334FBC6" w:rsidR="00F329B7" w:rsidRPr="00976D1C" w:rsidRDefault="00F329B7" w:rsidP="00EC4213">
            <w:pPr>
              <w:pStyle w:val="TableText"/>
              <w:jc w:val="center"/>
            </w:pPr>
            <w:r w:rsidRPr="00976D1C">
              <w:t>19,873</w:t>
            </w:r>
          </w:p>
        </w:tc>
        <w:tc>
          <w:tcPr>
            <w:tcW w:w="0" w:type="auto"/>
            <w:shd w:val="clear" w:color="auto" w:fill="CCEFFC"/>
            <w:vAlign w:val="bottom"/>
          </w:tcPr>
          <w:p w14:paraId="6FD89E3C" w14:textId="22AB838B" w:rsidR="00F329B7" w:rsidRPr="00976D1C" w:rsidRDefault="00F329B7" w:rsidP="00EC4213">
            <w:pPr>
              <w:pStyle w:val="TableText"/>
              <w:jc w:val="center"/>
            </w:pPr>
            <w:r w:rsidRPr="00976D1C">
              <w:t>2,441</w:t>
            </w:r>
          </w:p>
        </w:tc>
        <w:tc>
          <w:tcPr>
            <w:tcW w:w="0" w:type="auto"/>
            <w:shd w:val="clear" w:color="auto" w:fill="CCEFFC"/>
            <w:vAlign w:val="bottom"/>
          </w:tcPr>
          <w:p w14:paraId="643B535D" w14:textId="28E23036" w:rsidR="00F329B7" w:rsidRPr="00976D1C" w:rsidRDefault="00F329B7" w:rsidP="00EC4213">
            <w:pPr>
              <w:pStyle w:val="TableText"/>
              <w:jc w:val="center"/>
            </w:pPr>
            <w:r w:rsidRPr="00976D1C">
              <w:t>26,140</w:t>
            </w:r>
          </w:p>
        </w:tc>
        <w:tc>
          <w:tcPr>
            <w:tcW w:w="0" w:type="auto"/>
            <w:shd w:val="clear" w:color="auto" w:fill="CCEFFC"/>
            <w:vAlign w:val="bottom"/>
          </w:tcPr>
          <w:p w14:paraId="52FA0275" w14:textId="08604164" w:rsidR="00F329B7" w:rsidRPr="00976D1C" w:rsidRDefault="00F329B7" w:rsidP="00EC4213">
            <w:pPr>
              <w:pStyle w:val="TableText"/>
              <w:jc w:val="center"/>
            </w:pPr>
            <w:r w:rsidRPr="00976D1C">
              <w:t>21,351</w:t>
            </w:r>
          </w:p>
        </w:tc>
        <w:tc>
          <w:tcPr>
            <w:tcW w:w="0" w:type="auto"/>
            <w:shd w:val="clear" w:color="auto" w:fill="CCEFFC"/>
            <w:vAlign w:val="bottom"/>
          </w:tcPr>
          <w:p w14:paraId="5C3D1D04" w14:textId="6FB94E86" w:rsidR="00F329B7" w:rsidRPr="00976D1C" w:rsidRDefault="00F329B7" w:rsidP="00EC4213">
            <w:pPr>
              <w:pStyle w:val="TableText"/>
              <w:jc w:val="center"/>
            </w:pPr>
            <w:r w:rsidRPr="00976D1C">
              <w:t>4,789</w:t>
            </w:r>
          </w:p>
        </w:tc>
      </w:tr>
      <w:tr w:rsidR="00F329B7" w:rsidRPr="00976D1C" w14:paraId="554BB2ED" w14:textId="77777777" w:rsidTr="00406A2C">
        <w:tc>
          <w:tcPr>
            <w:tcW w:w="0" w:type="auto"/>
            <w:shd w:val="clear" w:color="auto" w:fill="CCE0ED"/>
            <w:vAlign w:val="bottom"/>
          </w:tcPr>
          <w:p w14:paraId="1DDE7EFC" w14:textId="180B742E" w:rsidR="00F329B7" w:rsidRPr="00976D1C" w:rsidRDefault="00F329B7" w:rsidP="00EC4213">
            <w:pPr>
              <w:pStyle w:val="TableText"/>
            </w:pPr>
            <w:r w:rsidRPr="00976D1C">
              <w:t>Initial oversupply</w:t>
            </w:r>
          </w:p>
        </w:tc>
        <w:tc>
          <w:tcPr>
            <w:tcW w:w="0" w:type="auto"/>
            <w:shd w:val="clear" w:color="auto" w:fill="CCE0ED"/>
            <w:vAlign w:val="bottom"/>
          </w:tcPr>
          <w:p w14:paraId="7BBA5B24" w14:textId="0A74C029" w:rsidR="00F329B7" w:rsidRPr="00976D1C" w:rsidRDefault="00F329B7" w:rsidP="00EC4213">
            <w:pPr>
              <w:pStyle w:val="TableText"/>
              <w:jc w:val="center"/>
            </w:pPr>
            <w:r w:rsidRPr="00976D1C">
              <w:t>22,946</w:t>
            </w:r>
          </w:p>
        </w:tc>
        <w:tc>
          <w:tcPr>
            <w:tcW w:w="0" w:type="auto"/>
            <w:shd w:val="clear" w:color="auto" w:fill="CCE0ED"/>
            <w:vAlign w:val="bottom"/>
          </w:tcPr>
          <w:p w14:paraId="37476CDD" w14:textId="3BFCA841" w:rsidR="00F329B7" w:rsidRPr="00976D1C" w:rsidRDefault="00F329B7" w:rsidP="00EC4213">
            <w:pPr>
              <w:pStyle w:val="TableText"/>
              <w:jc w:val="center"/>
            </w:pPr>
            <w:r w:rsidRPr="00976D1C">
              <w:t>19,021</w:t>
            </w:r>
          </w:p>
        </w:tc>
        <w:tc>
          <w:tcPr>
            <w:tcW w:w="0" w:type="auto"/>
            <w:shd w:val="clear" w:color="auto" w:fill="CCE0ED"/>
            <w:vAlign w:val="bottom"/>
          </w:tcPr>
          <w:p w14:paraId="4A282CA2" w14:textId="66CFAAC4" w:rsidR="00F329B7" w:rsidRPr="00976D1C" w:rsidRDefault="00F329B7" w:rsidP="00EC4213">
            <w:pPr>
              <w:pStyle w:val="TableText"/>
              <w:jc w:val="center"/>
            </w:pPr>
            <w:r w:rsidRPr="00976D1C">
              <w:t>3,925</w:t>
            </w:r>
          </w:p>
        </w:tc>
        <w:tc>
          <w:tcPr>
            <w:tcW w:w="0" w:type="auto"/>
            <w:shd w:val="clear" w:color="auto" w:fill="CCE0ED"/>
            <w:vAlign w:val="bottom"/>
          </w:tcPr>
          <w:p w14:paraId="02450E3C" w14:textId="47D70349" w:rsidR="00F329B7" w:rsidRPr="00976D1C" w:rsidRDefault="00F329B7" w:rsidP="00EC4213">
            <w:pPr>
              <w:pStyle w:val="TableText"/>
              <w:jc w:val="center"/>
            </w:pPr>
            <w:r w:rsidRPr="00976D1C">
              <w:t>26,638</w:t>
            </w:r>
          </w:p>
        </w:tc>
        <w:tc>
          <w:tcPr>
            <w:tcW w:w="0" w:type="auto"/>
            <w:shd w:val="clear" w:color="auto" w:fill="CCE0ED"/>
            <w:vAlign w:val="bottom"/>
          </w:tcPr>
          <w:p w14:paraId="2E3FBCEF" w14:textId="1EA5D872" w:rsidR="00F329B7" w:rsidRPr="00976D1C" w:rsidRDefault="00F329B7" w:rsidP="00EC4213">
            <w:pPr>
              <w:pStyle w:val="TableText"/>
              <w:jc w:val="center"/>
            </w:pPr>
            <w:r w:rsidRPr="00976D1C">
              <w:t>20,496</w:t>
            </w:r>
          </w:p>
        </w:tc>
        <w:tc>
          <w:tcPr>
            <w:tcW w:w="0" w:type="auto"/>
            <w:shd w:val="clear" w:color="auto" w:fill="CCE0ED"/>
            <w:vAlign w:val="bottom"/>
          </w:tcPr>
          <w:p w14:paraId="5E3FEBF3" w14:textId="5B6D477B" w:rsidR="00F329B7" w:rsidRPr="00976D1C" w:rsidRDefault="00F329B7" w:rsidP="00EC4213">
            <w:pPr>
              <w:pStyle w:val="TableText"/>
              <w:jc w:val="center"/>
            </w:pPr>
            <w:r w:rsidRPr="00976D1C">
              <w:t>6,142</w:t>
            </w:r>
          </w:p>
        </w:tc>
      </w:tr>
      <w:tr w:rsidR="00F329B7" w:rsidRPr="00976D1C" w14:paraId="3E837B86" w14:textId="77777777" w:rsidTr="00406A2C">
        <w:tc>
          <w:tcPr>
            <w:tcW w:w="0" w:type="auto"/>
            <w:shd w:val="clear" w:color="auto" w:fill="CCEFFC"/>
            <w:vAlign w:val="bottom"/>
          </w:tcPr>
          <w:p w14:paraId="541C0C48" w14:textId="0DD53A45" w:rsidR="00F329B7" w:rsidRPr="00976D1C" w:rsidRDefault="00F329B7" w:rsidP="00EC4213">
            <w:pPr>
              <w:pStyle w:val="TableText"/>
            </w:pPr>
            <w:r w:rsidRPr="00976D1C">
              <w:t>Graduate reduction</w:t>
            </w:r>
          </w:p>
        </w:tc>
        <w:tc>
          <w:tcPr>
            <w:tcW w:w="0" w:type="auto"/>
            <w:shd w:val="clear" w:color="auto" w:fill="CCEFFC"/>
            <w:vAlign w:val="bottom"/>
          </w:tcPr>
          <w:p w14:paraId="53100C5C" w14:textId="482931E6" w:rsidR="00F329B7" w:rsidRPr="00976D1C" w:rsidRDefault="00F329B7" w:rsidP="00EC4213">
            <w:pPr>
              <w:pStyle w:val="TableText"/>
              <w:jc w:val="center"/>
            </w:pPr>
            <w:r w:rsidRPr="00976D1C">
              <w:t>21,677</w:t>
            </w:r>
          </w:p>
        </w:tc>
        <w:tc>
          <w:tcPr>
            <w:tcW w:w="0" w:type="auto"/>
            <w:shd w:val="clear" w:color="auto" w:fill="CCEFFC"/>
            <w:vAlign w:val="bottom"/>
          </w:tcPr>
          <w:p w14:paraId="29B6F5F9" w14:textId="6F6C0D4F" w:rsidR="00F329B7" w:rsidRPr="00976D1C" w:rsidRDefault="00F329B7" w:rsidP="00EC4213">
            <w:pPr>
              <w:pStyle w:val="TableText"/>
              <w:jc w:val="center"/>
            </w:pPr>
            <w:r w:rsidRPr="00976D1C">
              <w:t>19,040</w:t>
            </w:r>
          </w:p>
        </w:tc>
        <w:tc>
          <w:tcPr>
            <w:tcW w:w="0" w:type="auto"/>
            <w:shd w:val="clear" w:color="auto" w:fill="CCEFFC"/>
            <w:vAlign w:val="bottom"/>
          </w:tcPr>
          <w:p w14:paraId="6B070F0C" w14:textId="1F4777DA" w:rsidR="00F329B7" w:rsidRPr="00976D1C" w:rsidRDefault="00F329B7" w:rsidP="00EC4213">
            <w:pPr>
              <w:pStyle w:val="TableText"/>
              <w:jc w:val="center"/>
            </w:pPr>
            <w:r w:rsidRPr="00976D1C">
              <w:t>2,637</w:t>
            </w:r>
          </w:p>
        </w:tc>
        <w:tc>
          <w:tcPr>
            <w:tcW w:w="0" w:type="auto"/>
            <w:shd w:val="clear" w:color="auto" w:fill="CCEFFC"/>
            <w:vAlign w:val="bottom"/>
          </w:tcPr>
          <w:p w14:paraId="08D9250A" w14:textId="13CDAC42" w:rsidR="00F329B7" w:rsidRPr="00976D1C" w:rsidRDefault="00F329B7" w:rsidP="00EC4213">
            <w:pPr>
              <w:pStyle w:val="TableText"/>
              <w:jc w:val="center"/>
            </w:pPr>
            <w:r w:rsidRPr="00976D1C">
              <w:t>24,903</w:t>
            </w:r>
          </w:p>
        </w:tc>
        <w:tc>
          <w:tcPr>
            <w:tcW w:w="0" w:type="auto"/>
            <w:shd w:val="clear" w:color="auto" w:fill="CCEFFC"/>
            <w:vAlign w:val="bottom"/>
          </w:tcPr>
          <w:p w14:paraId="0D6EB6D8" w14:textId="54560D15" w:rsidR="00F329B7" w:rsidRPr="00976D1C" w:rsidRDefault="00F329B7" w:rsidP="00EC4213">
            <w:pPr>
              <w:pStyle w:val="TableText"/>
              <w:jc w:val="center"/>
            </w:pPr>
            <w:r w:rsidRPr="00976D1C">
              <w:t>20,529</w:t>
            </w:r>
          </w:p>
        </w:tc>
        <w:tc>
          <w:tcPr>
            <w:tcW w:w="0" w:type="auto"/>
            <w:shd w:val="clear" w:color="auto" w:fill="CCEFFC"/>
            <w:vAlign w:val="bottom"/>
          </w:tcPr>
          <w:p w14:paraId="6B693783" w14:textId="0440C5CF" w:rsidR="00F329B7" w:rsidRPr="00976D1C" w:rsidRDefault="00F329B7" w:rsidP="00EC4213">
            <w:pPr>
              <w:pStyle w:val="TableText"/>
              <w:jc w:val="center"/>
            </w:pPr>
            <w:r w:rsidRPr="00976D1C">
              <w:t>4,374</w:t>
            </w:r>
          </w:p>
        </w:tc>
      </w:tr>
    </w:tbl>
    <w:p w14:paraId="52607D82" w14:textId="77777777" w:rsidR="00657762" w:rsidRPr="00976D1C" w:rsidRDefault="008B0925" w:rsidP="00EC4213">
      <w:r w:rsidRPr="00976D1C">
        <w:t xml:space="preserve">Figures 1 to 4 </w:t>
      </w:r>
      <w:r w:rsidR="0068227A" w:rsidRPr="00976D1C">
        <w:t>graphically represent</w:t>
      </w:r>
      <w:r w:rsidRPr="00976D1C">
        <w:t xml:space="preserve"> the workforce supply and demand projections for the comparison and alternative scenarios for the oral health workforce. </w:t>
      </w:r>
    </w:p>
    <w:p w14:paraId="7DC04C6B" w14:textId="5ABBC662" w:rsidR="002F0E44" w:rsidRPr="00976D1C" w:rsidRDefault="002F0E44" w:rsidP="00EC4213">
      <w:r w:rsidRPr="00976D1C">
        <w:t>Figure 1 shows the effect of changes in demand on the workforce gap relative to the comparison scenario. The low demand scenario extends the amount by which supply exceeds demand</w:t>
      </w:r>
      <w:r w:rsidR="0068227A" w:rsidRPr="00976D1C">
        <w:t xml:space="preserve">, while the high demand scenario reduces the amount by </w:t>
      </w:r>
      <w:r w:rsidR="0068227A" w:rsidRPr="00976D1C">
        <w:lastRenderedPageBreak/>
        <w:t>which supply exceeds demand</w:t>
      </w:r>
      <w:r w:rsidRPr="00976D1C">
        <w:t xml:space="preserve">. </w:t>
      </w:r>
      <w:r w:rsidRPr="00976D1C">
        <w:rPr>
          <w:lang w:eastAsia="x-none"/>
        </w:rPr>
        <w:t>Of all the scenarios, the high demand scenario results in the greatest movement relative to the comparison scenario. This scenario also has the greatest impact in reducing the gap between supply and demand into the future.</w:t>
      </w:r>
    </w:p>
    <w:p w14:paraId="0C0C6C81" w14:textId="07DC57C4" w:rsidR="002F0E44" w:rsidRPr="00976D1C" w:rsidRDefault="002F0E44" w:rsidP="00EC4213">
      <w:pPr>
        <w:pStyle w:val="Caption"/>
      </w:pPr>
      <w:bookmarkStart w:id="43" w:name="_Toc407634458"/>
      <w:r w:rsidRPr="00976D1C">
        <w:t xml:space="preserve">Figure </w:t>
      </w:r>
      <w:fldSimple w:instr=" SEQ Figure \* ARABIC ">
        <w:r w:rsidR="00496730" w:rsidRPr="00976D1C">
          <w:t>1</w:t>
        </w:r>
      </w:fldSimple>
      <w:r w:rsidRPr="00976D1C">
        <w:t>: Oral health workforce supply and demand projections, high and low demand scenarios</w:t>
      </w:r>
      <w:bookmarkEnd w:id="43"/>
    </w:p>
    <w:p w14:paraId="29F4F453" w14:textId="78894F6C" w:rsidR="008B0925" w:rsidRPr="00976D1C" w:rsidRDefault="008B0925" w:rsidP="00EC4213">
      <w:pPr>
        <w:keepNext/>
        <w:rPr>
          <w:szCs w:val="20"/>
        </w:rPr>
      </w:pPr>
      <w:r w:rsidRPr="00976D1C">
        <w:rPr>
          <w:noProof/>
          <w:lang w:eastAsia="en-AU"/>
        </w:rPr>
        <w:drawing>
          <wp:inline distT="0" distB="0" distL="0" distR="0" wp14:anchorId="32963067" wp14:editId="65C8AB6B">
            <wp:extent cx="4539600" cy="2880000"/>
            <wp:effectExtent l="0" t="0" r="0" b="0"/>
            <wp:docPr id="9" name="Picture 9" descr="The figure shows the supply and demand projections of the high and low demand scenarios together with the results of the comparison supply and comparison demand scenario from 2012 to 2025." title="Oral health workforce supply and demand projections, high and low demand scenar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539600" cy="2880000"/>
                    </a:xfrm>
                    <a:prstGeom prst="rect">
                      <a:avLst/>
                    </a:prstGeom>
                    <a:noFill/>
                    <a:ln>
                      <a:noFill/>
                    </a:ln>
                  </pic:spPr>
                </pic:pic>
              </a:graphicData>
            </a:graphic>
          </wp:inline>
        </w:drawing>
      </w:r>
    </w:p>
    <w:p w14:paraId="5CA9131F" w14:textId="7ECB5D47" w:rsidR="007F52F2" w:rsidRPr="00976D1C" w:rsidRDefault="002F0E44" w:rsidP="00EC4213">
      <w:r w:rsidRPr="00976D1C">
        <w:t xml:space="preserve">Figure 2 shows the effect of </w:t>
      </w:r>
      <w:r w:rsidR="00BB2245" w:rsidRPr="00976D1C">
        <w:t>changing</w:t>
      </w:r>
      <w:r w:rsidRPr="00976D1C">
        <w:t xml:space="preserve"> </w:t>
      </w:r>
      <w:r w:rsidR="007F52F2" w:rsidRPr="00976D1C">
        <w:t xml:space="preserve">oral health </w:t>
      </w:r>
      <w:r w:rsidRPr="00976D1C">
        <w:t>workforce supply, through reducing immigration</w:t>
      </w:r>
      <w:r w:rsidR="00CF7382" w:rsidRPr="00976D1C">
        <w:t xml:space="preserve"> (by 50 per cent in net international migration and a 50 per cent reduction in the number of international students graduating Australian dental </w:t>
      </w:r>
      <w:r w:rsidR="00DA310F" w:rsidRPr="00976D1C">
        <w:t>programme</w:t>
      </w:r>
      <w:r w:rsidR="00CF7382" w:rsidRPr="00976D1C">
        <w:t>s, by 2025);</w:t>
      </w:r>
      <w:r w:rsidRPr="00976D1C">
        <w:t xml:space="preserve"> and </w:t>
      </w:r>
      <w:r w:rsidR="00BB2245" w:rsidRPr="00976D1C">
        <w:t xml:space="preserve">through </w:t>
      </w:r>
      <w:r w:rsidRPr="00976D1C">
        <w:t>reducing dental graduates</w:t>
      </w:r>
      <w:r w:rsidR="00CF7382" w:rsidRPr="00976D1C">
        <w:t xml:space="preserve"> (by a ten per cent reduction in the projected number of graduates to 2017, which was then held constant to 2025). </w:t>
      </w:r>
      <w:r w:rsidRPr="00976D1C">
        <w:t>While both</w:t>
      </w:r>
      <w:r w:rsidR="00BB2245" w:rsidRPr="00976D1C">
        <w:t xml:space="preserve"> scenarios result in </w:t>
      </w:r>
      <w:r w:rsidRPr="00976D1C">
        <w:t>reduc</w:t>
      </w:r>
      <w:r w:rsidR="00BB2245" w:rsidRPr="00976D1C">
        <w:t>ed</w:t>
      </w:r>
      <w:r w:rsidRPr="00976D1C">
        <w:t xml:space="preserve"> future workforce supply, supply is still projected to exceed demand </w:t>
      </w:r>
      <w:r w:rsidR="00BB2245" w:rsidRPr="00976D1C">
        <w:t xml:space="preserve">across the projection period </w:t>
      </w:r>
      <w:r w:rsidRPr="00976D1C">
        <w:t xml:space="preserve">(in the absence of any other changes). </w:t>
      </w:r>
    </w:p>
    <w:p w14:paraId="415E64A0" w14:textId="5AC67144" w:rsidR="007F52F2" w:rsidRPr="00976D1C" w:rsidRDefault="007F52F2" w:rsidP="00EC4213">
      <w:r w:rsidRPr="00976D1C">
        <w:t xml:space="preserve">The revised workforce supply under both scenarios is almost identical. This indicates a 50 per cent reduction in net international migration and in the number of international students graduating Australian dental </w:t>
      </w:r>
      <w:r w:rsidR="00DA310F" w:rsidRPr="00976D1C">
        <w:t>programme</w:t>
      </w:r>
      <w:r w:rsidRPr="00976D1C">
        <w:t xml:space="preserve">s by 2025 (the medium self-sufficiency scenario) has almost the same effect as a ten per cent reduction in the projected number of graduates to 2017 (the graduate reduction scenario). </w:t>
      </w:r>
    </w:p>
    <w:p w14:paraId="58D1EF8A" w14:textId="2710A7C4" w:rsidR="007F52F2" w:rsidRPr="00976D1C" w:rsidRDefault="002F0E44" w:rsidP="00EC4213">
      <w:pPr>
        <w:pStyle w:val="Caption"/>
      </w:pPr>
      <w:bookmarkStart w:id="44" w:name="_Toc407634459"/>
      <w:r w:rsidRPr="00976D1C">
        <w:lastRenderedPageBreak/>
        <w:t xml:space="preserve">Figure </w:t>
      </w:r>
      <w:fldSimple w:instr=" SEQ Figure \* ARABIC ">
        <w:r w:rsidR="00496730" w:rsidRPr="00976D1C">
          <w:t>2</w:t>
        </w:r>
      </w:fldSimple>
      <w:r w:rsidRPr="00976D1C">
        <w:t xml:space="preserve"> Oral health workforce planning projections, medium self-sufficiency scenario and graduate reduction scenario</w:t>
      </w:r>
      <w:bookmarkEnd w:id="44"/>
    </w:p>
    <w:p w14:paraId="1D947BFC" w14:textId="3E18AC58" w:rsidR="002F0E44" w:rsidRPr="00976D1C" w:rsidRDefault="001C7041" w:rsidP="00EC4213">
      <w:pPr>
        <w:pStyle w:val="Caption"/>
      </w:pPr>
      <w:r w:rsidRPr="00976D1C">
        <w:rPr>
          <w:noProof/>
          <w:lang w:eastAsia="en-AU"/>
        </w:rPr>
        <w:drawing>
          <wp:inline distT="0" distB="0" distL="0" distR="0" wp14:anchorId="647970B6" wp14:editId="080A427D">
            <wp:extent cx="4536000" cy="2880000"/>
            <wp:effectExtent l="0" t="0" r="0" b="0"/>
            <wp:docPr id="10" name="Picture 10" descr="The figure shows the workforce planning projections for the medium self-sufficiency and graduate reduction scenarios together with the results of the comparison supply and comparison demand scenario." title="Oral health workforce planning projections, medium self-sufficiency scenario and graduate reduction scen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36000" cy="2880000"/>
                    </a:xfrm>
                    <a:prstGeom prst="rect">
                      <a:avLst/>
                    </a:prstGeom>
                    <a:noFill/>
                    <a:ln>
                      <a:noFill/>
                    </a:ln>
                  </pic:spPr>
                </pic:pic>
              </a:graphicData>
            </a:graphic>
          </wp:inline>
        </w:drawing>
      </w:r>
    </w:p>
    <w:p w14:paraId="0EF99D0E" w14:textId="789B15E6" w:rsidR="002F0E44" w:rsidRPr="00976D1C" w:rsidRDefault="00BB2245" w:rsidP="00EC4213">
      <w:pPr>
        <w:rPr>
          <w:lang w:eastAsia="x-none"/>
        </w:rPr>
      </w:pPr>
      <w:r w:rsidRPr="00976D1C">
        <w:t xml:space="preserve">Figure 3 </w:t>
      </w:r>
      <w:r w:rsidR="002F0E44" w:rsidRPr="00976D1C">
        <w:t xml:space="preserve">shows the </w:t>
      </w:r>
      <w:r w:rsidR="00E81970" w:rsidRPr="00976D1C">
        <w:t>results of the productivity scenario</w:t>
      </w:r>
      <w:r w:rsidR="00516A23" w:rsidRPr="00976D1C">
        <w:t xml:space="preserve"> –</w:t>
      </w:r>
      <w:r w:rsidR="00E81970" w:rsidRPr="00976D1C">
        <w:t xml:space="preserve"> increasing the workforce gap relative to the comparison </w:t>
      </w:r>
      <w:r w:rsidR="008B3F2B" w:rsidRPr="00976D1C">
        <w:t>scenario</w:t>
      </w:r>
      <w:r w:rsidR="00E81970" w:rsidRPr="00976D1C">
        <w:t>.</w:t>
      </w:r>
    </w:p>
    <w:p w14:paraId="7B01AC39" w14:textId="4DD80AAE" w:rsidR="00BB2245" w:rsidRPr="00976D1C" w:rsidRDefault="00BB2245" w:rsidP="00EC4213">
      <w:pPr>
        <w:pStyle w:val="Caption"/>
      </w:pPr>
      <w:bookmarkStart w:id="45" w:name="_Toc407634460"/>
      <w:r w:rsidRPr="00976D1C">
        <w:t xml:space="preserve">Figure </w:t>
      </w:r>
      <w:fldSimple w:instr=" SEQ Figure \* ARABIC ">
        <w:r w:rsidR="00496730" w:rsidRPr="00976D1C">
          <w:t>3</w:t>
        </w:r>
      </w:fldSimple>
      <w:r w:rsidRPr="00976D1C">
        <w:t>: Oral health workforce planning projections, productivity scenario</w:t>
      </w:r>
      <w:bookmarkEnd w:id="45"/>
    </w:p>
    <w:p w14:paraId="63F94EDE" w14:textId="70C8C3F9" w:rsidR="006B4039" w:rsidRPr="00976D1C" w:rsidRDefault="00F85AF2" w:rsidP="00EC4213">
      <w:r w:rsidRPr="00976D1C">
        <w:rPr>
          <w:noProof/>
          <w:lang w:eastAsia="en-AU"/>
        </w:rPr>
        <w:drawing>
          <wp:inline distT="0" distB="0" distL="0" distR="0" wp14:anchorId="09FD5F69" wp14:editId="4DD6A538">
            <wp:extent cx="4534162" cy="2676525"/>
            <wp:effectExtent l="0" t="0" r="0" b="0"/>
            <wp:docPr id="13" name="Picture 13" descr="The figure shows the workforce planning productivity scenario projection compared to the comparison supply and demand scenario." title="Oral health workforce planning projections, productivity scen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39600" cy="2679735"/>
                    </a:xfrm>
                    <a:prstGeom prst="rect">
                      <a:avLst/>
                    </a:prstGeom>
                    <a:noFill/>
                    <a:ln>
                      <a:noFill/>
                    </a:ln>
                  </pic:spPr>
                </pic:pic>
              </a:graphicData>
            </a:graphic>
          </wp:inline>
        </w:drawing>
      </w:r>
    </w:p>
    <w:p w14:paraId="7B527A77" w14:textId="09F41CF1" w:rsidR="00E81970" w:rsidRPr="00976D1C" w:rsidRDefault="00AB37F6" w:rsidP="00EC4213">
      <w:pPr>
        <w:rPr>
          <w:highlight w:val="yellow"/>
        </w:rPr>
      </w:pPr>
      <w:r w:rsidRPr="00976D1C">
        <w:t xml:space="preserve">There is no quantitative measure of the pre-existing oral health workforce position (whether it is in shortage, balance or </w:t>
      </w:r>
      <w:r w:rsidR="00D63A3A" w:rsidRPr="00976D1C">
        <w:t>supply exceeds demand</w:t>
      </w:r>
      <w:r w:rsidRPr="00976D1C">
        <w:t>), so the workforce projections are developed on the assumption that workforce supply and demand are ‘in balance’ in the first year</w:t>
      </w:r>
      <w:r w:rsidR="007B375B" w:rsidRPr="00976D1C">
        <w:t>.</w:t>
      </w:r>
      <w:r w:rsidRPr="00976D1C">
        <w:t xml:space="preserve"> </w:t>
      </w:r>
      <w:r w:rsidR="007B375B" w:rsidRPr="00976D1C">
        <w:t>Figure 4 presents the results of two scenarios developed that assess the impact of an arbitrary undersupply and oversupply in the starting year</w:t>
      </w:r>
      <w:r w:rsidR="00E81970" w:rsidRPr="00976D1C">
        <w:t xml:space="preserve">. </w:t>
      </w:r>
      <w:r w:rsidR="004A5C6A" w:rsidRPr="00976D1C">
        <w:t>In both scenarios, oral health workforce supply exceeds demand across the projection period.</w:t>
      </w:r>
    </w:p>
    <w:p w14:paraId="20C22C52" w14:textId="4E394BAB" w:rsidR="008B0925" w:rsidRPr="00976D1C" w:rsidRDefault="00E81970" w:rsidP="00EC4213">
      <w:pPr>
        <w:pStyle w:val="Caption"/>
      </w:pPr>
      <w:bookmarkStart w:id="46" w:name="_Toc407634461"/>
      <w:r w:rsidRPr="00976D1C">
        <w:lastRenderedPageBreak/>
        <w:t xml:space="preserve">Figure </w:t>
      </w:r>
      <w:fldSimple w:instr=" SEQ Figure \* ARABIC ">
        <w:r w:rsidR="00496730" w:rsidRPr="00976D1C">
          <w:t>4</w:t>
        </w:r>
      </w:fldSimple>
      <w:r w:rsidRPr="00976D1C">
        <w:t>: Oral health workforce, oversupply and undersupply scenarios</w:t>
      </w:r>
      <w:bookmarkEnd w:id="46"/>
    </w:p>
    <w:p w14:paraId="4B798222" w14:textId="10971EB1" w:rsidR="008B0925" w:rsidRPr="00976D1C" w:rsidRDefault="00E81970" w:rsidP="00EC4213">
      <w:r w:rsidRPr="00976D1C">
        <w:rPr>
          <w:noProof/>
          <w:lang w:eastAsia="en-AU"/>
        </w:rPr>
        <w:drawing>
          <wp:inline distT="0" distB="0" distL="0" distR="0" wp14:anchorId="108137FB" wp14:editId="60ACC115">
            <wp:extent cx="4534162" cy="2581275"/>
            <wp:effectExtent l="0" t="0" r="0" b="0"/>
            <wp:docPr id="11" name="Picture 11" descr="The figure shows the workforce planning projection oversupply and undersupply scenarios against the comparison supply and demand scenario." title="Oral health workforce, oversupply and undersupply scenar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539600" cy="2584371"/>
                    </a:xfrm>
                    <a:prstGeom prst="rect">
                      <a:avLst/>
                    </a:prstGeom>
                    <a:noFill/>
                    <a:ln>
                      <a:noFill/>
                    </a:ln>
                  </pic:spPr>
                </pic:pic>
              </a:graphicData>
            </a:graphic>
          </wp:inline>
        </w:drawing>
      </w:r>
    </w:p>
    <w:p w14:paraId="04AE2E0C" w14:textId="65E779E0" w:rsidR="0068227A" w:rsidRPr="00976D1C" w:rsidRDefault="0068227A" w:rsidP="00EC4213">
      <w:r w:rsidRPr="00976D1C">
        <w:t>Appendix G contains more detailed tables of the oral health workforce planning scenario projections, including the input parameters on inflows and exits that were used to generate the supply projections.</w:t>
      </w:r>
    </w:p>
    <w:p w14:paraId="2AAA6876" w14:textId="2DC7330D" w:rsidR="00392617" w:rsidRPr="00976D1C" w:rsidRDefault="00CF7382" w:rsidP="00EC4213">
      <w:pPr>
        <w:pStyle w:val="Heading1"/>
      </w:pPr>
      <w:bookmarkStart w:id="47" w:name="_Toc407634417"/>
      <w:r w:rsidRPr="00976D1C">
        <w:lastRenderedPageBreak/>
        <w:t>Differences</w:t>
      </w:r>
      <w:r w:rsidR="00392617" w:rsidRPr="00976D1C">
        <w:t xml:space="preserve"> in oral health </w:t>
      </w:r>
      <w:r w:rsidRPr="00976D1C">
        <w:t>outcomes and services</w:t>
      </w:r>
      <w:bookmarkEnd w:id="47"/>
    </w:p>
    <w:p w14:paraId="75F7F412" w14:textId="6CA6D34C" w:rsidR="0073239F" w:rsidRPr="00976D1C" w:rsidRDefault="00056F98" w:rsidP="00EC4213">
      <w:r w:rsidRPr="00976D1C">
        <w:t xml:space="preserve">The workforce planning projections demonstrate extra capacity exists within the oral health workforce. </w:t>
      </w:r>
      <w:r w:rsidR="0073239F" w:rsidRPr="00976D1C">
        <w:t>This section briefly outlines demand for oral health services and barriers that d</w:t>
      </w:r>
      <w:r w:rsidR="00870E40" w:rsidRPr="00976D1C">
        <w:t>escribe</w:t>
      </w:r>
      <w:r w:rsidR="0073239F" w:rsidRPr="00976D1C">
        <w:t xml:space="preserve"> inequalities in service access. This is not a com</w:t>
      </w:r>
      <w:r w:rsidR="00A0686B" w:rsidRPr="00976D1C">
        <w:t xml:space="preserve">prehensive review or discussion. More detailed analysis and discussion can be found in references cited in this publication, and work published by the Australian Institute of Health and Welfare’s Dental Statistics Unit and the Adelaide University’s </w:t>
      </w:r>
      <w:r w:rsidR="00A0686B" w:rsidRPr="00976D1C">
        <w:rPr>
          <w:rFonts w:cs="TimesNewRomanPSMT"/>
          <w:lang w:eastAsia="en-AU"/>
        </w:rPr>
        <w:t xml:space="preserve">ARCPOH. </w:t>
      </w:r>
    </w:p>
    <w:p w14:paraId="4DE76F29" w14:textId="42A048BE" w:rsidR="008E2E5C" w:rsidRPr="00976D1C" w:rsidRDefault="008E2E5C" w:rsidP="00EC4213">
      <w:pPr>
        <w:pStyle w:val="Heading2"/>
      </w:pPr>
      <w:bookmarkStart w:id="48" w:name="_Toc407634418"/>
      <w:r w:rsidRPr="00976D1C">
        <w:t>Demand for oral health services</w:t>
      </w:r>
      <w:bookmarkEnd w:id="48"/>
    </w:p>
    <w:p w14:paraId="4D875F6E" w14:textId="65C155D9" w:rsidR="00C827CA" w:rsidRPr="00976D1C" w:rsidRDefault="00C827CA" w:rsidP="00EC4213">
      <w:pPr>
        <w:rPr>
          <w:lang w:eastAsia="en-AU"/>
        </w:rPr>
      </w:pPr>
      <w:r w:rsidRPr="00976D1C">
        <w:rPr>
          <w:lang w:eastAsia="en-AU"/>
        </w:rPr>
        <w:t>Demand for dental care reflects people’</w:t>
      </w:r>
      <w:r w:rsidR="00AB0E39" w:rsidRPr="00976D1C">
        <w:rPr>
          <w:lang w:eastAsia="en-AU"/>
        </w:rPr>
        <w:t>s</w:t>
      </w:r>
      <w:r w:rsidRPr="00976D1C">
        <w:rPr>
          <w:lang w:eastAsia="en-AU"/>
        </w:rPr>
        <w:t xml:space="preserve"> want or desire for dental care and willingness to pay at market prices. Demand is expressed through the use of dental services and hence can be measured in dental visits made and services received in a year.</w:t>
      </w:r>
      <w:r w:rsidR="0039559D" w:rsidRPr="00A90656">
        <w:rPr>
          <w:rStyle w:val="EndnoteReference"/>
        </w:rPr>
        <w:endnoteReference w:id="14"/>
      </w:r>
    </w:p>
    <w:p w14:paraId="59D616E8" w14:textId="3EC78B74" w:rsidR="00C86F10" w:rsidRPr="00976D1C" w:rsidRDefault="00C86F10" w:rsidP="00EC4213">
      <w:r w:rsidRPr="00976D1C">
        <w:t>Figure</w:t>
      </w:r>
      <w:r w:rsidR="00F920E7" w:rsidRPr="00976D1C">
        <w:t xml:space="preserve">s </w:t>
      </w:r>
      <w:r w:rsidR="00DC3122" w:rsidRPr="00976D1C">
        <w:t>5</w:t>
      </w:r>
      <w:r w:rsidRPr="00976D1C">
        <w:t xml:space="preserve"> </w:t>
      </w:r>
      <w:r w:rsidR="00F920E7" w:rsidRPr="00976D1C">
        <w:t xml:space="preserve">and </w:t>
      </w:r>
      <w:r w:rsidR="00DC3122" w:rsidRPr="00976D1C">
        <w:t>6</w:t>
      </w:r>
      <w:r w:rsidR="00F920E7" w:rsidRPr="00976D1C">
        <w:t xml:space="preserve"> demonstrate increasing demand</w:t>
      </w:r>
      <w:r w:rsidR="00FF68DE" w:rsidRPr="00976D1C">
        <w:t xml:space="preserve"> for oral health services. Figure </w:t>
      </w:r>
      <w:r w:rsidR="00DC3122" w:rsidRPr="00976D1C">
        <w:t>5</w:t>
      </w:r>
      <w:r w:rsidR="00F920E7" w:rsidRPr="00976D1C">
        <w:t xml:space="preserve"> </w:t>
      </w:r>
      <w:r w:rsidRPr="00976D1C">
        <w:t xml:space="preserve">shows </w:t>
      </w:r>
      <w:r w:rsidR="00F920E7" w:rsidRPr="00976D1C">
        <w:t>the proportion of adults making a dental visit in the previous 12 months increased from 55.4 per cent in 1994 to 60.5 per cent in 2010.</w:t>
      </w:r>
      <w:r w:rsidR="003D6CA9" w:rsidRPr="00976D1C">
        <w:t xml:space="preserve"> </w:t>
      </w:r>
    </w:p>
    <w:p w14:paraId="448C8279" w14:textId="534E83B5" w:rsidR="00F920E7" w:rsidRPr="00976D1C" w:rsidRDefault="00223697" w:rsidP="00EC4213">
      <w:pPr>
        <w:pStyle w:val="Caption"/>
      </w:pPr>
      <w:bookmarkStart w:id="49" w:name="_Toc407634462"/>
      <w:r w:rsidRPr="00976D1C">
        <w:t xml:space="preserve">Figure </w:t>
      </w:r>
      <w:fldSimple w:instr=" SEQ Figure \* ARABIC ">
        <w:r w:rsidR="00496730" w:rsidRPr="00976D1C">
          <w:t>5</w:t>
        </w:r>
      </w:fldSimple>
      <w:r w:rsidR="00F920E7" w:rsidRPr="00976D1C">
        <w:t>: Adults who made a dental visit in the previous 12 months, 1994-2010</w:t>
      </w:r>
      <w:bookmarkEnd w:id="49"/>
    </w:p>
    <w:p w14:paraId="0DEE4D9A" w14:textId="49393C1E" w:rsidR="00C86F10" w:rsidRPr="00976D1C" w:rsidRDefault="00CA591E" w:rsidP="00EC4213">
      <w:pPr>
        <w:rPr>
          <w:szCs w:val="20"/>
        </w:rPr>
      </w:pPr>
      <w:r w:rsidRPr="00976D1C">
        <w:rPr>
          <w:noProof/>
          <w:lang w:eastAsia="en-AU"/>
        </w:rPr>
        <w:drawing>
          <wp:inline distT="0" distB="0" distL="0" distR="0" wp14:anchorId="33C430BA" wp14:editId="7DD3D4B2">
            <wp:extent cx="5731510" cy="3696701"/>
            <wp:effectExtent l="19050" t="19050" r="21590" b="18415"/>
            <wp:docPr id="6" name="Picture 6" descr="The figure shows the percentage of adults who visited a dentist in the previous 12 months between 1994 and 2010." title="Adults who made a dental visit in the previous 12 months, 1994-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731510" cy="3696701"/>
                    </a:xfrm>
                    <a:prstGeom prst="rect">
                      <a:avLst/>
                    </a:prstGeom>
                    <a:ln>
                      <a:solidFill>
                        <a:schemeClr val="tx1"/>
                      </a:solidFill>
                    </a:ln>
                  </pic:spPr>
                </pic:pic>
              </a:graphicData>
            </a:graphic>
          </wp:inline>
        </w:drawing>
      </w:r>
    </w:p>
    <w:p w14:paraId="0A23D63B" w14:textId="1ACCA6DA" w:rsidR="00C86F10" w:rsidRPr="00976D1C" w:rsidRDefault="00F920E7" w:rsidP="00EC4213">
      <w:pPr>
        <w:pStyle w:val="Tablenotes"/>
      </w:pPr>
      <w:r w:rsidRPr="00976D1C">
        <w:t xml:space="preserve">Source: AIHW, Harford JE &amp; Islam S 2013. Adult oral health and dental visiting in Australia: results from the National Dental Telephone Interview Survey 2010. </w:t>
      </w:r>
    </w:p>
    <w:p w14:paraId="004A1931" w14:textId="40C29D4F" w:rsidR="006B7221" w:rsidRPr="00976D1C" w:rsidRDefault="00C87C17" w:rsidP="00EC4213">
      <w:r w:rsidRPr="00976D1C">
        <w:lastRenderedPageBreak/>
        <w:t xml:space="preserve">Individuals can purchase dental insurance, either by private patient hospital cover combined with an extras option that includes dental services or the extras option only. Figure </w:t>
      </w:r>
      <w:r w:rsidR="00DC3122" w:rsidRPr="00976D1C">
        <w:t>6</w:t>
      </w:r>
      <w:r w:rsidRPr="00976D1C">
        <w:t xml:space="preserve"> shows </w:t>
      </w:r>
      <w:r w:rsidR="007A5CE3" w:rsidRPr="00976D1C">
        <w:t xml:space="preserve">annual information on the number of dental services for which private health insurance providers paid benefits. </w:t>
      </w:r>
      <w:r w:rsidRPr="00976D1C">
        <w:t>This clearly shows an increasing number of dental services provided</w:t>
      </w:r>
      <w:r w:rsidR="006B7221" w:rsidRPr="00976D1C">
        <w:t xml:space="preserve"> – more than doubling (up 132 per cent) from 15.0m services in 1996 to 34.8m services in 2013</w:t>
      </w:r>
      <w:r w:rsidRPr="00976D1C">
        <w:t xml:space="preserve">. </w:t>
      </w:r>
    </w:p>
    <w:p w14:paraId="464040CB" w14:textId="59F763E3" w:rsidR="00F920E7" w:rsidRPr="00976D1C" w:rsidRDefault="006B7221" w:rsidP="00EC4213">
      <w:r w:rsidRPr="00976D1C">
        <w:t>The s</w:t>
      </w:r>
      <w:r w:rsidR="00411849" w:rsidRPr="00976D1C">
        <w:t xml:space="preserve">ubstantial increase in services </w:t>
      </w:r>
      <w:r w:rsidRPr="00976D1C">
        <w:t xml:space="preserve">for which benefits were paid </w:t>
      </w:r>
      <w:r w:rsidR="00C87C17" w:rsidRPr="00976D1C">
        <w:t xml:space="preserve">from 2000 </w:t>
      </w:r>
      <w:r w:rsidRPr="00976D1C">
        <w:t>(16.</w:t>
      </w:r>
      <w:r w:rsidR="00411849" w:rsidRPr="00976D1C">
        <w:t>2</w:t>
      </w:r>
      <w:r w:rsidR="008C3E4B" w:rsidRPr="00976D1C">
        <w:t>m</w:t>
      </w:r>
      <w:r w:rsidR="00411849" w:rsidRPr="00976D1C">
        <w:t xml:space="preserve">) </w:t>
      </w:r>
      <w:r w:rsidR="00C87C17" w:rsidRPr="00976D1C">
        <w:t>to 2001</w:t>
      </w:r>
      <w:r w:rsidRPr="00976D1C">
        <w:t xml:space="preserve"> (</w:t>
      </w:r>
      <w:r w:rsidR="00411849" w:rsidRPr="00976D1C">
        <w:t xml:space="preserve">19.9m) </w:t>
      </w:r>
      <w:r w:rsidR="00C87C17" w:rsidRPr="00976D1C">
        <w:t>likely reflects changes to Australia’s private health insurance system</w:t>
      </w:r>
      <w:r w:rsidR="00411849" w:rsidRPr="00976D1C">
        <w:t xml:space="preserve">. In July 2000, </w:t>
      </w:r>
      <w:r w:rsidR="00C87C17" w:rsidRPr="00976D1C">
        <w:t xml:space="preserve">Lifetime Health Cover was introduced to </w:t>
      </w:r>
      <w:r w:rsidR="000F242A" w:rsidRPr="00976D1C">
        <w:t>encourage Australians to take out pr</w:t>
      </w:r>
      <w:r w:rsidR="00411849" w:rsidRPr="00976D1C">
        <w:t>ivate</w:t>
      </w:r>
      <w:r w:rsidR="000F242A" w:rsidRPr="00976D1C">
        <w:t xml:space="preserve"> insurance earlier in life and to maintain their cover</w:t>
      </w:r>
      <w:r w:rsidR="00411849" w:rsidRPr="00976D1C">
        <w:t xml:space="preserve">. </w:t>
      </w:r>
      <w:r w:rsidR="008C3E4B" w:rsidRPr="00976D1C">
        <w:t>Under this, people aged 30 years or more who joined private health insurance after July 2000 are required to pay a loading on their base rate premium for each year that they were older than 30, up to a maximum 70 per cent</w:t>
      </w:r>
      <w:r w:rsidR="00A25248" w:rsidRPr="00976D1C">
        <w:t xml:space="preserve"> loading.</w:t>
      </w:r>
    </w:p>
    <w:p w14:paraId="2A0273D4" w14:textId="0947FE8B" w:rsidR="00F920E7" w:rsidRPr="00976D1C" w:rsidRDefault="00223697" w:rsidP="00EC4213">
      <w:pPr>
        <w:pStyle w:val="Caption"/>
      </w:pPr>
      <w:bookmarkStart w:id="50" w:name="_Toc407634463"/>
      <w:r w:rsidRPr="00976D1C">
        <w:t xml:space="preserve">Figure </w:t>
      </w:r>
      <w:fldSimple w:instr=" SEQ Figure \* ARABIC ">
        <w:r w:rsidR="00496730" w:rsidRPr="00976D1C">
          <w:t>6</w:t>
        </w:r>
      </w:fldSimple>
      <w:r w:rsidR="00F920E7" w:rsidRPr="00976D1C">
        <w:t>: General Treatment, Dental Services paid by private health insurers, 1996 to 2013</w:t>
      </w:r>
      <w:bookmarkEnd w:id="50"/>
    </w:p>
    <w:p w14:paraId="3B225BD1" w14:textId="77777777" w:rsidR="00F920E7" w:rsidRPr="00976D1C" w:rsidRDefault="00F920E7" w:rsidP="00EC4213">
      <w:pPr>
        <w:rPr>
          <w:szCs w:val="20"/>
          <w:highlight w:val="yellow"/>
        </w:rPr>
      </w:pPr>
      <w:r w:rsidRPr="00976D1C">
        <w:rPr>
          <w:noProof/>
          <w:lang w:eastAsia="en-AU"/>
        </w:rPr>
        <w:drawing>
          <wp:inline distT="0" distB="0" distL="0" distR="0" wp14:anchorId="5AFB55B5" wp14:editId="409BD1B9">
            <wp:extent cx="4572000" cy="2743200"/>
            <wp:effectExtent l="0" t="0" r="0" b="0"/>
            <wp:docPr id="5" name="Picture 5" descr="The figure shows the increasing number of dental services paid by private health insurers for general treatment from 1996 to 2013." title="General Treatment, Dental Services paid by private health insurers, 1996 to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572000" cy="2743200"/>
                    </a:xfrm>
                    <a:prstGeom prst="rect">
                      <a:avLst/>
                    </a:prstGeom>
                    <a:noFill/>
                    <a:ln>
                      <a:noFill/>
                    </a:ln>
                  </pic:spPr>
                </pic:pic>
              </a:graphicData>
            </a:graphic>
          </wp:inline>
        </w:drawing>
      </w:r>
    </w:p>
    <w:p w14:paraId="30292590" w14:textId="77777777" w:rsidR="00F920E7" w:rsidRPr="00976D1C" w:rsidRDefault="00F920E7" w:rsidP="00EC4213">
      <w:pPr>
        <w:pStyle w:val="Tablenotes"/>
      </w:pPr>
      <w:r w:rsidRPr="00976D1C">
        <w:t>Source: Private Health Insurance Administration Council, Benefits Trends Australia, December 2013</w:t>
      </w:r>
    </w:p>
    <w:p w14:paraId="2CCFDA56" w14:textId="72779BD6" w:rsidR="00FB3147" w:rsidRPr="00976D1C" w:rsidRDefault="00FB3147" w:rsidP="00EC4213">
      <w:pPr>
        <w:rPr>
          <w:lang w:eastAsia="en-AU"/>
        </w:rPr>
      </w:pPr>
      <w:r w:rsidRPr="00976D1C">
        <w:t xml:space="preserve">Demand for </w:t>
      </w:r>
      <w:r w:rsidR="00B75072" w:rsidRPr="00976D1C">
        <w:rPr>
          <w:lang w:eastAsia="en-AU"/>
        </w:rPr>
        <w:t>oral health</w:t>
      </w:r>
      <w:r w:rsidRPr="00976D1C">
        <w:rPr>
          <w:lang w:eastAsia="en-AU"/>
        </w:rPr>
        <w:t>care services is expected to continue to grow</w:t>
      </w:r>
      <w:r w:rsidRPr="00A90656">
        <w:rPr>
          <w:rStyle w:val="EndnoteReference"/>
        </w:rPr>
        <w:endnoteReference w:id="15"/>
      </w:r>
      <w:r w:rsidRPr="00976D1C">
        <w:rPr>
          <w:lang w:eastAsia="en-AU"/>
        </w:rPr>
        <w:t>, with drivers of demand including:</w:t>
      </w:r>
    </w:p>
    <w:p w14:paraId="5923D487" w14:textId="356A4769" w:rsidR="00C827CA" w:rsidRPr="00976D1C" w:rsidRDefault="00C827CA" w:rsidP="00EC4213">
      <w:pPr>
        <w:pStyle w:val="ListParagraph"/>
        <w:numPr>
          <w:ilvl w:val="0"/>
          <w:numId w:val="35"/>
        </w:numPr>
      </w:pPr>
      <w:r w:rsidRPr="00976D1C">
        <w:rPr>
          <w:lang w:eastAsia="en-AU"/>
        </w:rPr>
        <w:t>the ageing population</w:t>
      </w:r>
    </w:p>
    <w:p w14:paraId="490707C4" w14:textId="07998A58" w:rsidR="00C827CA" w:rsidRPr="00976D1C" w:rsidRDefault="0028218F" w:rsidP="00EC4213">
      <w:pPr>
        <w:pStyle w:val="ListParagraph"/>
        <w:numPr>
          <w:ilvl w:val="0"/>
          <w:numId w:val="35"/>
        </w:numPr>
        <w:rPr>
          <w:lang w:eastAsia="en-AU"/>
        </w:rPr>
      </w:pPr>
      <w:r w:rsidRPr="00976D1C">
        <w:rPr>
          <w:lang w:eastAsia="en-AU"/>
        </w:rPr>
        <w:t xml:space="preserve">rising </w:t>
      </w:r>
      <w:r w:rsidR="00952947" w:rsidRPr="00976D1C">
        <w:rPr>
          <w:lang w:eastAsia="en-AU"/>
        </w:rPr>
        <w:t>incomes</w:t>
      </w:r>
      <w:r w:rsidR="00C827CA" w:rsidRPr="00976D1C">
        <w:rPr>
          <w:lang w:eastAsia="en-AU"/>
        </w:rPr>
        <w:t xml:space="preserve"> </w:t>
      </w:r>
    </w:p>
    <w:p w14:paraId="43012089" w14:textId="1810DF83" w:rsidR="00C827CA" w:rsidRPr="00976D1C" w:rsidRDefault="00952947" w:rsidP="00EC4213">
      <w:pPr>
        <w:pStyle w:val="ListParagraph"/>
        <w:numPr>
          <w:ilvl w:val="0"/>
          <w:numId w:val="35"/>
        </w:numPr>
        <w:rPr>
          <w:lang w:eastAsia="en-AU"/>
        </w:rPr>
      </w:pPr>
      <w:r w:rsidRPr="00976D1C">
        <w:rPr>
          <w:lang w:eastAsia="en-AU"/>
        </w:rPr>
        <w:t>educational attainment</w:t>
      </w:r>
      <w:r w:rsidR="00C827CA" w:rsidRPr="00976D1C">
        <w:rPr>
          <w:lang w:eastAsia="en-AU"/>
        </w:rPr>
        <w:t xml:space="preserve"> </w:t>
      </w:r>
    </w:p>
    <w:p w14:paraId="395DC42A" w14:textId="39091D6F" w:rsidR="00C827CA" w:rsidRPr="00976D1C" w:rsidRDefault="00952947" w:rsidP="00EC4213">
      <w:pPr>
        <w:pStyle w:val="ListParagraph"/>
        <w:numPr>
          <w:ilvl w:val="0"/>
          <w:numId w:val="35"/>
        </w:numPr>
        <w:rPr>
          <w:lang w:eastAsia="en-AU"/>
        </w:rPr>
      </w:pPr>
      <w:r w:rsidRPr="00976D1C">
        <w:rPr>
          <w:lang w:eastAsia="en-AU"/>
        </w:rPr>
        <w:t>consumer expectations</w:t>
      </w:r>
    </w:p>
    <w:p w14:paraId="4E9D2A57" w14:textId="2D55607E" w:rsidR="00C827CA" w:rsidRPr="00976D1C" w:rsidRDefault="00952947" w:rsidP="00EC4213">
      <w:pPr>
        <w:pStyle w:val="ListParagraph"/>
        <w:numPr>
          <w:ilvl w:val="0"/>
          <w:numId w:val="35"/>
        </w:numPr>
        <w:rPr>
          <w:lang w:eastAsia="en-AU"/>
        </w:rPr>
      </w:pPr>
      <w:r w:rsidRPr="00976D1C">
        <w:rPr>
          <w:lang w:eastAsia="en-AU"/>
        </w:rPr>
        <w:t>changing</w:t>
      </w:r>
      <w:r w:rsidR="00C65DF0" w:rsidRPr="00976D1C">
        <w:rPr>
          <w:lang w:eastAsia="en-AU"/>
        </w:rPr>
        <w:t xml:space="preserve"> </w:t>
      </w:r>
      <w:r w:rsidR="00C827CA" w:rsidRPr="00976D1C">
        <w:rPr>
          <w:lang w:eastAsia="en-AU"/>
        </w:rPr>
        <w:t>dental service offerings</w:t>
      </w:r>
    </w:p>
    <w:p w14:paraId="65D8AC22" w14:textId="4C865A6F" w:rsidR="00952947" w:rsidRPr="00976D1C" w:rsidRDefault="00952947" w:rsidP="00EC4213">
      <w:pPr>
        <w:pStyle w:val="ListParagraph"/>
        <w:numPr>
          <w:ilvl w:val="0"/>
          <w:numId w:val="35"/>
        </w:numPr>
        <w:rPr>
          <w:lang w:eastAsia="en-AU"/>
        </w:rPr>
      </w:pPr>
      <w:r w:rsidRPr="00976D1C">
        <w:rPr>
          <w:lang w:eastAsia="en-AU"/>
        </w:rPr>
        <w:t>t</w:t>
      </w:r>
      <w:r w:rsidR="00C827CA" w:rsidRPr="00976D1C">
        <w:rPr>
          <w:lang w:eastAsia="en-AU"/>
        </w:rPr>
        <w:t>he extent to which the population is covered by health insurance</w:t>
      </w:r>
    </w:p>
    <w:p w14:paraId="4A76B300" w14:textId="60DF5C36" w:rsidR="00C827CA" w:rsidRPr="00976D1C" w:rsidRDefault="00952947" w:rsidP="00EC4213">
      <w:pPr>
        <w:pStyle w:val="ListParagraph"/>
        <w:numPr>
          <w:ilvl w:val="0"/>
          <w:numId w:val="35"/>
        </w:numPr>
        <w:rPr>
          <w:lang w:eastAsia="en-AU"/>
        </w:rPr>
      </w:pPr>
      <w:r w:rsidRPr="00976D1C">
        <w:rPr>
          <w:lang w:eastAsia="en-AU"/>
        </w:rPr>
        <w:lastRenderedPageBreak/>
        <w:t xml:space="preserve">the </w:t>
      </w:r>
      <w:r w:rsidR="00C827CA" w:rsidRPr="00976D1C">
        <w:rPr>
          <w:lang w:eastAsia="en-AU"/>
        </w:rPr>
        <w:t>availability of and access to public dentistry</w:t>
      </w:r>
      <w:r w:rsidRPr="00976D1C">
        <w:rPr>
          <w:lang w:eastAsia="en-AU"/>
        </w:rPr>
        <w:t>.</w:t>
      </w:r>
      <w:r w:rsidRPr="00A90656">
        <w:rPr>
          <w:rStyle w:val="EndnoteReference"/>
        </w:rPr>
        <w:endnoteReference w:id="16"/>
      </w:r>
    </w:p>
    <w:p w14:paraId="7999D7FE" w14:textId="7D26611E" w:rsidR="00C86F10" w:rsidRPr="00976D1C" w:rsidRDefault="0049335E" w:rsidP="00EC4213">
      <w:r w:rsidRPr="00976D1C">
        <w:t>A number of demand drivers are financially-related –</w:t>
      </w:r>
      <w:r w:rsidR="007361CB" w:rsidRPr="00976D1C">
        <w:t xml:space="preserve"> </w:t>
      </w:r>
      <w:r w:rsidRPr="00976D1C">
        <w:t xml:space="preserve">reflecting the nature of oral health service provision, which is primarily provided through the private sector and funded by individuals and families. </w:t>
      </w:r>
      <w:r w:rsidR="00485C6B" w:rsidRPr="00976D1C">
        <w:t>As noted earlier,</w:t>
      </w:r>
      <w:r w:rsidR="00C65DF0" w:rsidRPr="00976D1C">
        <w:t xml:space="preserve"> </w:t>
      </w:r>
      <w:r w:rsidR="00501DF1" w:rsidRPr="00976D1C">
        <w:t>th</w:t>
      </w:r>
      <w:r w:rsidRPr="00976D1C">
        <w:t xml:space="preserve">is </w:t>
      </w:r>
      <w:r w:rsidR="00501DF1" w:rsidRPr="00976D1C">
        <w:t xml:space="preserve">is </w:t>
      </w:r>
      <w:r w:rsidRPr="00976D1C">
        <w:t xml:space="preserve">relatively unique </w:t>
      </w:r>
      <w:r w:rsidR="0028218F" w:rsidRPr="00976D1C">
        <w:t>for</w:t>
      </w:r>
      <w:r w:rsidRPr="00976D1C">
        <w:t xml:space="preserve"> health service provision in Australia, and gives rise to a </w:t>
      </w:r>
      <w:r w:rsidR="00501DF1" w:rsidRPr="00976D1C">
        <w:t>number of barriers to accessing oral health services</w:t>
      </w:r>
      <w:r w:rsidR="00485C6B" w:rsidRPr="00976D1C">
        <w:t>.</w:t>
      </w:r>
    </w:p>
    <w:p w14:paraId="423C64E4" w14:textId="77777777" w:rsidR="004B7556" w:rsidRPr="00976D1C" w:rsidRDefault="004B7556" w:rsidP="00EC4213">
      <w:pPr>
        <w:pStyle w:val="Heading2"/>
      </w:pPr>
      <w:bookmarkStart w:id="51" w:name="_Toc407634419"/>
      <w:r w:rsidRPr="00976D1C">
        <w:t>Barriers to access</w:t>
      </w:r>
      <w:bookmarkEnd w:id="51"/>
    </w:p>
    <w:p w14:paraId="0DED0029" w14:textId="7F2C65A1" w:rsidR="00BF55A5" w:rsidRPr="00976D1C" w:rsidRDefault="009A46D7" w:rsidP="00EC4213">
      <w:pPr>
        <w:rPr>
          <w:lang w:eastAsia="x-none"/>
        </w:rPr>
      </w:pPr>
      <w:r w:rsidRPr="00976D1C">
        <w:rPr>
          <w:lang w:eastAsia="x-none"/>
        </w:rPr>
        <w:t xml:space="preserve">The </w:t>
      </w:r>
      <w:r w:rsidRPr="00976D1C">
        <w:t>National Oral Health Plan 2004 – 2013</w:t>
      </w:r>
      <w:r w:rsidRPr="00976D1C">
        <w:rPr>
          <w:lang w:eastAsia="x-none"/>
        </w:rPr>
        <w:t xml:space="preserve">, the NHHRC report </w:t>
      </w:r>
      <w:r w:rsidRPr="00976D1C">
        <w:t>A healthier future for all Australians and the Report of the National Advisory Council on Dental Health all highlighted access and equity issues as a major factor for oral health service provision in Australia.</w:t>
      </w:r>
      <w:r w:rsidR="00C65DF0" w:rsidRPr="00976D1C">
        <w:t xml:space="preserve"> </w:t>
      </w:r>
      <w:r w:rsidR="00637685" w:rsidRPr="00976D1C">
        <w:t xml:space="preserve">Barriers to accessing oral health services can be both financial and non-financial. </w:t>
      </w:r>
    </w:p>
    <w:p w14:paraId="24FD8BD3" w14:textId="6A05D073" w:rsidR="00F55D61" w:rsidRPr="00976D1C" w:rsidRDefault="00BF55A5" w:rsidP="00EC4213">
      <w:pPr>
        <w:rPr>
          <w:lang w:eastAsia="x-none"/>
        </w:rPr>
      </w:pPr>
      <w:r w:rsidRPr="00976D1C">
        <w:t>Financial burden reflects the cost of oral healthcare</w:t>
      </w:r>
      <w:r w:rsidR="00B75072" w:rsidRPr="00976D1C">
        <w:t xml:space="preserve"> </w:t>
      </w:r>
      <w:r w:rsidRPr="00976D1C">
        <w:t>services to the individual, the disposable income of a household and the number of people dependent on that income</w:t>
      </w:r>
      <w:r w:rsidRPr="00976D1C">
        <w:rPr>
          <w:vertAlign w:val="superscript"/>
        </w:rPr>
        <w:endnoteReference w:id="17"/>
      </w:r>
      <w:r w:rsidR="00637685" w:rsidRPr="00976D1C">
        <w:t xml:space="preserve">, and is regularly cited as a reason why people do not seek regular oral healthcare. </w:t>
      </w:r>
      <w:r w:rsidRPr="00976D1C">
        <w:rPr>
          <w:lang w:eastAsia="x-none"/>
        </w:rPr>
        <w:t>Financial burden as a barrier can be reflected by people avoiding or delaying dental care due to cost, cost preventing recommended dental care, and dental visits being a large financial burden.</w:t>
      </w:r>
      <w:r w:rsidRPr="00A90656">
        <w:rPr>
          <w:rStyle w:val="EndnoteReference"/>
        </w:rPr>
        <w:endnoteReference w:id="18"/>
      </w:r>
    </w:p>
    <w:p w14:paraId="54851A29" w14:textId="41AEE525" w:rsidR="0076781B" w:rsidRPr="00976D1C" w:rsidRDefault="00943882" w:rsidP="00EC4213">
      <w:r w:rsidRPr="00976D1C">
        <w:t xml:space="preserve">Table </w:t>
      </w:r>
      <w:r w:rsidR="00DC3122" w:rsidRPr="00976D1C">
        <w:t>3</w:t>
      </w:r>
      <w:r w:rsidRPr="00976D1C">
        <w:t xml:space="preserve"> shows the </w:t>
      </w:r>
      <w:r w:rsidR="0029514D" w:rsidRPr="00976D1C">
        <w:t>prevalence of financial barriers to dental visiting between 1994 and 2010.</w:t>
      </w:r>
      <w:r w:rsidR="00CB1E87" w:rsidRPr="00976D1C">
        <w:t xml:space="preserve"> </w:t>
      </w:r>
      <w:r w:rsidR="0076781B" w:rsidRPr="00976D1C">
        <w:t>The proportion of people who have natural teeth</w:t>
      </w:r>
      <w:r w:rsidR="00F0489B" w:rsidRPr="00976D1C">
        <w:t xml:space="preserve"> (dentate people)</w:t>
      </w:r>
      <w:r w:rsidR="0076781B" w:rsidRPr="00976D1C">
        <w:t xml:space="preserve"> who avoided or delayed dental visiting because of cost </w:t>
      </w:r>
      <w:r w:rsidR="00CB1E87" w:rsidRPr="00976D1C">
        <w:t xml:space="preserve">has </w:t>
      </w:r>
      <w:r w:rsidR="0076781B" w:rsidRPr="00976D1C">
        <w:t xml:space="preserve">increased between 1994 and 2010. Of those dentate people who made a dental visit in the previous 12 months, </w:t>
      </w:r>
      <w:r w:rsidR="00F0489B" w:rsidRPr="00976D1C">
        <w:t xml:space="preserve">approximately two in ten </w:t>
      </w:r>
      <w:r w:rsidR="00CB1E87" w:rsidRPr="00976D1C">
        <w:t>reported that cost prevented recommended treatments</w:t>
      </w:r>
      <w:r w:rsidR="00F0489B" w:rsidRPr="00976D1C">
        <w:t xml:space="preserve"> in almost each selected survey year.</w:t>
      </w:r>
      <w:r w:rsidR="0076781B" w:rsidRPr="00976D1C">
        <w:t xml:space="preserve"> </w:t>
      </w:r>
    </w:p>
    <w:p w14:paraId="68717792" w14:textId="0D8609B1" w:rsidR="00943882" w:rsidRPr="00976D1C" w:rsidRDefault="00223697" w:rsidP="00EC4213">
      <w:pPr>
        <w:pStyle w:val="Caption"/>
      </w:pPr>
      <w:bookmarkStart w:id="52" w:name="_Toc409532341"/>
      <w:r w:rsidRPr="00976D1C">
        <w:t xml:space="preserve">Table </w:t>
      </w:r>
      <w:fldSimple w:instr=" SEQ Table \* ARABIC ">
        <w:r w:rsidR="00496730" w:rsidRPr="00976D1C">
          <w:t>3</w:t>
        </w:r>
      </w:fldSimple>
      <w:r w:rsidR="00943882" w:rsidRPr="00976D1C">
        <w:t>: Prevalence of financial barriers to dental visiting, 1994 to 2010 (per cent)</w:t>
      </w:r>
      <w:bookmarkEnd w:id="52"/>
    </w:p>
    <w:tbl>
      <w:tblPr>
        <w:tblW w:w="9322"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Caption w:val="Prevalence of financial barriers to dental visiting, 1994 to 2010 (per cent)"/>
        <w:tblDescription w:val="The table shows a number of reasons why peoplpe did not visit a dentist over the period 1994 to 2010 including avoiding or delaying visitng due to cost, cost preventing recommended treatment and dental visits in previous 12 months were a large financial burden."/>
      </w:tblPr>
      <w:tblGrid>
        <w:gridCol w:w="3369"/>
        <w:gridCol w:w="850"/>
        <w:gridCol w:w="851"/>
        <w:gridCol w:w="850"/>
        <w:gridCol w:w="855"/>
        <w:gridCol w:w="846"/>
        <w:gridCol w:w="851"/>
        <w:gridCol w:w="850"/>
      </w:tblGrid>
      <w:tr w:rsidR="00994E36" w:rsidRPr="00976D1C" w14:paraId="1605041B" w14:textId="77777777" w:rsidTr="00994E36">
        <w:trPr>
          <w:cantSplit/>
          <w:tblHeader/>
        </w:trPr>
        <w:tc>
          <w:tcPr>
            <w:tcW w:w="3369" w:type="dxa"/>
            <w:tcBorders>
              <w:top w:val="single" w:sz="4" w:space="0" w:color="FFFFFF" w:themeColor="background1"/>
            </w:tcBorders>
            <w:shd w:val="clear" w:color="auto" w:fill="0070C0"/>
          </w:tcPr>
          <w:p w14:paraId="0A49445B" w14:textId="4EA189FB" w:rsidR="00994E36" w:rsidRPr="00976D1C" w:rsidRDefault="00994E36" w:rsidP="00EC4213">
            <w:pPr>
              <w:pStyle w:val="TableHeader"/>
            </w:pPr>
            <w:r w:rsidRPr="00976D1C">
              <w:t>Financial barrier</w:t>
            </w:r>
            <w:bookmarkStart w:id="53" w:name="ColumnTitle_3"/>
            <w:bookmarkEnd w:id="53"/>
          </w:p>
        </w:tc>
        <w:tc>
          <w:tcPr>
            <w:tcW w:w="850" w:type="dxa"/>
            <w:tcBorders>
              <w:top w:val="single" w:sz="4" w:space="0" w:color="FFFFFF" w:themeColor="background1"/>
            </w:tcBorders>
            <w:shd w:val="clear" w:color="auto" w:fill="0070C0"/>
            <w:vAlign w:val="center"/>
          </w:tcPr>
          <w:p w14:paraId="37D0024B" w14:textId="26373AE7" w:rsidR="00994E36" w:rsidRPr="00976D1C" w:rsidRDefault="00994E36" w:rsidP="00EC4213">
            <w:pPr>
              <w:pStyle w:val="TableHeader"/>
            </w:pPr>
            <w:r w:rsidRPr="00976D1C">
              <w:t>1994</w:t>
            </w:r>
          </w:p>
        </w:tc>
        <w:tc>
          <w:tcPr>
            <w:tcW w:w="851" w:type="dxa"/>
            <w:tcBorders>
              <w:top w:val="single" w:sz="4" w:space="0" w:color="FFFFFF" w:themeColor="background1"/>
            </w:tcBorders>
            <w:shd w:val="clear" w:color="auto" w:fill="0070C0"/>
            <w:vAlign w:val="center"/>
          </w:tcPr>
          <w:p w14:paraId="41F4C9AB" w14:textId="2FDB65CB" w:rsidR="00994E36" w:rsidRPr="00976D1C" w:rsidRDefault="00994E36" w:rsidP="00EC4213">
            <w:pPr>
              <w:pStyle w:val="TableHeader"/>
            </w:pPr>
            <w:r w:rsidRPr="00976D1C">
              <w:t>1996</w:t>
            </w:r>
          </w:p>
        </w:tc>
        <w:tc>
          <w:tcPr>
            <w:tcW w:w="850" w:type="dxa"/>
            <w:tcBorders>
              <w:top w:val="single" w:sz="4" w:space="0" w:color="FFFFFF" w:themeColor="background1"/>
            </w:tcBorders>
            <w:shd w:val="clear" w:color="auto" w:fill="0070C0"/>
            <w:vAlign w:val="center"/>
          </w:tcPr>
          <w:p w14:paraId="66E97777" w14:textId="0EDCE73A" w:rsidR="00994E36" w:rsidRPr="00976D1C" w:rsidRDefault="00994E36" w:rsidP="00EC4213">
            <w:pPr>
              <w:pStyle w:val="TableHeader"/>
            </w:pPr>
            <w:r w:rsidRPr="00976D1C">
              <w:t>1999</w:t>
            </w:r>
          </w:p>
        </w:tc>
        <w:tc>
          <w:tcPr>
            <w:tcW w:w="855" w:type="dxa"/>
            <w:tcBorders>
              <w:top w:val="single" w:sz="4" w:space="0" w:color="FFFFFF" w:themeColor="background1"/>
            </w:tcBorders>
            <w:shd w:val="clear" w:color="auto" w:fill="0070C0"/>
            <w:vAlign w:val="center"/>
          </w:tcPr>
          <w:p w14:paraId="259901F9" w14:textId="4B9F64AD" w:rsidR="00994E36" w:rsidRPr="00976D1C" w:rsidRDefault="00994E36" w:rsidP="00EC4213">
            <w:pPr>
              <w:pStyle w:val="TableHeader"/>
            </w:pPr>
            <w:r w:rsidRPr="00976D1C">
              <w:t>2002</w:t>
            </w:r>
          </w:p>
        </w:tc>
        <w:tc>
          <w:tcPr>
            <w:tcW w:w="846" w:type="dxa"/>
            <w:tcBorders>
              <w:top w:val="single" w:sz="4" w:space="0" w:color="FFFFFF" w:themeColor="background1"/>
            </w:tcBorders>
            <w:shd w:val="clear" w:color="auto" w:fill="0070C0"/>
            <w:vAlign w:val="center"/>
          </w:tcPr>
          <w:p w14:paraId="79ED7CF4" w14:textId="3CE61B10" w:rsidR="00994E36" w:rsidRPr="00976D1C" w:rsidRDefault="00994E36" w:rsidP="00EC4213">
            <w:pPr>
              <w:pStyle w:val="TableHeader"/>
            </w:pPr>
            <w:r w:rsidRPr="00976D1C">
              <w:t>2005</w:t>
            </w:r>
          </w:p>
        </w:tc>
        <w:tc>
          <w:tcPr>
            <w:tcW w:w="851" w:type="dxa"/>
            <w:tcBorders>
              <w:top w:val="single" w:sz="4" w:space="0" w:color="FFFFFF" w:themeColor="background1"/>
            </w:tcBorders>
            <w:shd w:val="clear" w:color="auto" w:fill="0070C0"/>
            <w:vAlign w:val="center"/>
          </w:tcPr>
          <w:p w14:paraId="26DF9221" w14:textId="62A902F6" w:rsidR="00994E36" w:rsidRPr="00976D1C" w:rsidRDefault="00994E36" w:rsidP="00EC4213">
            <w:pPr>
              <w:pStyle w:val="TableHeader"/>
            </w:pPr>
            <w:r w:rsidRPr="00976D1C">
              <w:t>2008</w:t>
            </w:r>
          </w:p>
        </w:tc>
        <w:tc>
          <w:tcPr>
            <w:tcW w:w="850" w:type="dxa"/>
            <w:tcBorders>
              <w:top w:val="single" w:sz="4" w:space="0" w:color="FFFFFF" w:themeColor="background1"/>
            </w:tcBorders>
            <w:shd w:val="clear" w:color="auto" w:fill="0070C0"/>
            <w:vAlign w:val="center"/>
          </w:tcPr>
          <w:p w14:paraId="69F5CEA2" w14:textId="08E38285" w:rsidR="00994E36" w:rsidRPr="00976D1C" w:rsidRDefault="00994E36" w:rsidP="00EC4213">
            <w:pPr>
              <w:pStyle w:val="TableHeader"/>
            </w:pPr>
            <w:r w:rsidRPr="00976D1C">
              <w:t>2010</w:t>
            </w:r>
          </w:p>
        </w:tc>
      </w:tr>
      <w:tr w:rsidR="00DE18B4" w:rsidRPr="00976D1C" w14:paraId="79110F5E" w14:textId="77777777" w:rsidTr="00B315D9">
        <w:tc>
          <w:tcPr>
            <w:tcW w:w="3369" w:type="dxa"/>
            <w:tcBorders>
              <w:top w:val="single" w:sz="4" w:space="0" w:color="FFFFFF" w:themeColor="background1"/>
            </w:tcBorders>
            <w:shd w:val="clear" w:color="auto" w:fill="CCE0ED"/>
          </w:tcPr>
          <w:p w14:paraId="6A439041" w14:textId="5ADF8F7D" w:rsidR="00DE18B4" w:rsidRPr="00976D1C" w:rsidRDefault="00DE18B4" w:rsidP="00EC4213">
            <w:pPr>
              <w:pStyle w:val="TableText"/>
            </w:pPr>
            <w:r w:rsidRPr="00976D1C">
              <w:t>Avoided or delayed visiting due to cost</w:t>
            </w:r>
          </w:p>
        </w:tc>
        <w:tc>
          <w:tcPr>
            <w:tcW w:w="850" w:type="dxa"/>
            <w:tcBorders>
              <w:top w:val="single" w:sz="4" w:space="0" w:color="FFFFFF" w:themeColor="background1"/>
            </w:tcBorders>
            <w:shd w:val="clear" w:color="auto" w:fill="CCE0ED"/>
            <w:vAlign w:val="center"/>
          </w:tcPr>
          <w:p w14:paraId="3D021024" w14:textId="4D9086AD" w:rsidR="00DE18B4" w:rsidRPr="00976D1C" w:rsidRDefault="00DE18B4" w:rsidP="00EC4213">
            <w:pPr>
              <w:pStyle w:val="TableText"/>
              <w:jc w:val="center"/>
            </w:pPr>
            <w:r w:rsidRPr="00976D1C">
              <w:t>25.8</w:t>
            </w:r>
          </w:p>
        </w:tc>
        <w:tc>
          <w:tcPr>
            <w:tcW w:w="851" w:type="dxa"/>
            <w:tcBorders>
              <w:top w:val="single" w:sz="4" w:space="0" w:color="FFFFFF" w:themeColor="background1"/>
            </w:tcBorders>
            <w:shd w:val="clear" w:color="auto" w:fill="CCE0ED"/>
            <w:vAlign w:val="center"/>
          </w:tcPr>
          <w:p w14:paraId="1331F897" w14:textId="3C8B73A3" w:rsidR="00DE18B4" w:rsidRPr="00976D1C" w:rsidRDefault="00DE18B4" w:rsidP="00EC4213">
            <w:pPr>
              <w:pStyle w:val="TableText"/>
              <w:jc w:val="center"/>
            </w:pPr>
            <w:r w:rsidRPr="00976D1C">
              <w:t>27.9</w:t>
            </w:r>
          </w:p>
        </w:tc>
        <w:tc>
          <w:tcPr>
            <w:tcW w:w="850" w:type="dxa"/>
            <w:tcBorders>
              <w:top w:val="single" w:sz="4" w:space="0" w:color="FFFFFF" w:themeColor="background1"/>
            </w:tcBorders>
            <w:shd w:val="clear" w:color="auto" w:fill="CCE0ED"/>
            <w:vAlign w:val="center"/>
          </w:tcPr>
          <w:p w14:paraId="7F1A8594" w14:textId="4CE0176B" w:rsidR="00DE18B4" w:rsidRPr="00976D1C" w:rsidRDefault="00DE18B4" w:rsidP="00EC4213">
            <w:pPr>
              <w:pStyle w:val="TableText"/>
              <w:jc w:val="center"/>
            </w:pPr>
            <w:r w:rsidRPr="00976D1C">
              <w:t>27.8</w:t>
            </w:r>
          </w:p>
        </w:tc>
        <w:tc>
          <w:tcPr>
            <w:tcW w:w="855" w:type="dxa"/>
            <w:tcBorders>
              <w:top w:val="single" w:sz="4" w:space="0" w:color="FFFFFF" w:themeColor="background1"/>
            </w:tcBorders>
            <w:shd w:val="clear" w:color="auto" w:fill="CCE0ED"/>
            <w:vAlign w:val="center"/>
          </w:tcPr>
          <w:p w14:paraId="37837EF8" w14:textId="4BEF5097" w:rsidR="00DE18B4" w:rsidRPr="00976D1C" w:rsidRDefault="00DE18B4" w:rsidP="00EC4213">
            <w:pPr>
              <w:pStyle w:val="TableText"/>
              <w:jc w:val="center"/>
            </w:pPr>
            <w:r w:rsidRPr="00976D1C">
              <w:t>28.3</w:t>
            </w:r>
          </w:p>
        </w:tc>
        <w:tc>
          <w:tcPr>
            <w:tcW w:w="846" w:type="dxa"/>
            <w:tcBorders>
              <w:top w:val="single" w:sz="4" w:space="0" w:color="FFFFFF" w:themeColor="background1"/>
            </w:tcBorders>
            <w:shd w:val="clear" w:color="auto" w:fill="CCE0ED"/>
            <w:vAlign w:val="center"/>
          </w:tcPr>
          <w:p w14:paraId="4AAAC1D7" w14:textId="36F3A033" w:rsidR="00DE18B4" w:rsidRPr="00976D1C" w:rsidRDefault="00DE18B4" w:rsidP="00EC4213">
            <w:pPr>
              <w:pStyle w:val="TableText"/>
              <w:jc w:val="center"/>
            </w:pPr>
            <w:r w:rsidRPr="00976D1C">
              <w:t>31.7</w:t>
            </w:r>
          </w:p>
        </w:tc>
        <w:tc>
          <w:tcPr>
            <w:tcW w:w="851" w:type="dxa"/>
            <w:tcBorders>
              <w:top w:val="single" w:sz="4" w:space="0" w:color="FFFFFF" w:themeColor="background1"/>
            </w:tcBorders>
            <w:shd w:val="clear" w:color="auto" w:fill="CCE0ED"/>
            <w:vAlign w:val="center"/>
          </w:tcPr>
          <w:p w14:paraId="13DB3577" w14:textId="3B559B38" w:rsidR="00DE18B4" w:rsidRPr="00976D1C" w:rsidRDefault="00DE18B4" w:rsidP="00EC4213">
            <w:pPr>
              <w:pStyle w:val="TableText"/>
              <w:jc w:val="center"/>
            </w:pPr>
            <w:r w:rsidRPr="00976D1C">
              <w:t>34.4</w:t>
            </w:r>
          </w:p>
        </w:tc>
        <w:tc>
          <w:tcPr>
            <w:tcW w:w="850" w:type="dxa"/>
            <w:tcBorders>
              <w:top w:val="single" w:sz="4" w:space="0" w:color="FFFFFF" w:themeColor="background1"/>
            </w:tcBorders>
            <w:shd w:val="clear" w:color="auto" w:fill="CCE0ED"/>
            <w:vAlign w:val="center"/>
          </w:tcPr>
          <w:p w14:paraId="5B9EE055" w14:textId="5E309340" w:rsidR="00DE18B4" w:rsidRPr="00976D1C" w:rsidRDefault="00DE18B4" w:rsidP="00EC4213">
            <w:pPr>
              <w:pStyle w:val="TableText"/>
              <w:jc w:val="center"/>
            </w:pPr>
            <w:r w:rsidRPr="00976D1C">
              <w:t>31.4</w:t>
            </w:r>
          </w:p>
        </w:tc>
      </w:tr>
      <w:tr w:rsidR="00DE18B4" w:rsidRPr="00976D1C" w14:paraId="5A5581DA" w14:textId="77777777" w:rsidTr="00B315D9">
        <w:tc>
          <w:tcPr>
            <w:tcW w:w="3369" w:type="dxa"/>
            <w:shd w:val="clear" w:color="auto" w:fill="CCEFFC"/>
          </w:tcPr>
          <w:p w14:paraId="1E8777F8" w14:textId="47879AEB" w:rsidR="00DE18B4" w:rsidRPr="00976D1C" w:rsidRDefault="00DE18B4" w:rsidP="00EC4213">
            <w:pPr>
              <w:pStyle w:val="TableText"/>
            </w:pPr>
            <w:r w:rsidRPr="00976D1C">
              <w:t>Cost prevented recommended treatment</w:t>
            </w:r>
            <w:r w:rsidRPr="00976D1C">
              <w:rPr>
                <w:vertAlign w:val="superscript"/>
              </w:rPr>
              <w:t>(a)</w:t>
            </w:r>
          </w:p>
        </w:tc>
        <w:tc>
          <w:tcPr>
            <w:tcW w:w="850" w:type="dxa"/>
            <w:shd w:val="clear" w:color="auto" w:fill="CCEFFC"/>
            <w:vAlign w:val="center"/>
          </w:tcPr>
          <w:p w14:paraId="4E123172" w14:textId="384F15F1" w:rsidR="00DE18B4" w:rsidRPr="00976D1C" w:rsidRDefault="00DE18B4" w:rsidP="00EC4213">
            <w:pPr>
              <w:pStyle w:val="TableText"/>
              <w:jc w:val="center"/>
            </w:pPr>
            <w:r w:rsidRPr="00976D1C">
              <w:t>19.0</w:t>
            </w:r>
          </w:p>
        </w:tc>
        <w:tc>
          <w:tcPr>
            <w:tcW w:w="851" w:type="dxa"/>
            <w:shd w:val="clear" w:color="auto" w:fill="CCEFFC"/>
            <w:vAlign w:val="center"/>
          </w:tcPr>
          <w:p w14:paraId="2AFFBFC7" w14:textId="4D099FF5" w:rsidR="00DE18B4" w:rsidRPr="00976D1C" w:rsidRDefault="00DE18B4" w:rsidP="00EC4213">
            <w:pPr>
              <w:pStyle w:val="TableText"/>
              <w:jc w:val="center"/>
            </w:pPr>
            <w:r w:rsidRPr="00976D1C">
              <w:t>22.0</w:t>
            </w:r>
          </w:p>
        </w:tc>
        <w:tc>
          <w:tcPr>
            <w:tcW w:w="850" w:type="dxa"/>
            <w:shd w:val="clear" w:color="auto" w:fill="CCEFFC"/>
            <w:vAlign w:val="center"/>
          </w:tcPr>
          <w:p w14:paraId="306CF535" w14:textId="054A58F1" w:rsidR="00DE18B4" w:rsidRPr="00976D1C" w:rsidRDefault="00DE18B4" w:rsidP="00EC4213">
            <w:pPr>
              <w:pStyle w:val="TableText"/>
              <w:jc w:val="center"/>
            </w:pPr>
            <w:r w:rsidRPr="00976D1C">
              <w:t>22.3</w:t>
            </w:r>
          </w:p>
        </w:tc>
        <w:tc>
          <w:tcPr>
            <w:tcW w:w="855" w:type="dxa"/>
            <w:shd w:val="clear" w:color="auto" w:fill="CCEFFC"/>
            <w:vAlign w:val="center"/>
          </w:tcPr>
          <w:p w14:paraId="5F07C9C5" w14:textId="1042CE5A" w:rsidR="00DE18B4" w:rsidRPr="00976D1C" w:rsidRDefault="00DE18B4" w:rsidP="00EC4213">
            <w:pPr>
              <w:pStyle w:val="TableText"/>
              <w:jc w:val="center"/>
            </w:pPr>
            <w:r w:rsidRPr="00976D1C">
              <w:t>14.1</w:t>
            </w:r>
          </w:p>
        </w:tc>
        <w:tc>
          <w:tcPr>
            <w:tcW w:w="846" w:type="dxa"/>
            <w:shd w:val="clear" w:color="auto" w:fill="CCEFFC"/>
            <w:vAlign w:val="center"/>
          </w:tcPr>
          <w:p w14:paraId="48D46A66" w14:textId="6DF2FA08" w:rsidR="00DE18B4" w:rsidRPr="00976D1C" w:rsidRDefault="00DE18B4" w:rsidP="00EC4213">
            <w:pPr>
              <w:pStyle w:val="TableText"/>
              <w:jc w:val="center"/>
            </w:pPr>
            <w:r w:rsidRPr="00976D1C">
              <w:t>21.6</w:t>
            </w:r>
          </w:p>
        </w:tc>
        <w:tc>
          <w:tcPr>
            <w:tcW w:w="851" w:type="dxa"/>
            <w:shd w:val="clear" w:color="auto" w:fill="CCEFFC"/>
            <w:vAlign w:val="center"/>
          </w:tcPr>
          <w:p w14:paraId="1802B11C" w14:textId="1D6EEC9C" w:rsidR="00DE18B4" w:rsidRPr="00976D1C" w:rsidRDefault="00DE18B4" w:rsidP="00EC4213">
            <w:pPr>
              <w:pStyle w:val="TableText"/>
              <w:jc w:val="center"/>
            </w:pPr>
            <w:r w:rsidRPr="00976D1C">
              <w:t>20.3</w:t>
            </w:r>
          </w:p>
        </w:tc>
        <w:tc>
          <w:tcPr>
            <w:tcW w:w="850" w:type="dxa"/>
            <w:shd w:val="clear" w:color="auto" w:fill="CCEFFC"/>
            <w:vAlign w:val="center"/>
          </w:tcPr>
          <w:p w14:paraId="3A5141C9" w14:textId="4377DF22" w:rsidR="00DE18B4" w:rsidRPr="00976D1C" w:rsidRDefault="00DE18B4" w:rsidP="00EC4213">
            <w:pPr>
              <w:pStyle w:val="TableText"/>
              <w:jc w:val="center"/>
            </w:pPr>
            <w:r w:rsidRPr="00976D1C">
              <w:t>21.8</w:t>
            </w:r>
          </w:p>
        </w:tc>
      </w:tr>
      <w:tr w:rsidR="00DE18B4" w:rsidRPr="00976D1C" w14:paraId="0618DE2B" w14:textId="77777777" w:rsidTr="00B315D9">
        <w:tc>
          <w:tcPr>
            <w:tcW w:w="3369" w:type="dxa"/>
            <w:shd w:val="clear" w:color="auto" w:fill="CCE0ED"/>
          </w:tcPr>
          <w:p w14:paraId="1D636D20" w14:textId="74EFC2D7" w:rsidR="00DE18B4" w:rsidRPr="00976D1C" w:rsidRDefault="00DE18B4" w:rsidP="00EC4213">
            <w:pPr>
              <w:pStyle w:val="TableText"/>
            </w:pPr>
            <w:r w:rsidRPr="00976D1C">
              <w:t>Dental visits in previous 12 months were a large financial burden</w:t>
            </w:r>
            <w:r w:rsidRPr="00976D1C">
              <w:rPr>
                <w:vertAlign w:val="superscript"/>
              </w:rPr>
              <w:t>(a)</w:t>
            </w:r>
          </w:p>
        </w:tc>
        <w:tc>
          <w:tcPr>
            <w:tcW w:w="850" w:type="dxa"/>
            <w:shd w:val="clear" w:color="auto" w:fill="CCE0ED"/>
            <w:vAlign w:val="center"/>
          </w:tcPr>
          <w:p w14:paraId="0A5E31CE" w14:textId="2D12A4E6" w:rsidR="00DE18B4" w:rsidRPr="00976D1C" w:rsidRDefault="00DE18B4" w:rsidP="00EC4213">
            <w:pPr>
              <w:pStyle w:val="TableText"/>
              <w:jc w:val="center"/>
            </w:pPr>
            <w:r w:rsidRPr="00976D1C">
              <w:t>10.2</w:t>
            </w:r>
          </w:p>
        </w:tc>
        <w:tc>
          <w:tcPr>
            <w:tcW w:w="851" w:type="dxa"/>
            <w:shd w:val="clear" w:color="auto" w:fill="CCE0ED"/>
            <w:vAlign w:val="center"/>
          </w:tcPr>
          <w:p w14:paraId="5AA962C2" w14:textId="3F4CC985" w:rsidR="00DE18B4" w:rsidRPr="00976D1C" w:rsidRDefault="00DE18B4" w:rsidP="00EC4213">
            <w:pPr>
              <w:pStyle w:val="TableText"/>
              <w:jc w:val="center"/>
            </w:pPr>
            <w:r w:rsidRPr="00976D1C">
              <w:t>10.7</w:t>
            </w:r>
          </w:p>
        </w:tc>
        <w:tc>
          <w:tcPr>
            <w:tcW w:w="850" w:type="dxa"/>
            <w:shd w:val="clear" w:color="auto" w:fill="CCE0ED"/>
            <w:vAlign w:val="center"/>
          </w:tcPr>
          <w:p w14:paraId="2F3E8BC9" w14:textId="7FDBD578" w:rsidR="00DE18B4" w:rsidRPr="00976D1C" w:rsidRDefault="00DE18B4" w:rsidP="00EC4213">
            <w:pPr>
              <w:pStyle w:val="TableText"/>
              <w:jc w:val="center"/>
            </w:pPr>
            <w:r w:rsidRPr="00976D1C">
              <w:t>14.3</w:t>
            </w:r>
          </w:p>
        </w:tc>
        <w:tc>
          <w:tcPr>
            <w:tcW w:w="855" w:type="dxa"/>
            <w:shd w:val="clear" w:color="auto" w:fill="CCE0ED"/>
            <w:vAlign w:val="center"/>
          </w:tcPr>
          <w:p w14:paraId="0D8579A9" w14:textId="2F995AD9" w:rsidR="00DE18B4" w:rsidRPr="00976D1C" w:rsidRDefault="00DE18B4" w:rsidP="00EC4213">
            <w:pPr>
              <w:pStyle w:val="TableText"/>
              <w:jc w:val="center"/>
            </w:pPr>
            <w:r w:rsidRPr="00976D1C">
              <w:t>10.3</w:t>
            </w:r>
          </w:p>
        </w:tc>
        <w:tc>
          <w:tcPr>
            <w:tcW w:w="846" w:type="dxa"/>
            <w:shd w:val="clear" w:color="auto" w:fill="CCE0ED"/>
            <w:vAlign w:val="center"/>
          </w:tcPr>
          <w:p w14:paraId="5499017D" w14:textId="293F1338" w:rsidR="00DE18B4" w:rsidRPr="00976D1C" w:rsidRDefault="00DE18B4" w:rsidP="00EC4213">
            <w:pPr>
              <w:pStyle w:val="TableText"/>
              <w:jc w:val="center"/>
            </w:pPr>
            <w:r w:rsidRPr="00976D1C">
              <w:t>14.1</w:t>
            </w:r>
          </w:p>
        </w:tc>
        <w:tc>
          <w:tcPr>
            <w:tcW w:w="851" w:type="dxa"/>
            <w:shd w:val="clear" w:color="auto" w:fill="CCE0ED"/>
            <w:vAlign w:val="center"/>
          </w:tcPr>
          <w:p w14:paraId="0CDB01FD" w14:textId="73D123C2" w:rsidR="00DE18B4" w:rsidRPr="00976D1C" w:rsidRDefault="00DE18B4" w:rsidP="00EC4213">
            <w:pPr>
              <w:pStyle w:val="TableText"/>
              <w:jc w:val="center"/>
            </w:pPr>
            <w:r w:rsidRPr="00976D1C">
              <w:t>13.5</w:t>
            </w:r>
          </w:p>
        </w:tc>
        <w:tc>
          <w:tcPr>
            <w:tcW w:w="850" w:type="dxa"/>
            <w:shd w:val="clear" w:color="auto" w:fill="CCE0ED"/>
            <w:vAlign w:val="center"/>
          </w:tcPr>
          <w:p w14:paraId="48E7F7C3" w14:textId="3955B034" w:rsidR="00DE18B4" w:rsidRPr="00976D1C" w:rsidRDefault="00DE18B4" w:rsidP="00EC4213">
            <w:pPr>
              <w:pStyle w:val="TableText"/>
              <w:jc w:val="center"/>
            </w:pPr>
            <w:r w:rsidRPr="00976D1C">
              <w:t>11.1</w:t>
            </w:r>
          </w:p>
        </w:tc>
      </w:tr>
    </w:tbl>
    <w:p w14:paraId="5B594821" w14:textId="5B080EE6" w:rsidR="00943882" w:rsidRPr="00976D1C" w:rsidRDefault="00943882" w:rsidP="00EC4213">
      <w:pPr>
        <w:pStyle w:val="Tablenotes"/>
      </w:pPr>
      <w:r w:rsidRPr="00976D1C">
        <w:t xml:space="preserve">(a) Dentate people who made a dental visit in the previous 12 months. </w:t>
      </w:r>
      <w:r w:rsidR="00C836DC" w:rsidRPr="00976D1C">
        <w:br/>
      </w:r>
      <w:r w:rsidRPr="00976D1C">
        <w:t>Notes:</w:t>
      </w:r>
      <w:r w:rsidR="00C836DC" w:rsidRPr="00976D1C">
        <w:br/>
      </w:r>
      <w:r w:rsidRPr="00976D1C">
        <w:t>Estimates are age-standardised to the 2010 Australian population.</w:t>
      </w:r>
      <w:r w:rsidR="00C836DC" w:rsidRPr="00976D1C">
        <w:br/>
      </w:r>
      <w:r w:rsidRPr="00976D1C">
        <w:t xml:space="preserve">Data relate to dentate people. </w:t>
      </w:r>
      <w:r w:rsidR="00C836DC" w:rsidRPr="00976D1C">
        <w:br/>
      </w:r>
      <w:r w:rsidRPr="00976D1C">
        <w:t xml:space="preserve">Source: AIHW, Harford JE &amp; Islam S 2013. Adult oral health and dental visiting in Australia: results from the National Dental Telephone Interview Survey 2010. </w:t>
      </w:r>
    </w:p>
    <w:p w14:paraId="21F75CB7" w14:textId="7418854C" w:rsidR="004B7556" w:rsidRPr="00976D1C" w:rsidRDefault="00BF55A5" w:rsidP="00EC4213">
      <w:r w:rsidRPr="00976D1C">
        <w:lastRenderedPageBreak/>
        <w:t>Non-financial barriers to accessing oral health services also exist, and can include extended waiting lists for services (both public and private)</w:t>
      </w:r>
      <w:r w:rsidR="009A46D7" w:rsidRPr="00976D1C">
        <w:t>;</w:t>
      </w:r>
      <w:r w:rsidRPr="00976D1C">
        <w:t xml:space="preserve"> accessibility barriers, in terms of being able to attend a clinic during opening hours, physically being able to get to a clinic</w:t>
      </w:r>
      <w:r w:rsidR="009A46D7" w:rsidRPr="00976D1C">
        <w:t>, and being able to visit a practitioner or clinic of choice</w:t>
      </w:r>
      <w:r w:rsidRPr="00976D1C">
        <w:t xml:space="preserve">; </w:t>
      </w:r>
      <w:r w:rsidR="009A46D7" w:rsidRPr="00976D1C">
        <w:t xml:space="preserve">communication or cultural barriers; </w:t>
      </w:r>
      <w:r w:rsidR="00D54F18" w:rsidRPr="00976D1C">
        <w:t>awareness</w:t>
      </w:r>
      <w:r w:rsidR="009A46D7" w:rsidRPr="00976D1C">
        <w:t xml:space="preserve"> of existing services; and dental fear. </w:t>
      </w:r>
    </w:p>
    <w:p w14:paraId="492DE248" w14:textId="77777777" w:rsidR="0069292E" w:rsidRPr="00976D1C" w:rsidRDefault="0069292E" w:rsidP="00EC4213">
      <w:pPr>
        <w:pStyle w:val="Heading2"/>
      </w:pPr>
      <w:bookmarkStart w:id="54" w:name="_Toc407634420"/>
      <w:r w:rsidRPr="00976D1C">
        <w:t>Link between oral health and access to services</w:t>
      </w:r>
      <w:bookmarkEnd w:id="54"/>
    </w:p>
    <w:p w14:paraId="16AC568E" w14:textId="2AA8CD9F" w:rsidR="00CF1224" w:rsidRPr="00976D1C" w:rsidRDefault="006F6623" w:rsidP="00EC4213">
      <w:pPr>
        <w:rPr>
          <w:lang w:eastAsia="en-AU"/>
        </w:rPr>
      </w:pPr>
      <w:r w:rsidRPr="00976D1C">
        <w:rPr>
          <w:lang w:eastAsia="en-AU"/>
        </w:rPr>
        <w:t>Patterns of dental visiting can have an important influence on an individual’s oral health</w:t>
      </w:r>
      <w:r w:rsidR="005E7854" w:rsidRPr="00976D1C">
        <w:rPr>
          <w:lang w:eastAsia="en-AU"/>
        </w:rPr>
        <w:t>.</w:t>
      </w:r>
      <w:r w:rsidR="005E7854" w:rsidRPr="00A90656">
        <w:rPr>
          <w:rStyle w:val="EndnoteReference"/>
        </w:rPr>
        <w:endnoteReference w:id="19"/>
      </w:r>
      <w:r w:rsidRPr="00976D1C">
        <w:rPr>
          <w:lang w:eastAsia="en-AU"/>
        </w:rPr>
        <w:t xml:space="preserve"> </w:t>
      </w:r>
      <w:r w:rsidRPr="00976D1C">
        <w:t xml:space="preserve">Regular dental visits and check-ups provide the opportunity for preventive care, early detection and treatment/management of disease, as well as monitoring and treatment of known problems. </w:t>
      </w:r>
      <w:r w:rsidRPr="00976D1C">
        <w:rPr>
          <w:lang w:eastAsia="en-AU"/>
        </w:rPr>
        <w:t>Individuals who visit regularly are more likely (than those who do not) to report that their oral health has a positive effect on their quality of life</w:t>
      </w:r>
      <w:r w:rsidR="00320F27" w:rsidRPr="00976D1C">
        <w:rPr>
          <w:lang w:eastAsia="en-AU"/>
        </w:rPr>
        <w:t>.</w:t>
      </w:r>
      <w:r w:rsidR="00320F27" w:rsidRPr="00A90656">
        <w:rPr>
          <w:rStyle w:val="EndnoteReference"/>
        </w:rPr>
        <w:endnoteReference w:id="20"/>
      </w:r>
      <w:r w:rsidR="00CF1224" w:rsidRPr="00976D1C">
        <w:rPr>
          <w:lang w:eastAsia="en-AU"/>
        </w:rPr>
        <w:t xml:space="preserve"> </w:t>
      </w:r>
    </w:p>
    <w:p w14:paraId="27CF2544" w14:textId="38F20E90" w:rsidR="00C95BE7" w:rsidRPr="00976D1C" w:rsidRDefault="005E7854" w:rsidP="00EC4213">
      <w:r w:rsidRPr="00976D1C">
        <w:rPr>
          <w:lang w:eastAsia="en-AU"/>
        </w:rPr>
        <w:t>Adults who usually made a dental visit once a year or more have fewer missing teeth on average (</w:t>
      </w:r>
      <w:r w:rsidR="008A0558" w:rsidRPr="00976D1C">
        <w:rPr>
          <w:lang w:eastAsia="en-AU"/>
        </w:rPr>
        <w:t>five</w:t>
      </w:r>
      <w:r w:rsidRPr="00976D1C">
        <w:rPr>
          <w:lang w:eastAsia="en-AU"/>
        </w:rPr>
        <w:t>) than those who usually visited once every two years (</w:t>
      </w:r>
      <w:r w:rsidR="008A0558" w:rsidRPr="00976D1C">
        <w:rPr>
          <w:lang w:eastAsia="en-AU"/>
        </w:rPr>
        <w:t>six</w:t>
      </w:r>
      <w:r w:rsidRPr="00976D1C">
        <w:rPr>
          <w:lang w:eastAsia="en-AU"/>
        </w:rPr>
        <w:t>) or less than once every two years (</w:t>
      </w:r>
      <w:r w:rsidR="008A0558" w:rsidRPr="00976D1C">
        <w:rPr>
          <w:lang w:eastAsia="en-AU"/>
        </w:rPr>
        <w:t>seven</w:t>
      </w:r>
      <w:r w:rsidRPr="00976D1C">
        <w:rPr>
          <w:lang w:eastAsia="en-AU"/>
        </w:rPr>
        <w:t>).</w:t>
      </w:r>
      <w:r w:rsidRPr="00A90656">
        <w:rPr>
          <w:rStyle w:val="EndnoteReference"/>
        </w:rPr>
        <w:endnoteReference w:id="21"/>
      </w:r>
      <w:r w:rsidRPr="00976D1C">
        <w:rPr>
          <w:lang w:eastAsia="en-AU"/>
        </w:rPr>
        <w:t xml:space="preserve"> </w:t>
      </w:r>
      <w:r w:rsidR="00C95BE7" w:rsidRPr="00976D1C">
        <w:t xml:space="preserve">There is </w:t>
      </w:r>
      <w:r w:rsidRPr="00976D1C">
        <w:t xml:space="preserve">also </w:t>
      </w:r>
      <w:r w:rsidR="00C95BE7" w:rsidRPr="00976D1C">
        <w:t xml:space="preserve">evidence to support </w:t>
      </w:r>
      <w:r w:rsidR="008A0558" w:rsidRPr="00976D1C">
        <w:t xml:space="preserve">that </w:t>
      </w:r>
      <w:r w:rsidR="00C95BE7" w:rsidRPr="00976D1C">
        <w:t xml:space="preserve">adults are increasingly making dental visits for </w:t>
      </w:r>
      <w:r w:rsidR="009F72A9" w:rsidRPr="00976D1C">
        <w:t>check-up</w:t>
      </w:r>
      <w:r w:rsidR="00C95BE7" w:rsidRPr="00976D1C">
        <w:t xml:space="preserve"> purposes. </w:t>
      </w:r>
      <w:r w:rsidR="00320F27" w:rsidRPr="00976D1C">
        <w:t xml:space="preserve">Data from the 2010 ARCPOH NDTIS </w:t>
      </w:r>
      <w:r w:rsidR="00C95BE7" w:rsidRPr="00976D1C">
        <w:t>shows t</w:t>
      </w:r>
      <w:r w:rsidR="006F6623" w:rsidRPr="00976D1C">
        <w:t xml:space="preserve">hat </w:t>
      </w:r>
      <w:r w:rsidR="00C95BE7" w:rsidRPr="00976D1C">
        <w:t>the</w:t>
      </w:r>
      <w:r w:rsidR="006F6623" w:rsidRPr="00976D1C">
        <w:rPr>
          <w:lang w:eastAsia="en-AU"/>
        </w:rPr>
        <w:t xml:space="preserve"> </w:t>
      </w:r>
      <w:r w:rsidR="006F6623" w:rsidRPr="00976D1C">
        <w:t>proportion of adults making a dental visit in the previous 12 months increased</w:t>
      </w:r>
      <w:r w:rsidR="00C95BE7" w:rsidRPr="00976D1C">
        <w:t xml:space="preserve"> </w:t>
      </w:r>
      <w:r w:rsidR="006F6623" w:rsidRPr="00976D1C">
        <w:t>from 55.4 per cent in 1994 to 60.5 per</w:t>
      </w:r>
      <w:r w:rsidR="00B75072" w:rsidRPr="00976D1C">
        <w:t xml:space="preserve"> </w:t>
      </w:r>
      <w:r w:rsidR="006F6623" w:rsidRPr="00976D1C">
        <w:t>cent in 2010. Additiona</w:t>
      </w:r>
      <w:r w:rsidR="00C95BE7" w:rsidRPr="00976D1C">
        <w:t>l</w:t>
      </w:r>
      <w:r w:rsidR="006F6623" w:rsidRPr="00976D1C">
        <w:t>ly, of</w:t>
      </w:r>
      <w:r w:rsidR="006F6623" w:rsidRPr="00976D1C">
        <w:rPr>
          <w:lang w:eastAsia="en-AU"/>
        </w:rPr>
        <w:t xml:space="preserve"> </w:t>
      </w:r>
      <w:r w:rsidR="006F6623" w:rsidRPr="00976D1C">
        <w:t xml:space="preserve">those adults who made a dental visit, the proportion who last visited for a </w:t>
      </w:r>
      <w:r w:rsidR="009F72A9" w:rsidRPr="00976D1C">
        <w:t>check-up</w:t>
      </w:r>
      <w:r w:rsidR="006F6623" w:rsidRPr="00976D1C">
        <w:t xml:space="preserve"> increased from 46.3 per</w:t>
      </w:r>
      <w:r w:rsidR="00B75072" w:rsidRPr="00976D1C">
        <w:t xml:space="preserve"> </w:t>
      </w:r>
      <w:r w:rsidR="006F6623" w:rsidRPr="00976D1C">
        <w:t>cent in 1994 to 59.8 per</w:t>
      </w:r>
      <w:r w:rsidR="00B75072" w:rsidRPr="00976D1C">
        <w:t xml:space="preserve"> </w:t>
      </w:r>
      <w:r w:rsidR="006F6623" w:rsidRPr="00976D1C">
        <w:t>cent in 2010.</w:t>
      </w:r>
      <w:r w:rsidR="00C95BE7" w:rsidRPr="00976D1C">
        <w:t xml:space="preserve"> </w:t>
      </w:r>
      <w:r w:rsidR="00CF1224" w:rsidRPr="00976D1C">
        <w:t>Given the link between oral health and dental visiting, this can be expected to positively affect oral health outcomes.</w:t>
      </w:r>
    </w:p>
    <w:p w14:paraId="29ACA2D0" w14:textId="74A794AA" w:rsidR="004B7556" w:rsidRPr="00976D1C" w:rsidRDefault="004B7556" w:rsidP="00EC4213">
      <w:pPr>
        <w:pStyle w:val="Heading2"/>
      </w:pPr>
      <w:bookmarkStart w:id="55" w:name="_Toc407634421"/>
      <w:r w:rsidRPr="00976D1C">
        <w:t xml:space="preserve">Populations </w:t>
      </w:r>
      <w:r w:rsidR="00780DE7" w:rsidRPr="00976D1C">
        <w:t>for specific action</w:t>
      </w:r>
      <w:bookmarkEnd w:id="55"/>
    </w:p>
    <w:p w14:paraId="45C5385E" w14:textId="05843570" w:rsidR="000938BD" w:rsidRPr="00976D1C" w:rsidRDefault="00C65546" w:rsidP="00EC4213">
      <w:pPr>
        <w:rPr>
          <w:szCs w:val="20"/>
        </w:rPr>
      </w:pPr>
      <w:r w:rsidRPr="00976D1C">
        <w:t>T</w:t>
      </w:r>
      <w:r w:rsidR="000938BD" w:rsidRPr="00976D1C">
        <w:t xml:space="preserve">he </w:t>
      </w:r>
      <w:r w:rsidR="000938BD" w:rsidRPr="00976D1C">
        <w:rPr>
          <w:i/>
          <w:szCs w:val="20"/>
        </w:rPr>
        <w:t>National Oral Health Plan 2004 – 2013</w:t>
      </w:r>
      <w:r w:rsidR="000938BD" w:rsidRPr="00976D1C">
        <w:t xml:space="preserve"> </w:t>
      </w:r>
      <w:r w:rsidR="00780DE7" w:rsidRPr="00976D1C">
        <w:t>identified</w:t>
      </w:r>
      <w:r w:rsidR="000938BD" w:rsidRPr="00976D1C">
        <w:t xml:space="preserve"> the following </w:t>
      </w:r>
      <w:r w:rsidR="003F7FA3" w:rsidRPr="00976D1C">
        <w:t xml:space="preserve">populations </w:t>
      </w:r>
      <w:r w:rsidR="00DC797E" w:rsidRPr="00976D1C">
        <w:t xml:space="preserve">for </w:t>
      </w:r>
      <w:r w:rsidR="003F7FA3" w:rsidRPr="00976D1C">
        <w:t>specific action</w:t>
      </w:r>
      <w:r w:rsidR="00617D09" w:rsidRPr="00976D1C">
        <w:t xml:space="preserve"> for improving oral health outcomes</w:t>
      </w:r>
      <w:r w:rsidR="003F7FA3" w:rsidRPr="00976D1C">
        <w:t>:</w:t>
      </w:r>
    </w:p>
    <w:p w14:paraId="21472E28" w14:textId="77777777" w:rsidR="000938BD" w:rsidRPr="00976D1C" w:rsidRDefault="000938BD" w:rsidP="00EC4213">
      <w:pPr>
        <w:pStyle w:val="ListParagraph"/>
        <w:numPr>
          <w:ilvl w:val="0"/>
          <w:numId w:val="36"/>
        </w:numPr>
      </w:pPr>
      <w:r w:rsidRPr="00976D1C">
        <w:t>Children and adolescents</w:t>
      </w:r>
    </w:p>
    <w:p w14:paraId="42C2665C" w14:textId="77777777" w:rsidR="000938BD" w:rsidRPr="00976D1C" w:rsidRDefault="000938BD" w:rsidP="00EC4213">
      <w:pPr>
        <w:pStyle w:val="ListParagraph"/>
        <w:numPr>
          <w:ilvl w:val="0"/>
          <w:numId w:val="36"/>
        </w:numPr>
      </w:pPr>
      <w:r w:rsidRPr="00976D1C">
        <w:t>Older people</w:t>
      </w:r>
    </w:p>
    <w:p w14:paraId="36DDA93F" w14:textId="77777777" w:rsidR="000938BD" w:rsidRPr="00976D1C" w:rsidRDefault="000938BD" w:rsidP="00EC4213">
      <w:pPr>
        <w:pStyle w:val="ListParagraph"/>
        <w:numPr>
          <w:ilvl w:val="0"/>
          <w:numId w:val="36"/>
        </w:numPr>
      </w:pPr>
      <w:r w:rsidRPr="00976D1C">
        <w:t>Low income and social disadvantage</w:t>
      </w:r>
    </w:p>
    <w:p w14:paraId="70B296D9" w14:textId="77777777" w:rsidR="000938BD" w:rsidRPr="00976D1C" w:rsidRDefault="000938BD" w:rsidP="00EC4213">
      <w:pPr>
        <w:pStyle w:val="ListParagraph"/>
        <w:numPr>
          <w:ilvl w:val="0"/>
          <w:numId w:val="36"/>
        </w:numPr>
      </w:pPr>
      <w:r w:rsidRPr="00976D1C">
        <w:t>People with special needs</w:t>
      </w:r>
    </w:p>
    <w:p w14:paraId="0E51EF2F" w14:textId="77777777" w:rsidR="000938BD" w:rsidRPr="00976D1C" w:rsidRDefault="000938BD" w:rsidP="00EC4213">
      <w:pPr>
        <w:pStyle w:val="ListParagraph"/>
        <w:numPr>
          <w:ilvl w:val="0"/>
          <w:numId w:val="36"/>
        </w:numPr>
      </w:pPr>
      <w:r w:rsidRPr="00976D1C">
        <w:t>Aboriginal and Torres Strait Islander peoples</w:t>
      </w:r>
    </w:p>
    <w:p w14:paraId="7851845C" w14:textId="77777777" w:rsidR="000938BD" w:rsidRPr="00976D1C" w:rsidRDefault="000938BD" w:rsidP="00EC4213">
      <w:pPr>
        <w:pStyle w:val="ListParagraph"/>
        <w:numPr>
          <w:ilvl w:val="0"/>
          <w:numId w:val="36"/>
        </w:numPr>
      </w:pPr>
      <w:r w:rsidRPr="00976D1C">
        <w:t>People living in rural and remote areas.</w:t>
      </w:r>
    </w:p>
    <w:p w14:paraId="442E4342" w14:textId="2ADF882D" w:rsidR="001A228A" w:rsidRPr="00976D1C" w:rsidRDefault="001A228A" w:rsidP="00EC4213">
      <w:pPr>
        <w:pStyle w:val="Heading3"/>
        <w:rPr>
          <w:lang w:val="en-AU"/>
        </w:rPr>
      </w:pPr>
      <w:r w:rsidRPr="00976D1C">
        <w:rPr>
          <w:lang w:val="en-AU"/>
        </w:rPr>
        <w:t>Children and adolescents</w:t>
      </w:r>
    </w:p>
    <w:p w14:paraId="153768D4" w14:textId="7447BD11" w:rsidR="00E00253" w:rsidRPr="00976D1C" w:rsidRDefault="003F7FA3" w:rsidP="00EC4213">
      <w:pPr>
        <w:rPr>
          <w:lang w:eastAsia="en-AU"/>
        </w:rPr>
      </w:pPr>
      <w:r w:rsidRPr="00976D1C">
        <w:rPr>
          <w:lang w:eastAsia="en-AU"/>
        </w:rPr>
        <w:t>Regular dental visit</w:t>
      </w:r>
      <w:r w:rsidR="00780DE7" w:rsidRPr="00976D1C">
        <w:rPr>
          <w:lang w:eastAsia="en-AU"/>
        </w:rPr>
        <w:t>s</w:t>
      </w:r>
      <w:r w:rsidRPr="00976D1C">
        <w:rPr>
          <w:lang w:eastAsia="en-AU"/>
        </w:rPr>
        <w:t xml:space="preserve"> in childhood </w:t>
      </w:r>
      <w:r w:rsidR="00780DE7" w:rsidRPr="00976D1C">
        <w:rPr>
          <w:lang w:eastAsia="en-AU"/>
        </w:rPr>
        <w:t>are</w:t>
      </w:r>
      <w:r w:rsidRPr="00976D1C">
        <w:rPr>
          <w:lang w:eastAsia="en-AU"/>
        </w:rPr>
        <w:t xml:space="preserve"> shown to be</w:t>
      </w:r>
      <w:r w:rsidR="006F6623" w:rsidRPr="00976D1C">
        <w:rPr>
          <w:lang w:eastAsia="en-AU"/>
        </w:rPr>
        <w:t xml:space="preserve"> associated with better oral</w:t>
      </w:r>
      <w:r w:rsidR="006F6623" w:rsidRPr="00976D1C">
        <w:rPr>
          <w:b/>
          <w:lang w:eastAsia="en-AU"/>
        </w:rPr>
        <w:t xml:space="preserve"> </w:t>
      </w:r>
      <w:r w:rsidR="006F6623" w:rsidRPr="00976D1C">
        <w:t>health in adulthood.</w:t>
      </w:r>
      <w:r w:rsidR="005E7854" w:rsidRPr="00A90656">
        <w:rPr>
          <w:rStyle w:val="EndnoteReference"/>
        </w:rPr>
        <w:endnoteReference w:id="22"/>
      </w:r>
      <w:r w:rsidR="006F6623" w:rsidRPr="00976D1C">
        <w:t xml:space="preserve"> </w:t>
      </w:r>
      <w:r w:rsidR="0069292E" w:rsidRPr="00976D1C">
        <w:t xml:space="preserve">The </w:t>
      </w:r>
      <w:r w:rsidR="00020019" w:rsidRPr="00976D1C">
        <w:rPr>
          <w:i/>
        </w:rPr>
        <w:t>National Oral Health Plan 2004 – 2013</w:t>
      </w:r>
      <w:r w:rsidR="00020019" w:rsidRPr="00976D1C">
        <w:rPr>
          <w:lang w:eastAsia="x-none"/>
        </w:rPr>
        <w:t xml:space="preserve"> </w:t>
      </w:r>
      <w:r w:rsidR="0069292E" w:rsidRPr="00976D1C">
        <w:t>highlights that good oral health for children underpins good oral health throughout life</w:t>
      </w:r>
      <w:r w:rsidR="003F139B" w:rsidRPr="00976D1C">
        <w:t xml:space="preserve"> – hence the focus on this group as a specific action area. </w:t>
      </w:r>
      <w:r w:rsidR="00E00253" w:rsidRPr="00976D1C">
        <w:t>Australian children overall enjoy high levels of oral health and access to dental care</w:t>
      </w:r>
      <w:r w:rsidR="005E7854" w:rsidRPr="00A90656">
        <w:rPr>
          <w:rStyle w:val="EndnoteReference"/>
        </w:rPr>
        <w:endnoteReference w:id="23"/>
      </w:r>
      <w:r w:rsidR="00E00253" w:rsidRPr="00976D1C">
        <w:t xml:space="preserve">, </w:t>
      </w:r>
      <w:r w:rsidR="005E7854" w:rsidRPr="00976D1C">
        <w:t xml:space="preserve">however </w:t>
      </w:r>
      <w:r w:rsidR="00E00253" w:rsidRPr="00976D1C">
        <w:t xml:space="preserve">there is room for improvement: </w:t>
      </w:r>
    </w:p>
    <w:p w14:paraId="405B9EB5" w14:textId="3F0613B7" w:rsidR="00020019" w:rsidRPr="00976D1C" w:rsidRDefault="00E00253" w:rsidP="00EC4213">
      <w:pPr>
        <w:pStyle w:val="ListParagraph"/>
        <w:numPr>
          <w:ilvl w:val="0"/>
          <w:numId w:val="37"/>
        </w:numPr>
        <w:rPr>
          <w:rFonts w:cs="Myriad Pro Cond"/>
        </w:rPr>
      </w:pPr>
      <w:r w:rsidRPr="00976D1C">
        <w:lastRenderedPageBreak/>
        <w:t xml:space="preserve">Untreated decay can be used as an indicator of a need or dental treatment, and in 2005 more than 40 </w:t>
      </w:r>
      <w:r w:rsidR="00020019" w:rsidRPr="00976D1C">
        <w:t>per ce</w:t>
      </w:r>
      <w:r w:rsidR="00B75072" w:rsidRPr="00976D1C">
        <w:t>nt of Australian children aged five</w:t>
      </w:r>
      <w:r w:rsidR="00020019" w:rsidRPr="00976D1C">
        <w:t xml:space="preserve"> to </w:t>
      </w:r>
      <w:r w:rsidR="00B75072" w:rsidRPr="00976D1C">
        <w:t>six</w:t>
      </w:r>
      <w:r w:rsidR="00020019" w:rsidRPr="00976D1C">
        <w:t xml:space="preserve"> </w:t>
      </w:r>
      <w:r w:rsidRPr="00976D1C">
        <w:t>years had untreated decay, and nearly one-quarter (24.8</w:t>
      </w:r>
      <w:r w:rsidR="00020019" w:rsidRPr="00976D1C">
        <w:t xml:space="preserve"> per cent</w:t>
      </w:r>
      <w:r w:rsidRPr="00976D1C">
        <w:t>) of children aged 12 years had untreated decay</w:t>
      </w:r>
      <w:r w:rsidR="00020019" w:rsidRPr="00976D1C">
        <w:t>.</w:t>
      </w:r>
      <w:r w:rsidR="00020019" w:rsidRPr="00A90656">
        <w:rPr>
          <w:rStyle w:val="EndnoteReference"/>
        </w:rPr>
        <w:endnoteReference w:id="24"/>
      </w:r>
      <w:r w:rsidRPr="00976D1C">
        <w:t xml:space="preserve"> </w:t>
      </w:r>
    </w:p>
    <w:p w14:paraId="16CAEE1C" w14:textId="118B985D" w:rsidR="00B32EA9" w:rsidRPr="00976D1C" w:rsidRDefault="00F47D01" w:rsidP="00EC4213">
      <w:pPr>
        <w:pStyle w:val="ListParagraph"/>
        <w:numPr>
          <w:ilvl w:val="0"/>
          <w:numId w:val="37"/>
        </w:numPr>
        <w:rPr>
          <w:rFonts w:cs="Myriad Pro Cond"/>
        </w:rPr>
      </w:pPr>
      <w:r w:rsidRPr="00976D1C">
        <w:rPr>
          <w:rFonts w:cs="Myriad Pro Cond"/>
        </w:rPr>
        <w:t>In 2005 c</w:t>
      </w:r>
      <w:r w:rsidR="00B32EA9" w:rsidRPr="00976D1C">
        <w:rPr>
          <w:rFonts w:cs="Myriad Pro Cond"/>
        </w:rPr>
        <w:t xml:space="preserve">hildren aged </w:t>
      </w:r>
      <w:r w:rsidR="00B75072" w:rsidRPr="00976D1C">
        <w:rPr>
          <w:rFonts w:cs="Myriad Pro Cond"/>
        </w:rPr>
        <w:t>five</w:t>
      </w:r>
      <w:r w:rsidR="00020019" w:rsidRPr="00976D1C">
        <w:rPr>
          <w:rFonts w:cs="Myriad Pro Cond"/>
        </w:rPr>
        <w:t xml:space="preserve"> to </w:t>
      </w:r>
      <w:r w:rsidR="00B75072" w:rsidRPr="00976D1C">
        <w:rPr>
          <w:rFonts w:cs="Myriad Pro Cond"/>
        </w:rPr>
        <w:t>six</w:t>
      </w:r>
      <w:r w:rsidR="00E00253" w:rsidRPr="00976D1C">
        <w:rPr>
          <w:rFonts w:cs="Myriad Pro Cond"/>
        </w:rPr>
        <w:t xml:space="preserve"> years </w:t>
      </w:r>
      <w:r w:rsidR="00B32EA9" w:rsidRPr="00976D1C">
        <w:rPr>
          <w:rFonts w:cs="Myriad Pro Cond"/>
        </w:rPr>
        <w:t>living in lower socioeconomic status</w:t>
      </w:r>
      <w:r w:rsidR="00020019" w:rsidRPr="00976D1C">
        <w:rPr>
          <w:rFonts w:cs="Myriad Pro Cond"/>
        </w:rPr>
        <w:t xml:space="preserve"> (SES)</w:t>
      </w:r>
      <w:r w:rsidR="00B32EA9" w:rsidRPr="00976D1C">
        <w:rPr>
          <w:rFonts w:cs="Myriad Pro Cond"/>
        </w:rPr>
        <w:t xml:space="preserve"> areas had more untreated decay than those from higher SES areas,</w:t>
      </w:r>
      <w:r w:rsidR="00E00253" w:rsidRPr="00976D1C">
        <w:rPr>
          <w:rFonts w:cs="Myriad Pro Cond"/>
        </w:rPr>
        <w:t xml:space="preserve"> </w:t>
      </w:r>
      <w:r w:rsidR="00B32EA9" w:rsidRPr="00976D1C">
        <w:rPr>
          <w:rFonts w:cs="Myriad Pro Cond"/>
        </w:rPr>
        <w:t xml:space="preserve">and a mean number of </w:t>
      </w:r>
      <w:r w:rsidR="00B32EA9" w:rsidRPr="00976D1C">
        <w:t>decayed, missing and filled deciduous teeth about 70</w:t>
      </w:r>
      <w:r w:rsidR="00020019" w:rsidRPr="00976D1C">
        <w:t xml:space="preserve"> per cent</w:t>
      </w:r>
      <w:r w:rsidR="00B32EA9" w:rsidRPr="00976D1C">
        <w:t xml:space="preserve"> higher than those from the highest socioeconomic status areas</w:t>
      </w:r>
      <w:r w:rsidR="00020019" w:rsidRPr="00976D1C">
        <w:t>.</w:t>
      </w:r>
      <w:r w:rsidR="00020019" w:rsidRPr="00A90656">
        <w:rPr>
          <w:rStyle w:val="EndnoteReference"/>
        </w:rPr>
        <w:endnoteReference w:id="25"/>
      </w:r>
    </w:p>
    <w:p w14:paraId="16F260CA" w14:textId="795C331B" w:rsidR="00B32EA9" w:rsidRPr="00976D1C" w:rsidRDefault="00F47D01" w:rsidP="00EC4213">
      <w:pPr>
        <w:pStyle w:val="ListParagraph"/>
        <w:numPr>
          <w:ilvl w:val="0"/>
          <w:numId w:val="37"/>
        </w:numPr>
        <w:rPr>
          <w:rFonts w:cs="Myriad Pro Cond"/>
        </w:rPr>
      </w:pPr>
      <w:r w:rsidRPr="00976D1C">
        <w:rPr>
          <w:rFonts w:cs="Myriad Pro Cond"/>
        </w:rPr>
        <w:t>In 2005 c</w:t>
      </w:r>
      <w:r w:rsidR="00B32EA9" w:rsidRPr="00976D1C">
        <w:rPr>
          <w:rFonts w:cs="Myriad Pro Cond"/>
        </w:rPr>
        <w:t xml:space="preserve">hildren aged </w:t>
      </w:r>
      <w:r w:rsidR="00E00253" w:rsidRPr="00976D1C">
        <w:rPr>
          <w:rFonts w:cs="Myriad Pro Cond"/>
        </w:rPr>
        <w:t xml:space="preserve">12 years living </w:t>
      </w:r>
      <w:r w:rsidR="00020019" w:rsidRPr="00976D1C">
        <w:rPr>
          <w:rFonts w:cs="Myriad Pro Cond"/>
        </w:rPr>
        <w:t>in</w:t>
      </w:r>
      <w:r w:rsidR="00E00253" w:rsidRPr="00976D1C">
        <w:rPr>
          <w:rFonts w:cs="Myriad Pro Cond"/>
        </w:rPr>
        <w:t xml:space="preserve"> lower </w:t>
      </w:r>
      <w:r w:rsidR="00020019" w:rsidRPr="00976D1C">
        <w:rPr>
          <w:rFonts w:cs="Myriad Pro Cond"/>
        </w:rPr>
        <w:t xml:space="preserve">SES </w:t>
      </w:r>
      <w:r w:rsidR="00E00253" w:rsidRPr="00976D1C">
        <w:rPr>
          <w:rFonts w:cs="Myriad Pro Cond"/>
        </w:rPr>
        <w:t>areas</w:t>
      </w:r>
      <w:r w:rsidR="00B32EA9" w:rsidRPr="00976D1C">
        <w:rPr>
          <w:rFonts w:cs="Myriad Pro Cond"/>
        </w:rPr>
        <w:t xml:space="preserve"> also </w:t>
      </w:r>
      <w:r w:rsidR="00E00253" w:rsidRPr="00976D1C">
        <w:rPr>
          <w:rFonts w:cs="Myriad Pro Cond"/>
        </w:rPr>
        <w:t>had more untreated decay than those from higher SES areas</w:t>
      </w:r>
      <w:r w:rsidR="00B32EA9" w:rsidRPr="00976D1C">
        <w:rPr>
          <w:rFonts w:cs="Myriad Pro Cond"/>
        </w:rPr>
        <w:t xml:space="preserve">, and a mean number of </w:t>
      </w:r>
      <w:r w:rsidR="00B32EA9" w:rsidRPr="00976D1C">
        <w:t>decayed, missing and filled permanent teeth about 70</w:t>
      </w:r>
      <w:r w:rsidR="00020019" w:rsidRPr="00976D1C">
        <w:t xml:space="preserve"> per cent </w:t>
      </w:r>
      <w:r w:rsidR="00B32EA9" w:rsidRPr="00976D1C">
        <w:t>higher than those from the highest socioeconomic status areas</w:t>
      </w:r>
      <w:r w:rsidR="00020019" w:rsidRPr="00976D1C">
        <w:t>.</w:t>
      </w:r>
      <w:r w:rsidR="00020019" w:rsidRPr="00A90656">
        <w:rPr>
          <w:rStyle w:val="EndnoteReference"/>
        </w:rPr>
        <w:endnoteReference w:id="26"/>
      </w:r>
    </w:p>
    <w:p w14:paraId="73F8E3EB" w14:textId="63114A39" w:rsidR="00E00253" w:rsidRPr="00976D1C" w:rsidRDefault="00B32EA9" w:rsidP="00EC4213">
      <w:pPr>
        <w:pStyle w:val="ListParagraph"/>
        <w:numPr>
          <w:ilvl w:val="0"/>
          <w:numId w:val="37"/>
        </w:numPr>
        <w:rPr>
          <w:lang w:eastAsia="en-AU"/>
        </w:rPr>
      </w:pPr>
      <w:r w:rsidRPr="00976D1C">
        <w:rPr>
          <w:rFonts w:cs="Myriad Pro Cond"/>
        </w:rPr>
        <w:t xml:space="preserve">In 2010, the </w:t>
      </w:r>
      <w:r w:rsidR="00020019" w:rsidRPr="00976D1C">
        <w:rPr>
          <w:rFonts w:cs="Myriad Pro Cond"/>
        </w:rPr>
        <w:t>prevalence</w:t>
      </w:r>
      <w:r w:rsidRPr="00976D1C">
        <w:rPr>
          <w:rFonts w:cs="Myriad Pro Cond"/>
        </w:rPr>
        <w:t xml:space="preserve"> of dental visiting increased with age, with just over one-quarter of pre-s</w:t>
      </w:r>
      <w:r w:rsidR="00B75072" w:rsidRPr="00976D1C">
        <w:rPr>
          <w:rFonts w:cs="Myriad Pro Cond"/>
        </w:rPr>
        <w:t>chool age children (those aged two</w:t>
      </w:r>
      <w:r w:rsidRPr="00976D1C">
        <w:rPr>
          <w:rFonts w:cs="Myriad Pro Cond"/>
        </w:rPr>
        <w:t xml:space="preserve"> to </w:t>
      </w:r>
      <w:r w:rsidR="00B75072" w:rsidRPr="00976D1C">
        <w:rPr>
          <w:rFonts w:cs="Myriad Pro Cond"/>
        </w:rPr>
        <w:t>four</w:t>
      </w:r>
      <w:r w:rsidRPr="00976D1C">
        <w:rPr>
          <w:rFonts w:cs="Myriad Pro Cond"/>
        </w:rPr>
        <w:t xml:space="preserve"> years) having made a visit in the previous 12 months, compared with over three-quarters of school aged children (</w:t>
      </w:r>
      <w:r w:rsidRPr="00976D1C">
        <w:rPr>
          <w:lang w:eastAsia="en-AU"/>
        </w:rPr>
        <w:t>75.7</w:t>
      </w:r>
      <w:r w:rsidR="00020019" w:rsidRPr="00976D1C">
        <w:rPr>
          <w:lang w:eastAsia="en-AU"/>
        </w:rPr>
        <w:t xml:space="preserve"> per cent </w:t>
      </w:r>
      <w:r w:rsidR="00B75072" w:rsidRPr="00976D1C">
        <w:rPr>
          <w:lang w:eastAsia="en-AU"/>
        </w:rPr>
        <w:t>of children aged five</w:t>
      </w:r>
      <w:r w:rsidR="00020019" w:rsidRPr="00976D1C">
        <w:rPr>
          <w:lang w:eastAsia="en-AU"/>
        </w:rPr>
        <w:t xml:space="preserve"> to </w:t>
      </w:r>
      <w:r w:rsidRPr="00976D1C">
        <w:rPr>
          <w:lang w:eastAsia="en-AU"/>
        </w:rPr>
        <w:t>11 and 81.8</w:t>
      </w:r>
      <w:r w:rsidR="00020019" w:rsidRPr="00976D1C">
        <w:rPr>
          <w:lang w:eastAsia="en-AU"/>
        </w:rPr>
        <w:t xml:space="preserve"> per cent</w:t>
      </w:r>
      <w:r w:rsidRPr="00976D1C">
        <w:rPr>
          <w:lang w:eastAsia="en-AU"/>
        </w:rPr>
        <w:t xml:space="preserve"> of children aged 12</w:t>
      </w:r>
      <w:r w:rsidR="00020019" w:rsidRPr="00976D1C">
        <w:rPr>
          <w:lang w:eastAsia="en-AU"/>
        </w:rPr>
        <w:t xml:space="preserve"> to 17)</w:t>
      </w:r>
      <w:r w:rsidR="004F5DA6" w:rsidRPr="00976D1C">
        <w:rPr>
          <w:lang w:eastAsia="en-AU"/>
        </w:rPr>
        <w:t>.</w:t>
      </w:r>
      <w:r w:rsidR="004F5DA6" w:rsidRPr="00A90656">
        <w:rPr>
          <w:rStyle w:val="EndnoteReference"/>
        </w:rPr>
        <w:endnoteReference w:id="27"/>
      </w:r>
      <w:r w:rsidRPr="00976D1C">
        <w:rPr>
          <w:lang w:eastAsia="en-AU"/>
        </w:rPr>
        <w:t xml:space="preserve"> </w:t>
      </w:r>
    </w:p>
    <w:p w14:paraId="2E422435" w14:textId="0953D821" w:rsidR="001A228A" w:rsidRPr="00976D1C" w:rsidRDefault="001A228A" w:rsidP="00EC4213">
      <w:pPr>
        <w:pStyle w:val="Heading3"/>
        <w:rPr>
          <w:lang w:val="en-AU"/>
        </w:rPr>
      </w:pPr>
      <w:r w:rsidRPr="00976D1C">
        <w:rPr>
          <w:lang w:val="en-AU"/>
        </w:rPr>
        <w:t>Older people</w:t>
      </w:r>
    </w:p>
    <w:p w14:paraId="709719CA" w14:textId="6C230FD7" w:rsidR="001A228A" w:rsidRPr="00976D1C" w:rsidRDefault="003F0B62" w:rsidP="00EC4213">
      <w:r w:rsidRPr="00976D1C">
        <w:t xml:space="preserve">Australia’s population is ageing, and the trend to the retention of natural teeth brings a greater need for dental maintenance. For quality of life, older people need good oral health to be able to </w:t>
      </w:r>
      <w:r w:rsidRPr="00976D1C">
        <w:rPr>
          <w:rFonts w:cs="Times"/>
          <w:szCs w:val="20"/>
          <w:lang w:eastAsia="en-AU"/>
        </w:rPr>
        <w:t>eat, speak and socialise, yet they</w:t>
      </w:r>
      <w:r w:rsidRPr="00976D1C">
        <w:t xml:space="preserve"> are also shown to have poorer oral health outcomes compared with other age groups. For example, information </w:t>
      </w:r>
      <w:r w:rsidR="00AD57DD" w:rsidRPr="00976D1C">
        <w:t>shows</w:t>
      </w:r>
      <w:r w:rsidR="00271581" w:rsidRPr="00976D1C">
        <w:t>:</w:t>
      </w:r>
    </w:p>
    <w:p w14:paraId="3F789D10" w14:textId="5238D68A" w:rsidR="00271581" w:rsidRPr="00976D1C" w:rsidRDefault="00271581" w:rsidP="00EC4213">
      <w:pPr>
        <w:pStyle w:val="ListParagraph"/>
        <w:numPr>
          <w:ilvl w:val="0"/>
          <w:numId w:val="38"/>
        </w:numPr>
      </w:pPr>
      <w:r w:rsidRPr="00976D1C">
        <w:t xml:space="preserve">While those aged 65 and over were most likely to have </w:t>
      </w:r>
      <w:r w:rsidR="004F5DA6" w:rsidRPr="00976D1C">
        <w:t xml:space="preserve">made a </w:t>
      </w:r>
      <w:r w:rsidRPr="00976D1C">
        <w:t>dental visit in the previous 12 months (66.9 per</w:t>
      </w:r>
      <w:r w:rsidR="004F5DA6" w:rsidRPr="00976D1C">
        <w:t xml:space="preserve"> </w:t>
      </w:r>
      <w:r w:rsidRPr="00976D1C">
        <w:t>cent),</w:t>
      </w:r>
      <w:r w:rsidR="004F5DA6" w:rsidRPr="00976D1C">
        <w:t xml:space="preserve"> they were the</w:t>
      </w:r>
      <w:r w:rsidRPr="00976D1C">
        <w:t xml:space="preserve"> second most likely to have visited for a problem (44.0</w:t>
      </w:r>
      <w:r w:rsidR="004F5DA6" w:rsidRPr="00976D1C">
        <w:t xml:space="preserve"> per cent) and second least likely to have visited for a </w:t>
      </w:r>
      <w:r w:rsidR="009F72A9" w:rsidRPr="00976D1C">
        <w:t>check-up</w:t>
      </w:r>
      <w:r w:rsidR="004F5DA6" w:rsidRPr="00976D1C">
        <w:t xml:space="preserve"> (56.0 per cent).</w:t>
      </w:r>
      <w:r w:rsidR="00AD57DD" w:rsidRPr="00A90656">
        <w:rPr>
          <w:rStyle w:val="EndnoteReference"/>
        </w:rPr>
        <w:endnoteReference w:id="28"/>
      </w:r>
      <w:r w:rsidR="003D6CA9" w:rsidRPr="00976D1C">
        <w:t xml:space="preserve"> </w:t>
      </w:r>
    </w:p>
    <w:p w14:paraId="096FDC70" w14:textId="26880C60" w:rsidR="00271581" w:rsidRPr="00976D1C" w:rsidRDefault="007E6485" w:rsidP="00EC4213">
      <w:pPr>
        <w:pStyle w:val="ListParagraph"/>
        <w:numPr>
          <w:ilvl w:val="0"/>
          <w:numId w:val="38"/>
        </w:numPr>
      </w:pPr>
      <w:r w:rsidRPr="00976D1C">
        <w:t>Those aged 65 and over had the highest average number of missing teeth (11.91)</w:t>
      </w:r>
      <w:r w:rsidR="00FD62DB" w:rsidRPr="00976D1C">
        <w:t xml:space="preserve"> and the highest rate of inadequate dentition (fewer than 21 teeth).</w:t>
      </w:r>
      <w:r w:rsidR="00AD1276" w:rsidRPr="00A90656">
        <w:rPr>
          <w:rStyle w:val="EndnoteReference"/>
        </w:rPr>
        <w:endnoteReference w:id="29"/>
      </w:r>
    </w:p>
    <w:p w14:paraId="6FC5563D" w14:textId="4B686802" w:rsidR="001A228A" w:rsidRPr="00976D1C" w:rsidRDefault="00FD62DB" w:rsidP="00EC4213">
      <w:pPr>
        <w:pStyle w:val="ListParagraph"/>
        <w:numPr>
          <w:ilvl w:val="0"/>
          <w:numId w:val="38"/>
        </w:numPr>
      </w:pPr>
      <w:r w:rsidRPr="00976D1C">
        <w:t>Those aged 65 and over were m</w:t>
      </w:r>
      <w:r w:rsidR="007E6485" w:rsidRPr="00976D1C">
        <w:t xml:space="preserve">ost likely to have </w:t>
      </w:r>
      <w:r w:rsidRPr="00976D1C">
        <w:t>had a tooth extraction than any other age group, with the most common reason for tooth extraction being decay and periodontal disease.</w:t>
      </w:r>
      <w:r w:rsidR="00AD1276" w:rsidRPr="00A90656">
        <w:rPr>
          <w:rStyle w:val="EndnoteReference"/>
        </w:rPr>
        <w:endnoteReference w:id="30"/>
      </w:r>
      <w:r w:rsidRPr="00976D1C">
        <w:t xml:space="preserve"> </w:t>
      </w:r>
    </w:p>
    <w:p w14:paraId="008A45BE" w14:textId="0D370C61" w:rsidR="001A228A" w:rsidRPr="00976D1C" w:rsidRDefault="001A228A" w:rsidP="00EC4213">
      <w:pPr>
        <w:pStyle w:val="Heading3"/>
        <w:rPr>
          <w:lang w:val="en-AU"/>
        </w:rPr>
      </w:pPr>
      <w:r w:rsidRPr="00976D1C">
        <w:rPr>
          <w:lang w:val="en-AU"/>
        </w:rPr>
        <w:t>Low income and social</w:t>
      </w:r>
      <w:r w:rsidR="00D54F18" w:rsidRPr="00976D1C">
        <w:rPr>
          <w:lang w:val="en-AU"/>
        </w:rPr>
        <w:t>ly</w:t>
      </w:r>
      <w:r w:rsidRPr="00976D1C">
        <w:rPr>
          <w:lang w:val="en-AU"/>
        </w:rPr>
        <w:t xml:space="preserve"> disadvantage</w:t>
      </w:r>
      <w:r w:rsidR="00D54F18" w:rsidRPr="00976D1C">
        <w:rPr>
          <w:lang w:val="en-AU"/>
        </w:rPr>
        <w:t>d people</w:t>
      </w:r>
    </w:p>
    <w:p w14:paraId="3CEB49D1" w14:textId="29C37AA4" w:rsidR="0002072B" w:rsidRPr="00976D1C" w:rsidRDefault="00893D48" w:rsidP="00EC4213">
      <w:r w:rsidRPr="00976D1C">
        <w:t xml:space="preserve">Oral health services are primarily provided in the private sector, and it is the only place non-concession card holding adults, and those ineligible for other Commonwealth </w:t>
      </w:r>
      <w:r w:rsidR="00DA310F" w:rsidRPr="00976D1C">
        <w:t>programme</w:t>
      </w:r>
      <w:r w:rsidRPr="00976D1C">
        <w:t>s, can access dental care. Private services have to be funded by individuals and families, and even for people with private health insurance, consumers can face relatively high out-of-pocket costs for dental services.</w:t>
      </w:r>
      <w:r w:rsidRPr="00976D1C">
        <w:rPr>
          <w:vertAlign w:val="superscript"/>
        </w:rPr>
        <w:endnoteReference w:id="31"/>
      </w:r>
      <w:r w:rsidRPr="00976D1C">
        <w:t xml:space="preserve"> Oral health outcomes for people with low income and at social </w:t>
      </w:r>
      <w:r w:rsidRPr="00976D1C">
        <w:lastRenderedPageBreak/>
        <w:t xml:space="preserve">disadvantage, which can include some people from non-English speaking backgrounds, homeless people, </w:t>
      </w:r>
      <w:r w:rsidR="006D4BF8" w:rsidRPr="00976D1C">
        <w:t xml:space="preserve">people in institutions or correctional facilities, </w:t>
      </w:r>
      <w:r w:rsidRPr="00976D1C">
        <w:t>can therefore be compromised</w:t>
      </w:r>
      <w:r w:rsidR="006D4BF8" w:rsidRPr="00976D1C">
        <w:t xml:space="preserve">. This is </w:t>
      </w:r>
      <w:r w:rsidRPr="00976D1C">
        <w:t xml:space="preserve">supported by information which showed: </w:t>
      </w:r>
    </w:p>
    <w:p w14:paraId="297BBC61" w14:textId="4E8F4EAE" w:rsidR="0002072B" w:rsidRPr="00976D1C" w:rsidRDefault="006D4BF8" w:rsidP="00EC4213">
      <w:pPr>
        <w:pStyle w:val="ListParagraph"/>
        <w:numPr>
          <w:ilvl w:val="0"/>
          <w:numId w:val="39"/>
        </w:numPr>
      </w:pPr>
      <w:r w:rsidRPr="00976D1C">
        <w:t>The p</w:t>
      </w:r>
      <w:r w:rsidR="00271581" w:rsidRPr="00976D1C">
        <w:t>roportion</w:t>
      </w:r>
      <w:r w:rsidRPr="00976D1C">
        <w:t xml:space="preserve"> of adults </w:t>
      </w:r>
      <w:r w:rsidR="00271581" w:rsidRPr="00976D1C">
        <w:t xml:space="preserve">who </w:t>
      </w:r>
      <w:r w:rsidR="00D54F18" w:rsidRPr="00976D1C">
        <w:t>made</w:t>
      </w:r>
      <w:r w:rsidR="00271581" w:rsidRPr="00976D1C">
        <w:t xml:space="preserve"> a dental visit in </w:t>
      </w:r>
      <w:r w:rsidR="00F85AF2" w:rsidRPr="00976D1C">
        <w:t xml:space="preserve">the </w:t>
      </w:r>
      <w:r w:rsidR="00271581" w:rsidRPr="00976D1C">
        <w:t>previous 12 months reduced as annual household income reduced, and was lower for cardholders than non-cardholders</w:t>
      </w:r>
      <w:r w:rsidRPr="00976D1C">
        <w:t>.</w:t>
      </w:r>
      <w:r w:rsidR="00AD1276" w:rsidRPr="00A90656">
        <w:rPr>
          <w:rStyle w:val="EndnoteReference"/>
        </w:rPr>
        <w:endnoteReference w:id="32"/>
      </w:r>
      <w:r w:rsidR="00271581" w:rsidRPr="00976D1C">
        <w:t xml:space="preserve"> </w:t>
      </w:r>
    </w:p>
    <w:p w14:paraId="1BA39BBD" w14:textId="1C7AE374" w:rsidR="00271581" w:rsidRPr="00976D1C" w:rsidRDefault="006D4BF8" w:rsidP="00EC4213">
      <w:pPr>
        <w:pStyle w:val="ListParagraph"/>
        <w:numPr>
          <w:ilvl w:val="0"/>
          <w:numId w:val="39"/>
        </w:numPr>
      </w:pPr>
      <w:r w:rsidRPr="00976D1C">
        <w:t xml:space="preserve">Of those who </w:t>
      </w:r>
      <w:r w:rsidR="00D54F18" w:rsidRPr="00976D1C">
        <w:t>made</w:t>
      </w:r>
      <w:r w:rsidRPr="00976D1C">
        <w:t xml:space="preserve"> a dental visit, lower income households were more likely to have visited for a problem, rather than a check-up</w:t>
      </w:r>
      <w:r w:rsidR="005E7854" w:rsidRPr="00976D1C">
        <w:t>.</w:t>
      </w:r>
      <w:r w:rsidR="00AD1276" w:rsidRPr="00A90656">
        <w:rPr>
          <w:rStyle w:val="EndnoteReference"/>
        </w:rPr>
        <w:endnoteReference w:id="33"/>
      </w:r>
    </w:p>
    <w:p w14:paraId="2DCCF73D" w14:textId="09146AC5" w:rsidR="007E6485" w:rsidRPr="00976D1C" w:rsidRDefault="006D4BF8" w:rsidP="00EC4213">
      <w:pPr>
        <w:pStyle w:val="ListParagraph"/>
        <w:numPr>
          <w:ilvl w:val="0"/>
          <w:numId w:val="39"/>
        </w:numPr>
      </w:pPr>
      <w:r w:rsidRPr="00976D1C">
        <w:t>The a</w:t>
      </w:r>
      <w:r w:rsidR="007E6485" w:rsidRPr="00976D1C">
        <w:t>verage number of missing teeth was highest for adults from the lowest income hous</w:t>
      </w:r>
      <w:r w:rsidRPr="00976D1C">
        <w:t>e</w:t>
      </w:r>
      <w:r w:rsidR="007E6485" w:rsidRPr="00976D1C">
        <w:t xml:space="preserve">holds, and </w:t>
      </w:r>
      <w:r w:rsidRPr="00976D1C">
        <w:t xml:space="preserve">on average </w:t>
      </w:r>
      <w:r w:rsidR="007E6485" w:rsidRPr="00976D1C">
        <w:t xml:space="preserve">cardholders </w:t>
      </w:r>
      <w:r w:rsidRPr="00976D1C">
        <w:t xml:space="preserve">had </w:t>
      </w:r>
      <w:r w:rsidR="007E6485" w:rsidRPr="00976D1C">
        <w:t>more missing teeth than non-cardholders.</w:t>
      </w:r>
      <w:r w:rsidR="00AD1276" w:rsidRPr="00A90656">
        <w:rPr>
          <w:rStyle w:val="EndnoteReference"/>
        </w:rPr>
        <w:endnoteReference w:id="34"/>
      </w:r>
      <w:r w:rsidR="007E6485" w:rsidRPr="00976D1C">
        <w:t xml:space="preserve"> </w:t>
      </w:r>
    </w:p>
    <w:p w14:paraId="2B35AD50" w14:textId="5CFC36C0" w:rsidR="007E6485" w:rsidRPr="00976D1C" w:rsidRDefault="006D4BF8" w:rsidP="00EC4213">
      <w:pPr>
        <w:pStyle w:val="ListParagraph"/>
        <w:numPr>
          <w:ilvl w:val="0"/>
          <w:numId w:val="39"/>
        </w:numPr>
      </w:pPr>
      <w:r w:rsidRPr="00976D1C">
        <w:t xml:space="preserve">Those in lower household income groups and cardholders were more </w:t>
      </w:r>
      <w:r w:rsidR="007E6485" w:rsidRPr="00976D1C">
        <w:t>likely to report they would have difficulty paying a $150 dental bill, that they had avoided or delayed visiting a dentist due to cost</w:t>
      </w:r>
      <w:r w:rsidR="00842929" w:rsidRPr="00976D1C">
        <w:t>,</w:t>
      </w:r>
      <w:r w:rsidR="007E6485" w:rsidRPr="00976D1C">
        <w:t xml:space="preserve"> that cost had prevented recommended trea</w:t>
      </w:r>
      <w:r w:rsidRPr="00976D1C">
        <w:t>tment</w:t>
      </w:r>
      <w:r w:rsidR="007E6485" w:rsidRPr="00976D1C">
        <w:t xml:space="preserve"> and that dental care had been a large financial burden.</w:t>
      </w:r>
      <w:r w:rsidR="00AD1276" w:rsidRPr="00A90656">
        <w:rPr>
          <w:rStyle w:val="EndnoteReference"/>
        </w:rPr>
        <w:endnoteReference w:id="35"/>
      </w:r>
      <w:r w:rsidR="007E6485" w:rsidRPr="00976D1C">
        <w:t xml:space="preserve"> </w:t>
      </w:r>
    </w:p>
    <w:p w14:paraId="1204C516" w14:textId="14F83F75" w:rsidR="001A228A" w:rsidRPr="00976D1C" w:rsidRDefault="001A228A" w:rsidP="00EC4213">
      <w:pPr>
        <w:pStyle w:val="Heading3"/>
        <w:rPr>
          <w:lang w:val="en-AU"/>
        </w:rPr>
      </w:pPr>
      <w:r w:rsidRPr="00976D1C">
        <w:rPr>
          <w:lang w:val="en-AU"/>
        </w:rPr>
        <w:t>People with special needs</w:t>
      </w:r>
    </w:p>
    <w:p w14:paraId="52BB306A" w14:textId="61E2CFCC" w:rsidR="00216CD8" w:rsidRPr="00976D1C" w:rsidRDefault="00C419BC" w:rsidP="00EC4213">
      <w:r w:rsidRPr="00976D1C">
        <w:t xml:space="preserve">In the </w:t>
      </w:r>
      <w:r w:rsidRPr="00976D1C">
        <w:rPr>
          <w:i/>
        </w:rPr>
        <w:t xml:space="preserve">National Oral Health Plan 2004 – 2013, </w:t>
      </w:r>
      <w:r w:rsidRPr="00976D1C">
        <w:t>special needs refers to people with intellectual or physical disability, or medical or psychiatric conditions, that increase their risk of oral health problems or in</w:t>
      </w:r>
      <w:r w:rsidR="00B75072" w:rsidRPr="00976D1C">
        <w:t>crease the complexity of health</w:t>
      </w:r>
      <w:r w:rsidRPr="00976D1C">
        <w:t>care.</w:t>
      </w:r>
      <w:r w:rsidRPr="00976D1C">
        <w:rPr>
          <w:i/>
        </w:rPr>
        <w:t xml:space="preserve"> </w:t>
      </w:r>
      <w:r w:rsidR="005F38C6" w:rsidRPr="00976D1C">
        <w:t xml:space="preserve">Good oral health for this population is important in supporting their </w:t>
      </w:r>
      <w:r w:rsidRPr="00976D1C">
        <w:t>overall health, independence and quality of life</w:t>
      </w:r>
      <w:r w:rsidR="005E7854" w:rsidRPr="00976D1C">
        <w:t>.</w:t>
      </w:r>
      <w:r w:rsidR="005E7854" w:rsidRPr="00A90656">
        <w:rPr>
          <w:rStyle w:val="EndnoteReference"/>
        </w:rPr>
        <w:endnoteReference w:id="36"/>
      </w:r>
      <w:r w:rsidRPr="00976D1C">
        <w:t xml:space="preserve"> </w:t>
      </w:r>
      <w:r w:rsidR="005F38C6" w:rsidRPr="00976D1C">
        <w:t>Limited information exists on oral health outcomes for this population as a whole</w:t>
      </w:r>
      <w:r w:rsidR="00216CD8" w:rsidRPr="00976D1C">
        <w:t xml:space="preserve">. </w:t>
      </w:r>
    </w:p>
    <w:p w14:paraId="6372C06B" w14:textId="51EEB758" w:rsidR="00313354" w:rsidRPr="00976D1C" w:rsidRDefault="00216CD8" w:rsidP="00EC4213">
      <w:pPr>
        <w:rPr>
          <w:lang w:eastAsia="en-AU"/>
        </w:rPr>
      </w:pPr>
      <w:r w:rsidRPr="00976D1C">
        <w:t xml:space="preserve">Some information is available </w:t>
      </w:r>
      <w:r w:rsidR="005F38C6" w:rsidRPr="00976D1C">
        <w:t>from the 2010 ARCPOH NDTIS on people with a chronic condition (</w:t>
      </w:r>
      <w:r w:rsidR="005F38C6" w:rsidRPr="00976D1C">
        <w:rPr>
          <w:lang w:eastAsia="en-AU"/>
        </w:rPr>
        <w:t>including asthma, cancer, heart disease, diabetes, arthritis, stroke, kidney disease, high blood pressure and depression).</w:t>
      </w:r>
      <w:r w:rsidRPr="00976D1C">
        <w:rPr>
          <w:lang w:eastAsia="en-AU"/>
        </w:rPr>
        <w:t xml:space="preserve"> This showed</w:t>
      </w:r>
      <w:r w:rsidR="005F38C6" w:rsidRPr="00976D1C">
        <w:rPr>
          <w:lang w:eastAsia="en-AU"/>
        </w:rPr>
        <w:t xml:space="preserve"> people with a chronic condition </w:t>
      </w:r>
      <w:r w:rsidR="00313354" w:rsidRPr="00976D1C">
        <w:rPr>
          <w:lang w:eastAsia="en-AU"/>
        </w:rPr>
        <w:t>were more likely to experience toothache, be uncomfortable</w:t>
      </w:r>
      <w:r w:rsidRPr="00976D1C">
        <w:rPr>
          <w:lang w:eastAsia="en-AU"/>
        </w:rPr>
        <w:t xml:space="preserve"> </w:t>
      </w:r>
      <w:r w:rsidR="00313354" w:rsidRPr="00976D1C">
        <w:rPr>
          <w:lang w:eastAsia="en-AU"/>
        </w:rPr>
        <w:t>with their oral appearance, to avoid certain foods due to oral problems and to experience</w:t>
      </w:r>
      <w:r w:rsidRPr="00976D1C">
        <w:rPr>
          <w:lang w:eastAsia="en-AU"/>
        </w:rPr>
        <w:t xml:space="preserve"> </w:t>
      </w:r>
      <w:r w:rsidR="00313354" w:rsidRPr="00976D1C">
        <w:rPr>
          <w:lang w:eastAsia="en-AU"/>
        </w:rPr>
        <w:t>orofacial pain. They were also more likely to have inadequate dentition (fewer than 21 teeth</w:t>
      </w:r>
      <w:r w:rsidRPr="00976D1C">
        <w:rPr>
          <w:lang w:eastAsia="en-AU"/>
        </w:rPr>
        <w:t>)</w:t>
      </w:r>
      <w:r w:rsidR="00313354" w:rsidRPr="00976D1C">
        <w:rPr>
          <w:lang w:eastAsia="en-AU"/>
        </w:rPr>
        <w:t>,</w:t>
      </w:r>
      <w:r w:rsidRPr="00976D1C">
        <w:rPr>
          <w:lang w:eastAsia="en-AU"/>
        </w:rPr>
        <w:t xml:space="preserve"> </w:t>
      </w:r>
      <w:r w:rsidR="00313354" w:rsidRPr="00976D1C">
        <w:rPr>
          <w:lang w:eastAsia="en-AU"/>
        </w:rPr>
        <w:t xml:space="preserve">which </w:t>
      </w:r>
      <w:r w:rsidRPr="00976D1C">
        <w:rPr>
          <w:lang w:eastAsia="en-AU"/>
        </w:rPr>
        <w:t>makes it difficult to chew food,</w:t>
      </w:r>
      <w:r w:rsidR="00313354" w:rsidRPr="00976D1C">
        <w:rPr>
          <w:lang w:eastAsia="en-AU"/>
        </w:rPr>
        <w:t xml:space="preserve"> than people with no chronic condition.</w:t>
      </w:r>
      <w:r w:rsidR="005F38C6" w:rsidRPr="00A90656">
        <w:rPr>
          <w:rStyle w:val="EndnoteReference"/>
        </w:rPr>
        <w:endnoteReference w:id="37"/>
      </w:r>
    </w:p>
    <w:p w14:paraId="1DA819D9" w14:textId="1EA78AAA" w:rsidR="00216CD8" w:rsidRPr="00976D1C" w:rsidRDefault="00216CD8" w:rsidP="00EC4213">
      <w:pPr>
        <w:rPr>
          <w:lang w:eastAsia="en-AU"/>
        </w:rPr>
      </w:pPr>
      <w:r w:rsidRPr="00976D1C">
        <w:rPr>
          <w:lang w:eastAsia="en-AU"/>
        </w:rPr>
        <w:t>The A</w:t>
      </w:r>
      <w:r w:rsidR="005E7854" w:rsidRPr="00976D1C">
        <w:rPr>
          <w:lang w:eastAsia="en-AU"/>
        </w:rPr>
        <w:t xml:space="preserve">ustralian Dental Association </w:t>
      </w:r>
      <w:r w:rsidRPr="00976D1C">
        <w:rPr>
          <w:lang w:eastAsia="en-AU"/>
        </w:rPr>
        <w:t>have also noted that special needs patients receive predominantly emergency care, rather than general dental care, access to care may be further limited as treatments required can be beyond the capacity of a private surgery setting, so treatment can ofte</w:t>
      </w:r>
      <w:r w:rsidR="00AC1D4B" w:rsidRPr="00976D1C">
        <w:rPr>
          <w:lang w:eastAsia="en-AU"/>
        </w:rPr>
        <w:t>n</w:t>
      </w:r>
      <w:r w:rsidRPr="00976D1C">
        <w:rPr>
          <w:lang w:eastAsia="en-AU"/>
        </w:rPr>
        <w:t xml:space="preserve"> be through hospital admission or under general anaesthesia.</w:t>
      </w:r>
      <w:r w:rsidRPr="00A90656">
        <w:rPr>
          <w:rStyle w:val="EndnoteReference"/>
        </w:rPr>
        <w:endnoteReference w:id="38"/>
      </w:r>
      <w:r w:rsidRPr="00976D1C">
        <w:rPr>
          <w:lang w:eastAsia="en-AU"/>
        </w:rPr>
        <w:t xml:space="preserve"> </w:t>
      </w:r>
    </w:p>
    <w:p w14:paraId="32F4DBC0" w14:textId="55F140A2" w:rsidR="001A228A" w:rsidRPr="00976D1C" w:rsidRDefault="001A228A" w:rsidP="00EC4213">
      <w:pPr>
        <w:pStyle w:val="Heading3"/>
        <w:rPr>
          <w:lang w:val="en-AU"/>
        </w:rPr>
      </w:pPr>
      <w:r w:rsidRPr="00976D1C">
        <w:rPr>
          <w:lang w:val="en-AU"/>
        </w:rPr>
        <w:lastRenderedPageBreak/>
        <w:t>Aboriginal and Torres Strait Islander</w:t>
      </w:r>
      <w:r w:rsidR="00444C79" w:rsidRPr="00976D1C">
        <w:rPr>
          <w:lang w:val="en-AU"/>
        </w:rPr>
        <w:t xml:space="preserve"> people</w:t>
      </w:r>
    </w:p>
    <w:p w14:paraId="769F33E8" w14:textId="0F45440D" w:rsidR="001A228A" w:rsidRPr="00976D1C" w:rsidRDefault="00AC1D4B" w:rsidP="00EC4213">
      <w:r w:rsidRPr="00976D1C">
        <w:t xml:space="preserve">The </w:t>
      </w:r>
      <w:r w:rsidRPr="00976D1C">
        <w:rPr>
          <w:i/>
        </w:rPr>
        <w:t xml:space="preserve">National Oral Health Plan 2004 – 2013 </w:t>
      </w:r>
      <w:r w:rsidRPr="00976D1C">
        <w:t xml:space="preserve">highlighted that with changes in lifestyle and dependence on new introduced foods, oral diseases are now </w:t>
      </w:r>
      <w:r w:rsidR="0019419F" w:rsidRPr="00976D1C">
        <w:t xml:space="preserve">common </w:t>
      </w:r>
      <w:r w:rsidRPr="00976D1C">
        <w:t>in most Aboriginal and Torres Strait Islander communities</w:t>
      </w:r>
      <w:r w:rsidR="0019419F" w:rsidRPr="00976D1C">
        <w:t xml:space="preserve">. </w:t>
      </w:r>
    </w:p>
    <w:p w14:paraId="61F15C86" w14:textId="2B2AFD2A" w:rsidR="00AC1D4B" w:rsidRPr="00976D1C" w:rsidRDefault="00870E40" w:rsidP="00EC4213">
      <w:r w:rsidRPr="00976D1C">
        <w:t>As for</w:t>
      </w:r>
      <w:r w:rsidR="00AC1D4B" w:rsidRPr="00976D1C">
        <w:t xml:space="preserve"> people with special needs, there is limited information on the oral health of Aboriginal and Torres Strait Islander people. The A</w:t>
      </w:r>
      <w:r w:rsidR="00F85AF2" w:rsidRPr="00976D1C">
        <w:t>ustralian Institute of Health and Welfare</w:t>
      </w:r>
      <w:r w:rsidR="00AC1D4B" w:rsidRPr="00976D1C">
        <w:t xml:space="preserve"> report </w:t>
      </w:r>
      <w:r w:rsidR="00AC1D4B" w:rsidRPr="00976D1C">
        <w:rPr>
          <w:i/>
        </w:rPr>
        <w:t>Australia’s Health 2012</w:t>
      </w:r>
      <w:r w:rsidR="00AC1D4B" w:rsidRPr="00976D1C">
        <w:t xml:space="preserve"> noted ‘although there have been a number of local studies of the oral health of Aboriginal and Torres Strait Islander </w:t>
      </w:r>
      <w:r w:rsidR="00A10ADF" w:rsidRPr="00976D1C">
        <w:t>p</w:t>
      </w:r>
      <w:r w:rsidR="00AC1D4B" w:rsidRPr="00976D1C">
        <w:t>eople, there are a number of gaps in nationally representative data on their oral health. Methods used to collect data on adult oral health tend to under-represent Indigenous Australians, especially those living in remote locations. However, all comparisons point to poorer oral h</w:t>
      </w:r>
      <w:r w:rsidR="00A10ADF" w:rsidRPr="00976D1C">
        <w:t>e</w:t>
      </w:r>
      <w:r w:rsidR="00AC1D4B" w:rsidRPr="00976D1C">
        <w:t>alth amon</w:t>
      </w:r>
      <w:r w:rsidR="00A10ADF" w:rsidRPr="00976D1C">
        <w:t>g</w:t>
      </w:r>
      <w:r w:rsidR="00AC1D4B" w:rsidRPr="00976D1C">
        <w:t xml:space="preserve"> Indigen</w:t>
      </w:r>
      <w:r w:rsidR="00A10ADF" w:rsidRPr="00976D1C">
        <w:t>ous</w:t>
      </w:r>
      <w:r w:rsidR="00AC1D4B" w:rsidRPr="00976D1C">
        <w:t xml:space="preserve"> Australians than other Aust</w:t>
      </w:r>
      <w:r w:rsidR="00B75072" w:rsidRPr="00976D1C">
        <w:t>ralians. (Williams et al. 2011)</w:t>
      </w:r>
    </w:p>
    <w:p w14:paraId="0F4A3E11" w14:textId="2E3BD95C" w:rsidR="001A228A" w:rsidRPr="00976D1C" w:rsidRDefault="001A228A" w:rsidP="00EC4213">
      <w:pPr>
        <w:pStyle w:val="Heading3"/>
        <w:rPr>
          <w:lang w:val="en-AU"/>
        </w:rPr>
      </w:pPr>
      <w:r w:rsidRPr="00976D1C">
        <w:rPr>
          <w:lang w:val="en-AU"/>
        </w:rPr>
        <w:t>People living in rural and remote areas</w:t>
      </w:r>
    </w:p>
    <w:p w14:paraId="47657627" w14:textId="2BECF3D2" w:rsidR="00231954" w:rsidRPr="00976D1C" w:rsidRDefault="00231954" w:rsidP="00EC4213">
      <w:r w:rsidRPr="00976D1C">
        <w:t xml:space="preserve">People living in rural and remote areas are likely to experience poor access to dental services. With a positive link between dental visits and oral health, this poor access can result in poorer oral health outcomes. Less access </w:t>
      </w:r>
      <w:r w:rsidR="00281EA4" w:rsidRPr="00976D1C">
        <w:t xml:space="preserve">to services </w:t>
      </w:r>
      <w:r w:rsidRPr="00976D1C">
        <w:t>and poorer oral health for people livin</w:t>
      </w:r>
      <w:r w:rsidR="005E7854" w:rsidRPr="00976D1C">
        <w:t>g in rural and remote areas is evidenced</w:t>
      </w:r>
      <w:r w:rsidRPr="00976D1C">
        <w:t xml:space="preserve"> through a range of information. </w:t>
      </w:r>
    </w:p>
    <w:p w14:paraId="0CB4A0AB" w14:textId="05BB56E2" w:rsidR="00F7641A" w:rsidRPr="00976D1C" w:rsidRDefault="00271581" w:rsidP="00EC4213">
      <w:pPr>
        <w:pStyle w:val="ListParagraph"/>
        <w:numPr>
          <w:ilvl w:val="0"/>
          <w:numId w:val="40"/>
        </w:numPr>
      </w:pPr>
      <w:r w:rsidRPr="00976D1C">
        <w:t>Remote/very remote residents were the least likely to have made a dental visit in the previous 12 months (45.8 per</w:t>
      </w:r>
      <w:r w:rsidR="00B75072" w:rsidRPr="00976D1C">
        <w:t xml:space="preserve"> </w:t>
      </w:r>
      <w:r w:rsidRPr="00976D1C">
        <w:t xml:space="preserve">cent) compared with 63.1 per cent in major cities, 55.7 per cent in inner regional </w:t>
      </w:r>
      <w:r w:rsidR="00231954" w:rsidRPr="00976D1C">
        <w:t xml:space="preserve">areas </w:t>
      </w:r>
      <w:r w:rsidRPr="00976D1C">
        <w:t>and 54.1 per</w:t>
      </w:r>
      <w:r w:rsidR="00425EB0" w:rsidRPr="00976D1C">
        <w:t xml:space="preserve"> </w:t>
      </w:r>
      <w:r w:rsidRPr="00976D1C">
        <w:t>cent in outer regional areas</w:t>
      </w:r>
      <w:r w:rsidR="00231954" w:rsidRPr="00976D1C">
        <w:t>.</w:t>
      </w:r>
      <w:r w:rsidR="00AD1276" w:rsidRPr="00A90656">
        <w:rPr>
          <w:rStyle w:val="EndnoteReference"/>
        </w:rPr>
        <w:endnoteReference w:id="39"/>
      </w:r>
    </w:p>
    <w:p w14:paraId="2A565AB9" w14:textId="2B25A167" w:rsidR="00231954" w:rsidRPr="00976D1C" w:rsidRDefault="00271581" w:rsidP="00EC4213">
      <w:pPr>
        <w:pStyle w:val="ListParagraph"/>
        <w:numPr>
          <w:ilvl w:val="0"/>
          <w:numId w:val="40"/>
        </w:numPr>
      </w:pPr>
      <w:r w:rsidRPr="00976D1C">
        <w:t xml:space="preserve">Of those who had a dental visit, </w:t>
      </w:r>
      <w:r w:rsidR="00F7641A" w:rsidRPr="00976D1C">
        <w:t>as remoteness increased</w:t>
      </w:r>
      <w:r w:rsidR="00231954" w:rsidRPr="00976D1C">
        <w:t xml:space="preserve"> they were </w:t>
      </w:r>
      <w:r w:rsidR="00F7641A" w:rsidRPr="00976D1C">
        <w:t>less likely to have visited for a check</w:t>
      </w:r>
      <w:r w:rsidR="00231954" w:rsidRPr="00976D1C">
        <w:t>-</w:t>
      </w:r>
      <w:r w:rsidR="00F7641A" w:rsidRPr="00976D1C">
        <w:t>up, and more likely</w:t>
      </w:r>
      <w:r w:rsidR="00231954" w:rsidRPr="00976D1C">
        <w:t xml:space="preserve"> to have visited for a problem.</w:t>
      </w:r>
      <w:r w:rsidR="00AD1276" w:rsidRPr="00A90656">
        <w:rPr>
          <w:rStyle w:val="EndnoteReference"/>
        </w:rPr>
        <w:endnoteReference w:id="40"/>
      </w:r>
    </w:p>
    <w:p w14:paraId="027A1887" w14:textId="7DA87812" w:rsidR="00F7641A" w:rsidRPr="00976D1C" w:rsidRDefault="007E6485" w:rsidP="00EC4213">
      <w:pPr>
        <w:pStyle w:val="ListParagraph"/>
        <w:numPr>
          <w:ilvl w:val="0"/>
          <w:numId w:val="40"/>
        </w:numPr>
      </w:pPr>
      <w:r w:rsidRPr="00976D1C">
        <w:t>Remote/very remote residents had the highest number of missing teeth on average</w:t>
      </w:r>
      <w:r w:rsidR="00DC0DE8" w:rsidRPr="00976D1C">
        <w:t>.</w:t>
      </w:r>
      <w:r w:rsidR="00AD1276" w:rsidRPr="00A90656">
        <w:rPr>
          <w:rStyle w:val="EndnoteReference"/>
        </w:rPr>
        <w:endnoteReference w:id="41"/>
      </w:r>
    </w:p>
    <w:p w14:paraId="64DFE944" w14:textId="4D229937" w:rsidR="001A228A" w:rsidRPr="00976D1C" w:rsidRDefault="00DC0DE8" w:rsidP="00EC4213">
      <w:r w:rsidRPr="00976D1C">
        <w:t xml:space="preserve">ARCPOH’s 2008 report </w:t>
      </w:r>
      <w:r w:rsidRPr="00976D1C">
        <w:rPr>
          <w:i/>
        </w:rPr>
        <w:t>Improving Oral Health and Dental Care for Australians</w:t>
      </w:r>
      <w:r w:rsidRPr="00976D1C">
        <w:t xml:space="preserve"> highlighted the </w:t>
      </w:r>
      <w:r w:rsidR="00231954" w:rsidRPr="00976D1C">
        <w:t>rates of untreated caries in rural residents is 31.7 per</w:t>
      </w:r>
      <w:r w:rsidRPr="00976D1C">
        <w:t xml:space="preserve"> </w:t>
      </w:r>
      <w:r w:rsidR="00231954" w:rsidRPr="00976D1C">
        <w:t>cent compared with 24.8 per</w:t>
      </w:r>
      <w:r w:rsidRPr="00976D1C">
        <w:t xml:space="preserve"> </w:t>
      </w:r>
      <w:r w:rsidR="00231954" w:rsidRPr="00976D1C">
        <w:t>cent in urban residents</w:t>
      </w:r>
      <w:r w:rsidRPr="00976D1C">
        <w:t>, and the rate of moderate to sever</w:t>
      </w:r>
      <w:r w:rsidR="005E7854" w:rsidRPr="00976D1C">
        <w:t>e</w:t>
      </w:r>
      <w:r w:rsidRPr="00976D1C">
        <w:t xml:space="preserve"> periodontal disease is 32.8 per cent in rural residents compared with 26.1 per cent in urban residents.</w:t>
      </w:r>
      <w:r w:rsidRPr="00A90656">
        <w:rPr>
          <w:rStyle w:val="EndnoteReference"/>
        </w:rPr>
        <w:endnoteReference w:id="42"/>
      </w:r>
      <w:r w:rsidRPr="00976D1C">
        <w:t xml:space="preserve"> </w:t>
      </w:r>
    </w:p>
    <w:p w14:paraId="7C379606" w14:textId="662F219F" w:rsidR="00787B5C" w:rsidRPr="00976D1C" w:rsidRDefault="00787B5C" w:rsidP="00EC4213">
      <w:r w:rsidRPr="00976D1C">
        <w:t>Additionally</w:t>
      </w:r>
      <w:r w:rsidR="004530A4" w:rsidRPr="00976D1C">
        <w:t xml:space="preserve">, the Australian Institute of Health and Welfare’s publication </w:t>
      </w:r>
      <w:r w:rsidR="004530A4" w:rsidRPr="00976D1C">
        <w:rPr>
          <w:i/>
        </w:rPr>
        <w:t>Dental Workforce 2012</w:t>
      </w:r>
      <w:r w:rsidR="004530A4" w:rsidRPr="00976D1C">
        <w:t xml:space="preserve"> highlights that for almost all of the registered oral health workforces (except dental therapists), the full-time equivalent rate per 100,000 population for each practitioner type is lowest in remote and very remote areas.  </w:t>
      </w:r>
    </w:p>
    <w:p w14:paraId="5DA063FC" w14:textId="4E4736D3" w:rsidR="00AE10AF" w:rsidRPr="00976D1C" w:rsidRDefault="00AE10AF" w:rsidP="00EC4213">
      <w:pPr>
        <w:pStyle w:val="Heading1"/>
      </w:pPr>
      <w:bookmarkStart w:id="56" w:name="_Toc407634422"/>
      <w:r w:rsidRPr="00976D1C">
        <w:lastRenderedPageBreak/>
        <w:t xml:space="preserve">Dental visiting patterns of populations </w:t>
      </w:r>
      <w:r w:rsidR="00780DE7" w:rsidRPr="00976D1C">
        <w:t>identified for specific action</w:t>
      </w:r>
      <w:bookmarkEnd w:id="56"/>
    </w:p>
    <w:p w14:paraId="46C28F0E" w14:textId="20082F65" w:rsidR="00AE10AF" w:rsidRPr="00976D1C" w:rsidRDefault="00444C79" w:rsidP="00EC4213">
      <w:r w:rsidRPr="00976D1C">
        <w:t xml:space="preserve">Information above indicates </w:t>
      </w:r>
      <w:r w:rsidR="00F710EE" w:rsidRPr="00976D1C">
        <w:t xml:space="preserve">the different populations </w:t>
      </w:r>
      <w:r w:rsidR="00780DE7" w:rsidRPr="00976D1C">
        <w:t>identified for specific action</w:t>
      </w:r>
      <w:r w:rsidR="00F710EE" w:rsidRPr="00976D1C">
        <w:t xml:space="preserve"> have different </w:t>
      </w:r>
      <w:r w:rsidR="001F79A1" w:rsidRPr="00976D1C">
        <w:t xml:space="preserve">oral health outcomes. Further information was examined to compare the dental visiting patterns of the </w:t>
      </w:r>
      <w:r w:rsidR="00780DE7" w:rsidRPr="00976D1C">
        <w:t xml:space="preserve">specific </w:t>
      </w:r>
      <w:r w:rsidR="001F79A1" w:rsidRPr="00976D1C">
        <w:t xml:space="preserve">populations </w:t>
      </w:r>
      <w:r w:rsidR="00780DE7" w:rsidRPr="00976D1C">
        <w:t>for action</w:t>
      </w:r>
      <w:r w:rsidR="001F79A1" w:rsidRPr="00976D1C">
        <w:t xml:space="preserve"> with the dental visiting pattern of the total population. Different data sources were used for children compared with the other </w:t>
      </w:r>
      <w:r w:rsidR="00780DE7" w:rsidRPr="00976D1C">
        <w:t xml:space="preserve">identified </w:t>
      </w:r>
      <w:r w:rsidR="001F79A1" w:rsidRPr="00976D1C">
        <w:t xml:space="preserve">populations. Due to data limitations, the dental visiting patterns of </w:t>
      </w:r>
      <w:r w:rsidR="00F710EE" w:rsidRPr="00976D1C">
        <w:t>people with special needs and Aboriginal and Torres Strait Islander people</w:t>
      </w:r>
      <w:r w:rsidR="001F79A1" w:rsidRPr="00976D1C">
        <w:t xml:space="preserve"> were not able to be examined.</w:t>
      </w:r>
      <w:r w:rsidR="00F710EE" w:rsidRPr="00976D1C">
        <w:t xml:space="preserve"> </w:t>
      </w:r>
    </w:p>
    <w:p w14:paraId="4A06D2A7" w14:textId="6F3D17B9" w:rsidR="005A4953" w:rsidRPr="00976D1C" w:rsidRDefault="005A4953" w:rsidP="00EC4213">
      <w:r w:rsidRPr="00976D1C">
        <w:t xml:space="preserve">Using the information available, existing utilisation patterns for the </w:t>
      </w:r>
      <w:r w:rsidR="00780DE7" w:rsidRPr="00976D1C">
        <w:t xml:space="preserve">specific </w:t>
      </w:r>
      <w:r w:rsidRPr="00976D1C">
        <w:t>population</w:t>
      </w:r>
      <w:r w:rsidR="00780DE7" w:rsidRPr="00976D1C">
        <w:t>s for action</w:t>
      </w:r>
      <w:r w:rsidRPr="00976D1C">
        <w:t xml:space="preserve"> were identified, and this was then translated into an expressed demand rate and projected into the future based on population projections from the Australian Bureau of Statistics (ABS) population series B (ABS Cat No. 3222.0, Population Projections, Australia). </w:t>
      </w:r>
    </w:p>
    <w:p w14:paraId="32CC73BA" w14:textId="77777777" w:rsidR="00AE10AF" w:rsidRPr="00976D1C" w:rsidRDefault="00AE10AF" w:rsidP="00EC4213">
      <w:pPr>
        <w:pStyle w:val="Heading2"/>
      </w:pPr>
      <w:bookmarkStart w:id="57" w:name="_Toc407634423"/>
      <w:r w:rsidRPr="00976D1C">
        <w:t>Children (aged two to 12 years)</w:t>
      </w:r>
      <w:bookmarkEnd w:id="57"/>
      <w:r w:rsidRPr="00976D1C">
        <w:t xml:space="preserve"> </w:t>
      </w:r>
    </w:p>
    <w:p w14:paraId="22A326A6" w14:textId="238218A0" w:rsidR="00AE10AF" w:rsidRPr="00976D1C" w:rsidRDefault="005A4953" w:rsidP="00EC4213">
      <w:r w:rsidRPr="00976D1C">
        <w:t>For children, d</w:t>
      </w:r>
      <w:r w:rsidR="00AE10AF" w:rsidRPr="00976D1C">
        <w:t xml:space="preserve">ata on the number of public oral health services provided to children aged two to 12 years over the period 2009 to 2012 </w:t>
      </w:r>
      <w:r w:rsidRPr="00976D1C">
        <w:t xml:space="preserve">(existing utilisation) </w:t>
      </w:r>
      <w:r w:rsidR="00AE10AF" w:rsidRPr="00976D1C">
        <w:t>was supplied to HWA by New South Wales, Tasmania and Western Australia. Using this as a basis, a national expressed demand rate of oral health services for all children aged two to 12 years was extrapolated. This was calculated to be 0.37 services per person</w:t>
      </w:r>
      <w:r w:rsidR="00D54F18" w:rsidRPr="00976D1C">
        <w:t xml:space="preserve"> per annum</w:t>
      </w:r>
      <w:r w:rsidR="00AE10AF" w:rsidRPr="00976D1C">
        <w:t xml:space="preserve">. </w:t>
      </w:r>
    </w:p>
    <w:p w14:paraId="680E794E" w14:textId="77777777" w:rsidR="00AE10AF" w:rsidRPr="00976D1C" w:rsidRDefault="00AE10AF" w:rsidP="00EC4213">
      <w:r w:rsidRPr="00976D1C">
        <w:t xml:space="preserve">Data analysis also showed that children aged two to six years and children aged seven to 12 years had different oral health utilisation patterns, with those aged seven to 12 years accessing a greater number of services. This likely reflects the availability of publicly provided school dental schemes. </w:t>
      </w:r>
    </w:p>
    <w:p w14:paraId="0E509EB9" w14:textId="77777777" w:rsidR="00AE10AF" w:rsidRPr="00976D1C" w:rsidRDefault="00AE10AF" w:rsidP="00EC4213">
      <w:pPr>
        <w:rPr>
          <w:szCs w:val="20"/>
        </w:rPr>
      </w:pPr>
      <w:r w:rsidRPr="00976D1C">
        <w:t xml:space="preserve">As a result, separate expressed demand rates (using the data of the three jurisdictions as a basis, again extrapolated to a national rate) were calculated for those aged two to six years, and those aged seven to </w:t>
      </w:r>
      <w:r w:rsidRPr="00976D1C">
        <w:rPr>
          <w:szCs w:val="20"/>
        </w:rPr>
        <w:t>12 years. The calculated rates were:</w:t>
      </w:r>
    </w:p>
    <w:p w14:paraId="45E5DC93" w14:textId="77777777" w:rsidR="00AE10AF" w:rsidRPr="00976D1C" w:rsidRDefault="00AE10AF" w:rsidP="00EC4213">
      <w:pPr>
        <w:pStyle w:val="ListParagraph"/>
        <w:numPr>
          <w:ilvl w:val="0"/>
          <w:numId w:val="41"/>
        </w:numPr>
        <w:rPr>
          <w:rFonts w:eastAsia="Calibri"/>
        </w:rPr>
      </w:pPr>
      <w:r w:rsidRPr="00976D1C">
        <w:rPr>
          <w:rFonts w:eastAsia="Calibri"/>
        </w:rPr>
        <w:t>0.26 services per person for two to six year olds</w:t>
      </w:r>
    </w:p>
    <w:p w14:paraId="1E4BC42D" w14:textId="77777777" w:rsidR="00AE10AF" w:rsidRPr="00976D1C" w:rsidRDefault="00AE10AF" w:rsidP="00EC4213">
      <w:pPr>
        <w:pStyle w:val="ListParagraph"/>
        <w:numPr>
          <w:ilvl w:val="0"/>
          <w:numId w:val="41"/>
        </w:numPr>
        <w:rPr>
          <w:rFonts w:eastAsia="Calibri"/>
        </w:rPr>
      </w:pPr>
      <w:r w:rsidRPr="00976D1C">
        <w:rPr>
          <w:rFonts w:eastAsia="Calibri"/>
        </w:rPr>
        <w:t>0.46 services per person for seven to 12 year olds.</w:t>
      </w:r>
    </w:p>
    <w:p w14:paraId="29AA89A4" w14:textId="435CA015" w:rsidR="00522EBB" w:rsidRPr="00976D1C" w:rsidRDefault="00AE10AF" w:rsidP="00EC4213">
      <w:pPr>
        <w:rPr>
          <w:b/>
        </w:rPr>
      </w:pPr>
      <w:r w:rsidRPr="00976D1C">
        <w:t xml:space="preserve">Figure </w:t>
      </w:r>
      <w:r w:rsidR="00DC3122" w:rsidRPr="00976D1C">
        <w:t>7</w:t>
      </w:r>
      <w:r w:rsidRPr="00976D1C">
        <w:t xml:space="preserve"> shows the projected number of services per person (expressed demand) for children aged two to six years, seven to twelve years and two to 12 years (total) to 2025. </w:t>
      </w:r>
      <w:r w:rsidR="005A4953" w:rsidRPr="00976D1C">
        <w:t xml:space="preserve">It clearly shows the different expressed demand rates for each of the age groups. </w:t>
      </w:r>
      <w:r w:rsidR="00522EBB" w:rsidRPr="00976D1C">
        <w:rPr>
          <w:szCs w:val="20"/>
        </w:rPr>
        <w:t xml:space="preserve">A future consideration </w:t>
      </w:r>
      <w:r w:rsidR="00222B10" w:rsidRPr="00976D1C">
        <w:rPr>
          <w:szCs w:val="20"/>
        </w:rPr>
        <w:t>will be any</w:t>
      </w:r>
      <w:r w:rsidR="00522EBB" w:rsidRPr="00976D1C">
        <w:rPr>
          <w:szCs w:val="20"/>
        </w:rPr>
        <w:t xml:space="preserve"> impact of recent investments in child services, such as the Child Dental Benefits Schedule (refer Appendix C). </w:t>
      </w:r>
    </w:p>
    <w:p w14:paraId="65174185" w14:textId="5CB875CA" w:rsidR="00AE10AF" w:rsidRPr="00976D1C" w:rsidRDefault="00AE10AF" w:rsidP="00EC4213">
      <w:r w:rsidRPr="00976D1C">
        <w:lastRenderedPageBreak/>
        <w:t xml:space="preserve">Please note, the expressed demand rates were projected into the future based on population projections </w:t>
      </w:r>
      <w:r w:rsidR="002D0E49" w:rsidRPr="00976D1C">
        <w:t xml:space="preserve">for the relevant age ranges (using </w:t>
      </w:r>
      <w:r w:rsidR="0060722B" w:rsidRPr="00976D1C">
        <w:t xml:space="preserve">ABS population series B). </w:t>
      </w:r>
    </w:p>
    <w:p w14:paraId="483987EC" w14:textId="0E6F11FA" w:rsidR="00AE10AF" w:rsidRPr="00976D1C" w:rsidRDefault="00AE10AF" w:rsidP="00EC4213">
      <w:pPr>
        <w:pStyle w:val="Caption"/>
      </w:pPr>
      <w:bookmarkStart w:id="58" w:name="_Toc407634464"/>
      <w:r w:rsidRPr="00976D1C">
        <w:t xml:space="preserve">Figure </w:t>
      </w:r>
      <w:fldSimple w:instr=" SEQ Figure \* ARABIC ">
        <w:r w:rsidR="00496730" w:rsidRPr="00976D1C">
          <w:t>7</w:t>
        </w:r>
      </w:fldSimple>
      <w:r w:rsidRPr="00976D1C">
        <w:t>: Projected number of services per person, by age, 2012 to 2025</w:t>
      </w:r>
      <w:bookmarkEnd w:id="58"/>
    </w:p>
    <w:p w14:paraId="08AD3ECB" w14:textId="6FABCA30" w:rsidR="006023C7" w:rsidRPr="00976D1C" w:rsidRDefault="006023C7" w:rsidP="00EC4213">
      <w:r w:rsidRPr="00976D1C">
        <w:rPr>
          <w:noProof/>
          <w:lang w:eastAsia="en-AU"/>
        </w:rPr>
        <w:drawing>
          <wp:inline distT="0" distB="0" distL="0" distR="0" wp14:anchorId="4C1AAB96" wp14:editId="138A007C">
            <wp:extent cx="5743575" cy="3086100"/>
            <wp:effectExtent l="0" t="0" r="9525" b="0"/>
            <wp:docPr id="12" name="Picture 12" descr="In all 3 categories, the number of services per person increases steadily between 2012 and 2025, from around 0.25 to 0.3 services per person in 2-6 year olds, 0.45 to 0.51 for 7-12 year olds, and 0.38 to 0.42 overall." title="Projected number of services per person, by age, 2012 to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42940" cy="3085759"/>
                    </a:xfrm>
                    <a:prstGeom prst="rect">
                      <a:avLst/>
                    </a:prstGeom>
                    <a:noFill/>
                  </pic:spPr>
                </pic:pic>
              </a:graphicData>
            </a:graphic>
          </wp:inline>
        </w:drawing>
      </w:r>
    </w:p>
    <w:p w14:paraId="202A16A1" w14:textId="478719C3" w:rsidR="005A4953" w:rsidRPr="00976D1C" w:rsidRDefault="005A4953" w:rsidP="00EC4213">
      <w:r w:rsidRPr="00976D1C">
        <w:t xml:space="preserve">Please note, while </w:t>
      </w:r>
      <w:r w:rsidRPr="00976D1C">
        <w:rPr>
          <w:i/>
          <w:szCs w:val="20"/>
        </w:rPr>
        <w:t>Australia’s National Oral Health Plan 2004 – 2013</w:t>
      </w:r>
      <w:r w:rsidRPr="00976D1C">
        <w:rPr>
          <w:szCs w:val="20"/>
        </w:rPr>
        <w:t xml:space="preserve"> </w:t>
      </w:r>
      <w:r w:rsidRPr="00976D1C">
        <w:t xml:space="preserve">identified children and adolescents as </w:t>
      </w:r>
      <w:r w:rsidR="00780DE7" w:rsidRPr="00976D1C">
        <w:t xml:space="preserve">the population for specific action, </w:t>
      </w:r>
      <w:r w:rsidRPr="00976D1C">
        <w:t xml:space="preserve">which generally encompasses those aged two to 17 years, data was not available on services provided to those aged 13 to 17 years. Therefore the expressed demand projection was restricted to children aged two to 12 years. </w:t>
      </w:r>
    </w:p>
    <w:p w14:paraId="0B0B6E8D" w14:textId="3B9ACDDF" w:rsidR="00AE10AF" w:rsidRPr="00976D1C" w:rsidRDefault="00780DE7" w:rsidP="00EC4213">
      <w:pPr>
        <w:pStyle w:val="Heading2"/>
      </w:pPr>
      <w:bookmarkStart w:id="59" w:name="_Toc407634424"/>
      <w:r w:rsidRPr="00976D1C">
        <w:t>Other populations identified for specific action</w:t>
      </w:r>
      <w:bookmarkEnd w:id="59"/>
    </w:p>
    <w:p w14:paraId="14DA9C22" w14:textId="04FA6659" w:rsidR="00C939C0" w:rsidRPr="00976D1C" w:rsidRDefault="00C939C0" w:rsidP="00EC4213">
      <w:r w:rsidRPr="00976D1C">
        <w:t xml:space="preserve">For the other populations </w:t>
      </w:r>
      <w:r w:rsidR="00780DE7" w:rsidRPr="00976D1C">
        <w:t>identified for specific action</w:t>
      </w:r>
      <w:r w:rsidRPr="00976D1C">
        <w:t xml:space="preserve">, information from the </w:t>
      </w:r>
      <w:r w:rsidR="00AE10AF" w:rsidRPr="00976D1C">
        <w:t xml:space="preserve">2010 ARCPOH NDTIS </w:t>
      </w:r>
      <w:r w:rsidRPr="00976D1C">
        <w:t>was used to identify utilisation patterns, which was then translated into an expressed demand rate and projected into the future based on population projections</w:t>
      </w:r>
      <w:r w:rsidR="00780DE7" w:rsidRPr="00976D1C">
        <w:t>.</w:t>
      </w:r>
    </w:p>
    <w:p w14:paraId="03513FA1" w14:textId="77777777" w:rsidR="00AE10AF" w:rsidRPr="00976D1C" w:rsidRDefault="00AE10AF" w:rsidP="00EC4213">
      <w:pPr>
        <w:pStyle w:val="Heading3"/>
        <w:rPr>
          <w:lang w:val="en-AU"/>
        </w:rPr>
      </w:pPr>
      <w:r w:rsidRPr="00976D1C">
        <w:rPr>
          <w:lang w:val="en-AU"/>
        </w:rPr>
        <w:t>Older people</w:t>
      </w:r>
    </w:p>
    <w:p w14:paraId="6ACA3BE9" w14:textId="040A19CC" w:rsidR="00C90FD6" w:rsidRPr="00976D1C" w:rsidRDefault="00C90FD6" w:rsidP="00EC4213">
      <w:pPr>
        <w:rPr>
          <w:lang w:eastAsia="en-AU"/>
        </w:rPr>
      </w:pPr>
      <w:r w:rsidRPr="00976D1C">
        <w:rPr>
          <w:lang w:eastAsia="en-AU"/>
        </w:rPr>
        <w:t>Expressed demand for oral health services for those aged 65 years and over is estimated to be 2.16</w:t>
      </w:r>
      <w:r w:rsidR="00290287" w:rsidRPr="00976D1C">
        <w:rPr>
          <w:lang w:eastAsia="en-AU"/>
        </w:rPr>
        <w:t xml:space="preserve"> services per person</w:t>
      </w:r>
      <w:r w:rsidRPr="00976D1C">
        <w:rPr>
          <w:lang w:eastAsia="en-AU"/>
        </w:rPr>
        <w:t>, compared with a demand rate of 2.85</w:t>
      </w:r>
      <w:r w:rsidR="00290287" w:rsidRPr="00976D1C">
        <w:rPr>
          <w:lang w:eastAsia="en-AU"/>
        </w:rPr>
        <w:t xml:space="preserve"> services per person</w:t>
      </w:r>
      <w:r w:rsidR="0028218F" w:rsidRPr="00976D1C">
        <w:rPr>
          <w:lang w:eastAsia="en-AU"/>
        </w:rPr>
        <w:t xml:space="preserve"> </w:t>
      </w:r>
      <w:r w:rsidRPr="00976D1C">
        <w:rPr>
          <w:lang w:eastAsia="en-AU"/>
        </w:rPr>
        <w:t xml:space="preserve">for the total population. </w:t>
      </w:r>
    </w:p>
    <w:p w14:paraId="05463E03" w14:textId="77777777" w:rsidR="00AE10AF" w:rsidRPr="00976D1C" w:rsidRDefault="00AE10AF" w:rsidP="00EC4213">
      <w:r w:rsidRPr="00976D1C">
        <w:rPr>
          <w:lang w:eastAsia="en-AU"/>
        </w:rPr>
        <w:t xml:space="preserve">This was calculated using data on the number of services accessed by those aged 65 years and over from the 2010 </w:t>
      </w:r>
      <w:r w:rsidRPr="00976D1C">
        <w:t xml:space="preserve">ARCPOH NDTIS, with this rate being held constant throughout the projection period. </w:t>
      </w:r>
    </w:p>
    <w:p w14:paraId="72C5BBC6" w14:textId="77777777" w:rsidR="00AE10AF" w:rsidRPr="00976D1C" w:rsidRDefault="00AE10AF" w:rsidP="00EC4213">
      <w:r w:rsidRPr="00976D1C">
        <w:t>This rate was projected into the future based on population projections (for those aged 65 years and over) from the ABS population projection series B.</w:t>
      </w:r>
    </w:p>
    <w:p w14:paraId="26C18E19" w14:textId="77777777" w:rsidR="00AE10AF" w:rsidRPr="00976D1C" w:rsidRDefault="00AE10AF" w:rsidP="00EC4213">
      <w:pPr>
        <w:pStyle w:val="Heading3"/>
        <w:rPr>
          <w:lang w:val="en-AU"/>
        </w:rPr>
      </w:pPr>
      <w:r w:rsidRPr="00976D1C">
        <w:rPr>
          <w:lang w:val="en-AU"/>
        </w:rPr>
        <w:lastRenderedPageBreak/>
        <w:t>Low income and social disadvantage</w:t>
      </w:r>
    </w:p>
    <w:p w14:paraId="6A750F99" w14:textId="03483436" w:rsidR="00AE10AF" w:rsidRPr="00976D1C" w:rsidRDefault="00AE10AF" w:rsidP="00EC4213">
      <w:pPr>
        <w:rPr>
          <w:rFonts w:cs="ArialMT"/>
          <w:lang w:eastAsia="en-AU"/>
        </w:rPr>
      </w:pPr>
      <w:r w:rsidRPr="00976D1C">
        <w:rPr>
          <w:lang w:eastAsia="en-AU"/>
        </w:rPr>
        <w:t xml:space="preserve">The </w:t>
      </w:r>
      <w:r w:rsidRPr="00976D1C">
        <w:rPr>
          <w:i/>
        </w:rPr>
        <w:t xml:space="preserve">National Oral Health Plan 2004 – 2013 </w:t>
      </w:r>
      <w:r w:rsidRPr="00976D1C">
        <w:rPr>
          <w:lang w:eastAsia="en-AU"/>
        </w:rPr>
        <w:t xml:space="preserve">identified improving the oral health of people with low income and at social disadvantage as a specific action area. To be able to generate </w:t>
      </w:r>
      <w:r w:rsidR="00B833B6" w:rsidRPr="00976D1C">
        <w:rPr>
          <w:lang w:eastAsia="en-AU"/>
        </w:rPr>
        <w:t xml:space="preserve">an expressed demand rate </w:t>
      </w:r>
      <w:r w:rsidRPr="00976D1C">
        <w:rPr>
          <w:lang w:eastAsia="en-AU"/>
        </w:rPr>
        <w:t xml:space="preserve">for this population, HWA used 2010 </w:t>
      </w:r>
      <w:r w:rsidRPr="00976D1C">
        <w:t>ARCPOH NDTIS</w:t>
      </w:r>
      <w:r w:rsidRPr="00976D1C">
        <w:rPr>
          <w:lang w:eastAsia="en-AU"/>
        </w:rPr>
        <w:t xml:space="preserve"> data on the number of services categorised b</w:t>
      </w:r>
      <w:r w:rsidRPr="00976D1C">
        <w:rPr>
          <w:rFonts w:cs="ArialMT"/>
          <w:lang w:eastAsia="en-AU"/>
        </w:rPr>
        <w:t xml:space="preserve">y Socioeconomic Indexes for Areas (SEIFA) Index of Relative Socioeconomic Advantage and Disadvantage (IRSAD) quintiles, where quintiles 1 and 2 were used to represent those </w:t>
      </w:r>
      <w:r w:rsidRPr="00976D1C">
        <w:rPr>
          <w:lang w:eastAsia="en-AU"/>
        </w:rPr>
        <w:t>people with low income and at social disadvantage</w:t>
      </w:r>
      <w:r w:rsidRPr="00976D1C">
        <w:rPr>
          <w:rFonts w:cs="ArialMT"/>
          <w:lang w:eastAsia="en-AU"/>
        </w:rPr>
        <w:t xml:space="preserve">. </w:t>
      </w:r>
    </w:p>
    <w:p w14:paraId="27E45B77" w14:textId="77777777" w:rsidR="00AE10AF" w:rsidRPr="00976D1C" w:rsidRDefault="00AE10AF" w:rsidP="00EC4213">
      <w:pPr>
        <w:rPr>
          <w:lang w:eastAsia="en-AU"/>
        </w:rPr>
      </w:pPr>
      <w:r w:rsidRPr="00976D1C">
        <w:rPr>
          <w:lang w:eastAsia="en-AU"/>
        </w:rPr>
        <w:t xml:space="preserve">The SEIFA IRSAD is produced by the ABS, and classifies areas of Australia by socioeconomic status. It is a general socioeconomic index that summarises a range of information about the economic and social conditions of people and households within an area, such as income, level of education, occupation, level of unemployment and dwelling type. </w:t>
      </w:r>
    </w:p>
    <w:p w14:paraId="7E95B9DF" w14:textId="77777777" w:rsidR="00AE10AF" w:rsidRPr="00976D1C" w:rsidRDefault="00AE10AF" w:rsidP="00EC4213">
      <w:r w:rsidRPr="00976D1C">
        <w:rPr>
          <w:lang w:eastAsia="en-AU"/>
        </w:rPr>
        <w:t>For this project, the number of oral health services accessed were examined by SEIFA IRSAD quintiles, and ranked by the socioeconomic status from the most disadvantaged (lowest quintile) to most advantaged (highest quintile).</w:t>
      </w:r>
      <w:r w:rsidRPr="00976D1C">
        <w:t xml:space="preserve"> </w:t>
      </w:r>
    </w:p>
    <w:p w14:paraId="51089174" w14:textId="2ACFDCF2" w:rsidR="00AE10AF" w:rsidRPr="00976D1C" w:rsidRDefault="00AE10AF" w:rsidP="00EC4213">
      <w:r w:rsidRPr="00976D1C">
        <w:rPr>
          <w:lang w:eastAsia="en-AU"/>
        </w:rPr>
        <w:t>Expressed demand for oral health services for those with low income and at social disadvantage, represented by the number of services categorised in IRSAD quintiles 1 and 2, was estimated to be 1.</w:t>
      </w:r>
      <w:r w:rsidR="00B833B6" w:rsidRPr="00976D1C">
        <w:rPr>
          <w:lang w:eastAsia="en-AU"/>
        </w:rPr>
        <w:t>8</w:t>
      </w:r>
      <w:r w:rsidR="00290287" w:rsidRPr="00976D1C">
        <w:rPr>
          <w:lang w:eastAsia="en-AU"/>
        </w:rPr>
        <w:t xml:space="preserve"> services per person</w:t>
      </w:r>
      <w:r w:rsidRPr="00976D1C">
        <w:rPr>
          <w:lang w:eastAsia="en-AU"/>
        </w:rPr>
        <w:t>, compared with 3.9</w:t>
      </w:r>
      <w:r w:rsidR="00290287" w:rsidRPr="00976D1C">
        <w:rPr>
          <w:lang w:eastAsia="en-AU"/>
        </w:rPr>
        <w:t xml:space="preserve"> services per person</w:t>
      </w:r>
      <w:r w:rsidRPr="00976D1C">
        <w:rPr>
          <w:lang w:eastAsia="en-AU"/>
        </w:rPr>
        <w:t xml:space="preserve"> for IR</w:t>
      </w:r>
      <w:r w:rsidR="00C75757" w:rsidRPr="00976D1C">
        <w:rPr>
          <w:lang w:eastAsia="en-AU"/>
        </w:rPr>
        <w:t>S</w:t>
      </w:r>
      <w:r w:rsidRPr="00976D1C">
        <w:rPr>
          <w:lang w:eastAsia="en-AU"/>
        </w:rPr>
        <w:t>AD quintiles 3, 4 and 5. T</w:t>
      </w:r>
      <w:r w:rsidRPr="00976D1C">
        <w:t>his rate was held constant throughout the projection period</w:t>
      </w:r>
      <w:r w:rsidR="00B833B6" w:rsidRPr="00976D1C">
        <w:t xml:space="preserve">. It was </w:t>
      </w:r>
      <w:r w:rsidRPr="00976D1C">
        <w:rPr>
          <w:lang w:eastAsia="en-AU"/>
        </w:rPr>
        <w:t xml:space="preserve">projected </w:t>
      </w:r>
      <w:r w:rsidRPr="00976D1C">
        <w:t>into the future based on population projections from the ABS population projection series B (with the proportion of people living in those areas included in IR</w:t>
      </w:r>
      <w:r w:rsidR="00C75757" w:rsidRPr="00976D1C">
        <w:t>S</w:t>
      </w:r>
      <w:r w:rsidRPr="00976D1C">
        <w:t>AD quintiles 1 and 2 being applied to the population projections).</w:t>
      </w:r>
    </w:p>
    <w:p w14:paraId="50C0E947" w14:textId="6D8AE3F5" w:rsidR="00AE10AF" w:rsidRPr="00976D1C" w:rsidRDefault="00AE10AF" w:rsidP="00EC4213">
      <w:r w:rsidRPr="00976D1C">
        <w:t xml:space="preserve">Figure </w:t>
      </w:r>
      <w:r w:rsidR="00DC3122" w:rsidRPr="00976D1C">
        <w:t>8</w:t>
      </w:r>
      <w:r w:rsidRPr="00976D1C">
        <w:t xml:space="preserve"> shows </w:t>
      </w:r>
      <w:r w:rsidR="00B833B6" w:rsidRPr="00976D1C">
        <w:t xml:space="preserve">expressed demand as the number of services </w:t>
      </w:r>
      <w:r w:rsidRPr="00976D1C">
        <w:t>per person for the total population compared with those most disadvantaged (IR</w:t>
      </w:r>
      <w:r w:rsidR="00C75757" w:rsidRPr="00976D1C">
        <w:t>S</w:t>
      </w:r>
      <w:r w:rsidRPr="00976D1C">
        <w:t>AD quintiles 1 and 2) and those more advantaged (IR</w:t>
      </w:r>
      <w:r w:rsidR="00C75757" w:rsidRPr="00976D1C">
        <w:t>S</w:t>
      </w:r>
      <w:r w:rsidRPr="00976D1C">
        <w:t xml:space="preserve">AD quintiles 3, 4 and 5). It can clearly be seen those most disadvantaged receive fewer services per person than those more advantaged, and the total population. </w:t>
      </w:r>
    </w:p>
    <w:p w14:paraId="13C23657" w14:textId="77777777" w:rsidR="00AE10AF" w:rsidRPr="00976D1C" w:rsidRDefault="00AE10AF" w:rsidP="00EC4213">
      <w:pPr>
        <w:pStyle w:val="Caption"/>
      </w:pPr>
      <w:bookmarkStart w:id="60" w:name="_Toc407634465"/>
      <w:r w:rsidRPr="00976D1C">
        <w:lastRenderedPageBreak/>
        <w:t xml:space="preserve">Figure </w:t>
      </w:r>
      <w:fldSimple w:instr=" SEQ Figure \* ARABIC ">
        <w:r w:rsidR="00496730" w:rsidRPr="00976D1C">
          <w:t>8</w:t>
        </w:r>
      </w:fldSimple>
      <w:r w:rsidRPr="00976D1C">
        <w:t>: Projected number of services per person, by IRSAD quintiles, 2012 to 2025</w:t>
      </w:r>
      <w:bookmarkEnd w:id="60"/>
    </w:p>
    <w:p w14:paraId="24205A9B" w14:textId="2D53363C" w:rsidR="006023C7" w:rsidRPr="00976D1C" w:rsidRDefault="006023C7" w:rsidP="00EC4213">
      <w:r w:rsidRPr="00976D1C">
        <w:rPr>
          <w:noProof/>
          <w:lang w:eastAsia="en-AU"/>
        </w:rPr>
        <w:drawing>
          <wp:inline distT="0" distB="0" distL="0" distR="0" wp14:anchorId="35B6EBBB" wp14:editId="2B06B562">
            <wp:extent cx="5742940" cy="2926080"/>
            <wp:effectExtent l="0" t="0" r="0" b="7620"/>
            <wp:docPr id="14" name="Picture 14" descr="Figure 8 shows expressed demand as the number of services per person for the total population compared with those most disadvantaged (IRSAD quintiles 1 and 2) and those more advantaged (IRSAD quintiles 3, 4 and 5). It shows that those most disadvantaged receive fewer services per person than those more advantaged and the total popul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42940" cy="2926080"/>
                    </a:xfrm>
                    <a:prstGeom prst="rect">
                      <a:avLst/>
                    </a:prstGeom>
                    <a:noFill/>
                  </pic:spPr>
                </pic:pic>
              </a:graphicData>
            </a:graphic>
          </wp:inline>
        </w:drawing>
      </w:r>
    </w:p>
    <w:p w14:paraId="4CB0BC74" w14:textId="77777777" w:rsidR="00AE10AF" w:rsidRPr="00976D1C" w:rsidRDefault="00AE10AF" w:rsidP="00EC4213">
      <w:pPr>
        <w:pStyle w:val="Heading3"/>
        <w:rPr>
          <w:lang w:val="en-AU"/>
        </w:rPr>
      </w:pPr>
      <w:r w:rsidRPr="00976D1C">
        <w:rPr>
          <w:lang w:val="en-AU"/>
        </w:rPr>
        <w:t>People living in rural and remote areas</w:t>
      </w:r>
    </w:p>
    <w:p w14:paraId="333A7A92" w14:textId="77777777" w:rsidR="00AE10AF" w:rsidRPr="00976D1C" w:rsidRDefault="00AE10AF" w:rsidP="00EC4213">
      <w:pPr>
        <w:rPr>
          <w:lang w:eastAsia="en-AU"/>
        </w:rPr>
      </w:pPr>
      <w:r w:rsidRPr="00976D1C">
        <w:rPr>
          <w:lang w:eastAsia="en-AU"/>
        </w:rPr>
        <w:t xml:space="preserve">Improving oral health outcomes for people living in rural and remote areas was also identified by the </w:t>
      </w:r>
      <w:r w:rsidRPr="00976D1C">
        <w:rPr>
          <w:i/>
        </w:rPr>
        <w:t xml:space="preserve">National Oral Health Plan 2004 – 2013 </w:t>
      </w:r>
      <w:r w:rsidRPr="00976D1C">
        <w:rPr>
          <w:lang w:eastAsia="en-AU"/>
        </w:rPr>
        <w:t xml:space="preserve">as a specific action area. </w:t>
      </w:r>
    </w:p>
    <w:p w14:paraId="657CF101" w14:textId="58700A6B" w:rsidR="00AE10AF" w:rsidRPr="00976D1C" w:rsidRDefault="00AE10AF" w:rsidP="00EC4213">
      <w:r w:rsidRPr="00976D1C">
        <w:rPr>
          <w:lang w:eastAsia="en-AU"/>
        </w:rPr>
        <w:t xml:space="preserve">To be able to generate expressed demand projections for this population, HWA used 2010 </w:t>
      </w:r>
      <w:r w:rsidRPr="00976D1C">
        <w:t>ARCPOH NDTIS</w:t>
      </w:r>
      <w:r w:rsidRPr="00976D1C">
        <w:rPr>
          <w:lang w:eastAsia="en-AU"/>
        </w:rPr>
        <w:t xml:space="preserve"> data on the number of services categorised by the ABSs Remoteness Area (RA) structure. The RA </w:t>
      </w:r>
      <w:r w:rsidRPr="00976D1C">
        <w:t xml:space="preserve">structure is a geographic classification system used to present regional data, with RA categories defined in terms of the physical distance of a location from the nearest urban centre (access to goods and services) based on population size. </w:t>
      </w:r>
    </w:p>
    <w:p w14:paraId="05369586" w14:textId="77777777" w:rsidR="00AE10AF" w:rsidRPr="00976D1C" w:rsidRDefault="00AE10AF" w:rsidP="00EC4213">
      <w:pPr>
        <w:rPr>
          <w:lang w:eastAsia="en-AU"/>
        </w:rPr>
      </w:pPr>
      <w:r w:rsidRPr="00976D1C">
        <w:rPr>
          <w:lang w:eastAsia="en-AU"/>
        </w:rPr>
        <w:t>There are five RAs in the classification:</w:t>
      </w:r>
    </w:p>
    <w:p w14:paraId="1A12E736" w14:textId="77777777" w:rsidR="00AE10AF" w:rsidRPr="00976D1C" w:rsidRDefault="00AE10AF" w:rsidP="00EC4213">
      <w:pPr>
        <w:pStyle w:val="ListParagraph"/>
        <w:numPr>
          <w:ilvl w:val="0"/>
          <w:numId w:val="42"/>
        </w:numPr>
        <w:rPr>
          <w:lang w:eastAsia="en-AU"/>
        </w:rPr>
      </w:pPr>
      <w:r w:rsidRPr="00976D1C">
        <w:rPr>
          <w:lang w:eastAsia="en-AU"/>
        </w:rPr>
        <w:t>Major cities</w:t>
      </w:r>
    </w:p>
    <w:p w14:paraId="623CB890" w14:textId="77777777" w:rsidR="00AE10AF" w:rsidRPr="00976D1C" w:rsidRDefault="00AE10AF" w:rsidP="00EC4213">
      <w:pPr>
        <w:pStyle w:val="ListParagraph"/>
        <w:numPr>
          <w:ilvl w:val="0"/>
          <w:numId w:val="42"/>
        </w:numPr>
        <w:rPr>
          <w:lang w:eastAsia="en-AU"/>
        </w:rPr>
      </w:pPr>
      <w:r w:rsidRPr="00976D1C">
        <w:rPr>
          <w:lang w:eastAsia="en-AU"/>
        </w:rPr>
        <w:t xml:space="preserve">Inner regional </w:t>
      </w:r>
    </w:p>
    <w:p w14:paraId="4E81641F" w14:textId="77777777" w:rsidR="00AE10AF" w:rsidRPr="00976D1C" w:rsidRDefault="00AE10AF" w:rsidP="00EC4213">
      <w:pPr>
        <w:pStyle w:val="ListParagraph"/>
        <w:numPr>
          <w:ilvl w:val="0"/>
          <w:numId w:val="42"/>
        </w:numPr>
        <w:rPr>
          <w:lang w:eastAsia="en-AU"/>
        </w:rPr>
      </w:pPr>
      <w:r w:rsidRPr="00976D1C">
        <w:rPr>
          <w:lang w:eastAsia="en-AU"/>
        </w:rPr>
        <w:t>Outer regional</w:t>
      </w:r>
    </w:p>
    <w:p w14:paraId="54EAE41C" w14:textId="77777777" w:rsidR="00AE10AF" w:rsidRPr="00976D1C" w:rsidRDefault="00AE10AF" w:rsidP="00EC4213">
      <w:pPr>
        <w:pStyle w:val="ListParagraph"/>
        <w:numPr>
          <w:ilvl w:val="0"/>
          <w:numId w:val="42"/>
        </w:numPr>
        <w:rPr>
          <w:lang w:eastAsia="en-AU"/>
        </w:rPr>
      </w:pPr>
      <w:r w:rsidRPr="00976D1C">
        <w:rPr>
          <w:lang w:eastAsia="en-AU"/>
        </w:rPr>
        <w:t xml:space="preserve">Remote </w:t>
      </w:r>
    </w:p>
    <w:p w14:paraId="523DE0C2" w14:textId="77777777" w:rsidR="00AE10AF" w:rsidRPr="00976D1C" w:rsidRDefault="00AE10AF" w:rsidP="00EC4213">
      <w:pPr>
        <w:pStyle w:val="ListParagraph"/>
        <w:numPr>
          <w:ilvl w:val="0"/>
          <w:numId w:val="42"/>
        </w:numPr>
        <w:rPr>
          <w:lang w:eastAsia="en-AU"/>
        </w:rPr>
      </w:pPr>
      <w:r w:rsidRPr="00976D1C">
        <w:rPr>
          <w:lang w:eastAsia="en-AU"/>
        </w:rPr>
        <w:t xml:space="preserve">Very remote. </w:t>
      </w:r>
    </w:p>
    <w:p w14:paraId="16C8C924" w14:textId="035BF8AC" w:rsidR="00AE10AF" w:rsidRPr="00976D1C" w:rsidRDefault="00AE10AF" w:rsidP="00EC4213">
      <w:pPr>
        <w:rPr>
          <w:lang w:eastAsia="en-AU"/>
        </w:rPr>
      </w:pPr>
      <w:r w:rsidRPr="00976D1C">
        <w:rPr>
          <w:lang w:eastAsia="en-AU"/>
        </w:rPr>
        <w:t>Using the ARCPOH NDTIS data, expressed demand for people living in metropolitan areas (RA 1) was estimated to be 2.98</w:t>
      </w:r>
      <w:r w:rsidR="00290287" w:rsidRPr="00976D1C">
        <w:rPr>
          <w:lang w:eastAsia="en-AU"/>
        </w:rPr>
        <w:t xml:space="preserve"> services per person</w:t>
      </w:r>
      <w:r w:rsidRPr="00976D1C">
        <w:rPr>
          <w:lang w:eastAsia="en-AU"/>
        </w:rPr>
        <w:t>, compared with rates of 2.82 (RA 2), 2.32 (RA 3) and 1.79 (RAs 4 and 5).</w:t>
      </w:r>
      <w:r w:rsidR="004E0F10" w:rsidRPr="00976D1C">
        <w:rPr>
          <w:lang w:eastAsia="en-AU"/>
        </w:rPr>
        <w:t xml:space="preserve"> Please note, a combined total for RAs 4 and 5 is presented as the NDTIS is a sample survey and information for each RA was not reliable on its own.</w:t>
      </w:r>
      <w:r w:rsidR="00905548" w:rsidRPr="00976D1C">
        <w:rPr>
          <w:lang w:eastAsia="en-AU"/>
        </w:rPr>
        <w:t xml:space="preserve"> </w:t>
      </w:r>
    </w:p>
    <w:p w14:paraId="2FD915B0" w14:textId="77777777" w:rsidR="00AE10AF" w:rsidRPr="00976D1C" w:rsidRDefault="00AE10AF" w:rsidP="00EC4213">
      <w:pPr>
        <w:rPr>
          <w:lang w:eastAsia="en-AU"/>
        </w:rPr>
      </w:pPr>
      <w:r w:rsidRPr="00976D1C">
        <w:rPr>
          <w:lang w:eastAsia="en-AU"/>
        </w:rPr>
        <w:t>T</w:t>
      </w:r>
      <w:r w:rsidRPr="00976D1C">
        <w:t>hese rates were held constant throughout the projection period.</w:t>
      </w:r>
      <w:r w:rsidRPr="00976D1C">
        <w:rPr>
          <w:lang w:eastAsia="en-AU"/>
        </w:rPr>
        <w:t xml:space="preserve"> They were projected </w:t>
      </w:r>
      <w:r w:rsidRPr="00976D1C">
        <w:t xml:space="preserve">into the future based on population projections from the ABS population </w:t>
      </w:r>
      <w:r w:rsidRPr="00976D1C">
        <w:lastRenderedPageBreak/>
        <w:t>projection series B (with the proportion of people living in each RA being applied to the population projections).</w:t>
      </w:r>
    </w:p>
    <w:p w14:paraId="3621CFD7" w14:textId="42BB5DFD" w:rsidR="00AE10AF" w:rsidRPr="00976D1C" w:rsidRDefault="00AE10AF" w:rsidP="00EC4213">
      <w:r w:rsidRPr="00976D1C">
        <w:t xml:space="preserve">Figure </w:t>
      </w:r>
      <w:r w:rsidR="00DC3122" w:rsidRPr="00976D1C">
        <w:t>9</w:t>
      </w:r>
      <w:r w:rsidRPr="00976D1C">
        <w:t xml:space="preserve"> shows oral health services received per person for the total population compared with those living in major cities, inner regional, outer regional and remote/very remote areas. It clearly shows that those living outside of major cities </w:t>
      </w:r>
      <w:r w:rsidR="004E0F10" w:rsidRPr="00976D1C">
        <w:t xml:space="preserve">are projected to </w:t>
      </w:r>
      <w:r w:rsidRPr="00976D1C">
        <w:t xml:space="preserve">access fewer oral health services per member of population than the total population. </w:t>
      </w:r>
    </w:p>
    <w:p w14:paraId="474D7AE5" w14:textId="77777777" w:rsidR="00AE10AF" w:rsidRPr="00976D1C" w:rsidRDefault="00AE10AF" w:rsidP="00EC4213">
      <w:pPr>
        <w:pStyle w:val="Caption"/>
      </w:pPr>
      <w:bookmarkStart w:id="61" w:name="_Toc407634466"/>
      <w:r w:rsidRPr="00976D1C">
        <w:t xml:space="preserve">Figure </w:t>
      </w:r>
      <w:fldSimple w:instr=" SEQ Figure \* ARABIC ">
        <w:r w:rsidR="00496730" w:rsidRPr="00976D1C">
          <w:t>9</w:t>
        </w:r>
      </w:fldSimple>
      <w:r w:rsidRPr="00976D1C">
        <w:t>: Projected number of services per population by remoteness areas, 2012 to 2025</w:t>
      </w:r>
      <w:bookmarkEnd w:id="61"/>
    </w:p>
    <w:p w14:paraId="6E279DD8" w14:textId="41854EBF" w:rsidR="006023C7" w:rsidRPr="00976D1C" w:rsidRDefault="006023C7" w:rsidP="00EC4213">
      <w:r w:rsidRPr="00976D1C">
        <w:rPr>
          <w:noProof/>
          <w:lang w:eastAsia="en-AU"/>
        </w:rPr>
        <w:drawing>
          <wp:inline distT="0" distB="0" distL="0" distR="0" wp14:anchorId="1296A5E5" wp14:editId="648C6925">
            <wp:extent cx="5743575" cy="2705100"/>
            <wp:effectExtent l="0" t="0" r="9525" b="0"/>
            <wp:docPr id="15" name="Picture 15" descr="The figure shows oral health services received per person for the total population compared with those living in major cities, inner regional, outer regional and remote/very remote areas. " title="Projected number of services per population by remoteness area from 2012 to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42940" cy="2704801"/>
                    </a:xfrm>
                    <a:prstGeom prst="rect">
                      <a:avLst/>
                    </a:prstGeom>
                    <a:noFill/>
                  </pic:spPr>
                </pic:pic>
              </a:graphicData>
            </a:graphic>
          </wp:inline>
        </w:drawing>
      </w:r>
    </w:p>
    <w:p w14:paraId="52AC83A0" w14:textId="203A2721" w:rsidR="00737FB3" w:rsidRPr="00976D1C" w:rsidRDefault="00737FB3" w:rsidP="00EC4213">
      <w:pPr>
        <w:pStyle w:val="Heading1"/>
      </w:pPr>
      <w:bookmarkStart w:id="62" w:name="_Toc407634425"/>
      <w:r w:rsidRPr="00976D1C">
        <w:lastRenderedPageBreak/>
        <w:t>What would happen if we increased services to populations</w:t>
      </w:r>
      <w:r w:rsidR="00637685" w:rsidRPr="00976D1C">
        <w:t xml:space="preserve"> </w:t>
      </w:r>
      <w:r w:rsidR="00625BB4" w:rsidRPr="00976D1C">
        <w:t>identified for specific action?</w:t>
      </w:r>
      <w:bookmarkEnd w:id="62"/>
    </w:p>
    <w:p w14:paraId="2CB4E644" w14:textId="73D69782" w:rsidR="00D86935" w:rsidRPr="00976D1C" w:rsidRDefault="00960E47" w:rsidP="00EC4213">
      <w:r w:rsidRPr="00976D1C">
        <w:t>The sections above clearly show dental visiting patterns for th</w:t>
      </w:r>
      <w:r w:rsidR="00625BB4" w:rsidRPr="00976D1C">
        <w:t>ose populations identified for specific action for improving oral health</w:t>
      </w:r>
      <w:r w:rsidRPr="00976D1C">
        <w:t xml:space="preserve"> are generally lower than that of the total population.</w:t>
      </w:r>
      <w:r w:rsidR="00625BB4" w:rsidRPr="00976D1C">
        <w:t xml:space="preserve"> </w:t>
      </w:r>
      <w:r w:rsidR="00D86935" w:rsidRPr="00976D1C">
        <w:t>HWA’s</w:t>
      </w:r>
      <w:r w:rsidRPr="00976D1C">
        <w:t xml:space="preserve"> </w:t>
      </w:r>
      <w:r w:rsidR="00A06400" w:rsidRPr="00976D1C">
        <w:t xml:space="preserve">overall </w:t>
      </w:r>
      <w:r w:rsidRPr="00976D1C">
        <w:t xml:space="preserve">oral health </w:t>
      </w:r>
      <w:r w:rsidR="00154502" w:rsidRPr="00976D1C">
        <w:t xml:space="preserve">workforce planning results show extra capacity exists within the </w:t>
      </w:r>
      <w:r w:rsidR="00520B93" w:rsidRPr="00976D1C">
        <w:rPr>
          <w:szCs w:val="20"/>
        </w:rPr>
        <w:t xml:space="preserve">workforce. Additionally, evidence exists to suggest </w:t>
      </w:r>
      <w:r w:rsidR="00520B93" w:rsidRPr="00976D1C">
        <w:rPr>
          <w:szCs w:val="20"/>
          <w:lang w:eastAsia="en-AU"/>
        </w:rPr>
        <w:t>dental visiting patterns influence oral health outcomes. For example, individuals who visit regularly are more likely (than those who do not) to report that their oral health has a positive effect on their quality of life</w:t>
      </w:r>
      <w:r w:rsidR="00520B93" w:rsidRPr="00A90656">
        <w:rPr>
          <w:rStyle w:val="EndnoteReference"/>
        </w:rPr>
        <w:endnoteReference w:id="43"/>
      </w:r>
      <w:r w:rsidR="00520B93" w:rsidRPr="00976D1C">
        <w:rPr>
          <w:szCs w:val="20"/>
          <w:lang w:eastAsia="en-AU"/>
        </w:rPr>
        <w:t>, and adults who usually made a dental visit once a year or more have fewer missing teeth on average (five) than those who usually visited once every two years (six) or less than once every two years (seven).</w:t>
      </w:r>
      <w:r w:rsidR="00520B93" w:rsidRPr="00A90656">
        <w:rPr>
          <w:rStyle w:val="EndnoteReference"/>
        </w:rPr>
        <w:endnoteReference w:id="44"/>
      </w:r>
      <w:r w:rsidR="0043219E" w:rsidRPr="00976D1C">
        <w:rPr>
          <w:szCs w:val="20"/>
          <w:lang w:eastAsia="en-AU"/>
        </w:rPr>
        <w:t xml:space="preserve"> </w:t>
      </w:r>
      <w:r w:rsidR="00D86935" w:rsidRPr="00976D1C">
        <w:rPr>
          <w:szCs w:val="20"/>
          <w:lang w:eastAsia="en-AU"/>
        </w:rPr>
        <w:t>Th</w:t>
      </w:r>
      <w:r w:rsidR="003D2610" w:rsidRPr="00976D1C">
        <w:rPr>
          <w:szCs w:val="20"/>
          <w:lang w:eastAsia="en-AU"/>
        </w:rPr>
        <w:t xml:space="preserve">erefore, it can be assumed that </w:t>
      </w:r>
      <w:r w:rsidR="00625BB4" w:rsidRPr="00976D1C">
        <w:rPr>
          <w:szCs w:val="20"/>
          <w:lang w:eastAsia="en-AU"/>
        </w:rPr>
        <w:t>if the</w:t>
      </w:r>
      <w:r w:rsidR="00ED3030" w:rsidRPr="00976D1C">
        <w:rPr>
          <w:szCs w:val="20"/>
          <w:lang w:eastAsia="en-AU"/>
        </w:rPr>
        <w:t xml:space="preserve"> number of oral health services accessed by those identified populations</w:t>
      </w:r>
      <w:r w:rsidR="00625BB4" w:rsidRPr="00976D1C">
        <w:rPr>
          <w:szCs w:val="20"/>
          <w:lang w:eastAsia="en-AU"/>
        </w:rPr>
        <w:t xml:space="preserve"> increased, this would result in </w:t>
      </w:r>
      <w:r w:rsidR="00D86935" w:rsidRPr="00976D1C">
        <w:rPr>
          <w:szCs w:val="20"/>
          <w:lang w:eastAsia="en-AU"/>
        </w:rPr>
        <w:t>improved oral health.</w:t>
      </w:r>
    </w:p>
    <w:p w14:paraId="4144745B" w14:textId="359640E0" w:rsidR="00D86935" w:rsidRPr="00976D1C" w:rsidRDefault="00625BB4" w:rsidP="00EC4213">
      <w:r w:rsidRPr="00976D1C">
        <w:rPr>
          <w:lang w:eastAsia="en-AU"/>
        </w:rPr>
        <w:t>R</w:t>
      </w:r>
      <w:r w:rsidR="003D2610" w:rsidRPr="00976D1C">
        <w:rPr>
          <w:lang w:eastAsia="en-AU"/>
        </w:rPr>
        <w:t xml:space="preserve">ecognising that a sustainable health workforce is about services being provided where they are most needed to prevent poorer health outcomes (as well as having the right number of oral health professionals providing services), HWA has examined the impact on the </w:t>
      </w:r>
      <w:r w:rsidR="00D86935" w:rsidRPr="00976D1C">
        <w:t xml:space="preserve">workforce planning projections of increasing workforce demand, to represent increased services accessed by those </w:t>
      </w:r>
      <w:r w:rsidRPr="00976D1C">
        <w:t xml:space="preserve">identified </w:t>
      </w:r>
      <w:r w:rsidR="00D86935" w:rsidRPr="00976D1C">
        <w:t xml:space="preserve">populations. </w:t>
      </w:r>
    </w:p>
    <w:p w14:paraId="351F4C5C" w14:textId="7B45A3A9" w:rsidR="00154502" w:rsidRPr="00976D1C" w:rsidRDefault="00D86935" w:rsidP="00EC4213">
      <w:r w:rsidRPr="00976D1C">
        <w:rPr>
          <w:lang w:eastAsia="en-AU"/>
        </w:rPr>
        <w:t xml:space="preserve">In this section, </w:t>
      </w:r>
      <w:r w:rsidRPr="00976D1C">
        <w:t>information and caveats relating to how this was conducted is presented first, followed by the workforce planning projection results</w:t>
      </w:r>
      <w:r w:rsidR="00A06400" w:rsidRPr="00976D1C">
        <w:t xml:space="preserve">. </w:t>
      </w:r>
    </w:p>
    <w:p w14:paraId="3B2DA9E9" w14:textId="71654D92" w:rsidR="005C6892" w:rsidRPr="00976D1C" w:rsidRDefault="00B26A28" w:rsidP="00EC4213">
      <w:pPr>
        <w:pStyle w:val="Heading2"/>
      </w:pPr>
      <w:bookmarkStart w:id="63" w:name="_Toc407634426"/>
      <w:r w:rsidRPr="00976D1C">
        <w:t>Projecting workforce supply</w:t>
      </w:r>
      <w:bookmarkEnd w:id="63"/>
    </w:p>
    <w:p w14:paraId="56BF2C48" w14:textId="2669693C" w:rsidR="00FD7A89" w:rsidRPr="00976D1C" w:rsidRDefault="00B26A28" w:rsidP="00EC4213">
      <w:r w:rsidRPr="00976D1C">
        <w:t>There is no change in the workforce supply projections contained in this analysis from those presented in the comparison scenario</w:t>
      </w:r>
      <w:r w:rsidR="001F0F8C" w:rsidRPr="00976D1C">
        <w:t xml:space="preserve"> earlier in this publication</w:t>
      </w:r>
      <w:r w:rsidRPr="00976D1C">
        <w:t xml:space="preserve">. This is because the analysis </w:t>
      </w:r>
      <w:r w:rsidR="00FE369D" w:rsidRPr="00976D1C">
        <w:t xml:space="preserve">of those populations identified for specific action </w:t>
      </w:r>
      <w:r w:rsidRPr="00976D1C">
        <w:t xml:space="preserve">only focuses on changing </w:t>
      </w:r>
      <w:r w:rsidR="0055446E" w:rsidRPr="00976D1C">
        <w:t>utilisation rates, which are then transferred into expressed demand measures. Therefore only workforce demand is affected.</w:t>
      </w:r>
    </w:p>
    <w:p w14:paraId="096B417C" w14:textId="12DAD69F" w:rsidR="00FD7A89" w:rsidRPr="00976D1C" w:rsidRDefault="00B26A28" w:rsidP="00EC4213">
      <w:pPr>
        <w:pStyle w:val="Heading2"/>
      </w:pPr>
      <w:bookmarkStart w:id="64" w:name="_Toc407634427"/>
      <w:r w:rsidRPr="00976D1C">
        <w:t>Projecting workforce demand</w:t>
      </w:r>
      <w:bookmarkEnd w:id="64"/>
    </w:p>
    <w:p w14:paraId="656C8EC6" w14:textId="06B4EB58" w:rsidR="006C055A" w:rsidRPr="00976D1C" w:rsidRDefault="00CE05E0" w:rsidP="00EC4213">
      <w:pPr>
        <w:rPr>
          <w:lang w:eastAsia="en-AU"/>
        </w:rPr>
      </w:pPr>
      <w:r w:rsidRPr="00976D1C">
        <w:rPr>
          <w:lang w:eastAsia="en-AU"/>
        </w:rPr>
        <w:t>D</w:t>
      </w:r>
      <w:r w:rsidR="006C055A" w:rsidRPr="00976D1C">
        <w:rPr>
          <w:lang w:eastAsia="en-AU"/>
        </w:rPr>
        <w:t xml:space="preserve">emand projections </w:t>
      </w:r>
      <w:r w:rsidR="00A217E6" w:rsidRPr="00976D1C">
        <w:rPr>
          <w:lang w:eastAsia="en-AU"/>
        </w:rPr>
        <w:t xml:space="preserve">for the oral health workforce </w:t>
      </w:r>
      <w:r w:rsidR="006C055A" w:rsidRPr="00976D1C">
        <w:rPr>
          <w:lang w:eastAsia="en-AU"/>
        </w:rPr>
        <w:t>employed the utilisation method – which measures expressed demand, and is based on utilisation patterns as they currently exist for</w:t>
      </w:r>
      <w:r w:rsidR="00A70366" w:rsidRPr="00976D1C">
        <w:rPr>
          <w:lang w:eastAsia="en-AU"/>
        </w:rPr>
        <w:t xml:space="preserve"> population</w:t>
      </w:r>
      <w:r w:rsidR="006C055A" w:rsidRPr="00976D1C">
        <w:rPr>
          <w:lang w:eastAsia="en-AU"/>
        </w:rPr>
        <w:t xml:space="preserve"> five-year age and gender cohorts</w:t>
      </w:r>
      <w:r w:rsidRPr="00976D1C">
        <w:rPr>
          <w:lang w:eastAsia="en-AU"/>
        </w:rPr>
        <w:t xml:space="preserve"> (with any potential unmet need not accounted for). </w:t>
      </w:r>
    </w:p>
    <w:p w14:paraId="1AA062FD" w14:textId="7A1953C6" w:rsidR="00AD4555" w:rsidRPr="00976D1C" w:rsidRDefault="004E2841" w:rsidP="00EC4213">
      <w:r w:rsidRPr="00976D1C">
        <w:t xml:space="preserve">The information above clearly shows expressed demand rates for each population </w:t>
      </w:r>
      <w:r w:rsidR="00A70366" w:rsidRPr="00976D1C">
        <w:t xml:space="preserve">identified for specific action </w:t>
      </w:r>
      <w:r w:rsidRPr="00976D1C">
        <w:t xml:space="preserve">vary substantially, and is generally lower, than that of the total population. </w:t>
      </w:r>
    </w:p>
    <w:p w14:paraId="70144C46" w14:textId="56E5D509" w:rsidR="00AD4555" w:rsidRPr="00976D1C" w:rsidRDefault="00AD4555" w:rsidP="00EC4213">
      <w:r w:rsidRPr="00976D1C">
        <w:lastRenderedPageBreak/>
        <w:t xml:space="preserve">The purpose of </w:t>
      </w:r>
      <w:r w:rsidRPr="00976D1C">
        <w:rPr>
          <w:i/>
        </w:rPr>
        <w:t>Australia’s National Oral Health Plan 2004</w:t>
      </w:r>
      <w:r w:rsidR="00890A3D" w:rsidRPr="00976D1C">
        <w:rPr>
          <w:i/>
        </w:rPr>
        <w:t xml:space="preserve"> </w:t>
      </w:r>
      <w:r w:rsidRPr="00976D1C">
        <w:rPr>
          <w:i/>
        </w:rPr>
        <w:t>–</w:t>
      </w:r>
      <w:r w:rsidR="00890A3D" w:rsidRPr="00976D1C">
        <w:rPr>
          <w:i/>
        </w:rPr>
        <w:t xml:space="preserve"> </w:t>
      </w:r>
      <w:r w:rsidRPr="00976D1C">
        <w:rPr>
          <w:i/>
        </w:rPr>
        <w:t>2013</w:t>
      </w:r>
      <w:r w:rsidRPr="00976D1C">
        <w:t xml:space="preserve"> was to improve health and wellbeing across the Australian population by improving oral health status and reducing the burden of oral disease, with specific action areas identified. </w:t>
      </w:r>
    </w:p>
    <w:p w14:paraId="296C774E" w14:textId="754103A8" w:rsidR="000A0405" w:rsidRPr="00976D1C" w:rsidRDefault="00AD4555" w:rsidP="00EC4213">
      <w:r w:rsidRPr="00976D1C">
        <w:t xml:space="preserve">For the purpose of this workforce planning projection exercise, </w:t>
      </w:r>
      <w:r w:rsidR="000A0405" w:rsidRPr="00976D1C">
        <w:t xml:space="preserve">and recognising a link exists between oral health and dental visiting patterns, it is </w:t>
      </w:r>
      <w:r w:rsidRPr="00976D1C">
        <w:t xml:space="preserve">assumed that increasing the number of </w:t>
      </w:r>
      <w:r w:rsidR="00AF0D32" w:rsidRPr="00976D1C">
        <w:t xml:space="preserve">oral health </w:t>
      </w:r>
      <w:r w:rsidRPr="00976D1C">
        <w:t xml:space="preserve">services accessed per member of </w:t>
      </w:r>
      <w:r w:rsidR="00BC129F" w:rsidRPr="00976D1C">
        <w:t>the population will result in improved oral health.</w:t>
      </w:r>
      <w:r w:rsidR="000A0405" w:rsidRPr="00976D1C">
        <w:t xml:space="preserve"> </w:t>
      </w:r>
      <w:r w:rsidR="00BC129F" w:rsidRPr="00976D1C">
        <w:t>Therefore, th</w:t>
      </w:r>
      <w:r w:rsidR="00AF0D32" w:rsidRPr="00976D1C">
        <w:t xml:space="preserve">is was the basis upon which the alternative scenarios for each of the </w:t>
      </w:r>
      <w:r w:rsidR="00A70366" w:rsidRPr="00976D1C">
        <w:t>identified</w:t>
      </w:r>
      <w:r w:rsidR="00FE369D" w:rsidRPr="00976D1C">
        <w:t xml:space="preserve"> populations</w:t>
      </w:r>
      <w:r w:rsidR="00AF0D32" w:rsidRPr="00976D1C">
        <w:t xml:space="preserve"> were developed. </w:t>
      </w:r>
    </w:p>
    <w:p w14:paraId="5308BBAA" w14:textId="6F002AE2" w:rsidR="006C2DAE" w:rsidRPr="00976D1C" w:rsidRDefault="006C2DAE" w:rsidP="00EC4213">
      <w:r w:rsidRPr="00976D1C">
        <w:t xml:space="preserve">For </w:t>
      </w:r>
      <w:r w:rsidR="00430B9E" w:rsidRPr="00976D1C">
        <w:t>th</w:t>
      </w:r>
      <w:r w:rsidR="00A70366" w:rsidRPr="00976D1C">
        <w:t xml:space="preserve">ose identified </w:t>
      </w:r>
      <w:r w:rsidRPr="00976D1C">
        <w:t xml:space="preserve">populations, the alternative expressed demand scenario was calculated as equivalent to 25 per cent of the number of services provided to the </w:t>
      </w:r>
      <w:r w:rsidR="00D06245" w:rsidRPr="00976D1C">
        <w:t xml:space="preserve">existing </w:t>
      </w:r>
      <w:r w:rsidR="00A70366" w:rsidRPr="00976D1C">
        <w:t>identified population</w:t>
      </w:r>
      <w:r w:rsidR="00D06245" w:rsidRPr="00976D1C">
        <w:t>. This was then added to the total oral health workforce demand in the comparison scenario, to generate an alternative expressed demand.</w:t>
      </w:r>
    </w:p>
    <w:p w14:paraId="048180BA" w14:textId="5DB9CED8" w:rsidR="00430B9E" w:rsidRPr="00976D1C" w:rsidRDefault="00430B9E" w:rsidP="00EC4213">
      <w:r w:rsidRPr="00976D1C">
        <w:t xml:space="preserve">Please note, this was not conducted for children, people with special needs and Aboriginal and Torres Strait Islander people due to data limitations. </w:t>
      </w:r>
    </w:p>
    <w:p w14:paraId="1948B07F" w14:textId="14A7C863" w:rsidR="00D86935" w:rsidRPr="00976D1C" w:rsidRDefault="00D86935" w:rsidP="00EC4213">
      <w:pPr>
        <w:pStyle w:val="Heading3"/>
        <w:rPr>
          <w:lang w:val="en-AU"/>
        </w:rPr>
      </w:pPr>
      <w:r w:rsidRPr="00976D1C">
        <w:rPr>
          <w:lang w:val="en-AU"/>
        </w:rPr>
        <w:t>Caveats</w:t>
      </w:r>
    </w:p>
    <w:p w14:paraId="54283CC2" w14:textId="597C08E5" w:rsidR="00164279" w:rsidRPr="00976D1C" w:rsidRDefault="00164279" w:rsidP="00EC4213">
      <w:r w:rsidRPr="00976D1C">
        <w:t>In interpreting the following workforce planning exercise, the following caveats must be noted:</w:t>
      </w:r>
    </w:p>
    <w:p w14:paraId="286BB444" w14:textId="65CB88EB" w:rsidR="00493A2D" w:rsidRPr="00976D1C" w:rsidRDefault="00164279" w:rsidP="00EC4213">
      <w:pPr>
        <w:pStyle w:val="ListParagraph"/>
        <w:numPr>
          <w:ilvl w:val="0"/>
          <w:numId w:val="43"/>
        </w:numPr>
        <w:rPr>
          <w:lang w:eastAsia="x-none"/>
        </w:rPr>
      </w:pPr>
      <w:r w:rsidRPr="00976D1C">
        <w:rPr>
          <w:lang w:eastAsia="x-none"/>
        </w:rPr>
        <w:t xml:space="preserve">The use of 25 per cent in the alternative scenario (increasing expressed demand by an amount </w:t>
      </w:r>
      <w:r w:rsidRPr="00976D1C">
        <w:t xml:space="preserve">equivalent to 25 per cent of the number of services provided to the existing population of interest) </w:t>
      </w:r>
      <w:r w:rsidR="00FD738C" w:rsidRPr="00976D1C">
        <w:t>is</w:t>
      </w:r>
      <w:r w:rsidRPr="00976D1C">
        <w:t xml:space="preserve"> an arbitrary figure</w:t>
      </w:r>
      <w:r w:rsidR="00FD738C" w:rsidRPr="00976D1C">
        <w:t>. It is not based on specific advice</w:t>
      </w:r>
      <w:r w:rsidR="00F85AF2" w:rsidRPr="00976D1C">
        <w:t>, it</w:t>
      </w:r>
      <w:r w:rsidR="00FD738C" w:rsidRPr="00976D1C">
        <w:t xml:space="preserve"> does not represent, and should not be interpreted as</w:t>
      </w:r>
      <w:r w:rsidR="00D44D91" w:rsidRPr="00976D1C">
        <w:t>,</w:t>
      </w:r>
      <w:r w:rsidR="00FD738C" w:rsidRPr="00976D1C">
        <w:t xml:space="preserve"> </w:t>
      </w:r>
      <w:r w:rsidR="00493A2D" w:rsidRPr="00976D1C">
        <w:rPr>
          <w:lang w:eastAsia="x-none"/>
        </w:rPr>
        <w:t>policy advice or a recommendation on an appropriate level of oral health service</w:t>
      </w:r>
      <w:r w:rsidR="00FD738C" w:rsidRPr="00976D1C">
        <w:rPr>
          <w:lang w:eastAsia="x-none"/>
        </w:rPr>
        <w:t xml:space="preserve">s for the populations </w:t>
      </w:r>
      <w:r w:rsidR="00A70366" w:rsidRPr="00976D1C">
        <w:rPr>
          <w:lang w:eastAsia="x-none"/>
        </w:rPr>
        <w:t>identified for specific action</w:t>
      </w:r>
      <w:r w:rsidR="00FD738C" w:rsidRPr="00976D1C">
        <w:rPr>
          <w:lang w:eastAsia="x-none"/>
        </w:rPr>
        <w:t>.</w:t>
      </w:r>
      <w:r w:rsidR="00493A2D" w:rsidRPr="00976D1C">
        <w:rPr>
          <w:lang w:eastAsia="x-none"/>
        </w:rPr>
        <w:t xml:space="preserve"> </w:t>
      </w:r>
    </w:p>
    <w:p w14:paraId="4654509D" w14:textId="4829C890" w:rsidR="00493A2D" w:rsidRPr="00976D1C" w:rsidRDefault="00164279" w:rsidP="00EC4213">
      <w:pPr>
        <w:pStyle w:val="ListParagraph"/>
        <w:numPr>
          <w:ilvl w:val="0"/>
          <w:numId w:val="43"/>
        </w:numPr>
        <w:rPr>
          <w:lang w:eastAsia="x-none"/>
        </w:rPr>
      </w:pPr>
      <w:r w:rsidRPr="00976D1C">
        <w:rPr>
          <w:lang w:eastAsia="x-none"/>
        </w:rPr>
        <w:t>Double</w:t>
      </w:r>
      <w:r w:rsidR="00D44D91" w:rsidRPr="00976D1C">
        <w:rPr>
          <w:lang w:eastAsia="x-none"/>
        </w:rPr>
        <w:t xml:space="preserve"> </w:t>
      </w:r>
      <w:r w:rsidR="00493A2D" w:rsidRPr="00976D1C">
        <w:rPr>
          <w:lang w:eastAsia="x-none"/>
        </w:rPr>
        <w:t>counting is likely to occur</w:t>
      </w:r>
      <w:r w:rsidR="00A70366" w:rsidRPr="00976D1C">
        <w:rPr>
          <w:lang w:eastAsia="x-none"/>
        </w:rPr>
        <w:t xml:space="preserve"> across the identified populations</w:t>
      </w:r>
      <w:r w:rsidR="00493A2D" w:rsidRPr="00976D1C">
        <w:rPr>
          <w:lang w:eastAsia="x-none"/>
        </w:rPr>
        <w:t xml:space="preserve">. For example, someone </w:t>
      </w:r>
      <w:r w:rsidRPr="00976D1C">
        <w:rPr>
          <w:lang w:eastAsia="x-none"/>
        </w:rPr>
        <w:t xml:space="preserve">may be in the older people cohort, </w:t>
      </w:r>
      <w:r w:rsidR="00493A2D" w:rsidRPr="00976D1C">
        <w:rPr>
          <w:lang w:eastAsia="x-none"/>
        </w:rPr>
        <w:t xml:space="preserve">and live in a </w:t>
      </w:r>
      <w:r w:rsidRPr="00976D1C">
        <w:rPr>
          <w:lang w:eastAsia="x-none"/>
        </w:rPr>
        <w:t xml:space="preserve">rural and remote area that also falls in ISRAD quintiles 1 or 2. </w:t>
      </w:r>
      <w:r w:rsidR="00493A2D" w:rsidRPr="00976D1C">
        <w:rPr>
          <w:lang w:eastAsia="x-none"/>
        </w:rPr>
        <w:t>Due to data const</w:t>
      </w:r>
      <w:r w:rsidR="00D44D91" w:rsidRPr="00976D1C">
        <w:rPr>
          <w:lang w:eastAsia="x-none"/>
        </w:rPr>
        <w:t>raints, this double counting was not able to be accounted for, and the magnitude of its impact on the workforce planning projections is unknown. Any double counting would have the effect of overstating the modelled increase in workforce demand.</w:t>
      </w:r>
      <w:r w:rsidR="0043219E" w:rsidRPr="00976D1C">
        <w:rPr>
          <w:lang w:eastAsia="x-none"/>
        </w:rPr>
        <w:t xml:space="preserve"> </w:t>
      </w:r>
    </w:p>
    <w:p w14:paraId="7C658B87" w14:textId="1A05A550" w:rsidR="00D86935" w:rsidRPr="00976D1C" w:rsidRDefault="00493A2D" w:rsidP="00EC4213">
      <w:r w:rsidRPr="00976D1C">
        <w:t>Given the</w:t>
      </w:r>
      <w:r w:rsidR="00D44D91" w:rsidRPr="00976D1C">
        <w:t>se cav</w:t>
      </w:r>
      <w:r w:rsidRPr="00976D1C">
        <w:t>eats, this workforce planning projection is</w:t>
      </w:r>
      <w:r w:rsidRPr="00976D1C">
        <w:rPr>
          <w:b/>
        </w:rPr>
        <w:t xml:space="preserve"> for illustrative purposes only</w:t>
      </w:r>
      <w:r w:rsidRPr="00976D1C">
        <w:t xml:space="preserve"> – to show the potential workforce impact of </w:t>
      </w:r>
      <w:r w:rsidRPr="00976D1C">
        <w:rPr>
          <w:lang w:eastAsia="en-AU"/>
        </w:rPr>
        <w:t xml:space="preserve">increasing the number of oral health services accessed for the populations of interest. </w:t>
      </w:r>
    </w:p>
    <w:p w14:paraId="5736A377" w14:textId="6629E0BF" w:rsidR="00CD499A" w:rsidRPr="00976D1C" w:rsidRDefault="00CD499A" w:rsidP="00EC4213">
      <w:pPr>
        <w:pStyle w:val="Heading3"/>
        <w:rPr>
          <w:lang w:val="en-AU"/>
        </w:rPr>
      </w:pPr>
      <w:r w:rsidRPr="00976D1C">
        <w:rPr>
          <w:lang w:val="en-AU"/>
        </w:rPr>
        <w:t xml:space="preserve">Older people </w:t>
      </w:r>
    </w:p>
    <w:p w14:paraId="1114540F" w14:textId="2D20C5DA" w:rsidR="006C2DAE" w:rsidRPr="00976D1C" w:rsidRDefault="006C2DAE" w:rsidP="00EC4213">
      <w:r w:rsidRPr="00976D1C">
        <w:t xml:space="preserve">Figure </w:t>
      </w:r>
      <w:r w:rsidR="00DC3122" w:rsidRPr="00976D1C">
        <w:t>10</w:t>
      </w:r>
      <w:r w:rsidRPr="00976D1C">
        <w:t xml:space="preserve"> presents the results of </w:t>
      </w:r>
      <w:r w:rsidR="00E47064" w:rsidRPr="00976D1C">
        <w:t xml:space="preserve">the </w:t>
      </w:r>
      <w:r w:rsidRPr="00976D1C">
        <w:t xml:space="preserve">alternative </w:t>
      </w:r>
      <w:r w:rsidR="008016A0" w:rsidRPr="00976D1C">
        <w:t>expressed demand scenario for those aged 65 years and over</w:t>
      </w:r>
      <w:r w:rsidRPr="00976D1C">
        <w:t>. It can clearly be seen that a 25 per</w:t>
      </w:r>
      <w:r w:rsidR="00B75072" w:rsidRPr="00976D1C">
        <w:t xml:space="preserve"> </w:t>
      </w:r>
      <w:r w:rsidRPr="00976D1C">
        <w:t xml:space="preserve">cent increase in services </w:t>
      </w:r>
      <w:r w:rsidR="00E47064" w:rsidRPr="00976D1C">
        <w:t xml:space="preserve">results in workforce supply and demand being almost in balance in 2015, </w:t>
      </w:r>
      <w:r w:rsidR="00E47064" w:rsidRPr="00976D1C">
        <w:lastRenderedPageBreak/>
        <w:t xml:space="preserve">after which </w:t>
      </w:r>
      <w:r w:rsidRPr="00976D1C">
        <w:t xml:space="preserve">the increase in demand can be managed </w:t>
      </w:r>
      <w:r w:rsidR="00BB57B8" w:rsidRPr="00976D1C">
        <w:t xml:space="preserve">within the </w:t>
      </w:r>
      <w:r w:rsidRPr="00976D1C">
        <w:t xml:space="preserve">existing projected workforce supply. </w:t>
      </w:r>
    </w:p>
    <w:p w14:paraId="087AE5E8" w14:textId="7E3493B2" w:rsidR="006C2DAE" w:rsidRPr="00976D1C" w:rsidRDefault="006C2DAE" w:rsidP="00EC4213">
      <w:pPr>
        <w:pStyle w:val="Caption"/>
      </w:pPr>
      <w:bookmarkStart w:id="65" w:name="_Toc407634467"/>
      <w:r w:rsidRPr="00976D1C">
        <w:t xml:space="preserve">Figure </w:t>
      </w:r>
      <w:fldSimple w:instr=" SEQ Figure \* ARABIC ">
        <w:r w:rsidR="00496730" w:rsidRPr="00976D1C">
          <w:t>10</w:t>
        </w:r>
      </w:fldSimple>
      <w:r w:rsidRPr="00976D1C">
        <w:t xml:space="preserve">: </w:t>
      </w:r>
      <w:r w:rsidR="00BB57B8" w:rsidRPr="00976D1C">
        <w:t>Oral health workforce, workforce supply and revised demand for those aged 65 years and over, 2012 to 2025</w:t>
      </w:r>
      <w:bookmarkEnd w:id="65"/>
    </w:p>
    <w:p w14:paraId="4BF0B3D8" w14:textId="7A544C6E" w:rsidR="006023C7" w:rsidRPr="00976D1C" w:rsidRDefault="006023C7" w:rsidP="00EC4213">
      <w:r w:rsidRPr="00976D1C">
        <w:rPr>
          <w:noProof/>
          <w:lang w:eastAsia="en-AU"/>
        </w:rPr>
        <w:drawing>
          <wp:inline distT="0" distB="0" distL="0" distR="0" wp14:anchorId="148BCDC2" wp14:editId="0157CDCB">
            <wp:extent cx="5394313" cy="2714625"/>
            <wp:effectExtent l="0" t="0" r="0" b="0"/>
            <wp:docPr id="16" name="Picture 16" descr="Figure 10 presents the results of the alternative expressed demand scenario for those aged 65 years and over. " title="Oral health workforce, workforce supply and revised demand for those aged 65 years and over 2012 to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401310" cy="2718146"/>
                    </a:xfrm>
                    <a:prstGeom prst="rect">
                      <a:avLst/>
                    </a:prstGeom>
                    <a:noFill/>
                  </pic:spPr>
                </pic:pic>
              </a:graphicData>
            </a:graphic>
          </wp:inline>
        </w:drawing>
      </w:r>
    </w:p>
    <w:p w14:paraId="3C3CD3DC" w14:textId="227FE2E7" w:rsidR="00CD499A" w:rsidRPr="00976D1C" w:rsidRDefault="00CD499A" w:rsidP="00EC4213">
      <w:pPr>
        <w:pStyle w:val="Heading3"/>
        <w:rPr>
          <w:lang w:val="en-AU"/>
        </w:rPr>
      </w:pPr>
      <w:r w:rsidRPr="00976D1C">
        <w:rPr>
          <w:lang w:val="en-AU"/>
        </w:rPr>
        <w:t>Low income and social disadvantage</w:t>
      </w:r>
    </w:p>
    <w:p w14:paraId="691986C4" w14:textId="61D34BA4" w:rsidR="006C2DAE" w:rsidRPr="00976D1C" w:rsidRDefault="006C2DAE" w:rsidP="00EC4213">
      <w:r w:rsidRPr="00976D1C">
        <w:t xml:space="preserve">Figure </w:t>
      </w:r>
      <w:r w:rsidR="00DC3122" w:rsidRPr="00976D1C">
        <w:t>11</w:t>
      </w:r>
      <w:r w:rsidRPr="00976D1C">
        <w:t xml:space="preserve"> shows the alternative expressed demand scenario for </w:t>
      </w:r>
      <w:r w:rsidR="006D1038" w:rsidRPr="00976D1C">
        <w:rPr>
          <w:szCs w:val="20"/>
          <w:lang w:eastAsia="en-AU"/>
        </w:rPr>
        <w:t xml:space="preserve">those with </w:t>
      </w:r>
      <w:r w:rsidR="006D1038" w:rsidRPr="00976D1C">
        <w:t xml:space="preserve">low income and social disadvantage, represented by IRSAD areas 1 and 2. </w:t>
      </w:r>
      <w:r w:rsidRPr="00976D1C">
        <w:t xml:space="preserve">It can be seen that the projected workforce supply has the capacity to cater </w:t>
      </w:r>
      <w:r w:rsidR="006D1038" w:rsidRPr="00976D1C">
        <w:t xml:space="preserve">for </w:t>
      </w:r>
      <w:r w:rsidRPr="00976D1C">
        <w:t>the additional demand created by a 25 per</w:t>
      </w:r>
      <w:r w:rsidR="000F41D2" w:rsidRPr="00976D1C">
        <w:t xml:space="preserve"> </w:t>
      </w:r>
      <w:r w:rsidRPr="00976D1C">
        <w:t>cent increase in services.</w:t>
      </w:r>
      <w:r w:rsidR="00905548" w:rsidRPr="00976D1C">
        <w:t xml:space="preserve"> </w:t>
      </w:r>
    </w:p>
    <w:p w14:paraId="27D01DD7" w14:textId="6A1F1801" w:rsidR="006C2DAE" w:rsidRPr="00976D1C" w:rsidRDefault="006C2DAE" w:rsidP="00EC4213">
      <w:pPr>
        <w:pStyle w:val="Caption"/>
      </w:pPr>
      <w:bookmarkStart w:id="66" w:name="_Toc407634468"/>
      <w:r w:rsidRPr="00976D1C">
        <w:t xml:space="preserve">Figure </w:t>
      </w:r>
      <w:fldSimple w:instr=" SEQ Figure \* ARABIC ">
        <w:r w:rsidR="00496730" w:rsidRPr="00976D1C">
          <w:t>11</w:t>
        </w:r>
      </w:fldSimple>
      <w:r w:rsidR="00BB57B8" w:rsidRPr="00976D1C">
        <w:t>: Oral health workforce, workforce supply and revised demand for low socioeconomic and at social disadvantage, 2012 to 2025</w:t>
      </w:r>
      <w:bookmarkEnd w:id="66"/>
    </w:p>
    <w:p w14:paraId="217C8CA3" w14:textId="7BD2771C" w:rsidR="006023C7" w:rsidRPr="00976D1C" w:rsidRDefault="006023C7" w:rsidP="00EC4213">
      <w:r w:rsidRPr="00976D1C">
        <w:rPr>
          <w:noProof/>
          <w:lang w:eastAsia="en-AU"/>
        </w:rPr>
        <w:drawing>
          <wp:inline distT="0" distB="0" distL="0" distR="0" wp14:anchorId="30529864" wp14:editId="3A35BEF6">
            <wp:extent cx="5401310" cy="2840990"/>
            <wp:effectExtent l="0" t="0" r="8890" b="0"/>
            <wp:docPr id="20" name="Picture 20" descr="Figure 11 shows the alternative expressed demand scenario for those with low income and social disadvantage, represented by IRSAD areas 1 and 2. It can be seen that the projected workforce supply has the capacity to cater for the additional demand created by a 25 per cent increase in services. " title="Oral health workforce, workforce supply and revised demand for low socioeconomic and at social disadvantage from 2012 to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401310" cy="2840990"/>
                    </a:xfrm>
                    <a:prstGeom prst="rect">
                      <a:avLst/>
                    </a:prstGeom>
                    <a:noFill/>
                  </pic:spPr>
                </pic:pic>
              </a:graphicData>
            </a:graphic>
          </wp:inline>
        </w:drawing>
      </w:r>
    </w:p>
    <w:p w14:paraId="58522F3A" w14:textId="77777777" w:rsidR="00CD499A" w:rsidRPr="00976D1C" w:rsidRDefault="00CD499A" w:rsidP="00EC4213">
      <w:pPr>
        <w:pStyle w:val="Heading3"/>
        <w:rPr>
          <w:lang w:val="en-AU"/>
        </w:rPr>
      </w:pPr>
      <w:r w:rsidRPr="00976D1C">
        <w:rPr>
          <w:lang w:val="en-AU"/>
        </w:rPr>
        <w:lastRenderedPageBreak/>
        <w:t>People living in rural and remote areas</w:t>
      </w:r>
    </w:p>
    <w:p w14:paraId="7A31872D" w14:textId="1B727760" w:rsidR="00F3327F" w:rsidRPr="00976D1C" w:rsidRDefault="006C2DAE" w:rsidP="00EC4213">
      <w:r w:rsidRPr="00976D1C">
        <w:t xml:space="preserve">Figure </w:t>
      </w:r>
      <w:r w:rsidR="00DC3122" w:rsidRPr="00976D1C">
        <w:t>12</w:t>
      </w:r>
      <w:r w:rsidRPr="00976D1C">
        <w:t xml:space="preserve"> presents the alternative expressed demand scenario for population by remoteness area. </w:t>
      </w:r>
      <w:r w:rsidR="00F3327F" w:rsidRPr="00976D1C">
        <w:t xml:space="preserve">Demand was increased for all RAs outside of major cities (which were clearly shown to access fewer oral health services per member of population than the total population, refer Figure </w:t>
      </w:r>
      <w:r w:rsidR="00DC3122" w:rsidRPr="00976D1C">
        <w:t>9</w:t>
      </w:r>
      <w:r w:rsidR="00F3327F" w:rsidRPr="00976D1C">
        <w:t xml:space="preserve">), except remote and very remote areas. </w:t>
      </w:r>
      <w:r w:rsidR="00455650" w:rsidRPr="00976D1C">
        <w:t xml:space="preserve">While Figure 5 shows those in remote and very remote areas also access fewer oral health services per member of the population, </w:t>
      </w:r>
      <w:r w:rsidR="0010478D" w:rsidRPr="00976D1C">
        <w:t xml:space="preserve">a </w:t>
      </w:r>
      <w:r w:rsidR="00455650" w:rsidRPr="00976D1C">
        <w:t xml:space="preserve">number of </w:t>
      </w:r>
      <w:r w:rsidR="00DA310F" w:rsidRPr="00976D1C">
        <w:t>programme</w:t>
      </w:r>
      <w:r w:rsidR="00455650" w:rsidRPr="00976D1C">
        <w:t>s already exist</w:t>
      </w:r>
      <w:r w:rsidR="00AA7F4B" w:rsidRPr="00976D1C">
        <w:t xml:space="preserve"> which are designed to improve </w:t>
      </w:r>
      <w:r w:rsidR="0010478D" w:rsidRPr="00976D1C">
        <w:t xml:space="preserve">access to </w:t>
      </w:r>
      <w:r w:rsidR="00AA7F4B" w:rsidRPr="00976D1C">
        <w:t>oral healt</w:t>
      </w:r>
      <w:r w:rsidR="0010478D" w:rsidRPr="00976D1C">
        <w:t xml:space="preserve">h services for </w:t>
      </w:r>
      <w:r w:rsidR="00AA7F4B" w:rsidRPr="00976D1C">
        <w:t>this population</w:t>
      </w:r>
      <w:r w:rsidR="0010478D" w:rsidRPr="00976D1C">
        <w:t xml:space="preserve">, for example the James Cook University rural outreach </w:t>
      </w:r>
      <w:r w:rsidR="00DA310F" w:rsidRPr="00976D1C">
        <w:t>programme</w:t>
      </w:r>
      <w:r w:rsidR="0010478D" w:rsidRPr="00976D1C">
        <w:t xml:space="preserve">, the Royal Flying Doctor Service TOOTH </w:t>
      </w:r>
      <w:r w:rsidR="00DA310F" w:rsidRPr="00976D1C">
        <w:t>programme</w:t>
      </w:r>
      <w:r w:rsidR="0010478D" w:rsidRPr="00976D1C">
        <w:t xml:space="preserve"> in New South Wales, and Mobile Dental Care in Victoria</w:t>
      </w:r>
      <w:r w:rsidR="00AA7F4B" w:rsidRPr="00976D1C">
        <w:t xml:space="preserve">. </w:t>
      </w:r>
      <w:r w:rsidR="00455650" w:rsidRPr="00976D1C">
        <w:t xml:space="preserve">The decision was therefore made to only show an increase in demand for services for those in inner regional and outer regional areas only. </w:t>
      </w:r>
    </w:p>
    <w:p w14:paraId="4B0D2D0D" w14:textId="0209B1BE" w:rsidR="006C2DAE" w:rsidRPr="00976D1C" w:rsidRDefault="006C2DAE" w:rsidP="00EC4213">
      <w:r w:rsidRPr="00976D1C">
        <w:t>It can be seen that apart from 2015 where the demand marginally exceeds supply, the additional demand created by a 25 per</w:t>
      </w:r>
      <w:r w:rsidR="000F41D2" w:rsidRPr="00976D1C">
        <w:t xml:space="preserve"> </w:t>
      </w:r>
      <w:r w:rsidRPr="00976D1C">
        <w:t>cent increase in services can be managed by the projected workforce supply.</w:t>
      </w:r>
      <w:r w:rsidR="00905548" w:rsidRPr="00976D1C">
        <w:t xml:space="preserve"> </w:t>
      </w:r>
    </w:p>
    <w:p w14:paraId="33840D2E" w14:textId="31C3A4B1" w:rsidR="006C2DAE" w:rsidRPr="00976D1C" w:rsidRDefault="006C2DAE" w:rsidP="00EC4213">
      <w:pPr>
        <w:pStyle w:val="Caption"/>
      </w:pPr>
      <w:bookmarkStart w:id="67" w:name="_Toc407634469"/>
      <w:r w:rsidRPr="00976D1C">
        <w:t xml:space="preserve">Figure </w:t>
      </w:r>
      <w:fldSimple w:instr=" SEQ Figure \* ARABIC ">
        <w:r w:rsidR="00496730" w:rsidRPr="00976D1C">
          <w:t>12</w:t>
        </w:r>
      </w:fldSimple>
      <w:r w:rsidR="00BB57B8" w:rsidRPr="00976D1C">
        <w:t xml:space="preserve">: Oral health workforce, workforce supply and revised demand by </w:t>
      </w:r>
      <w:r w:rsidR="006D1038" w:rsidRPr="00976D1C">
        <w:t xml:space="preserve">selected </w:t>
      </w:r>
      <w:r w:rsidR="00BB57B8" w:rsidRPr="00976D1C">
        <w:t>remoteness areas, 2012 to 2025</w:t>
      </w:r>
      <w:bookmarkEnd w:id="67"/>
    </w:p>
    <w:p w14:paraId="34475B7C" w14:textId="20A8EF00" w:rsidR="006023C7" w:rsidRPr="00976D1C" w:rsidRDefault="006023C7" w:rsidP="00EC4213">
      <w:r w:rsidRPr="00976D1C">
        <w:rPr>
          <w:noProof/>
          <w:lang w:eastAsia="en-AU"/>
        </w:rPr>
        <w:drawing>
          <wp:inline distT="0" distB="0" distL="0" distR="0" wp14:anchorId="3BD90508" wp14:editId="0B119304">
            <wp:extent cx="5619750" cy="3009900"/>
            <wp:effectExtent l="0" t="0" r="0" b="0"/>
            <wp:docPr id="21" name="Picture 21" descr="Figure 12 presents the alternative expressed demand scenario for population by remoteness area." title="Oral health workforce, workforce supply and revised demand by selected remoteness areas from 2012 to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621020" cy="3010580"/>
                    </a:xfrm>
                    <a:prstGeom prst="rect">
                      <a:avLst/>
                    </a:prstGeom>
                    <a:noFill/>
                  </pic:spPr>
                </pic:pic>
              </a:graphicData>
            </a:graphic>
          </wp:inline>
        </w:drawing>
      </w:r>
    </w:p>
    <w:p w14:paraId="091A8F73" w14:textId="4781A58B" w:rsidR="006F6688" w:rsidRPr="00976D1C" w:rsidRDefault="00FB69D9" w:rsidP="00EC4213">
      <w:pPr>
        <w:pStyle w:val="Heading3"/>
        <w:rPr>
          <w:lang w:val="en-AU"/>
        </w:rPr>
      </w:pPr>
      <w:r w:rsidRPr="00976D1C">
        <w:rPr>
          <w:lang w:val="en-AU"/>
        </w:rPr>
        <w:t xml:space="preserve">Aggregate population of interest </w:t>
      </w:r>
      <w:r w:rsidR="00FD7A89" w:rsidRPr="00976D1C">
        <w:rPr>
          <w:lang w:val="en-AU"/>
        </w:rPr>
        <w:t>workforce planning projection results</w:t>
      </w:r>
      <w:bookmarkStart w:id="68" w:name="_Toc359857685"/>
      <w:bookmarkStart w:id="69" w:name="_Toc372795401"/>
    </w:p>
    <w:p w14:paraId="26CE7D23" w14:textId="12BD63B4" w:rsidR="00361CE0" w:rsidRPr="00976D1C" w:rsidRDefault="006F6688" w:rsidP="00EC4213">
      <w:r w:rsidRPr="00976D1C">
        <w:t xml:space="preserve">The results of </w:t>
      </w:r>
      <w:r w:rsidR="00675772" w:rsidRPr="00976D1C">
        <w:t>the alternative scenario</w:t>
      </w:r>
      <w:r w:rsidR="00CD499A" w:rsidRPr="00976D1C">
        <w:t>s</w:t>
      </w:r>
      <w:r w:rsidR="00675772" w:rsidRPr="00976D1C">
        <w:t xml:space="preserve"> for </w:t>
      </w:r>
      <w:r w:rsidRPr="00976D1C">
        <w:t xml:space="preserve">older people, </w:t>
      </w:r>
      <w:r w:rsidR="006D1038" w:rsidRPr="00976D1C">
        <w:t xml:space="preserve">those </w:t>
      </w:r>
      <w:r w:rsidRPr="00976D1C">
        <w:t>with low</w:t>
      </w:r>
      <w:r w:rsidR="00675772" w:rsidRPr="00976D1C">
        <w:t xml:space="preserve"> income and at social disadvantage, </w:t>
      </w:r>
      <w:r w:rsidRPr="00976D1C">
        <w:t>and people living in</w:t>
      </w:r>
      <w:r w:rsidR="00675772" w:rsidRPr="00976D1C">
        <w:t xml:space="preserve"> non-metropolitan areas</w:t>
      </w:r>
      <w:r w:rsidRPr="00976D1C">
        <w:t xml:space="preserve"> </w:t>
      </w:r>
      <w:r w:rsidR="00C851BB" w:rsidRPr="00976D1C">
        <w:t>are</w:t>
      </w:r>
      <w:r w:rsidRPr="00976D1C">
        <w:t xml:space="preserve"> able to be a</w:t>
      </w:r>
      <w:r w:rsidR="00675772" w:rsidRPr="00976D1C">
        <w:t xml:space="preserve">dded to the total population comparison scenario </w:t>
      </w:r>
      <w:r w:rsidR="00361CE0" w:rsidRPr="00976D1C">
        <w:t>workforce projections, as</w:t>
      </w:r>
      <w:r w:rsidR="00803DF7" w:rsidRPr="00976D1C">
        <w:t xml:space="preserve"> they are all calculated using the same data source</w:t>
      </w:r>
      <w:r w:rsidR="006D1038" w:rsidRPr="00976D1C">
        <w:t xml:space="preserve"> (the ARCPOH NDTIS)</w:t>
      </w:r>
      <w:r w:rsidRPr="00976D1C">
        <w:t xml:space="preserve">. </w:t>
      </w:r>
    </w:p>
    <w:p w14:paraId="7C4A9E6B" w14:textId="796C8716" w:rsidR="004E66FE" w:rsidRPr="00976D1C" w:rsidRDefault="00361CE0" w:rsidP="00EC4213">
      <w:pPr>
        <w:rPr>
          <w:lang w:eastAsia="x-none"/>
        </w:rPr>
      </w:pPr>
      <w:r w:rsidRPr="00976D1C">
        <w:t xml:space="preserve">Figure </w:t>
      </w:r>
      <w:r w:rsidR="00DC3122" w:rsidRPr="00976D1C">
        <w:t xml:space="preserve">13 </w:t>
      </w:r>
      <w:r w:rsidRPr="00976D1C">
        <w:t>presents the results of this aggregation</w:t>
      </w:r>
      <w:r w:rsidR="006D1038" w:rsidRPr="00976D1C">
        <w:t xml:space="preserve">, which shows </w:t>
      </w:r>
      <w:r w:rsidRPr="00976D1C">
        <w:t xml:space="preserve">a </w:t>
      </w:r>
      <w:r w:rsidR="00C851BB" w:rsidRPr="00976D1C">
        <w:t xml:space="preserve">targeted increase in services to those selected populations </w:t>
      </w:r>
      <w:r w:rsidR="00591B20" w:rsidRPr="00976D1C">
        <w:t xml:space="preserve">identified for specific action </w:t>
      </w:r>
      <w:r w:rsidR="00591B20" w:rsidRPr="00976D1C">
        <w:rPr>
          <w:lang w:eastAsia="x-none"/>
        </w:rPr>
        <w:t xml:space="preserve">to improve oral </w:t>
      </w:r>
      <w:r w:rsidR="00591B20" w:rsidRPr="00976D1C">
        <w:rPr>
          <w:lang w:eastAsia="x-none"/>
        </w:rPr>
        <w:lastRenderedPageBreak/>
        <w:t xml:space="preserve">health outcomes. </w:t>
      </w:r>
      <w:r w:rsidR="00C851BB" w:rsidRPr="00976D1C">
        <w:t>It can clearly be seen that</w:t>
      </w:r>
      <w:r w:rsidR="004E66FE" w:rsidRPr="00976D1C">
        <w:t>, after a short period of demand exceeding supply (from 2015 to 201</w:t>
      </w:r>
      <w:r w:rsidR="006C2DAE" w:rsidRPr="00976D1C">
        <w:t>9</w:t>
      </w:r>
      <w:r w:rsidR="004E66FE" w:rsidRPr="00976D1C">
        <w:t>), the additional demand created by increasing services t</w:t>
      </w:r>
      <w:r w:rsidR="00342780" w:rsidRPr="00976D1C">
        <w:t xml:space="preserve">he identified </w:t>
      </w:r>
      <w:r w:rsidR="004E66FE" w:rsidRPr="00976D1C">
        <w:t>populations can be managed within the</w:t>
      </w:r>
      <w:r w:rsidR="000F41D2" w:rsidRPr="00976D1C">
        <w:t xml:space="preserve"> existing projected workforce – </w:t>
      </w:r>
      <w:r w:rsidR="004E66FE" w:rsidRPr="00976D1C">
        <w:t>without a need to introduce new entrants (through domestic education or immigration</w:t>
      </w:r>
      <w:r w:rsidR="001F768B" w:rsidRPr="00976D1C">
        <w:t>, beyond what is already included in the projections</w:t>
      </w:r>
      <w:r w:rsidR="004E66FE" w:rsidRPr="00976D1C">
        <w:t xml:space="preserve">). </w:t>
      </w:r>
    </w:p>
    <w:p w14:paraId="441EE3DF" w14:textId="2CC917DA" w:rsidR="006C2DAE" w:rsidRPr="00976D1C" w:rsidRDefault="00430B9E" w:rsidP="00EC4213">
      <w:pPr>
        <w:pStyle w:val="Caption"/>
      </w:pPr>
      <w:bookmarkStart w:id="70" w:name="_Toc407634470"/>
      <w:r w:rsidRPr="00976D1C">
        <w:t>F</w:t>
      </w:r>
      <w:r w:rsidR="006C2DAE" w:rsidRPr="00976D1C">
        <w:t xml:space="preserve">igure </w:t>
      </w:r>
      <w:fldSimple w:instr=" SEQ Figure \* ARABIC ">
        <w:r w:rsidR="00496730" w:rsidRPr="00976D1C">
          <w:t>13</w:t>
        </w:r>
      </w:fldSimple>
      <w:r w:rsidR="006D1038" w:rsidRPr="00976D1C">
        <w:t>:</w:t>
      </w:r>
      <w:r w:rsidR="00BB57B8" w:rsidRPr="00976D1C">
        <w:t xml:space="preserve"> Oral health workforce, workforce supply and </w:t>
      </w:r>
      <w:r w:rsidR="001456E6" w:rsidRPr="00976D1C">
        <w:t xml:space="preserve">aggregate </w:t>
      </w:r>
      <w:r w:rsidR="00BB57B8" w:rsidRPr="00976D1C">
        <w:t>revised demand, 2012 to 2025</w:t>
      </w:r>
      <w:bookmarkEnd w:id="70"/>
    </w:p>
    <w:p w14:paraId="7FF1B41E" w14:textId="44B972AC" w:rsidR="006023C7" w:rsidRPr="00976D1C" w:rsidRDefault="006023C7" w:rsidP="00EC4213">
      <w:r w:rsidRPr="00976D1C">
        <w:rPr>
          <w:noProof/>
          <w:lang w:eastAsia="en-AU"/>
        </w:rPr>
        <w:drawing>
          <wp:inline distT="0" distB="0" distL="0" distR="0" wp14:anchorId="3C74683E" wp14:editId="49D57F1D">
            <wp:extent cx="5742940" cy="3432175"/>
            <wp:effectExtent l="0" t="0" r="0" b="0"/>
            <wp:docPr id="28" name="Picture 28" descr="Figure 13 presents the results of this aggregation, which shows a targeted increase in services to those selected populations identified for specific action to improve oral health outcomes. " title="Oral health workforce, workforce supply and aggregate revised demand from 2012 to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42940" cy="3432175"/>
                    </a:xfrm>
                    <a:prstGeom prst="rect">
                      <a:avLst/>
                    </a:prstGeom>
                    <a:noFill/>
                  </pic:spPr>
                </pic:pic>
              </a:graphicData>
            </a:graphic>
          </wp:inline>
        </w:drawing>
      </w:r>
    </w:p>
    <w:p w14:paraId="214AE8D1" w14:textId="65C6F1B9" w:rsidR="001456E6" w:rsidRPr="00976D1C" w:rsidRDefault="001456E6" w:rsidP="00EC4213">
      <w:r w:rsidRPr="00976D1C">
        <w:t xml:space="preserve">The revised aggregate demand shown in Figure </w:t>
      </w:r>
      <w:r w:rsidR="00DC3122" w:rsidRPr="00976D1C">
        <w:t>13</w:t>
      </w:r>
      <w:r w:rsidRPr="00976D1C">
        <w:t xml:space="preserve">, which results in workforce demand exceeding supply in the short-term, assumes that the full amount of additional demand (services accessed) is experienced immediately. </w:t>
      </w:r>
    </w:p>
    <w:p w14:paraId="0CD6BD01" w14:textId="59CF8EBA" w:rsidR="00EA25BB" w:rsidRPr="00976D1C" w:rsidRDefault="00EA25BB" w:rsidP="00EC4213">
      <w:r w:rsidRPr="00976D1C">
        <w:t xml:space="preserve">The additional demand created by increasing services to populations of interest </w:t>
      </w:r>
      <w:r w:rsidR="00870E40" w:rsidRPr="00976D1C">
        <w:t>could</w:t>
      </w:r>
      <w:r w:rsidRPr="00976D1C">
        <w:t xml:space="preserve"> be managed within the existing workforce through an incremental increase in services. Figure </w:t>
      </w:r>
      <w:r w:rsidR="00DC3122" w:rsidRPr="00976D1C">
        <w:t>14</w:t>
      </w:r>
      <w:r w:rsidRPr="00976D1C">
        <w:t xml:space="preserve"> shows workforce demand modelled on an incremental increase in services (of five per cent per annum) in the short-term (from 2015 to 2019). This results in that additional demand being managed within the projected workforce supply. From 2019, the full additional demand created by increasing services to the selected populations of interest can be managed within the existing projected workforce.</w:t>
      </w:r>
      <w:r w:rsidR="00905548" w:rsidRPr="00976D1C">
        <w:t xml:space="preserve"> </w:t>
      </w:r>
    </w:p>
    <w:p w14:paraId="6877970E" w14:textId="360AB3AB" w:rsidR="006C2DAE" w:rsidRPr="00976D1C" w:rsidRDefault="006C2DAE" w:rsidP="00EC4213">
      <w:pPr>
        <w:pStyle w:val="Caption"/>
      </w:pPr>
      <w:bookmarkStart w:id="71" w:name="_Toc407634471"/>
      <w:r w:rsidRPr="00976D1C">
        <w:lastRenderedPageBreak/>
        <w:t xml:space="preserve">Figure </w:t>
      </w:r>
      <w:fldSimple w:instr=" SEQ Figure \* ARABIC ">
        <w:r w:rsidR="00496730" w:rsidRPr="00976D1C">
          <w:t>14</w:t>
        </w:r>
      </w:fldSimple>
      <w:r w:rsidRPr="00976D1C">
        <w:t xml:space="preserve">: Oral health workforce, </w:t>
      </w:r>
      <w:r w:rsidR="006D1038" w:rsidRPr="00976D1C">
        <w:t xml:space="preserve">workforce supply </w:t>
      </w:r>
      <w:r w:rsidRPr="00976D1C">
        <w:t xml:space="preserve">and </w:t>
      </w:r>
      <w:r w:rsidR="001456E6" w:rsidRPr="00976D1C">
        <w:t xml:space="preserve">incremental aggregate </w:t>
      </w:r>
      <w:r w:rsidRPr="00976D1C">
        <w:t>revised demand projections, 2012 to 2025</w:t>
      </w:r>
      <w:bookmarkEnd w:id="71"/>
    </w:p>
    <w:p w14:paraId="3213A52E" w14:textId="63A6EC53" w:rsidR="006023C7" w:rsidRPr="00976D1C" w:rsidRDefault="006023C7" w:rsidP="00EC4213">
      <w:r w:rsidRPr="00976D1C">
        <w:rPr>
          <w:noProof/>
          <w:lang w:eastAsia="en-AU"/>
        </w:rPr>
        <w:drawing>
          <wp:inline distT="0" distB="0" distL="0" distR="0" wp14:anchorId="43745F35" wp14:editId="07DE9FEA">
            <wp:extent cx="5742940" cy="3389630"/>
            <wp:effectExtent l="0" t="0" r="0" b="1270"/>
            <wp:docPr id="29" name="Picture 29" descr="Figure 14 shows workforce demand modelled on an incremental increase in services (of five per cent per annum) in the short-term (from 2015 to 2019). From 2019 the full additional demand created by increading services to the selected populations of interest can be managed within the existing projected workforce" title="Oral health workforce, workforce supply and incremental aggregate revised demand projections from 2012 to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42940" cy="3389630"/>
                    </a:xfrm>
                    <a:prstGeom prst="rect">
                      <a:avLst/>
                    </a:prstGeom>
                    <a:noFill/>
                  </pic:spPr>
                </pic:pic>
              </a:graphicData>
            </a:graphic>
          </wp:inline>
        </w:drawing>
      </w:r>
    </w:p>
    <w:p w14:paraId="01C6377F" w14:textId="020EF1F6" w:rsidR="00135470" w:rsidRPr="00976D1C" w:rsidRDefault="000A0405" w:rsidP="00EC4213">
      <w:pPr>
        <w:pStyle w:val="Heading1"/>
      </w:pPr>
      <w:bookmarkStart w:id="72" w:name="_Toc407634428"/>
      <w:bookmarkEnd w:id="68"/>
      <w:bookmarkEnd w:id="69"/>
      <w:r w:rsidRPr="00976D1C">
        <w:lastRenderedPageBreak/>
        <w:t>Conclusion</w:t>
      </w:r>
      <w:bookmarkEnd w:id="72"/>
    </w:p>
    <w:p w14:paraId="2F8516A5" w14:textId="36608F68" w:rsidR="00197446" w:rsidRPr="00976D1C" w:rsidRDefault="00197446" w:rsidP="00EC4213">
      <w:r w:rsidRPr="00976D1C">
        <w:t>Workforce planning projections for the oral health workforce</w:t>
      </w:r>
      <w:r w:rsidR="00134947" w:rsidRPr="00976D1C">
        <w:t>,</w:t>
      </w:r>
      <w:r w:rsidRPr="00976D1C">
        <w:t xml:space="preserve"> </w:t>
      </w:r>
      <w:r w:rsidR="0074581D" w:rsidRPr="00976D1C">
        <w:t>based on current utilisation patterns</w:t>
      </w:r>
      <w:r w:rsidR="00134947" w:rsidRPr="00976D1C">
        <w:t>,</w:t>
      </w:r>
      <w:r w:rsidR="000D7ACA" w:rsidRPr="00976D1C">
        <w:t xml:space="preserve"> </w:t>
      </w:r>
      <w:r w:rsidRPr="00976D1C">
        <w:t>clearly demonstrate extra capacity exists within the current and future workforce. Extensive literature exists highlighting inequalities in access to oral health services, focused around specific populations of interest.</w:t>
      </w:r>
    </w:p>
    <w:p w14:paraId="05DB3D48" w14:textId="6D2314B0" w:rsidR="00197446" w:rsidRPr="00976D1C" w:rsidRDefault="00197446" w:rsidP="00EC4213">
      <w:r w:rsidRPr="00976D1C">
        <w:t xml:space="preserve">The workforce planning analysis conducted by HWA, where those populations of interest have an increased level of expressed demand applied, still results in </w:t>
      </w:r>
      <w:r w:rsidR="00461651" w:rsidRPr="00976D1C">
        <w:t xml:space="preserve">the </w:t>
      </w:r>
      <w:r w:rsidRPr="00976D1C">
        <w:t xml:space="preserve">supply of the oral health workforce exceeding </w:t>
      </w:r>
      <w:r w:rsidR="00461651" w:rsidRPr="00976D1C">
        <w:t xml:space="preserve">expressed </w:t>
      </w:r>
      <w:r w:rsidRPr="00976D1C">
        <w:t>demand for services in 2025. This analysis clearly indicates there is scope to effect change and support better</w:t>
      </w:r>
      <w:r w:rsidR="00461651" w:rsidRPr="00976D1C">
        <w:t xml:space="preserve"> health outcomes for those populations of interest, with</w:t>
      </w:r>
      <w:r w:rsidR="00B1796C" w:rsidRPr="00976D1C">
        <w:t>in</w:t>
      </w:r>
      <w:r w:rsidR="00BE7759" w:rsidRPr="00976D1C">
        <w:t xml:space="preserve"> the scope of the projected new entrants to the workforce (</w:t>
      </w:r>
      <w:r w:rsidRPr="00976D1C">
        <w:t xml:space="preserve">through domestic education </w:t>
      </w:r>
      <w:r w:rsidR="0069184E" w:rsidRPr="00976D1C">
        <w:t>and</w:t>
      </w:r>
      <w:r w:rsidRPr="00976D1C">
        <w:t xml:space="preserve"> immigration). </w:t>
      </w:r>
    </w:p>
    <w:p w14:paraId="364E1F88" w14:textId="77777777" w:rsidR="00EA25BB" w:rsidRPr="00976D1C" w:rsidRDefault="00EA25BB" w:rsidP="00EC4213">
      <w:pPr>
        <w:sectPr w:rsidR="00EA25BB" w:rsidRPr="00976D1C" w:rsidSect="00A3210C">
          <w:headerReference w:type="even" r:id="rId33"/>
          <w:headerReference w:type="default" r:id="rId34"/>
          <w:headerReference w:type="first" r:id="rId35"/>
          <w:endnotePr>
            <w:numFmt w:val="decimal"/>
          </w:endnotePr>
          <w:pgSz w:w="11906" w:h="16838"/>
          <w:pgMar w:top="1440" w:right="1440" w:bottom="1440" w:left="1440" w:header="708" w:footer="708" w:gutter="0"/>
          <w:pgBorders w:offsetFrom="page">
            <w:right w:val="single" w:sz="4" w:space="24" w:color="FFFFFF" w:themeColor="background1"/>
          </w:pgBorders>
          <w:pgNumType w:start="1"/>
          <w:cols w:space="708"/>
          <w:docGrid w:linePitch="360"/>
        </w:sectPr>
      </w:pPr>
      <w:bookmarkStart w:id="73" w:name="_Toc377045785"/>
    </w:p>
    <w:p w14:paraId="63D75FB5" w14:textId="62B5B3C7" w:rsidR="005B3845" w:rsidRPr="00976D1C" w:rsidRDefault="005B3845" w:rsidP="00EC4213">
      <w:pPr>
        <w:pStyle w:val="Heading1"/>
      </w:pPr>
      <w:bookmarkStart w:id="74" w:name="_Toc380156546"/>
      <w:bookmarkStart w:id="75" w:name="_Toc407634429"/>
      <w:bookmarkStart w:id="76" w:name="_Toc379527343"/>
      <w:bookmarkStart w:id="77" w:name="_Toc377045982"/>
      <w:bookmarkEnd w:id="73"/>
      <w:r w:rsidRPr="00976D1C">
        <w:lastRenderedPageBreak/>
        <w:t xml:space="preserve">Appendix </w:t>
      </w:r>
      <w:r w:rsidR="00083221" w:rsidRPr="00976D1C">
        <w:t>A</w:t>
      </w:r>
      <w:r w:rsidRPr="00976D1C">
        <w:t xml:space="preserve"> – Current adult oral health services provided by the States and Territories</w:t>
      </w:r>
      <w:bookmarkEnd w:id="74"/>
      <w:bookmarkEnd w:id="75"/>
    </w:p>
    <w:tbl>
      <w:tblPr>
        <w:tblW w:w="1485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ayout w:type="fixed"/>
        <w:tblLook w:val="0480" w:firstRow="0" w:lastRow="0" w:firstColumn="1" w:lastColumn="0" w:noHBand="0" w:noVBand="1"/>
        <w:tblDescription w:val="appendix a - current adult oral health services provided by the states and territories "/>
      </w:tblPr>
      <w:tblGrid>
        <w:gridCol w:w="1242"/>
        <w:gridCol w:w="1985"/>
        <w:gridCol w:w="2835"/>
        <w:gridCol w:w="5528"/>
        <w:gridCol w:w="3260"/>
      </w:tblGrid>
      <w:tr w:rsidR="008B6DDD" w:rsidRPr="00A90656" w14:paraId="554AB3ED" w14:textId="77777777" w:rsidTr="00A72648">
        <w:trPr>
          <w:cantSplit/>
          <w:tblHeader/>
        </w:trPr>
        <w:tc>
          <w:tcPr>
            <w:tcW w:w="1242" w:type="dxa"/>
            <w:tcBorders>
              <w:top w:val="single" w:sz="4" w:space="0" w:color="FFFFFF" w:themeColor="background1"/>
            </w:tcBorders>
            <w:shd w:val="clear" w:color="auto" w:fill="0065A4"/>
          </w:tcPr>
          <w:p w14:paraId="54AC172F" w14:textId="6BC1467C" w:rsidR="008B6DDD" w:rsidRPr="00A90656" w:rsidRDefault="008B6DDD" w:rsidP="00EC4213">
            <w:pPr>
              <w:pStyle w:val="TableHeader"/>
            </w:pPr>
            <w:r w:rsidRPr="00A90656">
              <w:t>State / Territo</w:t>
            </w:r>
            <w:bookmarkStart w:id="78" w:name="ColumnTitle_AppendixA"/>
            <w:bookmarkEnd w:id="78"/>
            <w:r w:rsidRPr="00A90656">
              <w:t>ry</w:t>
            </w:r>
          </w:p>
        </w:tc>
        <w:tc>
          <w:tcPr>
            <w:tcW w:w="1985" w:type="dxa"/>
            <w:tcBorders>
              <w:top w:val="single" w:sz="4" w:space="0" w:color="FFFFFF" w:themeColor="background1"/>
            </w:tcBorders>
            <w:shd w:val="clear" w:color="auto" w:fill="0065A4"/>
          </w:tcPr>
          <w:p w14:paraId="690251D2" w14:textId="68A99C30" w:rsidR="008B6DDD" w:rsidRPr="00A90656" w:rsidRDefault="00C836DC" w:rsidP="00EC4213">
            <w:pPr>
              <w:pStyle w:val="TableHeader"/>
            </w:pPr>
            <w:r w:rsidRPr="00A90656">
              <w:t xml:space="preserve">Eligibility Criteria – </w:t>
            </w:r>
            <w:r w:rsidR="008B6DDD" w:rsidRPr="00A90656">
              <w:t>Age</w:t>
            </w:r>
          </w:p>
        </w:tc>
        <w:tc>
          <w:tcPr>
            <w:tcW w:w="2835" w:type="dxa"/>
            <w:tcBorders>
              <w:top w:val="single" w:sz="4" w:space="0" w:color="FFFFFF" w:themeColor="background1"/>
            </w:tcBorders>
            <w:shd w:val="clear" w:color="auto" w:fill="0065A4"/>
          </w:tcPr>
          <w:p w14:paraId="1909C6C6" w14:textId="31435C41" w:rsidR="008B6DDD" w:rsidRPr="00A90656" w:rsidRDefault="00C836DC" w:rsidP="00EC4213">
            <w:pPr>
              <w:pStyle w:val="TableHeader"/>
            </w:pPr>
            <w:r w:rsidRPr="00A90656">
              <w:t xml:space="preserve">Eligibility Criteria – </w:t>
            </w:r>
            <w:r w:rsidR="008B6DDD" w:rsidRPr="00A90656">
              <w:t>Card holders and other</w:t>
            </w:r>
          </w:p>
        </w:tc>
        <w:tc>
          <w:tcPr>
            <w:tcW w:w="5528" w:type="dxa"/>
            <w:tcBorders>
              <w:top w:val="single" w:sz="4" w:space="0" w:color="FFFFFF" w:themeColor="background1"/>
            </w:tcBorders>
            <w:shd w:val="clear" w:color="auto" w:fill="0065A4"/>
          </w:tcPr>
          <w:p w14:paraId="271B5979" w14:textId="2C910DF6" w:rsidR="008B6DDD" w:rsidRPr="00A90656" w:rsidRDefault="008B6DDD" w:rsidP="00EC4213">
            <w:pPr>
              <w:pStyle w:val="TableHeader"/>
            </w:pPr>
            <w:r w:rsidRPr="00A90656">
              <w:t>Services</w:t>
            </w:r>
          </w:p>
        </w:tc>
        <w:tc>
          <w:tcPr>
            <w:tcW w:w="3260" w:type="dxa"/>
            <w:tcBorders>
              <w:top w:val="single" w:sz="4" w:space="0" w:color="FFFFFF" w:themeColor="background1"/>
            </w:tcBorders>
            <w:shd w:val="clear" w:color="auto" w:fill="0065A4"/>
          </w:tcPr>
          <w:p w14:paraId="5F442BA1" w14:textId="53D15CCD" w:rsidR="008B6DDD" w:rsidRPr="00A90656" w:rsidRDefault="008B6DDD" w:rsidP="00EC4213">
            <w:pPr>
              <w:pStyle w:val="TableHeader"/>
            </w:pPr>
            <w:r w:rsidRPr="00A90656">
              <w:t>Co-payment</w:t>
            </w:r>
          </w:p>
        </w:tc>
      </w:tr>
      <w:tr w:rsidR="008B6DDD" w:rsidRPr="00976D1C" w14:paraId="27596E9E" w14:textId="77777777" w:rsidTr="00A72648">
        <w:trPr>
          <w:cantSplit/>
        </w:trPr>
        <w:tc>
          <w:tcPr>
            <w:tcW w:w="1242" w:type="dxa"/>
            <w:tcBorders>
              <w:top w:val="single" w:sz="4" w:space="0" w:color="FFFFFF" w:themeColor="background1"/>
            </w:tcBorders>
            <w:shd w:val="clear" w:color="auto" w:fill="CCE0ED"/>
          </w:tcPr>
          <w:p w14:paraId="5A71C0A1" w14:textId="172AE902" w:rsidR="008B6DDD" w:rsidRPr="00976D1C" w:rsidRDefault="008B6DDD" w:rsidP="00EC4213">
            <w:pPr>
              <w:pStyle w:val="TableText"/>
            </w:pPr>
            <w:r w:rsidRPr="00976D1C">
              <w:rPr>
                <w:lang w:eastAsia="en-AU"/>
              </w:rPr>
              <w:t xml:space="preserve">QLD </w:t>
            </w:r>
          </w:p>
        </w:tc>
        <w:tc>
          <w:tcPr>
            <w:tcW w:w="1985" w:type="dxa"/>
            <w:tcBorders>
              <w:top w:val="single" w:sz="4" w:space="0" w:color="FFFFFF" w:themeColor="background1"/>
            </w:tcBorders>
            <w:shd w:val="clear" w:color="auto" w:fill="CCE0ED"/>
          </w:tcPr>
          <w:p w14:paraId="58F7C424" w14:textId="6439AF8A" w:rsidR="008B6DDD" w:rsidRPr="00976D1C" w:rsidRDefault="008B6DDD" w:rsidP="00EC4213">
            <w:pPr>
              <w:pStyle w:val="TableText"/>
            </w:pPr>
            <w:r w:rsidRPr="00976D1C">
              <w:rPr>
                <w:lang w:eastAsia="en-AU"/>
              </w:rPr>
              <w:t>Above the age of completion of Year 10.</w:t>
            </w:r>
          </w:p>
        </w:tc>
        <w:tc>
          <w:tcPr>
            <w:tcW w:w="2835" w:type="dxa"/>
            <w:tcBorders>
              <w:top w:val="single" w:sz="4" w:space="0" w:color="FFFFFF" w:themeColor="background1"/>
            </w:tcBorders>
            <w:shd w:val="clear" w:color="auto" w:fill="CCE0ED"/>
          </w:tcPr>
          <w:p w14:paraId="14103BB8" w14:textId="77777777" w:rsidR="008B6DDD" w:rsidRPr="00976D1C" w:rsidRDefault="008B6DDD" w:rsidP="00EC4213">
            <w:pPr>
              <w:pStyle w:val="Tablebullet"/>
            </w:pPr>
            <w:r w:rsidRPr="00976D1C">
              <w:t xml:space="preserve">Health Care Card </w:t>
            </w:r>
          </w:p>
          <w:p w14:paraId="4DCFBB9D" w14:textId="77777777" w:rsidR="008B6DDD" w:rsidRPr="00976D1C" w:rsidRDefault="008B6DDD" w:rsidP="00EC4213">
            <w:pPr>
              <w:pStyle w:val="Tablebullet"/>
            </w:pPr>
            <w:r w:rsidRPr="00976D1C">
              <w:t>Pension Concession Card</w:t>
            </w:r>
          </w:p>
          <w:p w14:paraId="355D5199" w14:textId="77777777" w:rsidR="008B6DDD" w:rsidRPr="00976D1C" w:rsidRDefault="008B6DDD" w:rsidP="00EC4213">
            <w:pPr>
              <w:pStyle w:val="Tablebullet"/>
            </w:pPr>
            <w:r w:rsidRPr="00976D1C">
              <w:t>Pensioner Concession Card (Department of Veterans’ Affairs)</w:t>
            </w:r>
          </w:p>
          <w:p w14:paraId="58103312" w14:textId="77777777" w:rsidR="008B6DDD" w:rsidRPr="00976D1C" w:rsidRDefault="008B6DDD" w:rsidP="00EC4213">
            <w:pPr>
              <w:pStyle w:val="Tablebullet"/>
            </w:pPr>
            <w:r w:rsidRPr="00976D1C">
              <w:t>Queensland Seniors Health Card</w:t>
            </w:r>
          </w:p>
          <w:p w14:paraId="342C893F" w14:textId="0084273D" w:rsidR="008B6DDD" w:rsidRPr="00976D1C" w:rsidRDefault="008B6DDD" w:rsidP="00EC4213">
            <w:pPr>
              <w:pStyle w:val="Tablebullet"/>
            </w:pPr>
            <w:r w:rsidRPr="00976D1C">
              <w:t>Commonwealth Senior Health Card</w:t>
            </w:r>
          </w:p>
        </w:tc>
        <w:tc>
          <w:tcPr>
            <w:tcW w:w="5528" w:type="dxa"/>
            <w:tcBorders>
              <w:top w:val="single" w:sz="4" w:space="0" w:color="FFFFFF" w:themeColor="background1"/>
            </w:tcBorders>
            <w:shd w:val="clear" w:color="auto" w:fill="CCE0ED"/>
          </w:tcPr>
          <w:p w14:paraId="2B9A0C81" w14:textId="08F5C1DA" w:rsidR="008B6DDD" w:rsidRPr="00976D1C" w:rsidRDefault="008B6DDD" w:rsidP="00EC4213">
            <w:pPr>
              <w:pStyle w:val="TableText"/>
              <w:rPr>
                <w:rFonts w:ascii="Avenir LT Std 35 Light" w:hAnsi="Avenir LT Std 35 Light"/>
              </w:rPr>
            </w:pPr>
            <w:r w:rsidRPr="00976D1C">
              <w:rPr>
                <w:lang w:eastAsia="en-AU"/>
              </w:rPr>
              <w:t>General and emergency dental care – check-ups, oral hygiene, fillings, endodontics, extraction, dentures, oral surgery and dentures. Limited specialist dental services are available.</w:t>
            </w:r>
          </w:p>
        </w:tc>
        <w:tc>
          <w:tcPr>
            <w:tcW w:w="3260" w:type="dxa"/>
            <w:tcBorders>
              <w:top w:val="single" w:sz="4" w:space="0" w:color="FFFFFF" w:themeColor="background1"/>
            </w:tcBorders>
            <w:shd w:val="clear" w:color="auto" w:fill="CCE0ED"/>
          </w:tcPr>
          <w:p w14:paraId="4FDE89CD" w14:textId="76D775B0" w:rsidR="008B6DDD" w:rsidRPr="00976D1C" w:rsidRDefault="008B6DDD" w:rsidP="00EC4213">
            <w:pPr>
              <w:pStyle w:val="TableText"/>
            </w:pPr>
            <w:r w:rsidRPr="00976D1C">
              <w:rPr>
                <w:lang w:eastAsia="en-AU"/>
              </w:rPr>
              <w:t xml:space="preserve">No cost to patient. </w:t>
            </w:r>
          </w:p>
        </w:tc>
      </w:tr>
      <w:tr w:rsidR="008B6DDD" w:rsidRPr="00976D1C" w14:paraId="3D42FF18" w14:textId="77777777" w:rsidTr="00A72648">
        <w:trPr>
          <w:cantSplit/>
        </w:trPr>
        <w:tc>
          <w:tcPr>
            <w:tcW w:w="1242" w:type="dxa"/>
            <w:shd w:val="clear" w:color="auto" w:fill="CCEFFC"/>
          </w:tcPr>
          <w:p w14:paraId="2CF56184" w14:textId="571A8868" w:rsidR="008B6DDD" w:rsidRPr="00976D1C" w:rsidRDefault="008B6DDD" w:rsidP="00EC4213">
            <w:pPr>
              <w:pStyle w:val="TableText"/>
              <w:rPr>
                <w:rFonts w:ascii="Avenir LT Std 35 Light" w:hAnsi="Avenir LT Std 35 Light"/>
              </w:rPr>
            </w:pPr>
            <w:r w:rsidRPr="00976D1C">
              <w:rPr>
                <w:lang w:eastAsia="en-AU"/>
              </w:rPr>
              <w:t>NSW</w:t>
            </w:r>
          </w:p>
        </w:tc>
        <w:tc>
          <w:tcPr>
            <w:tcW w:w="1985" w:type="dxa"/>
            <w:shd w:val="clear" w:color="auto" w:fill="CCEFFC"/>
          </w:tcPr>
          <w:p w14:paraId="5CAACEAE" w14:textId="46F6748B" w:rsidR="008B6DDD" w:rsidRPr="00976D1C" w:rsidRDefault="008B6DDD" w:rsidP="00EC4213">
            <w:pPr>
              <w:pStyle w:val="TableText"/>
            </w:pPr>
            <w:r w:rsidRPr="00976D1C">
              <w:rPr>
                <w:lang w:eastAsia="en-AU"/>
              </w:rPr>
              <w:t>18 years of age and older.</w:t>
            </w:r>
          </w:p>
        </w:tc>
        <w:tc>
          <w:tcPr>
            <w:tcW w:w="2835" w:type="dxa"/>
            <w:shd w:val="clear" w:color="auto" w:fill="CCEFFC"/>
          </w:tcPr>
          <w:p w14:paraId="77E1D554" w14:textId="77777777" w:rsidR="008B6DDD" w:rsidRPr="00976D1C" w:rsidRDefault="008B6DDD" w:rsidP="00EC4213">
            <w:pPr>
              <w:pStyle w:val="Tablebullet"/>
            </w:pPr>
            <w:r w:rsidRPr="00976D1C">
              <w:t xml:space="preserve">Health Care Card </w:t>
            </w:r>
          </w:p>
          <w:p w14:paraId="2DC1F9BE" w14:textId="77777777" w:rsidR="008B6DDD" w:rsidRPr="00976D1C" w:rsidRDefault="008B6DDD" w:rsidP="00EC4213">
            <w:pPr>
              <w:pStyle w:val="Tablebullet"/>
            </w:pPr>
            <w:r w:rsidRPr="00976D1C">
              <w:t>Pensioner Concession Card</w:t>
            </w:r>
          </w:p>
          <w:p w14:paraId="0596BC2D" w14:textId="77777777" w:rsidR="008B6DDD" w:rsidRPr="00976D1C" w:rsidRDefault="008B6DDD" w:rsidP="00EC4213">
            <w:pPr>
              <w:pStyle w:val="Tablebullet"/>
            </w:pPr>
            <w:r w:rsidRPr="00976D1C">
              <w:t>Commonwealth Seniors Health Care Card</w:t>
            </w:r>
          </w:p>
          <w:p w14:paraId="1FC7DF3A" w14:textId="02BDCF23" w:rsidR="008B6DDD" w:rsidRPr="00976D1C" w:rsidRDefault="008B6DDD" w:rsidP="00EC4213">
            <w:pPr>
              <w:pStyle w:val="Tablebullet"/>
            </w:pPr>
            <w:r w:rsidRPr="00976D1C">
              <w:t>Must normally be a resident within the boundary of the providing Area Health Service.</w:t>
            </w:r>
          </w:p>
        </w:tc>
        <w:tc>
          <w:tcPr>
            <w:tcW w:w="5528" w:type="dxa"/>
            <w:shd w:val="clear" w:color="auto" w:fill="CCEFFC"/>
          </w:tcPr>
          <w:p w14:paraId="51CB6AC4" w14:textId="15D09F56" w:rsidR="008B6DDD" w:rsidRPr="00976D1C" w:rsidRDefault="008B6DDD" w:rsidP="00EC4213">
            <w:pPr>
              <w:pStyle w:val="TableText"/>
              <w:rPr>
                <w:rFonts w:ascii="Avenir LT Std 35 Light" w:hAnsi="Avenir LT Std 35 Light"/>
              </w:rPr>
            </w:pPr>
            <w:r w:rsidRPr="00976D1C">
              <w:rPr>
                <w:lang w:eastAsia="en-AU"/>
              </w:rPr>
              <w:t xml:space="preserve">General and emergency dental care – check-ups, oral hygiene, fillings, endodontics, extraction, dentures, oral surgery and dentures. Limited specialist services are available through two teaching hospitals (Westmead Centre for Oral Health and the Sydney Dental Hospital), including paediatric dentistry, oral and maxillofacial surgery, endodontics and periodontics. </w:t>
            </w:r>
          </w:p>
        </w:tc>
        <w:tc>
          <w:tcPr>
            <w:tcW w:w="3260" w:type="dxa"/>
            <w:shd w:val="clear" w:color="auto" w:fill="CCEFFC"/>
          </w:tcPr>
          <w:p w14:paraId="03CBD1F9" w14:textId="3E08764D" w:rsidR="008B6DDD" w:rsidRPr="00976D1C" w:rsidRDefault="008B6DDD" w:rsidP="00EC4213">
            <w:pPr>
              <w:pStyle w:val="TableText"/>
              <w:rPr>
                <w:rFonts w:ascii="Avenir LT Std 35 Light" w:hAnsi="Avenir LT Std 35 Light"/>
              </w:rPr>
            </w:pPr>
            <w:r w:rsidRPr="00976D1C">
              <w:rPr>
                <w:lang w:eastAsia="en-AU"/>
              </w:rPr>
              <w:t>No cost to patient for emergency and general dental care in public dental clinics. Co-payments may apply for patients of some teaching services, specialist dental services and denture services.</w:t>
            </w:r>
          </w:p>
        </w:tc>
      </w:tr>
      <w:tr w:rsidR="008B6DDD" w:rsidRPr="00976D1C" w14:paraId="099B9CDB" w14:textId="77777777" w:rsidTr="00A72648">
        <w:trPr>
          <w:cantSplit/>
        </w:trPr>
        <w:tc>
          <w:tcPr>
            <w:tcW w:w="1242" w:type="dxa"/>
            <w:shd w:val="clear" w:color="auto" w:fill="CCE0ED"/>
          </w:tcPr>
          <w:p w14:paraId="4E411A0E" w14:textId="2303F456" w:rsidR="008B6DDD" w:rsidRPr="00976D1C" w:rsidRDefault="008B6DDD" w:rsidP="00EC4213">
            <w:pPr>
              <w:pStyle w:val="TableText"/>
              <w:rPr>
                <w:rFonts w:ascii="Avenir LT Std 35 Light" w:hAnsi="Avenir LT Std 35 Light"/>
              </w:rPr>
            </w:pPr>
            <w:r w:rsidRPr="00976D1C">
              <w:rPr>
                <w:lang w:eastAsia="en-AU"/>
              </w:rPr>
              <w:lastRenderedPageBreak/>
              <w:t xml:space="preserve">VIC </w:t>
            </w:r>
          </w:p>
        </w:tc>
        <w:tc>
          <w:tcPr>
            <w:tcW w:w="1985" w:type="dxa"/>
            <w:shd w:val="clear" w:color="auto" w:fill="CCE0ED"/>
          </w:tcPr>
          <w:p w14:paraId="329158DD" w14:textId="37047EDA" w:rsidR="008B6DDD" w:rsidRPr="00976D1C" w:rsidRDefault="008B6DDD" w:rsidP="00EC4213">
            <w:pPr>
              <w:pStyle w:val="TableText"/>
              <w:rPr>
                <w:rFonts w:ascii="Avenir LT Std 35 Light" w:hAnsi="Avenir LT Std 35 Light"/>
              </w:rPr>
            </w:pPr>
            <w:r w:rsidRPr="00976D1C">
              <w:rPr>
                <w:lang w:eastAsia="en-AU"/>
              </w:rPr>
              <w:t>18 years of age and older.</w:t>
            </w:r>
          </w:p>
        </w:tc>
        <w:tc>
          <w:tcPr>
            <w:tcW w:w="2835" w:type="dxa"/>
            <w:shd w:val="clear" w:color="auto" w:fill="CCE0ED"/>
          </w:tcPr>
          <w:p w14:paraId="2AA31576" w14:textId="77777777" w:rsidR="008B6DDD" w:rsidRPr="00976D1C" w:rsidRDefault="008B6DDD" w:rsidP="00EC4213">
            <w:pPr>
              <w:pStyle w:val="Tablebullet"/>
            </w:pPr>
            <w:r w:rsidRPr="00976D1C">
              <w:t>Health Care Card</w:t>
            </w:r>
          </w:p>
          <w:p w14:paraId="4D7B21D7" w14:textId="77777777" w:rsidR="008B6DDD" w:rsidRPr="00976D1C" w:rsidRDefault="008B6DDD" w:rsidP="00EC4213">
            <w:pPr>
              <w:pStyle w:val="Tablebullet"/>
            </w:pPr>
            <w:r w:rsidRPr="00976D1C">
              <w:t>Pensioner Concession Card</w:t>
            </w:r>
          </w:p>
          <w:p w14:paraId="0D0ADE98" w14:textId="20E22BEB" w:rsidR="008B6DDD" w:rsidRPr="00976D1C" w:rsidRDefault="008B6DDD" w:rsidP="00EC4213">
            <w:pPr>
              <w:pStyle w:val="Tablebullet"/>
            </w:pPr>
            <w:r w:rsidRPr="00976D1C">
              <w:t xml:space="preserve">Refugees and asylum seekers are also eligible for public dental services. </w:t>
            </w:r>
          </w:p>
        </w:tc>
        <w:tc>
          <w:tcPr>
            <w:tcW w:w="5528" w:type="dxa"/>
            <w:shd w:val="clear" w:color="auto" w:fill="CCE0ED"/>
          </w:tcPr>
          <w:p w14:paraId="140C8ED9" w14:textId="77777777" w:rsidR="008B6DDD" w:rsidRPr="00976D1C" w:rsidRDefault="008B6DDD" w:rsidP="00EC4213">
            <w:pPr>
              <w:pStyle w:val="Tablebullet"/>
            </w:pPr>
            <w:r w:rsidRPr="00976D1C">
              <w:t xml:space="preserve">General dental care – including check-ups and advice, cleaning, fillings and extractions. Emergency care and dentures. Specialist services available – orthodontics, oral and maxillofacial surgery, endodontics, periodontics, prosthodontics, paediatric dentistry, and oral medicine. </w:t>
            </w:r>
          </w:p>
          <w:p w14:paraId="750A2B8E" w14:textId="0E88453B" w:rsidR="008B6DDD" w:rsidRPr="00976D1C" w:rsidRDefault="008B6DDD" w:rsidP="00EC4213">
            <w:pPr>
              <w:pStyle w:val="Tablebullet"/>
              <w:rPr>
                <w:rFonts w:ascii="Avenir LT Std 35 Light" w:hAnsi="Avenir LT Std 35 Light"/>
              </w:rPr>
            </w:pPr>
            <w:r w:rsidRPr="00976D1C">
              <w:t xml:space="preserve">Care is also available to adults with special needs, including a domiciliary service for homebound patients. </w:t>
            </w:r>
          </w:p>
        </w:tc>
        <w:tc>
          <w:tcPr>
            <w:tcW w:w="3260" w:type="dxa"/>
            <w:shd w:val="clear" w:color="auto" w:fill="CCE0ED"/>
          </w:tcPr>
          <w:p w14:paraId="3A435AB4" w14:textId="77777777" w:rsidR="008B6DDD" w:rsidRPr="00976D1C" w:rsidRDefault="008B6DDD" w:rsidP="00EC4213">
            <w:pPr>
              <w:pStyle w:val="Tablebullet"/>
            </w:pPr>
            <w:r w:rsidRPr="00976D1C">
              <w:t>Fee schedule effective from 1 September 2013:</w:t>
            </w:r>
          </w:p>
          <w:p w14:paraId="44FB8754" w14:textId="77777777" w:rsidR="008B6DDD" w:rsidRPr="00976D1C" w:rsidRDefault="008B6DDD" w:rsidP="00EC4213">
            <w:pPr>
              <w:pStyle w:val="Tablebullet"/>
            </w:pPr>
            <w:r w:rsidRPr="00976D1C">
              <w:t xml:space="preserve">General dental - $26 per visit, up to $104 for a complete course of care </w:t>
            </w:r>
          </w:p>
          <w:p w14:paraId="0083767D" w14:textId="77777777" w:rsidR="008B6DDD" w:rsidRPr="00976D1C" w:rsidRDefault="008B6DDD" w:rsidP="00EC4213">
            <w:pPr>
              <w:pStyle w:val="Tablebullet"/>
            </w:pPr>
            <w:r w:rsidRPr="00976D1C">
              <w:t>Emergency care - $26 flat fee</w:t>
            </w:r>
          </w:p>
          <w:p w14:paraId="4E654C23" w14:textId="77777777" w:rsidR="008B6DDD" w:rsidRPr="00976D1C" w:rsidRDefault="008B6DDD" w:rsidP="00EC4213">
            <w:pPr>
              <w:pStyle w:val="Tablebullet"/>
            </w:pPr>
            <w:r w:rsidRPr="00976D1C">
              <w:t>Dentures - $63 per denture capped at $126 for a full upper and lower denture</w:t>
            </w:r>
          </w:p>
          <w:p w14:paraId="1F26B36F" w14:textId="77777777" w:rsidR="008B6DDD" w:rsidRPr="00976D1C" w:rsidRDefault="008B6DDD" w:rsidP="00EC4213">
            <w:pPr>
              <w:pStyle w:val="Tablebullet"/>
            </w:pPr>
            <w:r w:rsidRPr="00976D1C">
              <w:t>Specialist services – dependent on treatment, up to a maximum of $312 for a course of care</w:t>
            </w:r>
          </w:p>
          <w:p w14:paraId="2ABE6AAA" w14:textId="77777777" w:rsidR="008B6DDD" w:rsidRPr="00976D1C" w:rsidRDefault="008B6DDD" w:rsidP="00EC4213">
            <w:pPr>
              <w:pStyle w:val="Tablebullet"/>
            </w:pPr>
            <w:r w:rsidRPr="00976D1C">
              <w:t>Fee exemptions apply for the following groups:</w:t>
            </w:r>
          </w:p>
          <w:p w14:paraId="660EBE38" w14:textId="77777777" w:rsidR="008B6DDD" w:rsidRPr="00976D1C" w:rsidRDefault="008B6DDD" w:rsidP="00EC4213">
            <w:pPr>
              <w:pStyle w:val="Tablebullet"/>
            </w:pPr>
            <w:r w:rsidRPr="00976D1C">
              <w:t>Aboriginal and Torres Strait Islander people</w:t>
            </w:r>
          </w:p>
          <w:p w14:paraId="5EA4489A" w14:textId="77777777" w:rsidR="008B6DDD" w:rsidRPr="00976D1C" w:rsidRDefault="008B6DDD" w:rsidP="00EC4213">
            <w:pPr>
              <w:pStyle w:val="Tablebullet"/>
            </w:pPr>
            <w:r w:rsidRPr="00976D1C">
              <w:t>Homeless people and people at risk of homelessness</w:t>
            </w:r>
          </w:p>
          <w:p w14:paraId="5F82291D" w14:textId="77777777" w:rsidR="008B6DDD" w:rsidRPr="00976D1C" w:rsidRDefault="008B6DDD" w:rsidP="00EC4213">
            <w:pPr>
              <w:pStyle w:val="Tablebullet"/>
            </w:pPr>
            <w:r w:rsidRPr="00976D1C">
              <w:t>Refugees or asylum seekers</w:t>
            </w:r>
          </w:p>
          <w:p w14:paraId="1F703054" w14:textId="77777777" w:rsidR="008B6DDD" w:rsidRPr="00976D1C" w:rsidRDefault="008B6DDD" w:rsidP="00EC4213">
            <w:pPr>
              <w:pStyle w:val="Tablebullet"/>
            </w:pPr>
            <w:r w:rsidRPr="00976D1C">
              <w:t>Registered clients of mental health and disability services</w:t>
            </w:r>
          </w:p>
          <w:p w14:paraId="2DFAC47C" w14:textId="77777777" w:rsidR="008B6DDD" w:rsidRPr="00976D1C" w:rsidRDefault="008B6DDD" w:rsidP="00EC4213">
            <w:pPr>
              <w:pStyle w:val="Tablebullet"/>
            </w:pPr>
            <w:r w:rsidRPr="00976D1C">
              <w:t>Those experiencing financial hardship</w:t>
            </w:r>
          </w:p>
          <w:p w14:paraId="2235EB96" w14:textId="40C6DE9A" w:rsidR="008B6DDD" w:rsidRPr="00976D1C" w:rsidRDefault="008B6DDD" w:rsidP="00EC4213">
            <w:pPr>
              <w:pStyle w:val="Tablebullet"/>
            </w:pPr>
            <w:r w:rsidRPr="00976D1C">
              <w:t>Those receiving dental treatment from undergraduate students</w:t>
            </w:r>
          </w:p>
        </w:tc>
      </w:tr>
      <w:tr w:rsidR="008B6DDD" w:rsidRPr="00976D1C" w14:paraId="48946D36" w14:textId="77777777" w:rsidTr="00A72648">
        <w:trPr>
          <w:cantSplit/>
        </w:trPr>
        <w:tc>
          <w:tcPr>
            <w:tcW w:w="1242" w:type="dxa"/>
            <w:shd w:val="clear" w:color="auto" w:fill="CCEFFC"/>
          </w:tcPr>
          <w:p w14:paraId="31DD3C5A" w14:textId="1F7729F3" w:rsidR="008B6DDD" w:rsidRPr="00976D1C" w:rsidRDefault="008B6DDD" w:rsidP="00EC4213">
            <w:pPr>
              <w:pStyle w:val="TableText"/>
            </w:pPr>
            <w:r w:rsidRPr="00976D1C">
              <w:rPr>
                <w:lang w:eastAsia="en-AU"/>
              </w:rPr>
              <w:lastRenderedPageBreak/>
              <w:t xml:space="preserve">TAS </w:t>
            </w:r>
          </w:p>
        </w:tc>
        <w:tc>
          <w:tcPr>
            <w:tcW w:w="1985" w:type="dxa"/>
            <w:shd w:val="clear" w:color="auto" w:fill="CCEFFC"/>
          </w:tcPr>
          <w:p w14:paraId="0F61046B" w14:textId="399120BA" w:rsidR="008B6DDD" w:rsidRPr="00976D1C" w:rsidRDefault="008B6DDD" w:rsidP="00EC4213">
            <w:pPr>
              <w:pStyle w:val="TableText"/>
            </w:pPr>
            <w:r w:rsidRPr="00976D1C">
              <w:rPr>
                <w:lang w:eastAsia="en-AU"/>
              </w:rPr>
              <w:t>18 years of age and older.</w:t>
            </w:r>
          </w:p>
        </w:tc>
        <w:tc>
          <w:tcPr>
            <w:tcW w:w="2835" w:type="dxa"/>
            <w:shd w:val="clear" w:color="auto" w:fill="CCEFFC"/>
          </w:tcPr>
          <w:p w14:paraId="0FA1440F" w14:textId="77777777" w:rsidR="008B6DDD" w:rsidRPr="00976D1C" w:rsidRDefault="008B6DDD" w:rsidP="00EC4213">
            <w:pPr>
              <w:pStyle w:val="Tablebullet"/>
            </w:pPr>
            <w:r w:rsidRPr="00976D1C">
              <w:t>Health Care Card</w:t>
            </w:r>
          </w:p>
          <w:p w14:paraId="17F3276F" w14:textId="38BCA7AD" w:rsidR="008B6DDD" w:rsidRPr="00976D1C" w:rsidRDefault="008B6DDD" w:rsidP="00EC4213">
            <w:pPr>
              <w:pStyle w:val="Tablebullet"/>
            </w:pPr>
            <w:r w:rsidRPr="00976D1C">
              <w:t xml:space="preserve">Pensioner Concession Card </w:t>
            </w:r>
          </w:p>
        </w:tc>
        <w:tc>
          <w:tcPr>
            <w:tcW w:w="5528" w:type="dxa"/>
            <w:shd w:val="clear" w:color="auto" w:fill="CCEFFC"/>
          </w:tcPr>
          <w:p w14:paraId="3879627A" w14:textId="77777777" w:rsidR="008B6DDD" w:rsidRPr="00976D1C" w:rsidRDefault="008B6DDD" w:rsidP="00EC4213">
            <w:pPr>
              <w:pStyle w:val="Tablebullet"/>
            </w:pPr>
            <w:r w:rsidRPr="00976D1C">
              <w:t xml:space="preserve">Priority care for urgent dental needs. General care – includes check-ups, fillings, extractions and other dental services. Denture services. </w:t>
            </w:r>
          </w:p>
          <w:p w14:paraId="663C8764" w14:textId="281E7D7D" w:rsidR="008B6DDD" w:rsidRPr="00976D1C" w:rsidRDefault="008B6DDD" w:rsidP="00EC4213">
            <w:pPr>
              <w:pStyle w:val="Tablebullet"/>
              <w:rPr>
                <w:rFonts w:ascii="Avenir LT Std 35 Light" w:hAnsi="Avenir LT Std 35 Light"/>
              </w:rPr>
            </w:pPr>
            <w:r w:rsidRPr="00976D1C">
              <w:t xml:space="preserve">Special care dental units at the Royal Hobart Hospital and North West Regional Hospital provide services for patients who have medical conditions that impact their oral health, or who due to health conditions require routine dental treatment to be provided in a hospital setting. </w:t>
            </w:r>
          </w:p>
        </w:tc>
        <w:tc>
          <w:tcPr>
            <w:tcW w:w="3260" w:type="dxa"/>
            <w:shd w:val="clear" w:color="auto" w:fill="CCEFFC"/>
          </w:tcPr>
          <w:p w14:paraId="2697C842" w14:textId="77777777" w:rsidR="008B6DDD" w:rsidRPr="00976D1C" w:rsidRDefault="008B6DDD" w:rsidP="00EC4213">
            <w:pPr>
              <w:pStyle w:val="Tablebullet"/>
            </w:pPr>
            <w:r w:rsidRPr="00976D1C">
              <w:t>Fee schedule effective until 30 June 2014:</w:t>
            </w:r>
          </w:p>
          <w:p w14:paraId="27EA5AE1" w14:textId="77777777" w:rsidR="008B6DDD" w:rsidRPr="00976D1C" w:rsidRDefault="008B6DDD" w:rsidP="00EC4213">
            <w:pPr>
              <w:pStyle w:val="Tablebullet"/>
            </w:pPr>
            <w:r w:rsidRPr="00976D1C">
              <w:t>Single urgent dental problem - $44</w:t>
            </w:r>
          </w:p>
          <w:p w14:paraId="64AD277A" w14:textId="77777777" w:rsidR="008B6DDD" w:rsidRPr="00976D1C" w:rsidRDefault="008B6DDD" w:rsidP="00EC4213">
            <w:pPr>
              <w:pStyle w:val="Tablebullet"/>
            </w:pPr>
            <w:r w:rsidRPr="00976D1C">
              <w:t>General dental care - $44 per appointment</w:t>
            </w:r>
          </w:p>
          <w:p w14:paraId="61D066EF" w14:textId="77777777" w:rsidR="008B6DDD" w:rsidRPr="00976D1C" w:rsidRDefault="008B6DDD" w:rsidP="00EC4213">
            <w:pPr>
              <w:pStyle w:val="Tablebullet"/>
            </w:pPr>
            <w:r w:rsidRPr="00976D1C">
              <w:t>Dentures – upper or lower - $215; full upper and lower - $381; partial denture and other denture services – cost varies</w:t>
            </w:r>
          </w:p>
          <w:p w14:paraId="3B22FEC4" w14:textId="1309C315" w:rsidR="008B6DDD" w:rsidRPr="00976D1C" w:rsidRDefault="008B6DDD" w:rsidP="00EC4213">
            <w:pPr>
              <w:pStyle w:val="Tablebullet"/>
            </w:pPr>
            <w:r w:rsidRPr="00976D1C">
              <w:t xml:space="preserve">Additional co-payments may apply for high cost treatments. </w:t>
            </w:r>
          </w:p>
        </w:tc>
      </w:tr>
      <w:tr w:rsidR="008B6DDD" w:rsidRPr="00976D1C" w14:paraId="17574E98" w14:textId="77777777" w:rsidTr="00A72648">
        <w:trPr>
          <w:cantSplit/>
        </w:trPr>
        <w:tc>
          <w:tcPr>
            <w:tcW w:w="1242" w:type="dxa"/>
            <w:shd w:val="clear" w:color="auto" w:fill="CCE0ED"/>
          </w:tcPr>
          <w:p w14:paraId="012E7974" w14:textId="1CD4A07C" w:rsidR="008B6DDD" w:rsidRPr="00976D1C" w:rsidRDefault="008B6DDD" w:rsidP="00EC4213">
            <w:pPr>
              <w:pStyle w:val="TableText"/>
              <w:rPr>
                <w:rFonts w:ascii="Avenir LT Std 35 Light" w:hAnsi="Avenir LT Std 35 Light"/>
              </w:rPr>
            </w:pPr>
            <w:r w:rsidRPr="00976D1C">
              <w:rPr>
                <w:lang w:eastAsia="en-AU"/>
              </w:rPr>
              <w:t xml:space="preserve">SA </w:t>
            </w:r>
          </w:p>
        </w:tc>
        <w:tc>
          <w:tcPr>
            <w:tcW w:w="1985" w:type="dxa"/>
            <w:shd w:val="clear" w:color="auto" w:fill="CCE0ED"/>
          </w:tcPr>
          <w:p w14:paraId="6EF5F988" w14:textId="4430331B" w:rsidR="008B6DDD" w:rsidRPr="00976D1C" w:rsidRDefault="008B6DDD" w:rsidP="00EC4213">
            <w:pPr>
              <w:pStyle w:val="TableText"/>
            </w:pPr>
            <w:r w:rsidRPr="00976D1C">
              <w:rPr>
                <w:lang w:eastAsia="en-AU"/>
              </w:rPr>
              <w:t>18 years of age and older.</w:t>
            </w:r>
          </w:p>
        </w:tc>
        <w:tc>
          <w:tcPr>
            <w:tcW w:w="2835" w:type="dxa"/>
            <w:shd w:val="clear" w:color="auto" w:fill="CCE0ED"/>
          </w:tcPr>
          <w:p w14:paraId="082567DB" w14:textId="77777777" w:rsidR="008B6DDD" w:rsidRPr="00976D1C" w:rsidRDefault="008B6DDD" w:rsidP="00EC4213">
            <w:pPr>
              <w:pStyle w:val="Tablebullet"/>
            </w:pPr>
            <w:r w:rsidRPr="00976D1C">
              <w:t xml:space="preserve">Health Care Card </w:t>
            </w:r>
          </w:p>
          <w:p w14:paraId="1E0DF641" w14:textId="77777777" w:rsidR="008B6DDD" w:rsidRPr="00976D1C" w:rsidRDefault="008B6DDD" w:rsidP="00EC4213">
            <w:pPr>
              <w:pStyle w:val="Tablebullet"/>
            </w:pPr>
            <w:r w:rsidRPr="00976D1C">
              <w:t>Pensioner Concession Card</w:t>
            </w:r>
          </w:p>
          <w:p w14:paraId="6D72BE8E" w14:textId="167C3726" w:rsidR="008B6DDD" w:rsidRPr="00976D1C" w:rsidRDefault="008B6DDD" w:rsidP="00EC4213">
            <w:pPr>
              <w:pStyle w:val="Tablebullet"/>
              <w:rPr>
                <w:rFonts w:ascii="Avenir LT Std 35 Light" w:hAnsi="Avenir LT Std 35 Light"/>
              </w:rPr>
            </w:pPr>
            <w:r w:rsidRPr="00976D1C">
              <w:t>Pensioner Concession Cards (Department of Veterans’ Affairs)</w:t>
            </w:r>
          </w:p>
        </w:tc>
        <w:tc>
          <w:tcPr>
            <w:tcW w:w="5528" w:type="dxa"/>
            <w:shd w:val="clear" w:color="auto" w:fill="CCE0ED"/>
          </w:tcPr>
          <w:p w14:paraId="66054565" w14:textId="1295A86F" w:rsidR="008B6DDD" w:rsidRPr="00976D1C" w:rsidRDefault="008B6DDD" w:rsidP="00EC4213">
            <w:pPr>
              <w:pStyle w:val="TableText"/>
              <w:rPr>
                <w:rFonts w:ascii="Avenir LT Std 35 Light" w:hAnsi="Avenir LT Std 35 Light"/>
              </w:rPr>
            </w:pPr>
            <w:r w:rsidRPr="00976D1C">
              <w:rPr>
                <w:lang w:eastAsia="en-AU"/>
              </w:rPr>
              <w:t xml:space="preserve">General, emergency, and denture care. Specialist services including oral and maxillofacial surgery, orthodontics, specialist restorative care, and special needs dentistry are provided at the Adelaide Dental Hospital. </w:t>
            </w:r>
          </w:p>
        </w:tc>
        <w:tc>
          <w:tcPr>
            <w:tcW w:w="3260" w:type="dxa"/>
            <w:shd w:val="clear" w:color="auto" w:fill="CCE0ED"/>
          </w:tcPr>
          <w:p w14:paraId="54CF7A92" w14:textId="77777777" w:rsidR="008B6DDD" w:rsidRPr="00976D1C" w:rsidRDefault="008B6DDD" w:rsidP="00EC4213">
            <w:pPr>
              <w:pStyle w:val="Tablebullet"/>
            </w:pPr>
            <w:r w:rsidRPr="00976D1C">
              <w:t>Fee schedule effective 1 July 2013:</w:t>
            </w:r>
          </w:p>
          <w:p w14:paraId="369E15F2" w14:textId="77777777" w:rsidR="008B6DDD" w:rsidRPr="00976D1C" w:rsidRDefault="008B6DDD" w:rsidP="00EC4213">
            <w:pPr>
              <w:pStyle w:val="Tablebullet"/>
            </w:pPr>
            <w:r w:rsidRPr="00976D1C">
              <w:t>Emergency care - $54</w:t>
            </w:r>
          </w:p>
          <w:p w14:paraId="69BCB5C2" w14:textId="77777777" w:rsidR="008B6DDD" w:rsidRPr="00976D1C" w:rsidRDefault="008B6DDD" w:rsidP="00EC4213">
            <w:pPr>
              <w:pStyle w:val="Tablebullet"/>
            </w:pPr>
            <w:r w:rsidRPr="00976D1C">
              <w:t>General care - $152</w:t>
            </w:r>
          </w:p>
          <w:p w14:paraId="0795D34F" w14:textId="77777777" w:rsidR="008B6DDD" w:rsidRPr="00976D1C" w:rsidRDefault="008B6DDD" w:rsidP="00EC4213">
            <w:pPr>
              <w:pStyle w:val="Tablebullet"/>
            </w:pPr>
            <w:r w:rsidRPr="00976D1C">
              <w:t xml:space="preserve">Dentures – fee varies according to type (new or repair), number of dentures, and provider (different fees for dentist and prosthetist). Ranges from $54 to $304.50 for new dentures and $20.65 to $77.40 for repairs and replacements. </w:t>
            </w:r>
          </w:p>
          <w:p w14:paraId="73441E9C" w14:textId="19D82C88" w:rsidR="008B6DDD" w:rsidRPr="00976D1C" w:rsidRDefault="008B6DDD" w:rsidP="00EC4213">
            <w:pPr>
              <w:pStyle w:val="Tablebullet"/>
            </w:pPr>
            <w:r w:rsidRPr="00976D1C">
              <w:t xml:space="preserve">Specialist care – varies according to treatment </w:t>
            </w:r>
          </w:p>
        </w:tc>
      </w:tr>
      <w:tr w:rsidR="008B6DDD" w:rsidRPr="00976D1C" w14:paraId="4574C9D8" w14:textId="77777777" w:rsidTr="00A72648">
        <w:trPr>
          <w:cantSplit/>
        </w:trPr>
        <w:tc>
          <w:tcPr>
            <w:tcW w:w="1242" w:type="dxa"/>
            <w:shd w:val="clear" w:color="auto" w:fill="CCEFFC"/>
          </w:tcPr>
          <w:p w14:paraId="0B6EE3E1" w14:textId="3B425B6C" w:rsidR="008B6DDD" w:rsidRPr="00976D1C" w:rsidRDefault="008B6DDD" w:rsidP="00EC4213">
            <w:pPr>
              <w:pStyle w:val="TableText"/>
              <w:rPr>
                <w:rFonts w:ascii="Avenir LT Std 35 Light" w:hAnsi="Avenir LT Std 35 Light"/>
              </w:rPr>
            </w:pPr>
            <w:r w:rsidRPr="00976D1C">
              <w:rPr>
                <w:lang w:eastAsia="en-AU"/>
              </w:rPr>
              <w:lastRenderedPageBreak/>
              <w:t xml:space="preserve">NT </w:t>
            </w:r>
          </w:p>
        </w:tc>
        <w:tc>
          <w:tcPr>
            <w:tcW w:w="1985" w:type="dxa"/>
            <w:shd w:val="clear" w:color="auto" w:fill="CCEFFC"/>
          </w:tcPr>
          <w:p w14:paraId="3828ED3B" w14:textId="0EC96690" w:rsidR="008B6DDD" w:rsidRPr="00976D1C" w:rsidRDefault="008B6DDD" w:rsidP="00EC4213">
            <w:pPr>
              <w:pStyle w:val="TableText"/>
            </w:pPr>
            <w:r w:rsidRPr="00976D1C">
              <w:rPr>
                <w:lang w:eastAsia="en-AU"/>
              </w:rPr>
              <w:t>18 years of age and older.</w:t>
            </w:r>
          </w:p>
        </w:tc>
        <w:tc>
          <w:tcPr>
            <w:tcW w:w="2835" w:type="dxa"/>
            <w:shd w:val="clear" w:color="auto" w:fill="CCEFFC"/>
          </w:tcPr>
          <w:p w14:paraId="5F705377" w14:textId="77777777" w:rsidR="008B6DDD" w:rsidRPr="00976D1C" w:rsidRDefault="008B6DDD" w:rsidP="00EC4213">
            <w:pPr>
              <w:pStyle w:val="Tablebullet"/>
            </w:pPr>
            <w:r w:rsidRPr="00976D1C">
              <w:t>Health Care Card</w:t>
            </w:r>
          </w:p>
          <w:p w14:paraId="1521B6A5" w14:textId="34C0FCC0" w:rsidR="008B6DDD" w:rsidRPr="00976D1C" w:rsidRDefault="008B6DDD" w:rsidP="00EC4213">
            <w:pPr>
              <w:pStyle w:val="Tablebullet"/>
              <w:rPr>
                <w:rFonts w:ascii="Avenir LT Std 35 Light" w:hAnsi="Avenir LT Std 35 Light"/>
              </w:rPr>
            </w:pPr>
            <w:r w:rsidRPr="00976D1C">
              <w:t>Pensioner Concession Card</w:t>
            </w:r>
          </w:p>
        </w:tc>
        <w:tc>
          <w:tcPr>
            <w:tcW w:w="5528" w:type="dxa"/>
            <w:shd w:val="clear" w:color="auto" w:fill="CCEFFC"/>
          </w:tcPr>
          <w:p w14:paraId="4D8D37DD" w14:textId="77777777" w:rsidR="008B6DDD" w:rsidRPr="00976D1C" w:rsidRDefault="008B6DDD" w:rsidP="00EC4213">
            <w:pPr>
              <w:pStyle w:val="Tablebullet"/>
            </w:pPr>
            <w:r w:rsidRPr="00976D1C">
              <w:t>General and emergency dental care, including pain and trauma management, restorative fillings and repairs, endodontics, extractions, oral hygiene, oral health promotion, and denture services.</w:t>
            </w:r>
          </w:p>
          <w:p w14:paraId="496892FC" w14:textId="3DA50269" w:rsidR="008B6DDD" w:rsidRPr="00976D1C" w:rsidRDefault="008B6DDD" w:rsidP="00EC4213">
            <w:pPr>
              <w:pStyle w:val="Tablebullet"/>
            </w:pPr>
            <w:r w:rsidRPr="00976D1C">
              <w:t xml:space="preserve">Specialist services, including orthodontics, oral surgery, and treatment in hospital under general anaesthetic, are also available. </w:t>
            </w:r>
          </w:p>
        </w:tc>
        <w:tc>
          <w:tcPr>
            <w:tcW w:w="3260" w:type="dxa"/>
            <w:shd w:val="clear" w:color="auto" w:fill="CCEFFC"/>
          </w:tcPr>
          <w:p w14:paraId="4BDBAC7B" w14:textId="7E5A49E9" w:rsidR="008B6DDD" w:rsidRPr="00976D1C" w:rsidRDefault="008B6DDD" w:rsidP="00EC4213">
            <w:pPr>
              <w:pStyle w:val="TableText"/>
            </w:pPr>
            <w:r w:rsidRPr="00976D1C">
              <w:rPr>
                <w:lang w:eastAsia="en-AU"/>
              </w:rPr>
              <w:t>No cost to patient.</w:t>
            </w:r>
          </w:p>
        </w:tc>
      </w:tr>
      <w:tr w:rsidR="008B6DDD" w:rsidRPr="00976D1C" w14:paraId="5846644C" w14:textId="77777777" w:rsidTr="00A72648">
        <w:trPr>
          <w:cantSplit/>
        </w:trPr>
        <w:tc>
          <w:tcPr>
            <w:tcW w:w="1242" w:type="dxa"/>
            <w:shd w:val="clear" w:color="auto" w:fill="CCE0ED"/>
          </w:tcPr>
          <w:p w14:paraId="2C70312C" w14:textId="6C86E4A9" w:rsidR="008B6DDD" w:rsidRPr="00976D1C" w:rsidRDefault="008B6DDD" w:rsidP="00EC4213">
            <w:pPr>
              <w:pStyle w:val="TableText"/>
            </w:pPr>
            <w:r w:rsidRPr="00976D1C">
              <w:rPr>
                <w:lang w:eastAsia="en-AU"/>
              </w:rPr>
              <w:t xml:space="preserve">WA </w:t>
            </w:r>
          </w:p>
        </w:tc>
        <w:tc>
          <w:tcPr>
            <w:tcW w:w="1985" w:type="dxa"/>
            <w:shd w:val="clear" w:color="auto" w:fill="CCE0ED"/>
          </w:tcPr>
          <w:p w14:paraId="671B2652" w14:textId="0DFF2AF9" w:rsidR="008B6DDD" w:rsidRPr="00976D1C" w:rsidRDefault="008B6DDD" w:rsidP="00EC4213">
            <w:pPr>
              <w:pStyle w:val="TableText"/>
            </w:pPr>
            <w:r w:rsidRPr="00976D1C">
              <w:rPr>
                <w:lang w:eastAsia="en-AU"/>
              </w:rPr>
              <w:t>18 years of age and older.</w:t>
            </w:r>
          </w:p>
        </w:tc>
        <w:tc>
          <w:tcPr>
            <w:tcW w:w="2835" w:type="dxa"/>
            <w:shd w:val="clear" w:color="auto" w:fill="CCE0ED"/>
          </w:tcPr>
          <w:p w14:paraId="11204470" w14:textId="77777777" w:rsidR="008B6DDD" w:rsidRPr="00976D1C" w:rsidRDefault="008B6DDD" w:rsidP="00EC4213">
            <w:pPr>
              <w:pStyle w:val="Tablebullet"/>
            </w:pPr>
            <w:r w:rsidRPr="00976D1C">
              <w:t>Health Care Card</w:t>
            </w:r>
          </w:p>
          <w:p w14:paraId="1DEE3616" w14:textId="77777777" w:rsidR="008B6DDD" w:rsidRPr="00976D1C" w:rsidRDefault="008B6DDD" w:rsidP="00EC4213">
            <w:pPr>
              <w:pStyle w:val="Tablebullet"/>
            </w:pPr>
            <w:r w:rsidRPr="00976D1C">
              <w:t>Pensioner Concession Card</w:t>
            </w:r>
          </w:p>
          <w:p w14:paraId="569DA2B6" w14:textId="77777777" w:rsidR="008B6DDD" w:rsidRPr="00976D1C" w:rsidRDefault="008B6DDD" w:rsidP="00EC4213">
            <w:pPr>
              <w:pStyle w:val="Tablebullet"/>
            </w:pPr>
            <w:r w:rsidRPr="00976D1C">
              <w:t>Veterans’ Affairs Gold Card (remote locations only).</w:t>
            </w:r>
          </w:p>
          <w:p w14:paraId="179A009E" w14:textId="78780D36" w:rsidR="008B6DDD" w:rsidRPr="00976D1C" w:rsidRDefault="008B6DDD" w:rsidP="00EC4213">
            <w:pPr>
              <w:pStyle w:val="Tablebullet"/>
            </w:pPr>
            <w:r w:rsidRPr="00976D1C">
              <w:t xml:space="preserve">In remote locations where public dental health services are the only dental health providers, all patients are able to access these services. However, patients without eligibility for the above concession cards are required to pay the full service fee. </w:t>
            </w:r>
          </w:p>
        </w:tc>
        <w:tc>
          <w:tcPr>
            <w:tcW w:w="5528" w:type="dxa"/>
            <w:shd w:val="clear" w:color="auto" w:fill="CCE0ED"/>
          </w:tcPr>
          <w:p w14:paraId="309FBC71" w14:textId="77777777" w:rsidR="008B6DDD" w:rsidRPr="00976D1C" w:rsidRDefault="008B6DDD" w:rsidP="00EC4213">
            <w:pPr>
              <w:pStyle w:val="Tablebullet"/>
            </w:pPr>
            <w:r w:rsidRPr="00976D1C">
              <w:t>General and emergency dental care. Specialist services are provided by the Oral Health Centre at the University of Western Australia, and include endodontics, oral medicine and oral pathology, oral surgery, orthodontics, paediatric dentistry, periodontics, and prosthodontics.</w:t>
            </w:r>
          </w:p>
          <w:p w14:paraId="7B0CFD36" w14:textId="77777777" w:rsidR="008B6DDD" w:rsidRPr="00976D1C" w:rsidRDefault="008B6DDD" w:rsidP="00EC4213">
            <w:pPr>
              <w:pStyle w:val="Tablebullet"/>
            </w:pPr>
            <w:r w:rsidRPr="00976D1C">
              <w:t xml:space="preserve">Residents of aged care facilities are eligible for a free annual dental examination and care plan. </w:t>
            </w:r>
          </w:p>
          <w:p w14:paraId="3C5AE95E" w14:textId="77777777" w:rsidR="008B6DDD" w:rsidRPr="00976D1C" w:rsidRDefault="008B6DDD" w:rsidP="00EC4213">
            <w:pPr>
              <w:pStyle w:val="Tablebullet"/>
            </w:pPr>
            <w:r w:rsidRPr="00976D1C">
              <w:t xml:space="preserve">In metropolitan areas, patients eligible for public dental services may be referred to private dental practitioners for treatment (at the subsidised rate) through the Metropolitan Patient’s Dental Subsidy Scheme. </w:t>
            </w:r>
          </w:p>
          <w:p w14:paraId="0A16654C" w14:textId="06B79298" w:rsidR="008B6DDD" w:rsidRPr="00976D1C" w:rsidRDefault="008B6DDD" w:rsidP="00EC4213">
            <w:pPr>
              <w:pStyle w:val="Tablebullet"/>
            </w:pPr>
            <w:r w:rsidRPr="00976D1C">
              <w:t xml:space="preserve">The Country Patient’s Dental Subsidy Scheme allows persons eligible for public dental services who live in an area where there are no public dental clinics to access care through private dental services at a subsidised rate. </w:t>
            </w:r>
          </w:p>
        </w:tc>
        <w:tc>
          <w:tcPr>
            <w:tcW w:w="3260" w:type="dxa"/>
            <w:shd w:val="clear" w:color="auto" w:fill="CCE0ED"/>
          </w:tcPr>
          <w:p w14:paraId="1838DB6B" w14:textId="4B7F83B8" w:rsidR="008B6DDD" w:rsidRPr="00976D1C" w:rsidRDefault="008B6DDD" w:rsidP="00EC4213">
            <w:pPr>
              <w:pStyle w:val="TableText"/>
            </w:pPr>
            <w:r w:rsidRPr="00976D1C">
              <w:rPr>
                <w:lang w:eastAsia="en-AU"/>
              </w:rPr>
              <w:t xml:space="preserve">Varies according to treatment. All dental charges are in line with the Department of Veterans’ Affairs schedule of dental fees, and treatment obtained through a public dental clinic is subsidised up to a maximum of 75 per cent of the cost of treatment. </w:t>
            </w:r>
          </w:p>
        </w:tc>
      </w:tr>
      <w:tr w:rsidR="008B6DDD" w:rsidRPr="00976D1C" w14:paraId="016A1144" w14:textId="77777777" w:rsidTr="00A72648">
        <w:trPr>
          <w:cantSplit/>
        </w:trPr>
        <w:tc>
          <w:tcPr>
            <w:tcW w:w="1242" w:type="dxa"/>
            <w:shd w:val="clear" w:color="auto" w:fill="CCEFFC"/>
          </w:tcPr>
          <w:p w14:paraId="1F829BF1" w14:textId="2325C60E" w:rsidR="008B6DDD" w:rsidRPr="00976D1C" w:rsidRDefault="008B6DDD" w:rsidP="00EC4213">
            <w:pPr>
              <w:pStyle w:val="TableText"/>
            </w:pPr>
            <w:r w:rsidRPr="00976D1C">
              <w:rPr>
                <w:lang w:eastAsia="en-AU"/>
              </w:rPr>
              <w:lastRenderedPageBreak/>
              <w:t xml:space="preserve">ACT </w:t>
            </w:r>
          </w:p>
        </w:tc>
        <w:tc>
          <w:tcPr>
            <w:tcW w:w="1985" w:type="dxa"/>
            <w:shd w:val="clear" w:color="auto" w:fill="CCEFFC"/>
          </w:tcPr>
          <w:p w14:paraId="70A52857" w14:textId="7B2BD070" w:rsidR="008B6DDD" w:rsidRPr="00976D1C" w:rsidRDefault="008B6DDD" w:rsidP="00EC4213">
            <w:pPr>
              <w:pStyle w:val="TableText"/>
            </w:pPr>
            <w:r w:rsidRPr="00976D1C">
              <w:rPr>
                <w:lang w:eastAsia="en-AU"/>
              </w:rPr>
              <w:t>18 years of age and older.</w:t>
            </w:r>
          </w:p>
        </w:tc>
        <w:tc>
          <w:tcPr>
            <w:tcW w:w="2835" w:type="dxa"/>
            <w:shd w:val="clear" w:color="auto" w:fill="CCEFFC"/>
          </w:tcPr>
          <w:p w14:paraId="5AE85238" w14:textId="77777777" w:rsidR="008B6DDD" w:rsidRPr="00976D1C" w:rsidRDefault="008B6DDD" w:rsidP="00EC4213">
            <w:pPr>
              <w:pStyle w:val="Tablebullet"/>
            </w:pPr>
            <w:r w:rsidRPr="00976D1C">
              <w:t>Health Care Card</w:t>
            </w:r>
          </w:p>
          <w:p w14:paraId="0B098FDD" w14:textId="7BBA12D3" w:rsidR="008B6DDD" w:rsidRPr="00976D1C" w:rsidRDefault="008B6DDD" w:rsidP="00EC4213">
            <w:pPr>
              <w:pStyle w:val="Tablebullet"/>
              <w:rPr>
                <w:rFonts w:ascii="Avenir LT Std 35 Light" w:hAnsi="Avenir LT Std 35 Light"/>
              </w:rPr>
            </w:pPr>
            <w:r w:rsidRPr="00976D1C">
              <w:t>Pension Concession Card</w:t>
            </w:r>
          </w:p>
        </w:tc>
        <w:tc>
          <w:tcPr>
            <w:tcW w:w="5528" w:type="dxa"/>
            <w:shd w:val="clear" w:color="auto" w:fill="CCEFFC"/>
          </w:tcPr>
          <w:p w14:paraId="08E0C750" w14:textId="2C712BA1" w:rsidR="008B6DDD" w:rsidRPr="00976D1C" w:rsidRDefault="008B6DDD" w:rsidP="00EC4213">
            <w:pPr>
              <w:pStyle w:val="TableText"/>
              <w:rPr>
                <w:rFonts w:ascii="Avenir LT Std 35 Light" w:hAnsi="Avenir LT Std 35 Light"/>
              </w:rPr>
            </w:pPr>
            <w:r w:rsidRPr="00976D1C">
              <w:rPr>
                <w:lang w:eastAsia="en-AU"/>
              </w:rPr>
              <w:t xml:space="preserve">General restorative services, emergency dental care, and denture services (including repairs, relines, and new dentures). </w:t>
            </w:r>
          </w:p>
        </w:tc>
        <w:tc>
          <w:tcPr>
            <w:tcW w:w="3260" w:type="dxa"/>
            <w:shd w:val="clear" w:color="auto" w:fill="CCEFFC"/>
          </w:tcPr>
          <w:p w14:paraId="4D1A09CA" w14:textId="77777777" w:rsidR="008B6DDD" w:rsidRPr="00976D1C" w:rsidRDefault="008B6DDD" w:rsidP="00EC4213">
            <w:pPr>
              <w:pStyle w:val="Tablebullet"/>
            </w:pPr>
            <w:r w:rsidRPr="00976D1C">
              <w:t xml:space="preserve">Emergency care – minimum charge of $38.50 per visit. </w:t>
            </w:r>
          </w:p>
          <w:p w14:paraId="7AF65D66" w14:textId="77777777" w:rsidR="008B6DDD" w:rsidRPr="00976D1C" w:rsidRDefault="008B6DDD" w:rsidP="00EC4213">
            <w:pPr>
              <w:pStyle w:val="Tablebullet"/>
            </w:pPr>
            <w:r w:rsidRPr="00976D1C">
              <w:t>Restorative treatment – maximum of $300 in any year (excluding molar endodontics, general anaesthetic, and dentures).</w:t>
            </w:r>
          </w:p>
          <w:p w14:paraId="324AFA1E" w14:textId="586A1C25" w:rsidR="008B6DDD" w:rsidRPr="00976D1C" w:rsidRDefault="008B6DDD" w:rsidP="00EC4213">
            <w:pPr>
              <w:pStyle w:val="Tablebullet"/>
            </w:pPr>
            <w:r w:rsidRPr="00976D1C">
              <w:t xml:space="preserve">Dentures – minimum charge of $35 for a course of treatment. No annual cap. </w:t>
            </w:r>
          </w:p>
        </w:tc>
      </w:tr>
    </w:tbl>
    <w:p w14:paraId="1B9D7374" w14:textId="77777777" w:rsidR="00516A23" w:rsidRPr="00976D1C" w:rsidRDefault="00516A23" w:rsidP="00EC4213">
      <w:bookmarkStart w:id="79" w:name="_Toc380156547"/>
      <w:r w:rsidRPr="00976D1C">
        <w:br w:type="page"/>
      </w:r>
    </w:p>
    <w:p w14:paraId="17E407D7" w14:textId="611FCA36" w:rsidR="005B3845" w:rsidRPr="00976D1C" w:rsidRDefault="005B3845" w:rsidP="00EC4213">
      <w:pPr>
        <w:pStyle w:val="Heading1"/>
      </w:pPr>
      <w:bookmarkStart w:id="80" w:name="_Toc407634430"/>
      <w:r w:rsidRPr="00976D1C">
        <w:lastRenderedPageBreak/>
        <w:t xml:space="preserve">Appendix </w:t>
      </w:r>
      <w:r w:rsidR="00083221" w:rsidRPr="00976D1C">
        <w:t>B</w:t>
      </w:r>
      <w:r w:rsidRPr="00976D1C">
        <w:t xml:space="preserve"> – </w:t>
      </w:r>
      <w:r w:rsidR="00CA659D" w:rsidRPr="00976D1C">
        <w:t xml:space="preserve">Current </w:t>
      </w:r>
      <w:r w:rsidRPr="00976D1C">
        <w:t>child oral health services provided by the States and Territories</w:t>
      </w:r>
      <w:bookmarkEnd w:id="79"/>
      <w:bookmarkEnd w:id="80"/>
    </w:p>
    <w:tbl>
      <w:tblPr>
        <w:tblW w:w="1485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ayout w:type="fixed"/>
        <w:tblLook w:val="0480" w:firstRow="0" w:lastRow="0" w:firstColumn="1" w:lastColumn="0" w:noHBand="0" w:noVBand="1"/>
        <w:tblDescription w:val="appendix b - current child oral health services provided by the state and territories"/>
      </w:tblPr>
      <w:tblGrid>
        <w:gridCol w:w="1242"/>
        <w:gridCol w:w="1985"/>
        <w:gridCol w:w="2835"/>
        <w:gridCol w:w="5528"/>
        <w:gridCol w:w="3260"/>
      </w:tblGrid>
      <w:tr w:rsidR="002640D9" w:rsidRPr="00976D1C" w14:paraId="5B80BEDD" w14:textId="77777777" w:rsidTr="00EC4213">
        <w:trPr>
          <w:cantSplit/>
          <w:tblHeader/>
        </w:trPr>
        <w:tc>
          <w:tcPr>
            <w:tcW w:w="1242" w:type="dxa"/>
            <w:tcBorders>
              <w:top w:val="single" w:sz="4" w:space="0" w:color="FFFFFF" w:themeColor="background1"/>
            </w:tcBorders>
            <w:shd w:val="clear" w:color="auto" w:fill="0065A4"/>
          </w:tcPr>
          <w:p w14:paraId="302E3B69" w14:textId="3E06ECC1" w:rsidR="002640D9" w:rsidRPr="00976D1C" w:rsidRDefault="002640D9" w:rsidP="00EC4213">
            <w:pPr>
              <w:pStyle w:val="TableHeader"/>
              <w:rPr>
                <w:lang w:eastAsia="en-AU"/>
              </w:rPr>
            </w:pPr>
            <w:r w:rsidRPr="00976D1C">
              <w:rPr>
                <w:lang w:eastAsia="en-AU"/>
              </w:rPr>
              <w:t>State /</w:t>
            </w:r>
            <w:bookmarkStart w:id="81" w:name="ColumnTitle_AppendixB"/>
            <w:bookmarkEnd w:id="81"/>
            <w:r w:rsidRPr="00976D1C">
              <w:rPr>
                <w:lang w:eastAsia="en-AU"/>
              </w:rPr>
              <w:t xml:space="preserve"> Territory</w:t>
            </w:r>
          </w:p>
        </w:tc>
        <w:tc>
          <w:tcPr>
            <w:tcW w:w="1985" w:type="dxa"/>
            <w:tcBorders>
              <w:top w:val="single" w:sz="4" w:space="0" w:color="FFFFFF" w:themeColor="background1"/>
            </w:tcBorders>
            <w:shd w:val="clear" w:color="auto" w:fill="0065A4"/>
          </w:tcPr>
          <w:p w14:paraId="78A9E55C" w14:textId="334C818F" w:rsidR="002640D9" w:rsidRPr="00976D1C" w:rsidRDefault="00C836DC" w:rsidP="00EC4213">
            <w:pPr>
              <w:pStyle w:val="TableHeader"/>
              <w:rPr>
                <w:lang w:eastAsia="en-AU"/>
              </w:rPr>
            </w:pPr>
            <w:r w:rsidRPr="00976D1C">
              <w:rPr>
                <w:lang w:eastAsia="en-AU"/>
              </w:rPr>
              <w:t xml:space="preserve">Eligibility Criteria – </w:t>
            </w:r>
            <w:r w:rsidR="002640D9" w:rsidRPr="00976D1C">
              <w:rPr>
                <w:lang w:eastAsia="en-AU"/>
              </w:rPr>
              <w:t>Age</w:t>
            </w:r>
          </w:p>
        </w:tc>
        <w:tc>
          <w:tcPr>
            <w:tcW w:w="2835" w:type="dxa"/>
            <w:tcBorders>
              <w:top w:val="single" w:sz="4" w:space="0" w:color="FFFFFF" w:themeColor="background1"/>
            </w:tcBorders>
            <w:shd w:val="clear" w:color="auto" w:fill="0065A4"/>
          </w:tcPr>
          <w:p w14:paraId="28D0FFCC" w14:textId="3CB01C0A" w:rsidR="002640D9" w:rsidRPr="00976D1C" w:rsidRDefault="00C836DC" w:rsidP="00EC4213">
            <w:pPr>
              <w:pStyle w:val="TableHeader"/>
              <w:rPr>
                <w:rFonts w:eastAsia="Times New Roman"/>
                <w:lang w:eastAsia="en-AU"/>
              </w:rPr>
            </w:pPr>
            <w:r w:rsidRPr="00976D1C">
              <w:rPr>
                <w:lang w:eastAsia="en-AU"/>
              </w:rPr>
              <w:t xml:space="preserve">Eligibility Criteria – </w:t>
            </w:r>
            <w:r w:rsidR="002640D9" w:rsidRPr="00976D1C">
              <w:rPr>
                <w:lang w:eastAsia="en-AU"/>
              </w:rPr>
              <w:t>Card Holders</w:t>
            </w:r>
          </w:p>
        </w:tc>
        <w:tc>
          <w:tcPr>
            <w:tcW w:w="5528" w:type="dxa"/>
            <w:tcBorders>
              <w:top w:val="single" w:sz="4" w:space="0" w:color="FFFFFF" w:themeColor="background1"/>
            </w:tcBorders>
            <w:shd w:val="clear" w:color="auto" w:fill="0065A4"/>
          </w:tcPr>
          <w:p w14:paraId="74F1F4DF" w14:textId="26661482" w:rsidR="002640D9" w:rsidRPr="00976D1C" w:rsidRDefault="002640D9" w:rsidP="00EC4213">
            <w:pPr>
              <w:pStyle w:val="TableHeader"/>
              <w:rPr>
                <w:lang w:eastAsia="en-AU"/>
              </w:rPr>
            </w:pPr>
            <w:r w:rsidRPr="00976D1C">
              <w:rPr>
                <w:lang w:eastAsia="en-AU"/>
              </w:rPr>
              <w:t>Services</w:t>
            </w:r>
          </w:p>
        </w:tc>
        <w:tc>
          <w:tcPr>
            <w:tcW w:w="3260" w:type="dxa"/>
            <w:tcBorders>
              <w:top w:val="single" w:sz="4" w:space="0" w:color="FFFFFF" w:themeColor="background1"/>
            </w:tcBorders>
            <w:shd w:val="clear" w:color="auto" w:fill="0065A4"/>
          </w:tcPr>
          <w:p w14:paraId="014BFEF5" w14:textId="50C2278A" w:rsidR="002640D9" w:rsidRPr="00976D1C" w:rsidRDefault="002640D9" w:rsidP="00EC4213">
            <w:pPr>
              <w:pStyle w:val="TableHeader"/>
              <w:rPr>
                <w:lang w:eastAsia="en-AU"/>
              </w:rPr>
            </w:pPr>
            <w:r w:rsidRPr="00976D1C">
              <w:rPr>
                <w:lang w:eastAsia="en-AU"/>
              </w:rPr>
              <w:t>Cost</w:t>
            </w:r>
          </w:p>
        </w:tc>
      </w:tr>
      <w:tr w:rsidR="002640D9" w:rsidRPr="00976D1C" w14:paraId="1C840D38" w14:textId="77777777" w:rsidTr="00EC4213">
        <w:trPr>
          <w:cantSplit/>
        </w:trPr>
        <w:tc>
          <w:tcPr>
            <w:tcW w:w="1242" w:type="dxa"/>
            <w:tcBorders>
              <w:top w:val="single" w:sz="4" w:space="0" w:color="FFFFFF" w:themeColor="background1"/>
            </w:tcBorders>
            <w:shd w:val="clear" w:color="auto" w:fill="CCE0ED"/>
          </w:tcPr>
          <w:p w14:paraId="75271786" w14:textId="30C91930" w:rsidR="002640D9" w:rsidRPr="00976D1C" w:rsidRDefault="002640D9" w:rsidP="00EC4213">
            <w:pPr>
              <w:pStyle w:val="TableText"/>
            </w:pPr>
            <w:r w:rsidRPr="00976D1C">
              <w:t>QLD</w:t>
            </w:r>
            <w:r w:rsidRPr="00976D1C">
              <w:rPr>
                <w:lang w:eastAsia="en-AU"/>
              </w:rPr>
              <w:t xml:space="preserve"> </w:t>
            </w:r>
          </w:p>
        </w:tc>
        <w:tc>
          <w:tcPr>
            <w:tcW w:w="1985" w:type="dxa"/>
            <w:tcBorders>
              <w:top w:val="single" w:sz="4" w:space="0" w:color="FFFFFF" w:themeColor="background1"/>
            </w:tcBorders>
            <w:shd w:val="clear" w:color="auto" w:fill="CCE0ED"/>
          </w:tcPr>
          <w:p w14:paraId="3F08A209" w14:textId="77777777" w:rsidR="002640D9" w:rsidRPr="00976D1C" w:rsidRDefault="002640D9" w:rsidP="00EC4213">
            <w:pPr>
              <w:pStyle w:val="Tablebullet"/>
            </w:pPr>
            <w:r w:rsidRPr="00976D1C">
              <w:t>All Queensland residents aged four and over who have not completed year 10 of secondary school</w:t>
            </w:r>
          </w:p>
          <w:p w14:paraId="77BE62EB" w14:textId="25698839" w:rsidR="002640D9" w:rsidRPr="00976D1C" w:rsidRDefault="002640D9" w:rsidP="00EC4213">
            <w:pPr>
              <w:pStyle w:val="Tablebullet"/>
            </w:pPr>
            <w:r w:rsidRPr="00976D1C">
              <w:t>Queensland residents aged below four years, if eligible</w:t>
            </w:r>
          </w:p>
        </w:tc>
        <w:tc>
          <w:tcPr>
            <w:tcW w:w="2835" w:type="dxa"/>
            <w:tcBorders>
              <w:top w:val="single" w:sz="4" w:space="0" w:color="FFFFFF" w:themeColor="background1"/>
            </w:tcBorders>
            <w:shd w:val="clear" w:color="auto" w:fill="CCE0ED"/>
          </w:tcPr>
          <w:p w14:paraId="2281D5DE" w14:textId="77777777" w:rsidR="002640D9" w:rsidRPr="00976D1C" w:rsidRDefault="002640D9" w:rsidP="00EC4213">
            <w:pPr>
              <w:pStyle w:val="Tablebullet"/>
            </w:pPr>
            <w:r w:rsidRPr="00976D1C">
              <w:t>Children under four years of age are eligible for public oral health services if they are concession card holders or dependents of current concession card holders, or under the guardianship of the Director-General, Child Care Services, Department of Communities.</w:t>
            </w:r>
          </w:p>
          <w:p w14:paraId="23E2495C" w14:textId="69F6736C" w:rsidR="002640D9" w:rsidRPr="00976D1C" w:rsidRDefault="002640D9" w:rsidP="00EC4213">
            <w:pPr>
              <w:pStyle w:val="Tablebullet"/>
            </w:pPr>
            <w:r w:rsidRPr="00976D1C">
              <w:t xml:space="preserve">Specialist services are only available to concession card holders or dependents of concession card holders. </w:t>
            </w:r>
          </w:p>
        </w:tc>
        <w:tc>
          <w:tcPr>
            <w:tcW w:w="5528" w:type="dxa"/>
            <w:tcBorders>
              <w:top w:val="single" w:sz="4" w:space="0" w:color="FFFFFF" w:themeColor="background1"/>
            </w:tcBorders>
            <w:shd w:val="clear" w:color="auto" w:fill="CCE0ED"/>
          </w:tcPr>
          <w:p w14:paraId="3978569F" w14:textId="77777777" w:rsidR="002640D9" w:rsidRPr="00976D1C" w:rsidRDefault="002640D9" w:rsidP="00EC4213">
            <w:pPr>
              <w:pStyle w:val="Tablebullet"/>
            </w:pPr>
            <w:r w:rsidRPr="00976D1C">
              <w:t xml:space="preserve">Queensland Health’s Child and Adolescent Oral Health Services provides oral health care services to school aged children. Services include dental check-ups, information on oral health and nutrition, x-rays, cleaning teeth, fluoride applications, fissure sealants, fillings, extractions, and referrals to dental specialists where necessary. Services are usually provided on-site at schools through fixed or mobile dental clinics, but in some districts oral health services are centralised at larger dental clinics. </w:t>
            </w:r>
          </w:p>
          <w:p w14:paraId="4934A088" w14:textId="589FF065" w:rsidR="002640D9" w:rsidRPr="00976D1C" w:rsidRDefault="002640D9" w:rsidP="00EC4213">
            <w:pPr>
              <w:pStyle w:val="Tablebullet"/>
            </w:pPr>
            <w:r w:rsidRPr="00976D1C">
              <w:t xml:space="preserve">Emergency care is provided through public dental clinics. Public dental clinics also provide oral health services to eligible children below school age. </w:t>
            </w:r>
          </w:p>
        </w:tc>
        <w:tc>
          <w:tcPr>
            <w:tcW w:w="3260" w:type="dxa"/>
            <w:tcBorders>
              <w:top w:val="single" w:sz="4" w:space="0" w:color="FFFFFF" w:themeColor="background1"/>
            </w:tcBorders>
            <w:shd w:val="clear" w:color="auto" w:fill="CCE0ED"/>
          </w:tcPr>
          <w:p w14:paraId="02FF704E" w14:textId="57D5B3CA" w:rsidR="002640D9" w:rsidRPr="00976D1C" w:rsidRDefault="002640D9" w:rsidP="00EC4213">
            <w:pPr>
              <w:pStyle w:val="TableText"/>
            </w:pPr>
            <w:r w:rsidRPr="00976D1C">
              <w:rPr>
                <w:lang w:eastAsia="en-AU"/>
              </w:rPr>
              <w:t>No cost to patient.</w:t>
            </w:r>
          </w:p>
        </w:tc>
      </w:tr>
      <w:tr w:rsidR="002640D9" w:rsidRPr="00976D1C" w14:paraId="40C7C3BD" w14:textId="77777777" w:rsidTr="00EC4213">
        <w:trPr>
          <w:cantSplit/>
        </w:trPr>
        <w:tc>
          <w:tcPr>
            <w:tcW w:w="1242" w:type="dxa"/>
            <w:shd w:val="clear" w:color="auto" w:fill="CCEFFC"/>
          </w:tcPr>
          <w:p w14:paraId="2C245BD0" w14:textId="796F6EE7" w:rsidR="002640D9" w:rsidRPr="00976D1C" w:rsidRDefault="002640D9" w:rsidP="00EC4213">
            <w:pPr>
              <w:pStyle w:val="TableText"/>
            </w:pPr>
            <w:r w:rsidRPr="00976D1C">
              <w:t xml:space="preserve">NSW </w:t>
            </w:r>
          </w:p>
        </w:tc>
        <w:tc>
          <w:tcPr>
            <w:tcW w:w="1985" w:type="dxa"/>
            <w:shd w:val="clear" w:color="auto" w:fill="CCEFFC"/>
          </w:tcPr>
          <w:p w14:paraId="09E3051F" w14:textId="2B24750B" w:rsidR="002640D9" w:rsidRPr="00976D1C" w:rsidRDefault="002640D9" w:rsidP="00EC4213">
            <w:pPr>
              <w:pStyle w:val="TableText"/>
            </w:pPr>
            <w:r w:rsidRPr="00976D1C">
              <w:t>All children under 18 years of age who are eligible for Medicare</w:t>
            </w:r>
          </w:p>
        </w:tc>
        <w:tc>
          <w:tcPr>
            <w:tcW w:w="2835" w:type="dxa"/>
            <w:shd w:val="clear" w:color="auto" w:fill="CCEFFC"/>
          </w:tcPr>
          <w:p w14:paraId="3021C884" w14:textId="2710342C" w:rsidR="002640D9" w:rsidRPr="00976D1C" w:rsidRDefault="002640D9" w:rsidP="00EC4213">
            <w:pPr>
              <w:pStyle w:val="TableText"/>
            </w:pPr>
            <w:r w:rsidRPr="00976D1C">
              <w:t>N/A</w:t>
            </w:r>
          </w:p>
        </w:tc>
        <w:tc>
          <w:tcPr>
            <w:tcW w:w="5528" w:type="dxa"/>
            <w:shd w:val="clear" w:color="auto" w:fill="CCEFFC"/>
          </w:tcPr>
          <w:p w14:paraId="3C9076AB" w14:textId="3F2B5356" w:rsidR="002640D9" w:rsidRPr="00976D1C" w:rsidRDefault="002640D9" w:rsidP="00EC4213">
            <w:pPr>
              <w:pStyle w:val="TableText"/>
            </w:pPr>
            <w:r w:rsidRPr="00976D1C">
              <w:t xml:space="preserve">General and preventative dental care for children is delivered by Local Health Districts. Each Local Health District provides service through clinics, which may be located in schools, community health centres, hospitals, or (in rural districts) through mobile dental clinics. </w:t>
            </w:r>
          </w:p>
        </w:tc>
        <w:tc>
          <w:tcPr>
            <w:tcW w:w="3260" w:type="dxa"/>
            <w:shd w:val="clear" w:color="auto" w:fill="CCEFFC"/>
          </w:tcPr>
          <w:p w14:paraId="6643595A" w14:textId="49245B65" w:rsidR="002640D9" w:rsidRPr="00976D1C" w:rsidRDefault="002640D9" w:rsidP="00EC4213">
            <w:pPr>
              <w:pStyle w:val="TableText"/>
            </w:pPr>
            <w:r w:rsidRPr="00976D1C">
              <w:t>No cost to patient</w:t>
            </w:r>
          </w:p>
        </w:tc>
      </w:tr>
      <w:tr w:rsidR="002640D9" w:rsidRPr="00976D1C" w14:paraId="05EA4F49" w14:textId="77777777" w:rsidTr="00EC4213">
        <w:trPr>
          <w:cantSplit/>
        </w:trPr>
        <w:tc>
          <w:tcPr>
            <w:tcW w:w="1242" w:type="dxa"/>
            <w:shd w:val="clear" w:color="auto" w:fill="CCE0ED"/>
          </w:tcPr>
          <w:p w14:paraId="0F4ACEC6" w14:textId="23CBE39D" w:rsidR="002640D9" w:rsidRPr="00976D1C" w:rsidRDefault="002640D9" w:rsidP="00EC4213">
            <w:pPr>
              <w:pStyle w:val="TableText"/>
            </w:pPr>
            <w:r w:rsidRPr="00976D1C">
              <w:lastRenderedPageBreak/>
              <w:t>VIC</w:t>
            </w:r>
            <w:r w:rsidRPr="00976D1C">
              <w:rPr>
                <w:lang w:eastAsia="en-AU"/>
              </w:rPr>
              <w:t xml:space="preserve"> </w:t>
            </w:r>
          </w:p>
        </w:tc>
        <w:tc>
          <w:tcPr>
            <w:tcW w:w="1985" w:type="dxa"/>
            <w:shd w:val="clear" w:color="auto" w:fill="CCE0ED"/>
          </w:tcPr>
          <w:p w14:paraId="12D302FE" w14:textId="77777777" w:rsidR="002640D9" w:rsidRPr="00976D1C" w:rsidRDefault="002640D9" w:rsidP="00EC4213">
            <w:pPr>
              <w:pStyle w:val="Tablebullet"/>
            </w:pPr>
            <w:r w:rsidRPr="00976D1C">
              <w:t>All children aged 12 years and younger</w:t>
            </w:r>
          </w:p>
          <w:p w14:paraId="500D8A83" w14:textId="44AD376E" w:rsidR="002640D9" w:rsidRPr="00976D1C" w:rsidRDefault="002640D9" w:rsidP="00EC4213">
            <w:pPr>
              <w:pStyle w:val="Tablebullet"/>
            </w:pPr>
            <w:r w:rsidRPr="00976D1C">
              <w:t>Young people aged 13 – 17 years, if eligible</w:t>
            </w:r>
          </w:p>
        </w:tc>
        <w:tc>
          <w:tcPr>
            <w:tcW w:w="2835" w:type="dxa"/>
            <w:shd w:val="clear" w:color="auto" w:fill="CCE0ED"/>
          </w:tcPr>
          <w:p w14:paraId="3A2992A1" w14:textId="7E6AFE23" w:rsidR="002640D9" w:rsidRPr="00976D1C" w:rsidRDefault="002640D9" w:rsidP="00EC4213">
            <w:pPr>
              <w:pStyle w:val="TableText"/>
            </w:pPr>
            <w:r w:rsidRPr="00976D1C">
              <w:rPr>
                <w:lang w:eastAsia="en-AU"/>
              </w:rPr>
              <w:t>Teenagers (13 – 17 years) are eligible for public oral health services if they are concession card holders or dependents of concession card holders or members of a priority group (including Aboriginal or Torres Strait Islander teenagers, refugees or asylum seekers, in the care of the Children Youth and Families Division of the Department of Human Services, or attendees of a special or special development school)</w:t>
            </w:r>
          </w:p>
        </w:tc>
        <w:tc>
          <w:tcPr>
            <w:tcW w:w="5528" w:type="dxa"/>
            <w:shd w:val="clear" w:color="auto" w:fill="CCE0ED"/>
          </w:tcPr>
          <w:p w14:paraId="69A488A9" w14:textId="77777777" w:rsidR="002640D9" w:rsidRPr="00976D1C" w:rsidRDefault="002640D9" w:rsidP="00EC4213">
            <w:pPr>
              <w:pStyle w:val="Tablebullet"/>
            </w:pPr>
            <w:r w:rsidRPr="00976D1C">
              <w:t xml:space="preserve">General and emergency dental treatment (including check-ups and advice, cleaning, fillings and fissure sealants, extractions, and x-rays) is provided to children and teenagers through community dental clinics. </w:t>
            </w:r>
          </w:p>
          <w:p w14:paraId="609FA786" w14:textId="443443EA" w:rsidR="002640D9" w:rsidRPr="00976D1C" w:rsidRDefault="002640D9" w:rsidP="00EC4213">
            <w:pPr>
              <w:pStyle w:val="Tablebullet"/>
              <w:rPr>
                <w:rFonts w:ascii="Avenir LT Std 35 Light" w:hAnsi="Avenir LT Std 35 Light"/>
              </w:rPr>
            </w:pPr>
            <w:r w:rsidRPr="00976D1C">
              <w:t xml:space="preserve">Specialist dental services are mostly provided through the Royal Melbourne Dental Hospital. </w:t>
            </w:r>
          </w:p>
        </w:tc>
        <w:tc>
          <w:tcPr>
            <w:tcW w:w="3260" w:type="dxa"/>
            <w:shd w:val="clear" w:color="auto" w:fill="CCE0ED"/>
          </w:tcPr>
          <w:p w14:paraId="131A8039" w14:textId="77777777" w:rsidR="002640D9" w:rsidRPr="00976D1C" w:rsidRDefault="002640D9" w:rsidP="00EC4213">
            <w:pPr>
              <w:pStyle w:val="Tablebullet"/>
            </w:pPr>
            <w:r w:rsidRPr="00976D1C">
              <w:t>Emergency dental care is provided with no cost to the patient for:</w:t>
            </w:r>
          </w:p>
          <w:p w14:paraId="7AB5C034" w14:textId="77777777" w:rsidR="002640D9" w:rsidRPr="00976D1C" w:rsidRDefault="002640D9" w:rsidP="00EC4213">
            <w:pPr>
              <w:pStyle w:val="Tablebullet"/>
            </w:pPr>
            <w:r w:rsidRPr="00976D1C">
              <w:t>All children 12 years and younger</w:t>
            </w:r>
          </w:p>
          <w:p w14:paraId="299B7F42" w14:textId="77777777" w:rsidR="002640D9" w:rsidRPr="00976D1C" w:rsidRDefault="002640D9" w:rsidP="00EC4213">
            <w:pPr>
              <w:pStyle w:val="Tablebullet"/>
            </w:pPr>
            <w:r w:rsidRPr="00976D1C">
              <w:t xml:space="preserve">Teenagers (13 – 17 years) who hold a valid concession card or are a dependent of a concession card holder or who are a member of a priority group. </w:t>
            </w:r>
          </w:p>
          <w:p w14:paraId="061AFFDE" w14:textId="77777777" w:rsidR="002640D9" w:rsidRPr="00976D1C" w:rsidRDefault="002640D9" w:rsidP="00EC4213">
            <w:pPr>
              <w:pStyle w:val="Tablebullet"/>
            </w:pPr>
            <w:r w:rsidRPr="00976D1C">
              <w:t>General dental treatment is provided with no cost to the patient for:</w:t>
            </w:r>
          </w:p>
          <w:p w14:paraId="54D69CEC" w14:textId="77777777" w:rsidR="002640D9" w:rsidRPr="00976D1C" w:rsidRDefault="002640D9" w:rsidP="00EC4213">
            <w:pPr>
              <w:pStyle w:val="Tablebullet"/>
            </w:pPr>
            <w:r w:rsidRPr="00976D1C">
              <w:t>All children who are treated by an undergraduate dental student at the Royal Melbourne Dental Hospital or at a teaching dental clinic</w:t>
            </w:r>
          </w:p>
          <w:p w14:paraId="484EE931" w14:textId="77777777" w:rsidR="002640D9" w:rsidRPr="00976D1C" w:rsidRDefault="002640D9" w:rsidP="00EC4213">
            <w:pPr>
              <w:pStyle w:val="Tablebullet"/>
            </w:pPr>
            <w:r w:rsidRPr="00976D1C">
              <w:t>All children who hold a concession card or are a dependent of a concession card holder or who are a member of a priority group.</w:t>
            </w:r>
          </w:p>
          <w:p w14:paraId="074890DE" w14:textId="1654E661" w:rsidR="002640D9" w:rsidRPr="00976D1C" w:rsidRDefault="002640D9" w:rsidP="00EC4213">
            <w:pPr>
              <w:pStyle w:val="Tablebullet"/>
            </w:pPr>
            <w:r w:rsidRPr="00976D1C">
              <w:t xml:space="preserve">General dental treatment for children aged 12 years and younger who do not meet the concession card or priority group eligibility criteria attracts a fee of $31 per child for a cost of general care (with a maximum of $124 per family per year). </w:t>
            </w:r>
          </w:p>
        </w:tc>
      </w:tr>
      <w:tr w:rsidR="002640D9" w:rsidRPr="00976D1C" w14:paraId="236C56BD" w14:textId="77777777" w:rsidTr="00EC4213">
        <w:trPr>
          <w:cantSplit/>
        </w:trPr>
        <w:tc>
          <w:tcPr>
            <w:tcW w:w="1242" w:type="dxa"/>
            <w:shd w:val="clear" w:color="auto" w:fill="CCEFFC"/>
          </w:tcPr>
          <w:p w14:paraId="08F048F3" w14:textId="204EB902" w:rsidR="002640D9" w:rsidRPr="00976D1C" w:rsidRDefault="002640D9" w:rsidP="00EC4213">
            <w:pPr>
              <w:pStyle w:val="TableText"/>
            </w:pPr>
            <w:r w:rsidRPr="00976D1C">
              <w:rPr>
                <w:lang w:eastAsia="en-AU"/>
              </w:rPr>
              <w:lastRenderedPageBreak/>
              <w:t xml:space="preserve">TAS </w:t>
            </w:r>
          </w:p>
        </w:tc>
        <w:tc>
          <w:tcPr>
            <w:tcW w:w="1985" w:type="dxa"/>
            <w:shd w:val="clear" w:color="auto" w:fill="CCEFFC"/>
          </w:tcPr>
          <w:p w14:paraId="052B4E90" w14:textId="4F0704AE" w:rsidR="002640D9" w:rsidRPr="00976D1C" w:rsidRDefault="002640D9" w:rsidP="00EC4213">
            <w:pPr>
              <w:pStyle w:val="TableText"/>
            </w:pPr>
            <w:r w:rsidRPr="00976D1C">
              <w:rPr>
                <w:lang w:eastAsia="en-AU"/>
              </w:rPr>
              <w:t>All children under 18 years of age</w:t>
            </w:r>
          </w:p>
        </w:tc>
        <w:tc>
          <w:tcPr>
            <w:tcW w:w="2835" w:type="dxa"/>
            <w:shd w:val="clear" w:color="auto" w:fill="CCEFFC"/>
          </w:tcPr>
          <w:p w14:paraId="449E6890" w14:textId="74643213" w:rsidR="002640D9" w:rsidRPr="00976D1C" w:rsidRDefault="002640D9" w:rsidP="00EC4213">
            <w:pPr>
              <w:pStyle w:val="TableText"/>
            </w:pPr>
            <w:r w:rsidRPr="00976D1C">
              <w:rPr>
                <w:lang w:eastAsia="en-AU"/>
              </w:rPr>
              <w:t>N/A</w:t>
            </w:r>
          </w:p>
        </w:tc>
        <w:tc>
          <w:tcPr>
            <w:tcW w:w="5528" w:type="dxa"/>
            <w:shd w:val="clear" w:color="auto" w:fill="CCEFFC"/>
          </w:tcPr>
          <w:p w14:paraId="49E62F22" w14:textId="72BADEB2" w:rsidR="002640D9" w:rsidRPr="00976D1C" w:rsidRDefault="002640D9" w:rsidP="00EC4213">
            <w:pPr>
              <w:pStyle w:val="TableText"/>
            </w:pPr>
            <w:r w:rsidRPr="00976D1C">
              <w:rPr>
                <w:lang w:eastAsia="en-AU"/>
              </w:rPr>
              <w:t xml:space="preserve">Dental check-ups and any necessary treatment determined by the check-up; x-rays, dietary advice, oral hygiene instruction and referral for further assessment or treatment are provided. Services are provided at community dental clinics, which may be located in hospitals or health centres. </w:t>
            </w:r>
          </w:p>
        </w:tc>
        <w:tc>
          <w:tcPr>
            <w:tcW w:w="3260" w:type="dxa"/>
            <w:shd w:val="clear" w:color="auto" w:fill="CCEFFC"/>
          </w:tcPr>
          <w:p w14:paraId="05B8A343" w14:textId="77777777" w:rsidR="002640D9" w:rsidRPr="00976D1C" w:rsidRDefault="002640D9" w:rsidP="00EC4213">
            <w:pPr>
              <w:pStyle w:val="Tablebullet"/>
            </w:pPr>
            <w:r w:rsidRPr="00976D1C">
              <w:t xml:space="preserve">No cost to patient for general or emergency dental care. </w:t>
            </w:r>
          </w:p>
          <w:p w14:paraId="610BF96B" w14:textId="54881AC2" w:rsidR="002640D9" w:rsidRPr="00976D1C" w:rsidRDefault="002640D9" w:rsidP="00EC4213">
            <w:pPr>
              <w:pStyle w:val="Tablebullet"/>
              <w:rPr>
                <w:rFonts w:ascii="Avenir LT Std 35 Light" w:hAnsi="Avenir LT Std 35 Light"/>
              </w:rPr>
            </w:pPr>
            <w:r w:rsidRPr="00976D1C">
              <w:t xml:space="preserve">Some treatments and devices (such as replacement mouth guards and tooth mousse) attract a small fee. </w:t>
            </w:r>
          </w:p>
        </w:tc>
      </w:tr>
      <w:tr w:rsidR="002640D9" w:rsidRPr="00976D1C" w14:paraId="4B12A506" w14:textId="77777777" w:rsidTr="00EC4213">
        <w:trPr>
          <w:cantSplit/>
        </w:trPr>
        <w:tc>
          <w:tcPr>
            <w:tcW w:w="1242" w:type="dxa"/>
            <w:shd w:val="clear" w:color="auto" w:fill="CCE0ED"/>
          </w:tcPr>
          <w:p w14:paraId="07DD6833" w14:textId="0758374B" w:rsidR="002640D9" w:rsidRPr="00976D1C" w:rsidRDefault="002640D9" w:rsidP="00EC4213">
            <w:pPr>
              <w:pStyle w:val="TableText"/>
            </w:pPr>
            <w:r w:rsidRPr="00976D1C">
              <w:rPr>
                <w:lang w:eastAsia="en-AU"/>
              </w:rPr>
              <w:t xml:space="preserve">SA </w:t>
            </w:r>
          </w:p>
        </w:tc>
        <w:tc>
          <w:tcPr>
            <w:tcW w:w="1985" w:type="dxa"/>
            <w:shd w:val="clear" w:color="auto" w:fill="CCE0ED"/>
          </w:tcPr>
          <w:p w14:paraId="53F30F85" w14:textId="5F2F831C" w:rsidR="002640D9" w:rsidRPr="00976D1C" w:rsidRDefault="002640D9" w:rsidP="00EC4213">
            <w:pPr>
              <w:pStyle w:val="TableText"/>
            </w:pPr>
            <w:r w:rsidRPr="00976D1C">
              <w:rPr>
                <w:lang w:eastAsia="en-AU"/>
              </w:rPr>
              <w:t xml:space="preserve">All children under 18 years of age </w:t>
            </w:r>
          </w:p>
        </w:tc>
        <w:tc>
          <w:tcPr>
            <w:tcW w:w="2835" w:type="dxa"/>
            <w:shd w:val="clear" w:color="auto" w:fill="CCE0ED"/>
          </w:tcPr>
          <w:p w14:paraId="6ABDD283" w14:textId="67105E9D" w:rsidR="002640D9" w:rsidRPr="00976D1C" w:rsidRDefault="002640D9" w:rsidP="00EC4213">
            <w:pPr>
              <w:pStyle w:val="TableText"/>
            </w:pPr>
            <w:r w:rsidRPr="00976D1C">
              <w:rPr>
                <w:lang w:eastAsia="en-AU"/>
              </w:rPr>
              <w:t>N/A</w:t>
            </w:r>
          </w:p>
        </w:tc>
        <w:tc>
          <w:tcPr>
            <w:tcW w:w="5528" w:type="dxa"/>
            <w:shd w:val="clear" w:color="auto" w:fill="CCE0ED"/>
          </w:tcPr>
          <w:p w14:paraId="7A0A8C91" w14:textId="77777777" w:rsidR="002640D9" w:rsidRPr="00976D1C" w:rsidRDefault="002640D9" w:rsidP="00EC4213">
            <w:pPr>
              <w:pStyle w:val="Tablebullet"/>
            </w:pPr>
            <w:r w:rsidRPr="00976D1C">
              <w:t xml:space="preserve">The School Dental Service provides general oral health care, including check-ups, information on oral health and healthy food, x-rays, cleaning teeth, fluoride treatments, fissure sealants, fillings, extractions, and referrals. </w:t>
            </w:r>
          </w:p>
          <w:p w14:paraId="2BB34297" w14:textId="293B0A46" w:rsidR="002640D9" w:rsidRPr="00976D1C" w:rsidRDefault="002640D9" w:rsidP="00EC4213">
            <w:pPr>
              <w:pStyle w:val="Tablebullet"/>
            </w:pPr>
            <w:r w:rsidRPr="00976D1C">
              <w:t>Emergency dental treatment for children is provided by the SA Dental Service through com</w:t>
            </w:r>
            <w:r w:rsidR="008C1889" w:rsidRPr="00976D1C">
              <w:t>munity dental clinics.</w:t>
            </w:r>
          </w:p>
          <w:p w14:paraId="6AE73DF6" w14:textId="77777777" w:rsidR="002640D9" w:rsidRPr="00976D1C" w:rsidRDefault="002640D9" w:rsidP="00EC4213">
            <w:pPr>
              <w:pStyle w:val="TableText"/>
              <w:rPr>
                <w:rFonts w:ascii="Avenir LT Std 35 Light" w:hAnsi="Avenir LT Std 35 Light"/>
              </w:rPr>
            </w:pPr>
          </w:p>
        </w:tc>
        <w:tc>
          <w:tcPr>
            <w:tcW w:w="3260" w:type="dxa"/>
            <w:shd w:val="clear" w:color="auto" w:fill="CCE0ED"/>
          </w:tcPr>
          <w:p w14:paraId="1F7D6667" w14:textId="77777777" w:rsidR="002640D9" w:rsidRPr="00976D1C" w:rsidRDefault="002640D9" w:rsidP="00EC4213">
            <w:pPr>
              <w:pStyle w:val="Tablebullet"/>
            </w:pPr>
            <w:r w:rsidRPr="00976D1C">
              <w:t xml:space="preserve">All dental care is free for children below five years of age. </w:t>
            </w:r>
          </w:p>
          <w:p w14:paraId="13735864" w14:textId="28CE47F9" w:rsidR="002640D9" w:rsidRPr="00976D1C" w:rsidRDefault="002640D9" w:rsidP="00EC4213">
            <w:pPr>
              <w:pStyle w:val="Tablebullet"/>
            </w:pPr>
            <w:r w:rsidRPr="00976D1C">
              <w:t xml:space="preserve">For children between five and 17 years of age, dental care is free if eligible for the Medicare Child Dental Benefit Schedule. For children who are not eligible, care is still provided by the School Dental Service but a fee of $42 for each course of care is payable. </w:t>
            </w:r>
          </w:p>
        </w:tc>
      </w:tr>
      <w:tr w:rsidR="002640D9" w:rsidRPr="00976D1C" w14:paraId="2E6B7725" w14:textId="77777777" w:rsidTr="00EC4213">
        <w:trPr>
          <w:cantSplit/>
        </w:trPr>
        <w:tc>
          <w:tcPr>
            <w:tcW w:w="1242" w:type="dxa"/>
            <w:shd w:val="clear" w:color="auto" w:fill="CCEFFC"/>
          </w:tcPr>
          <w:p w14:paraId="1AC3AE66" w14:textId="3411D5D7" w:rsidR="002640D9" w:rsidRPr="00976D1C" w:rsidRDefault="002640D9" w:rsidP="00EC4213">
            <w:pPr>
              <w:pStyle w:val="TableText"/>
            </w:pPr>
            <w:r w:rsidRPr="00976D1C">
              <w:rPr>
                <w:lang w:eastAsia="en-AU"/>
              </w:rPr>
              <w:lastRenderedPageBreak/>
              <w:t xml:space="preserve">NT </w:t>
            </w:r>
          </w:p>
        </w:tc>
        <w:tc>
          <w:tcPr>
            <w:tcW w:w="1985" w:type="dxa"/>
            <w:shd w:val="clear" w:color="auto" w:fill="CCEFFC"/>
          </w:tcPr>
          <w:p w14:paraId="60064962" w14:textId="23DD1297" w:rsidR="002640D9" w:rsidRPr="00976D1C" w:rsidRDefault="002640D9" w:rsidP="00EC4213">
            <w:pPr>
              <w:pStyle w:val="TableText"/>
              <w:rPr>
                <w:rFonts w:ascii="Avenir LT Std 35 Light" w:hAnsi="Avenir LT Std 35 Light"/>
              </w:rPr>
            </w:pPr>
            <w:r w:rsidRPr="00976D1C">
              <w:rPr>
                <w:lang w:eastAsia="en-AU"/>
              </w:rPr>
              <w:t>All school aged children (up to completion of high school) and all children below school age.</w:t>
            </w:r>
          </w:p>
        </w:tc>
        <w:tc>
          <w:tcPr>
            <w:tcW w:w="2835" w:type="dxa"/>
            <w:shd w:val="clear" w:color="auto" w:fill="CCEFFC"/>
          </w:tcPr>
          <w:p w14:paraId="01CA0641" w14:textId="096C8954" w:rsidR="002640D9" w:rsidRPr="00976D1C" w:rsidRDefault="002640D9" w:rsidP="00EC4213">
            <w:pPr>
              <w:pStyle w:val="TableText"/>
              <w:rPr>
                <w:rFonts w:ascii="Avenir LT Std 35 Light" w:hAnsi="Avenir LT Std 35 Light"/>
              </w:rPr>
            </w:pPr>
            <w:r w:rsidRPr="00976D1C">
              <w:rPr>
                <w:lang w:eastAsia="en-AU"/>
              </w:rPr>
              <w:t>N/A</w:t>
            </w:r>
          </w:p>
        </w:tc>
        <w:tc>
          <w:tcPr>
            <w:tcW w:w="5528" w:type="dxa"/>
            <w:shd w:val="clear" w:color="auto" w:fill="CCEFFC"/>
          </w:tcPr>
          <w:p w14:paraId="0BD5E432" w14:textId="77777777" w:rsidR="002640D9" w:rsidRPr="00976D1C" w:rsidRDefault="002640D9" w:rsidP="00EC4213">
            <w:pPr>
              <w:pStyle w:val="Tablebullet"/>
            </w:pPr>
            <w:r w:rsidRPr="00976D1C">
              <w:t xml:space="preserve">General dental care is provided to children from infancy to the completion of primary school through the Child Oral Health Service, with services provided at primary school based clinics, community health centres, and mobile vans. </w:t>
            </w:r>
          </w:p>
          <w:p w14:paraId="27A00E2F" w14:textId="77777777" w:rsidR="002640D9" w:rsidRPr="00976D1C" w:rsidRDefault="002640D9" w:rsidP="00EC4213">
            <w:pPr>
              <w:pStyle w:val="Tablebullet"/>
            </w:pPr>
            <w:r w:rsidRPr="00976D1C">
              <w:t xml:space="preserve">For young people attending middle school and high school, free oral health services are provided through community dental clinics and community health services. </w:t>
            </w:r>
          </w:p>
          <w:p w14:paraId="424CE782" w14:textId="77777777" w:rsidR="002640D9" w:rsidRPr="00976D1C" w:rsidRDefault="002640D9" w:rsidP="00EC4213">
            <w:pPr>
              <w:pStyle w:val="Tablebullet"/>
            </w:pPr>
            <w:r w:rsidRPr="00976D1C">
              <w:t xml:space="preserve">General dental care provided through these services and clinics includes examinations, extractions, fluoride treatment, fissure sealants, oral hygiene instruction, fillings, and cleaning. </w:t>
            </w:r>
          </w:p>
          <w:p w14:paraId="4F072729" w14:textId="1B5A362D" w:rsidR="002640D9" w:rsidRPr="00976D1C" w:rsidRDefault="002640D9" w:rsidP="00EC4213">
            <w:pPr>
              <w:pStyle w:val="Tablebullet"/>
            </w:pPr>
            <w:r w:rsidRPr="00976D1C">
              <w:t xml:space="preserve">Orthodontic services are provided to children with significant problems; referrals to private dentists or orthodontists are provided for children with less severe problems. </w:t>
            </w:r>
          </w:p>
        </w:tc>
        <w:tc>
          <w:tcPr>
            <w:tcW w:w="3260" w:type="dxa"/>
            <w:shd w:val="clear" w:color="auto" w:fill="CCEFFC"/>
          </w:tcPr>
          <w:p w14:paraId="365DCDA8" w14:textId="77777777" w:rsidR="002640D9" w:rsidRPr="00976D1C" w:rsidRDefault="002640D9" w:rsidP="00EC4213">
            <w:pPr>
              <w:pStyle w:val="Tablebullet"/>
            </w:pPr>
            <w:r w:rsidRPr="00976D1C">
              <w:t xml:space="preserve">No cost to patient for general or emergency dental care. </w:t>
            </w:r>
          </w:p>
          <w:p w14:paraId="60761E0B" w14:textId="47A7693E" w:rsidR="002640D9" w:rsidRPr="00976D1C" w:rsidRDefault="002640D9" w:rsidP="00EC4213">
            <w:pPr>
              <w:pStyle w:val="Tablebullet"/>
            </w:pPr>
            <w:r w:rsidRPr="00976D1C">
              <w:t xml:space="preserve">For orthodontic treatment, there is no cost to the patient if the child is a concession card holder or a dependent of a concession card holder. </w:t>
            </w:r>
          </w:p>
        </w:tc>
      </w:tr>
      <w:tr w:rsidR="002640D9" w:rsidRPr="00976D1C" w14:paraId="383E9E73" w14:textId="77777777" w:rsidTr="00EC4213">
        <w:trPr>
          <w:cantSplit/>
        </w:trPr>
        <w:tc>
          <w:tcPr>
            <w:tcW w:w="1242" w:type="dxa"/>
            <w:shd w:val="clear" w:color="auto" w:fill="CCE0ED"/>
          </w:tcPr>
          <w:p w14:paraId="6BC6968A" w14:textId="6D596012" w:rsidR="002640D9" w:rsidRPr="00976D1C" w:rsidRDefault="002640D9" w:rsidP="00EC4213">
            <w:pPr>
              <w:pStyle w:val="TableText"/>
            </w:pPr>
            <w:r w:rsidRPr="00976D1C">
              <w:rPr>
                <w:lang w:eastAsia="en-AU"/>
              </w:rPr>
              <w:t xml:space="preserve">WA </w:t>
            </w:r>
          </w:p>
        </w:tc>
        <w:tc>
          <w:tcPr>
            <w:tcW w:w="1985" w:type="dxa"/>
            <w:shd w:val="clear" w:color="auto" w:fill="CCE0ED"/>
          </w:tcPr>
          <w:p w14:paraId="3C8A0CA4" w14:textId="6D0FAAFB" w:rsidR="002640D9" w:rsidRPr="00976D1C" w:rsidRDefault="002640D9" w:rsidP="00EC4213">
            <w:pPr>
              <w:pStyle w:val="TableText"/>
            </w:pPr>
            <w:r w:rsidRPr="00976D1C">
              <w:rPr>
                <w:lang w:eastAsia="en-AU"/>
              </w:rPr>
              <w:t>All children from the year they turn five until the end of year 11 or their 17</w:t>
            </w:r>
            <w:r w:rsidRPr="00976D1C">
              <w:rPr>
                <w:vertAlign w:val="superscript"/>
                <w:lang w:eastAsia="en-AU"/>
              </w:rPr>
              <w:t>th</w:t>
            </w:r>
            <w:r w:rsidRPr="00976D1C">
              <w:t xml:space="preserve"> birthday, whichever comes first. </w:t>
            </w:r>
          </w:p>
        </w:tc>
        <w:tc>
          <w:tcPr>
            <w:tcW w:w="2835" w:type="dxa"/>
            <w:shd w:val="clear" w:color="auto" w:fill="CCE0ED"/>
          </w:tcPr>
          <w:p w14:paraId="76F53DE5" w14:textId="052CB30F" w:rsidR="002640D9" w:rsidRPr="00976D1C" w:rsidRDefault="002640D9" w:rsidP="00EC4213">
            <w:pPr>
              <w:pStyle w:val="TableText"/>
              <w:rPr>
                <w:rFonts w:ascii="Avenir LT Std 35 Light" w:hAnsi="Avenir LT Std 35 Light"/>
              </w:rPr>
            </w:pPr>
            <w:r w:rsidRPr="00976D1C">
              <w:rPr>
                <w:lang w:eastAsia="en-AU"/>
              </w:rPr>
              <w:t>N/A</w:t>
            </w:r>
          </w:p>
        </w:tc>
        <w:tc>
          <w:tcPr>
            <w:tcW w:w="5528" w:type="dxa"/>
            <w:shd w:val="clear" w:color="auto" w:fill="CCE0ED"/>
          </w:tcPr>
          <w:p w14:paraId="2506C079" w14:textId="77777777" w:rsidR="002640D9" w:rsidRPr="00976D1C" w:rsidRDefault="002640D9" w:rsidP="00EC4213">
            <w:pPr>
              <w:pStyle w:val="Tablebullet"/>
            </w:pPr>
            <w:r w:rsidRPr="00976D1C">
              <w:t xml:space="preserve">General dental care is provided by School Dental Services throughout the state, through fixed and mobile clinics located at schools. This service has a focus on prevention and education; treatment is limited to general practice care and there are a number of exclusions, including specialist services and anaesthesia. </w:t>
            </w:r>
          </w:p>
          <w:p w14:paraId="2F60598D" w14:textId="0F12A47F" w:rsidR="002640D9" w:rsidRPr="00976D1C" w:rsidRDefault="002640D9" w:rsidP="00EC4213">
            <w:pPr>
              <w:pStyle w:val="Tablebullet"/>
            </w:pPr>
            <w:r w:rsidRPr="00976D1C">
              <w:t xml:space="preserve">Emergency dental care is available through school dental therapy clinics. If emergency care is required outside of working hours, the public after hours emergency service can be accessed. </w:t>
            </w:r>
          </w:p>
        </w:tc>
        <w:tc>
          <w:tcPr>
            <w:tcW w:w="3260" w:type="dxa"/>
            <w:shd w:val="clear" w:color="auto" w:fill="CCE0ED"/>
          </w:tcPr>
          <w:p w14:paraId="21D8F80D" w14:textId="77777777" w:rsidR="002640D9" w:rsidRPr="00976D1C" w:rsidRDefault="002640D9" w:rsidP="00EC4213">
            <w:pPr>
              <w:pStyle w:val="Tablebullet"/>
            </w:pPr>
            <w:r w:rsidRPr="00976D1C">
              <w:t>General dental care - no cost to patient.</w:t>
            </w:r>
          </w:p>
          <w:p w14:paraId="1E583038" w14:textId="1BB0D787" w:rsidR="002640D9" w:rsidRPr="00976D1C" w:rsidRDefault="002640D9" w:rsidP="00EC4213">
            <w:pPr>
              <w:pStyle w:val="Tablebullet"/>
            </w:pPr>
            <w:r w:rsidRPr="00976D1C">
              <w:t xml:space="preserve">Emergency care – no cost to patient if care is provided during business hours through a school dental therapy clinic. if required outside of business hours, fees apply. </w:t>
            </w:r>
          </w:p>
        </w:tc>
      </w:tr>
      <w:tr w:rsidR="002640D9" w:rsidRPr="00976D1C" w14:paraId="0098F88C" w14:textId="77777777" w:rsidTr="00EC4213">
        <w:trPr>
          <w:cantSplit/>
        </w:trPr>
        <w:tc>
          <w:tcPr>
            <w:tcW w:w="1242" w:type="dxa"/>
            <w:shd w:val="clear" w:color="auto" w:fill="CCEFFC"/>
          </w:tcPr>
          <w:p w14:paraId="55516DE7" w14:textId="4215FD10" w:rsidR="002640D9" w:rsidRPr="00976D1C" w:rsidRDefault="002640D9" w:rsidP="00EC4213">
            <w:pPr>
              <w:pStyle w:val="TableText"/>
            </w:pPr>
            <w:r w:rsidRPr="00976D1C">
              <w:rPr>
                <w:lang w:eastAsia="en-AU"/>
              </w:rPr>
              <w:lastRenderedPageBreak/>
              <w:t xml:space="preserve">ACT </w:t>
            </w:r>
          </w:p>
        </w:tc>
        <w:tc>
          <w:tcPr>
            <w:tcW w:w="1985" w:type="dxa"/>
            <w:shd w:val="clear" w:color="auto" w:fill="CCEFFC"/>
          </w:tcPr>
          <w:p w14:paraId="100A58F7" w14:textId="77777777" w:rsidR="002640D9" w:rsidRPr="00976D1C" w:rsidRDefault="002640D9" w:rsidP="00EC4213">
            <w:pPr>
              <w:pStyle w:val="Tablebullet"/>
            </w:pPr>
            <w:r w:rsidRPr="00976D1C">
              <w:t>All children aged less than five years who live in the ACT</w:t>
            </w:r>
          </w:p>
          <w:p w14:paraId="7803AF21" w14:textId="77777777" w:rsidR="002640D9" w:rsidRPr="00976D1C" w:rsidRDefault="002640D9" w:rsidP="00EC4213">
            <w:pPr>
              <w:pStyle w:val="Tablebullet"/>
            </w:pPr>
            <w:r w:rsidRPr="00976D1C">
              <w:t>All children aged five to 13 years who live or attend school in the ACT</w:t>
            </w:r>
          </w:p>
          <w:p w14:paraId="2FF225BD" w14:textId="4062760E" w:rsidR="002640D9" w:rsidRPr="00976D1C" w:rsidRDefault="002640D9" w:rsidP="00EC4213">
            <w:pPr>
              <w:pStyle w:val="Tablebullet"/>
            </w:pPr>
            <w:r w:rsidRPr="00976D1C">
              <w:t>Young people aged 14 – 17 years, if eligible</w:t>
            </w:r>
          </w:p>
        </w:tc>
        <w:tc>
          <w:tcPr>
            <w:tcW w:w="2835" w:type="dxa"/>
            <w:shd w:val="clear" w:color="auto" w:fill="CCEFFC"/>
          </w:tcPr>
          <w:p w14:paraId="665CD83D" w14:textId="45C0FFA6" w:rsidR="002640D9" w:rsidRPr="00976D1C" w:rsidRDefault="002640D9" w:rsidP="00EC4213">
            <w:pPr>
              <w:pStyle w:val="TableText"/>
              <w:rPr>
                <w:rFonts w:ascii="Avenir LT Std 35 Light" w:hAnsi="Avenir LT Std 35 Light"/>
              </w:rPr>
            </w:pPr>
            <w:r w:rsidRPr="00976D1C">
              <w:rPr>
                <w:lang w:eastAsia="en-AU"/>
              </w:rPr>
              <w:t xml:space="preserve">Young people aged 14 – 17 years who live or attend school in the ACT and are covered by a current concession card (health care card or pensioner concession card) – either own card or as a dependent on a parent/guardian’s card. </w:t>
            </w:r>
          </w:p>
        </w:tc>
        <w:tc>
          <w:tcPr>
            <w:tcW w:w="5528" w:type="dxa"/>
            <w:shd w:val="clear" w:color="auto" w:fill="CCEFFC"/>
          </w:tcPr>
          <w:p w14:paraId="735C2271" w14:textId="77777777" w:rsidR="002640D9" w:rsidRPr="00976D1C" w:rsidRDefault="002640D9" w:rsidP="00EC4213">
            <w:pPr>
              <w:pStyle w:val="Tablebullet"/>
            </w:pPr>
            <w:r w:rsidRPr="00976D1C">
              <w:t xml:space="preserve">Comprehensive assessment, oral health plans, general preventative and restorative treatment, and emergency treatment. Services are provided through ACT Health’s clinics and health centres. </w:t>
            </w:r>
          </w:p>
          <w:p w14:paraId="48BF884D" w14:textId="30A22B95" w:rsidR="002640D9" w:rsidRPr="00976D1C" w:rsidRDefault="002640D9" w:rsidP="00EC4213">
            <w:pPr>
              <w:pStyle w:val="Tablebullet"/>
            </w:pPr>
            <w:r w:rsidRPr="00976D1C">
              <w:t xml:space="preserve">Orthodontic appliances and dentures are available to children and young people who are covered by a concession card. </w:t>
            </w:r>
          </w:p>
        </w:tc>
        <w:tc>
          <w:tcPr>
            <w:tcW w:w="3260" w:type="dxa"/>
            <w:shd w:val="clear" w:color="auto" w:fill="CCEFFC"/>
          </w:tcPr>
          <w:p w14:paraId="2CEB2114" w14:textId="77777777" w:rsidR="002640D9" w:rsidRPr="00976D1C" w:rsidRDefault="002640D9" w:rsidP="00EC4213">
            <w:pPr>
              <w:pStyle w:val="Tablebullet"/>
            </w:pPr>
            <w:r w:rsidRPr="00976D1C">
              <w:t>Children five to 13 years – $58.50 per course of care</w:t>
            </w:r>
          </w:p>
          <w:p w14:paraId="5360CB77" w14:textId="77777777" w:rsidR="002640D9" w:rsidRPr="00976D1C" w:rsidRDefault="002640D9" w:rsidP="00EC4213">
            <w:pPr>
              <w:pStyle w:val="Tablebullet"/>
            </w:pPr>
            <w:r w:rsidRPr="00976D1C">
              <w:t>Children under 5 years – $58.50 per course of care if treatment is required</w:t>
            </w:r>
          </w:p>
          <w:p w14:paraId="436A6DD8" w14:textId="77777777" w:rsidR="002640D9" w:rsidRPr="00976D1C" w:rsidRDefault="002640D9" w:rsidP="00EC4213">
            <w:pPr>
              <w:pStyle w:val="Tablebullet"/>
            </w:pPr>
            <w:r w:rsidRPr="00976D1C">
              <w:t xml:space="preserve">Additional fees apply for treatments such as orthodontic appliances and dentures. </w:t>
            </w:r>
          </w:p>
          <w:p w14:paraId="12DE98CF" w14:textId="6504DA99" w:rsidR="002640D9" w:rsidRPr="00976D1C" w:rsidRDefault="002640D9" w:rsidP="00EC4213">
            <w:pPr>
              <w:pStyle w:val="Tablebullet"/>
            </w:pPr>
            <w:r w:rsidRPr="00976D1C">
              <w:t>Emergency care is free for children and young people aged under 18 years, if covered by a concession card</w:t>
            </w:r>
          </w:p>
        </w:tc>
      </w:tr>
    </w:tbl>
    <w:p w14:paraId="4920FE53" w14:textId="77777777" w:rsidR="002640D9" w:rsidRPr="00976D1C" w:rsidRDefault="002640D9" w:rsidP="00EC4213"/>
    <w:p w14:paraId="4532BAF8" w14:textId="77777777" w:rsidR="005B3845" w:rsidRPr="00976D1C" w:rsidRDefault="005B3845" w:rsidP="00EC4213">
      <w:pPr>
        <w:sectPr w:rsidR="005B3845" w:rsidRPr="00976D1C" w:rsidSect="00EA25BB">
          <w:headerReference w:type="even" r:id="rId36"/>
          <w:headerReference w:type="default" r:id="rId37"/>
          <w:headerReference w:type="first" r:id="rId38"/>
          <w:pgSz w:w="16838" w:h="11906" w:orient="landscape"/>
          <w:pgMar w:top="1440" w:right="1440" w:bottom="1440" w:left="1440" w:header="708" w:footer="708" w:gutter="0"/>
          <w:pgBorders w:offsetFrom="page">
            <w:right w:val="single" w:sz="4" w:space="24" w:color="FFFFFF" w:themeColor="background1"/>
          </w:pgBorders>
          <w:cols w:space="708"/>
          <w:docGrid w:linePitch="360"/>
        </w:sectPr>
      </w:pPr>
    </w:p>
    <w:p w14:paraId="463B8706" w14:textId="55ACC4CA" w:rsidR="005B3845" w:rsidRPr="00976D1C" w:rsidRDefault="005B3845" w:rsidP="00EC4213">
      <w:pPr>
        <w:pStyle w:val="Heading1"/>
      </w:pPr>
      <w:bookmarkStart w:id="82" w:name="_Toc380156548"/>
      <w:bookmarkStart w:id="83" w:name="_Toc407634431"/>
      <w:r w:rsidRPr="00976D1C">
        <w:lastRenderedPageBreak/>
        <w:t xml:space="preserve">Appendix </w:t>
      </w:r>
      <w:r w:rsidR="00083221" w:rsidRPr="00976D1C">
        <w:t>C</w:t>
      </w:r>
      <w:r w:rsidRPr="00976D1C">
        <w:t xml:space="preserve"> –</w:t>
      </w:r>
      <w:r w:rsidR="00755304" w:rsidRPr="00976D1C">
        <w:t xml:space="preserve"> </w:t>
      </w:r>
      <w:r w:rsidRPr="00976D1C">
        <w:t xml:space="preserve">Commonwealth oral health </w:t>
      </w:r>
      <w:r w:rsidR="00DA310F" w:rsidRPr="00976D1C">
        <w:t>programme</w:t>
      </w:r>
      <w:r w:rsidRPr="00976D1C">
        <w:t>s</w:t>
      </w:r>
      <w:bookmarkEnd w:id="82"/>
      <w:bookmarkEnd w:id="83"/>
    </w:p>
    <w:tbl>
      <w:tblPr>
        <w:tblStyle w:val="ColorfulGrid-Accent11"/>
        <w:tblW w:w="5043" w:type="pct"/>
        <w:tblLook w:val="0420" w:firstRow="1" w:lastRow="0" w:firstColumn="0" w:lastColumn="0" w:noHBand="0" w:noVBand="1"/>
        <w:tblCaption w:val="Appendix C- Commonwealth oral health programmes"/>
        <w:tblDescription w:val="The table presents detailed descriptions of the Commonwealth oral health programmes in Australia."/>
      </w:tblPr>
      <w:tblGrid>
        <w:gridCol w:w="2375"/>
        <w:gridCol w:w="6946"/>
      </w:tblGrid>
      <w:tr w:rsidR="006F3AC2" w:rsidRPr="00A90656" w14:paraId="4AE47663" w14:textId="77777777" w:rsidTr="001F0DE5">
        <w:trPr>
          <w:cnfStyle w:val="100000000000" w:firstRow="1" w:lastRow="0" w:firstColumn="0" w:lastColumn="0" w:oddVBand="0" w:evenVBand="0" w:oddHBand="0" w:evenHBand="0" w:firstRowFirstColumn="0" w:firstRowLastColumn="0" w:lastRowFirstColumn="0" w:lastRowLastColumn="0"/>
          <w:cantSplit/>
          <w:tblHeader/>
        </w:trPr>
        <w:tc>
          <w:tcPr>
            <w:tcW w:w="1274" w:type="pct"/>
            <w:tcBorders>
              <w:top w:val="nil"/>
              <w:bottom w:val="single" w:sz="4" w:space="0" w:color="FFFFFF" w:themeColor="background1"/>
            </w:tcBorders>
            <w:shd w:val="clear" w:color="auto" w:fill="0070C0"/>
          </w:tcPr>
          <w:p w14:paraId="3D5F0DF0" w14:textId="511792C1" w:rsidR="006F3AC2" w:rsidRPr="00A90656" w:rsidRDefault="006F3AC2" w:rsidP="00EC4213">
            <w:pPr>
              <w:pStyle w:val="TableHeader"/>
            </w:pPr>
            <w:r w:rsidRPr="00A90656">
              <w:t>Pr</w:t>
            </w:r>
            <w:bookmarkStart w:id="84" w:name="ColumnTitle_AppendixC"/>
            <w:bookmarkEnd w:id="84"/>
            <w:r w:rsidRPr="00A90656">
              <w:t>ogram/service</w:t>
            </w:r>
          </w:p>
        </w:tc>
        <w:tc>
          <w:tcPr>
            <w:tcW w:w="3726" w:type="pct"/>
            <w:tcBorders>
              <w:top w:val="nil"/>
              <w:bottom w:val="single" w:sz="4" w:space="0" w:color="FFFFFF" w:themeColor="background1"/>
            </w:tcBorders>
            <w:shd w:val="clear" w:color="auto" w:fill="0070C0"/>
          </w:tcPr>
          <w:p w14:paraId="02A68FBA" w14:textId="3DFE1903" w:rsidR="006F3AC2" w:rsidRPr="00A90656" w:rsidRDefault="006F3AC2" w:rsidP="00EC4213">
            <w:pPr>
              <w:pStyle w:val="TableHeader"/>
            </w:pPr>
            <w:r w:rsidRPr="00A90656">
              <w:t>Description</w:t>
            </w:r>
          </w:p>
        </w:tc>
      </w:tr>
      <w:tr w:rsidR="00305B1E" w:rsidRPr="00976D1C" w14:paraId="0D5ED2AC" w14:textId="77777777" w:rsidTr="001F0DE5">
        <w:trPr>
          <w:cnfStyle w:val="000000100000" w:firstRow="0" w:lastRow="0" w:firstColumn="0" w:lastColumn="0" w:oddVBand="0" w:evenVBand="0" w:oddHBand="1" w:evenHBand="0" w:firstRowFirstColumn="0" w:firstRowLastColumn="0" w:lastRowFirstColumn="0" w:lastRowLastColumn="0"/>
        </w:trPr>
        <w:tc>
          <w:tcPr>
            <w:tcW w:w="1274" w:type="pct"/>
            <w:tcBorders>
              <w:top w:val="single" w:sz="4" w:space="0" w:color="FFFFFF" w:themeColor="background1"/>
              <w:bottom w:val="single" w:sz="4" w:space="0" w:color="FFFFFF" w:themeColor="background1"/>
            </w:tcBorders>
            <w:shd w:val="clear" w:color="auto" w:fill="CCE0ED"/>
          </w:tcPr>
          <w:p w14:paraId="6F34D209" w14:textId="09C5B24D" w:rsidR="00305B1E" w:rsidRPr="00976D1C" w:rsidRDefault="00305B1E" w:rsidP="00EC4213">
            <w:pPr>
              <w:pStyle w:val="TableText"/>
            </w:pPr>
            <w:r w:rsidRPr="00976D1C">
              <w:t xml:space="preserve">NPA on Treating More Public Dental </w:t>
            </w:r>
            <w:r w:rsidR="00FB0D16" w:rsidRPr="00976D1C">
              <w:t>Patients</w:t>
            </w:r>
          </w:p>
        </w:tc>
        <w:tc>
          <w:tcPr>
            <w:tcW w:w="3726" w:type="pct"/>
            <w:tcBorders>
              <w:top w:val="single" w:sz="4" w:space="0" w:color="FFFFFF" w:themeColor="background1"/>
              <w:bottom w:val="single" w:sz="4" w:space="0" w:color="FFFFFF" w:themeColor="background1"/>
            </w:tcBorders>
            <w:shd w:val="clear" w:color="auto" w:fill="CCE0ED"/>
          </w:tcPr>
          <w:p w14:paraId="586A9EE6" w14:textId="2E7CF00B" w:rsidR="00305B1E" w:rsidRPr="00976D1C" w:rsidRDefault="00305B1E" w:rsidP="00EC4213">
            <w:pPr>
              <w:pStyle w:val="TableText"/>
            </w:pPr>
            <w:r w:rsidRPr="00976D1C">
              <w:t xml:space="preserve">The NPA on Treating More Public Dental Patients commenced on 1 January 2013 and will run until 30 June 2015. Over the length of the Agreement, the Commonwealth will provide $344 million to the states and territories to provide services to 400,000 public dental patients (see Appendix </w:t>
            </w:r>
            <w:r w:rsidR="00DA310F" w:rsidRPr="00976D1C">
              <w:t xml:space="preserve">A and </w:t>
            </w:r>
            <w:r w:rsidRPr="00976D1C">
              <w:t xml:space="preserve">B for eligibility for public </w:t>
            </w:r>
            <w:r w:rsidR="00DA310F" w:rsidRPr="00976D1C">
              <w:t xml:space="preserve">oral health </w:t>
            </w:r>
            <w:r w:rsidRPr="00976D1C">
              <w:t>services in each state and territory). The programme is implemented by the states and territories.</w:t>
            </w:r>
          </w:p>
        </w:tc>
      </w:tr>
      <w:tr w:rsidR="00305B1E" w:rsidRPr="00976D1C" w14:paraId="45D38801" w14:textId="77777777" w:rsidTr="001F0DE5">
        <w:tc>
          <w:tcPr>
            <w:tcW w:w="1274" w:type="pct"/>
            <w:tcBorders>
              <w:top w:val="single" w:sz="4" w:space="0" w:color="FFFFFF" w:themeColor="background1"/>
              <w:bottom w:val="single" w:sz="4" w:space="0" w:color="FFFFFF" w:themeColor="background1"/>
            </w:tcBorders>
            <w:shd w:val="clear" w:color="auto" w:fill="CCEFFC"/>
          </w:tcPr>
          <w:p w14:paraId="77C57EE1" w14:textId="0A6987DB" w:rsidR="00305B1E" w:rsidRPr="00976D1C" w:rsidRDefault="00DA310F" w:rsidP="00EC4213">
            <w:pPr>
              <w:pStyle w:val="TableText"/>
            </w:pPr>
            <w:r w:rsidRPr="00976D1C">
              <w:t>NPA on Adult Public Dental Services</w:t>
            </w:r>
          </w:p>
        </w:tc>
        <w:tc>
          <w:tcPr>
            <w:tcW w:w="3726" w:type="pct"/>
            <w:tcBorders>
              <w:top w:val="single" w:sz="4" w:space="0" w:color="FFFFFF" w:themeColor="background1"/>
              <w:bottom w:val="single" w:sz="4" w:space="0" w:color="FFFFFF" w:themeColor="background1"/>
            </w:tcBorders>
            <w:shd w:val="clear" w:color="auto" w:fill="CCEFFC"/>
          </w:tcPr>
          <w:p w14:paraId="6EA18761" w14:textId="09ED4015" w:rsidR="00305B1E" w:rsidRPr="00976D1C" w:rsidRDefault="00DA310F" w:rsidP="00EC4213">
            <w:pPr>
              <w:pStyle w:val="TableText"/>
            </w:pPr>
            <w:r w:rsidRPr="00976D1C">
              <w:t xml:space="preserve">The NPA on Adult Public Dental Services will provide funding to the states and territories to deliver services to adult public dental patients (see Appendix A for eligibility for public adult oral health services). The programme will be implemented by the states and territories.   </w:t>
            </w:r>
          </w:p>
        </w:tc>
      </w:tr>
      <w:tr w:rsidR="00303736" w:rsidRPr="00976D1C" w14:paraId="296EC314" w14:textId="77777777" w:rsidTr="001F0DE5">
        <w:trPr>
          <w:cnfStyle w:val="000000100000" w:firstRow="0" w:lastRow="0" w:firstColumn="0" w:lastColumn="0" w:oddVBand="0" w:evenVBand="0" w:oddHBand="1" w:evenHBand="0" w:firstRowFirstColumn="0" w:firstRowLastColumn="0" w:lastRowFirstColumn="0" w:lastRowLastColumn="0"/>
        </w:trPr>
        <w:tc>
          <w:tcPr>
            <w:tcW w:w="1274" w:type="pct"/>
            <w:tcBorders>
              <w:top w:val="single" w:sz="4" w:space="0" w:color="FFFFFF" w:themeColor="background1"/>
              <w:bottom w:val="single" w:sz="4" w:space="0" w:color="FFFFFF" w:themeColor="background1"/>
            </w:tcBorders>
            <w:shd w:val="clear" w:color="auto" w:fill="CCE0ED"/>
          </w:tcPr>
          <w:p w14:paraId="0F5C4A99" w14:textId="6AB1AFBF" w:rsidR="00303736" w:rsidRPr="00976D1C" w:rsidRDefault="00303736" w:rsidP="00EC4213">
            <w:pPr>
              <w:pStyle w:val="TableText"/>
            </w:pPr>
            <w:r w:rsidRPr="00976D1C">
              <w:t>Dental Relocation and Infrastructure Support Scheme (DRISS)</w:t>
            </w:r>
          </w:p>
        </w:tc>
        <w:tc>
          <w:tcPr>
            <w:tcW w:w="3726" w:type="pct"/>
            <w:tcBorders>
              <w:top w:val="single" w:sz="4" w:space="0" w:color="FFFFFF" w:themeColor="background1"/>
              <w:bottom w:val="single" w:sz="4" w:space="0" w:color="FFFFFF" w:themeColor="background1"/>
            </w:tcBorders>
            <w:shd w:val="clear" w:color="auto" w:fill="CCE0ED"/>
          </w:tcPr>
          <w:p w14:paraId="006782BC" w14:textId="77777777" w:rsidR="00303736" w:rsidRPr="00976D1C" w:rsidRDefault="00303736" w:rsidP="00EC4213">
            <w:pPr>
              <w:pStyle w:val="TableText"/>
            </w:pPr>
            <w:r w:rsidRPr="00976D1C">
              <w:t>The Dental Relocation and Infrastructure Support Scheme (DRISS) provides relocation and infrastructure grants to encourage and support dentists to relocate to regional and remote areas. DRISS has two linked components:</w:t>
            </w:r>
          </w:p>
          <w:p w14:paraId="69E88350" w14:textId="77777777" w:rsidR="00076641" w:rsidRPr="00976D1C" w:rsidRDefault="00303736" w:rsidP="00EC4213">
            <w:pPr>
              <w:pStyle w:val="TableText"/>
            </w:pPr>
            <w:r w:rsidRPr="00976D1C">
              <w:t xml:space="preserve">Part A: Relocation grants up to $120,000, </w:t>
            </w:r>
            <w:r w:rsidR="00076641" w:rsidRPr="00976D1C">
              <w:t>determined from locations as classified under the Australian Standard Geographical Classification – Remoteness Areas (ASGC-RA) system</w:t>
            </w:r>
          </w:p>
          <w:p w14:paraId="334CE56A" w14:textId="77777777" w:rsidR="00076641" w:rsidRPr="00976D1C" w:rsidRDefault="00076641" w:rsidP="00EC4213">
            <w:pPr>
              <w:pStyle w:val="TableText"/>
            </w:pPr>
            <w:r w:rsidRPr="00976D1C">
              <w:t>Part B: Dentists deemed eligible for Part A can also apply for infrastructure grants of up to $250,000 to assist in the purchase of dental equipment and other equipping of dental facilities.</w:t>
            </w:r>
          </w:p>
          <w:p w14:paraId="1E901044" w14:textId="77777777" w:rsidR="00076641" w:rsidRPr="00976D1C" w:rsidRDefault="00076641" w:rsidP="00EC4213">
            <w:pPr>
              <w:pStyle w:val="TableText"/>
            </w:pPr>
            <w:r w:rsidRPr="00976D1C">
              <w:t>Eligible areas are those classified as ASGC RA 2-5, noting that priority is given to areas most in need.</w:t>
            </w:r>
          </w:p>
          <w:p w14:paraId="62A685FA" w14:textId="3626A806" w:rsidR="00303736" w:rsidRPr="00976D1C" w:rsidRDefault="00076641" w:rsidP="00EC4213">
            <w:pPr>
              <w:pStyle w:val="TableText"/>
            </w:pPr>
            <w:r w:rsidRPr="00976D1C">
              <w:t>Funding of $76.0 million has been allocated over four years (2012-13 to 2015-16) for the programme. Rural Health Workforce Australia administers DRISS</w:t>
            </w:r>
            <w:r w:rsidR="00E304FE" w:rsidRPr="00976D1C">
              <w:t>,</w:t>
            </w:r>
            <w:r w:rsidRPr="00976D1C">
              <w:t xml:space="preserve"> and Rural Workforce Agencies in each state and the Northern Territory support the dentists following their relocation into rural practice.</w:t>
            </w:r>
            <w:r w:rsidR="00303736" w:rsidRPr="00976D1C">
              <w:t xml:space="preserve"> </w:t>
            </w:r>
          </w:p>
        </w:tc>
      </w:tr>
      <w:tr w:rsidR="00303736" w:rsidRPr="00976D1C" w14:paraId="12CEA227" w14:textId="77777777" w:rsidTr="001F0DE5">
        <w:tc>
          <w:tcPr>
            <w:tcW w:w="1274" w:type="pct"/>
            <w:tcBorders>
              <w:top w:val="single" w:sz="4" w:space="0" w:color="FFFFFF" w:themeColor="background1"/>
              <w:bottom w:val="single" w:sz="4" w:space="0" w:color="FFFFFF" w:themeColor="background1"/>
            </w:tcBorders>
            <w:shd w:val="clear" w:color="auto" w:fill="CCEFFC"/>
          </w:tcPr>
          <w:p w14:paraId="7032F014" w14:textId="5D86325F" w:rsidR="00303736" w:rsidRPr="00976D1C" w:rsidRDefault="0050645F" w:rsidP="00EC4213">
            <w:pPr>
              <w:pStyle w:val="TableText"/>
            </w:pPr>
            <w:r w:rsidRPr="00976D1C">
              <w:t>Voluntary Dental Graduate Year Programme</w:t>
            </w:r>
          </w:p>
        </w:tc>
        <w:tc>
          <w:tcPr>
            <w:tcW w:w="3726" w:type="pct"/>
            <w:tcBorders>
              <w:top w:val="single" w:sz="4" w:space="0" w:color="FFFFFF" w:themeColor="background1"/>
              <w:bottom w:val="single" w:sz="4" w:space="0" w:color="FFFFFF" w:themeColor="background1"/>
            </w:tcBorders>
            <w:shd w:val="clear" w:color="auto" w:fill="CCEFFC"/>
          </w:tcPr>
          <w:p w14:paraId="6D312E6B" w14:textId="0BDE9D69" w:rsidR="00303736" w:rsidRPr="00976D1C" w:rsidRDefault="0050645F" w:rsidP="00EC4213">
            <w:pPr>
              <w:pStyle w:val="TableText"/>
            </w:pPr>
            <w:r w:rsidRPr="00976D1C">
              <w:t xml:space="preserve">The Voluntary Dental Graduate Year Programme provides 50 placements for dental graduates to undertake a structured </w:t>
            </w:r>
            <w:r w:rsidR="00DA310F" w:rsidRPr="00976D1C">
              <w:t>programme</w:t>
            </w:r>
            <w:r w:rsidRPr="00976D1C">
              <w:t xml:space="preserve"> to gain practice experience. Graduate placements are directed towards the public sector and areas of need, including rural areas. Further information about this </w:t>
            </w:r>
            <w:r w:rsidR="00DA310F" w:rsidRPr="00976D1C">
              <w:t>programme</w:t>
            </w:r>
            <w:r w:rsidRPr="00976D1C">
              <w:t xml:space="preserve"> is at: https://www.aitec.edu.au/vdgyp.</w:t>
            </w:r>
          </w:p>
        </w:tc>
      </w:tr>
      <w:tr w:rsidR="00303736" w:rsidRPr="00976D1C" w14:paraId="55E6EB7E" w14:textId="77777777" w:rsidTr="001F0DE5">
        <w:trPr>
          <w:cnfStyle w:val="000000100000" w:firstRow="0" w:lastRow="0" w:firstColumn="0" w:lastColumn="0" w:oddVBand="0" w:evenVBand="0" w:oddHBand="1" w:evenHBand="0" w:firstRowFirstColumn="0" w:firstRowLastColumn="0" w:lastRowFirstColumn="0" w:lastRowLastColumn="0"/>
        </w:trPr>
        <w:tc>
          <w:tcPr>
            <w:tcW w:w="1274" w:type="pct"/>
            <w:tcBorders>
              <w:top w:val="single" w:sz="4" w:space="0" w:color="FFFFFF" w:themeColor="background1"/>
              <w:bottom w:val="single" w:sz="4" w:space="0" w:color="FFFFFF" w:themeColor="background1"/>
            </w:tcBorders>
            <w:shd w:val="clear" w:color="auto" w:fill="CCE0ED"/>
          </w:tcPr>
          <w:p w14:paraId="3CBAF2BD" w14:textId="44D6CF6D" w:rsidR="00303736" w:rsidRPr="00976D1C" w:rsidRDefault="0050645F" w:rsidP="00EC4213">
            <w:pPr>
              <w:pStyle w:val="TableText"/>
            </w:pPr>
            <w:r w:rsidRPr="00976D1C">
              <w:t xml:space="preserve">Oral Health Therapy Graduate Year </w:t>
            </w:r>
            <w:r w:rsidR="00DA310F" w:rsidRPr="00976D1C">
              <w:t>Programme</w:t>
            </w:r>
          </w:p>
        </w:tc>
        <w:tc>
          <w:tcPr>
            <w:tcW w:w="3726" w:type="pct"/>
            <w:tcBorders>
              <w:top w:val="single" w:sz="4" w:space="0" w:color="FFFFFF" w:themeColor="background1"/>
              <w:bottom w:val="single" w:sz="4" w:space="0" w:color="FFFFFF" w:themeColor="background1"/>
            </w:tcBorders>
            <w:shd w:val="clear" w:color="auto" w:fill="CCE0ED"/>
          </w:tcPr>
          <w:p w14:paraId="6AFF0EC7" w14:textId="368343F3" w:rsidR="00303736" w:rsidRPr="00976D1C" w:rsidRDefault="0050645F" w:rsidP="00EC4213">
            <w:pPr>
              <w:pStyle w:val="TableText"/>
            </w:pPr>
            <w:r w:rsidRPr="00976D1C">
              <w:t xml:space="preserve">The </w:t>
            </w:r>
            <w:hyperlink r:id="rId39" w:history="1">
              <w:r w:rsidRPr="00F226F8">
                <w:rPr>
                  <w:rStyle w:val="Hyperlink"/>
                </w:rPr>
                <w:t xml:space="preserve">Oral Health Therapy Graduate Year </w:t>
              </w:r>
              <w:r w:rsidR="00DA310F" w:rsidRPr="00F226F8">
                <w:rPr>
                  <w:rStyle w:val="Hyperlink"/>
                </w:rPr>
                <w:t>Programme</w:t>
              </w:r>
            </w:hyperlink>
            <w:r w:rsidRPr="00976D1C">
              <w:t xml:space="preserve"> provides 50 placements for oral health therapist graduates to undertake a structured </w:t>
            </w:r>
            <w:r w:rsidR="00DA310F" w:rsidRPr="00976D1C">
              <w:t>programme</w:t>
            </w:r>
            <w:r w:rsidRPr="00976D1C">
              <w:t xml:space="preserve"> for enhanced practice experience and professional development opportunities, whilst increasing oral health workforce capacity, particularly in the public sector. </w:t>
            </w:r>
          </w:p>
        </w:tc>
      </w:tr>
      <w:bookmarkEnd w:id="76"/>
      <w:tr w:rsidR="002640D9" w:rsidRPr="00976D1C" w14:paraId="14405966" w14:textId="77777777" w:rsidTr="001F0DE5">
        <w:tc>
          <w:tcPr>
            <w:tcW w:w="1274" w:type="pct"/>
            <w:tcBorders>
              <w:top w:val="single" w:sz="4" w:space="0" w:color="FFFFFF" w:themeColor="background1"/>
              <w:bottom w:val="single" w:sz="4" w:space="0" w:color="FFFFFF" w:themeColor="background1"/>
            </w:tcBorders>
            <w:shd w:val="clear" w:color="auto" w:fill="CCEFFC"/>
          </w:tcPr>
          <w:p w14:paraId="604708D2" w14:textId="25D08226" w:rsidR="002640D9" w:rsidRPr="00976D1C" w:rsidRDefault="002640D9" w:rsidP="00EC4213">
            <w:pPr>
              <w:pStyle w:val="TableText"/>
            </w:pPr>
            <w:r w:rsidRPr="00976D1C">
              <w:t>Child Dental Benefits Schedule</w:t>
            </w:r>
          </w:p>
        </w:tc>
        <w:tc>
          <w:tcPr>
            <w:tcW w:w="3726" w:type="pct"/>
            <w:tcBorders>
              <w:top w:val="single" w:sz="4" w:space="0" w:color="FFFFFF" w:themeColor="background1"/>
              <w:bottom w:val="single" w:sz="4" w:space="0" w:color="FFFFFF" w:themeColor="background1"/>
            </w:tcBorders>
            <w:shd w:val="clear" w:color="auto" w:fill="CCEFFC"/>
          </w:tcPr>
          <w:p w14:paraId="4B1DBDED" w14:textId="76D7659C" w:rsidR="002640D9" w:rsidRPr="00976D1C" w:rsidRDefault="002640D9" w:rsidP="00EC4213">
            <w:pPr>
              <w:pStyle w:val="TableText"/>
            </w:pPr>
            <w:r w:rsidRPr="00976D1C">
              <w:t xml:space="preserve">The Child Dental Benefits Schedule (CDBS) commenced on 1 January 2014, replacing the Medicare Teen Dental Plan (which provided vouchers for preventative dental checks to teenagers aged 12-17 years). The CDBS provides </w:t>
            </w:r>
            <w:r w:rsidR="007403CC" w:rsidRPr="00976D1C">
              <w:t>eligible children with up to $1,000 in benefits for basic dental services, with benefits capped over two consecutive calendar years.</w:t>
            </w:r>
            <w:r w:rsidRPr="00976D1C">
              <w:t xml:space="preserve"> </w:t>
            </w:r>
            <w:r w:rsidR="007403CC" w:rsidRPr="00976D1C">
              <w:t xml:space="preserve"> B</w:t>
            </w:r>
            <w:r w:rsidRPr="00976D1C">
              <w:t xml:space="preserve">enefits </w:t>
            </w:r>
            <w:r w:rsidR="007403CC" w:rsidRPr="00976D1C">
              <w:t xml:space="preserve">are </w:t>
            </w:r>
            <w:r w:rsidRPr="00976D1C">
              <w:t xml:space="preserve">processed through the Medicare system. The benefit covers basic dental services, including examinations, x-rays, cleaning, fissure sealing, fillings, root canals, extractions, and partial dentures. The benefit does not cover orthodontic or cosmetic dental work. Services can be provided in a public or private setting, but the benefit does not cover any services </w:t>
            </w:r>
            <w:r w:rsidRPr="00976D1C">
              <w:lastRenderedPageBreak/>
              <w:t xml:space="preserve">provided in a hospital. </w:t>
            </w:r>
          </w:p>
          <w:p w14:paraId="7541DDD6" w14:textId="025AB825" w:rsidR="006A7FA4" w:rsidRPr="00976D1C" w:rsidRDefault="006A7FA4" w:rsidP="00EC4213">
            <w:pPr>
              <w:pStyle w:val="TableText"/>
            </w:pPr>
            <w:r w:rsidRPr="00976D1C">
              <w:t>Children and teenagers are eligible if they</w:t>
            </w:r>
            <w:r w:rsidR="00D841D0" w:rsidRPr="00976D1C">
              <w:t xml:space="preserve"> a</w:t>
            </w:r>
            <w:r w:rsidRPr="00976D1C">
              <w:t>re aged 2–17 years for any one day of the calen</w:t>
            </w:r>
            <w:r w:rsidRPr="00976D1C">
              <w:rPr>
                <w:szCs w:val="18"/>
              </w:rPr>
              <w:t>d</w:t>
            </w:r>
            <w:r w:rsidRPr="00976D1C">
              <w:t>ar year, are eligible for Medicare, and meet the means test for the program:</w:t>
            </w:r>
          </w:p>
          <w:p w14:paraId="082255A2" w14:textId="77777777" w:rsidR="006A7FA4" w:rsidRPr="00976D1C" w:rsidRDefault="006A7FA4" w:rsidP="00EC4213">
            <w:pPr>
              <w:pStyle w:val="Tablebullet"/>
            </w:pPr>
            <w:r w:rsidRPr="00976D1C">
              <w:t>the child is receiving either Family Tax Benefit Part A, ABSTUDY, Carer Payment, Disability Support Pension, Parenting Payment, Special Benefit or Youth Allowance; or</w:t>
            </w:r>
          </w:p>
          <w:p w14:paraId="283BE332" w14:textId="77777777" w:rsidR="006A7FA4" w:rsidRPr="00976D1C" w:rsidRDefault="006A7FA4" w:rsidP="00EC4213">
            <w:pPr>
              <w:pStyle w:val="Tablebullet"/>
            </w:pPr>
            <w:r w:rsidRPr="00976D1C">
              <w:t>the child's family/carer/guardian is receiving either Family Tax Benefit Part A, Parenting Payment or the Double Orphan Pension in respect of the child; or</w:t>
            </w:r>
          </w:p>
          <w:p w14:paraId="1C87C99C" w14:textId="77777777" w:rsidR="006A7FA4" w:rsidRPr="00976D1C" w:rsidRDefault="006A7FA4" w:rsidP="00EC4213">
            <w:pPr>
              <w:pStyle w:val="Tablebullet"/>
            </w:pPr>
            <w:r w:rsidRPr="00976D1C">
              <w:t>the child’s partner is receiving Family Tax Benefit Part A or Parenting Payment; or</w:t>
            </w:r>
          </w:p>
          <w:p w14:paraId="202A5D0C" w14:textId="068CF146" w:rsidR="002640D9" w:rsidRPr="00976D1C" w:rsidRDefault="006A7FA4" w:rsidP="00EC4213">
            <w:pPr>
              <w:pStyle w:val="Tablebullet"/>
            </w:pPr>
            <w:r w:rsidRPr="00976D1C">
              <w:t>the child is receiving financial assistance under the Veterans' Children Education Scheme (VCES) or Military Rehabilitation</w:t>
            </w:r>
            <w:r w:rsidR="00D841D0" w:rsidRPr="00976D1C">
              <w:t xml:space="preserve"> and Compensation Act Education</w:t>
            </w:r>
            <w:r w:rsidRPr="00976D1C">
              <w:t xml:space="preserve"> and Training Scheme (MRCAETS) (if the child is 16 or over).</w:t>
            </w:r>
          </w:p>
        </w:tc>
      </w:tr>
      <w:tr w:rsidR="002640D9" w:rsidRPr="00976D1C" w14:paraId="5D991497" w14:textId="77777777" w:rsidTr="001F0DE5">
        <w:trPr>
          <w:cnfStyle w:val="000000100000" w:firstRow="0" w:lastRow="0" w:firstColumn="0" w:lastColumn="0" w:oddVBand="0" w:evenVBand="0" w:oddHBand="1" w:evenHBand="0" w:firstRowFirstColumn="0" w:firstRowLastColumn="0" w:lastRowFirstColumn="0" w:lastRowLastColumn="0"/>
        </w:trPr>
        <w:tc>
          <w:tcPr>
            <w:tcW w:w="1274" w:type="pct"/>
            <w:tcBorders>
              <w:top w:val="single" w:sz="4" w:space="0" w:color="FFFFFF" w:themeColor="background1"/>
              <w:bottom w:val="single" w:sz="4" w:space="0" w:color="FFFFFF" w:themeColor="background1"/>
            </w:tcBorders>
            <w:shd w:val="clear" w:color="auto" w:fill="CCE0ED"/>
          </w:tcPr>
          <w:p w14:paraId="03B24ED6" w14:textId="715CC948" w:rsidR="002640D9" w:rsidRPr="00976D1C" w:rsidRDefault="002640D9" w:rsidP="00EC4213">
            <w:pPr>
              <w:pStyle w:val="TableText"/>
            </w:pPr>
            <w:r w:rsidRPr="00976D1C">
              <w:lastRenderedPageBreak/>
              <w:t xml:space="preserve">Veterans’ Affairs </w:t>
            </w:r>
          </w:p>
        </w:tc>
        <w:tc>
          <w:tcPr>
            <w:tcW w:w="3726" w:type="pct"/>
            <w:tcBorders>
              <w:top w:val="single" w:sz="4" w:space="0" w:color="FFFFFF" w:themeColor="background1"/>
              <w:bottom w:val="single" w:sz="4" w:space="0" w:color="FFFFFF" w:themeColor="background1"/>
            </w:tcBorders>
            <w:shd w:val="clear" w:color="auto" w:fill="CCE0ED"/>
          </w:tcPr>
          <w:p w14:paraId="6A8724BB" w14:textId="3F90BBDD" w:rsidR="002640D9" w:rsidRPr="00976D1C" w:rsidRDefault="002640D9" w:rsidP="00EC4213">
            <w:pPr>
              <w:pStyle w:val="TableText"/>
            </w:pPr>
            <w:r w:rsidRPr="00976D1C">
              <w:t xml:space="preserve">Veterans who have served in the Australian Defence Force are eligible for free dental treatment (including general and emergency treatment and dentures) but entitlements vary between Department of Veterans’ Affairs (DVA) White Card and Gold Card holders. The DVA Gold Card is also issued to dependents and widows/widowers who have access to these services. For most DVA beneficiaries, an annual limit of $2,488 (2014 limit) applies for dental benefits. </w:t>
            </w:r>
          </w:p>
        </w:tc>
      </w:tr>
      <w:tr w:rsidR="002640D9" w:rsidRPr="00976D1C" w14:paraId="015FE748" w14:textId="77777777" w:rsidTr="001F0DE5">
        <w:tc>
          <w:tcPr>
            <w:tcW w:w="1274" w:type="pct"/>
            <w:tcBorders>
              <w:top w:val="single" w:sz="4" w:space="0" w:color="FFFFFF" w:themeColor="background1"/>
              <w:bottom w:val="single" w:sz="4" w:space="0" w:color="FFFFFF" w:themeColor="background1"/>
            </w:tcBorders>
            <w:shd w:val="clear" w:color="auto" w:fill="CCEFFC"/>
          </w:tcPr>
          <w:p w14:paraId="54B7CBF5" w14:textId="12698947" w:rsidR="002640D9" w:rsidRPr="00976D1C" w:rsidRDefault="002640D9" w:rsidP="00EC4213">
            <w:pPr>
              <w:pStyle w:val="TableText"/>
            </w:pPr>
            <w:r w:rsidRPr="00976D1C">
              <w:t xml:space="preserve">Armed Forces and Army Reserve Dental Scheme </w:t>
            </w:r>
          </w:p>
        </w:tc>
        <w:tc>
          <w:tcPr>
            <w:tcW w:w="3726" w:type="pct"/>
            <w:tcBorders>
              <w:top w:val="single" w:sz="4" w:space="0" w:color="FFFFFF" w:themeColor="background1"/>
              <w:bottom w:val="single" w:sz="4" w:space="0" w:color="FFFFFF" w:themeColor="background1"/>
            </w:tcBorders>
            <w:shd w:val="clear" w:color="auto" w:fill="CCEFFC"/>
          </w:tcPr>
          <w:p w14:paraId="2A184D72" w14:textId="75C42AE0" w:rsidR="002640D9" w:rsidRPr="00976D1C" w:rsidRDefault="002640D9" w:rsidP="00EC4213">
            <w:pPr>
              <w:pStyle w:val="TableText"/>
            </w:pPr>
            <w:r w:rsidRPr="00976D1C">
              <w:t xml:space="preserve">Members of the Australian Defence Force and the Army Reserve are provided with free access to a full range of dental services. </w:t>
            </w:r>
          </w:p>
        </w:tc>
      </w:tr>
      <w:tr w:rsidR="002640D9" w:rsidRPr="00976D1C" w14:paraId="193285B3" w14:textId="77777777" w:rsidTr="001F0DE5">
        <w:trPr>
          <w:cnfStyle w:val="000000100000" w:firstRow="0" w:lastRow="0" w:firstColumn="0" w:lastColumn="0" w:oddVBand="0" w:evenVBand="0" w:oddHBand="1" w:evenHBand="0" w:firstRowFirstColumn="0" w:firstRowLastColumn="0" w:lastRowFirstColumn="0" w:lastRowLastColumn="0"/>
        </w:trPr>
        <w:tc>
          <w:tcPr>
            <w:tcW w:w="1274" w:type="pct"/>
            <w:tcBorders>
              <w:top w:val="single" w:sz="4" w:space="0" w:color="FFFFFF" w:themeColor="background1"/>
              <w:bottom w:val="single" w:sz="4" w:space="0" w:color="FFFFFF" w:themeColor="background1"/>
            </w:tcBorders>
            <w:shd w:val="clear" w:color="auto" w:fill="CCE0ED"/>
          </w:tcPr>
          <w:p w14:paraId="573878F7" w14:textId="05CB58CF" w:rsidR="002640D9" w:rsidRPr="00976D1C" w:rsidRDefault="002640D9" w:rsidP="00EC4213">
            <w:pPr>
              <w:pStyle w:val="TableText"/>
            </w:pPr>
            <w:r w:rsidRPr="00976D1C">
              <w:t xml:space="preserve">Cleft Lip and Cleft Palate Schemes </w:t>
            </w:r>
          </w:p>
        </w:tc>
        <w:tc>
          <w:tcPr>
            <w:tcW w:w="3726" w:type="pct"/>
            <w:tcBorders>
              <w:top w:val="single" w:sz="4" w:space="0" w:color="FFFFFF" w:themeColor="background1"/>
              <w:bottom w:val="single" w:sz="4" w:space="0" w:color="FFFFFF" w:themeColor="background1"/>
            </w:tcBorders>
            <w:shd w:val="clear" w:color="auto" w:fill="CCE0ED"/>
          </w:tcPr>
          <w:p w14:paraId="651AA85C" w14:textId="77777777" w:rsidR="002640D9" w:rsidRPr="00976D1C" w:rsidRDefault="002640D9" w:rsidP="00EC4213">
            <w:pPr>
              <w:pStyle w:val="TableText"/>
            </w:pPr>
            <w:r w:rsidRPr="00976D1C">
              <w:t xml:space="preserve">Adults and children with cleft lip or cleft palate conditions are eligible for the Cleft Lip and Cleft Palate Scheme. The Scheme provides Medicare benefits for a range of dental treatment including oral and maxillofacial surgery, simple and surgical extraction of teeth, a limited range of orthodontic work, and some general and prosthodontic services. </w:t>
            </w:r>
          </w:p>
          <w:p w14:paraId="2C858455" w14:textId="4AB9B3DE" w:rsidR="002640D9" w:rsidRPr="00976D1C" w:rsidRDefault="002640D9" w:rsidP="00EC4213">
            <w:pPr>
              <w:pStyle w:val="TableText"/>
            </w:pPr>
            <w:r w:rsidRPr="00976D1C">
              <w:t xml:space="preserve">To be eligible for the Scheme, a person must be enrolled in Medicare, registered with the Scheme before turning 22, and have treatment before turning 28. </w:t>
            </w:r>
          </w:p>
        </w:tc>
      </w:tr>
      <w:tr w:rsidR="002640D9" w:rsidRPr="00976D1C" w14:paraId="6938B39B" w14:textId="77777777" w:rsidTr="001F0DE5">
        <w:tc>
          <w:tcPr>
            <w:tcW w:w="1274" w:type="pct"/>
            <w:tcBorders>
              <w:top w:val="single" w:sz="4" w:space="0" w:color="FFFFFF" w:themeColor="background1"/>
              <w:bottom w:val="single" w:sz="4" w:space="0" w:color="FFFFFF" w:themeColor="background1"/>
            </w:tcBorders>
            <w:shd w:val="clear" w:color="auto" w:fill="CCEFFC"/>
          </w:tcPr>
          <w:p w14:paraId="423FEF2E" w14:textId="26E12BB8" w:rsidR="002640D9" w:rsidRPr="00976D1C" w:rsidRDefault="002640D9" w:rsidP="00EC4213">
            <w:pPr>
              <w:pStyle w:val="TableText"/>
            </w:pPr>
            <w:r w:rsidRPr="00976D1C">
              <w:t xml:space="preserve">Aboriginal Community Controlled Health Services and Aboriginal Medical Services </w:t>
            </w:r>
          </w:p>
        </w:tc>
        <w:tc>
          <w:tcPr>
            <w:tcW w:w="3726" w:type="pct"/>
            <w:tcBorders>
              <w:top w:val="single" w:sz="4" w:space="0" w:color="FFFFFF" w:themeColor="background1"/>
              <w:bottom w:val="single" w:sz="4" w:space="0" w:color="FFFFFF" w:themeColor="background1"/>
            </w:tcBorders>
            <w:shd w:val="clear" w:color="auto" w:fill="CCEFFC"/>
          </w:tcPr>
          <w:p w14:paraId="29C798AB" w14:textId="2757017F" w:rsidR="002640D9" w:rsidRPr="00976D1C" w:rsidRDefault="002640D9" w:rsidP="00EC4213">
            <w:pPr>
              <w:pStyle w:val="TableText"/>
            </w:pPr>
            <w:r w:rsidRPr="00976D1C">
              <w:t>Community Controlled Health Services across Australia provide culturally appropriate dental care to Aboriginal and Torres Strait Islander people. The type, level, and availability of dental services varies between health services.</w:t>
            </w:r>
          </w:p>
        </w:tc>
      </w:tr>
      <w:tr w:rsidR="002640D9" w:rsidRPr="00976D1C" w14:paraId="2DA1C9DE" w14:textId="77777777" w:rsidTr="001F0DE5">
        <w:trPr>
          <w:cnfStyle w:val="000000100000" w:firstRow="0" w:lastRow="0" w:firstColumn="0" w:lastColumn="0" w:oddVBand="0" w:evenVBand="0" w:oddHBand="1" w:evenHBand="0" w:firstRowFirstColumn="0" w:firstRowLastColumn="0" w:lastRowFirstColumn="0" w:lastRowLastColumn="0"/>
        </w:trPr>
        <w:tc>
          <w:tcPr>
            <w:tcW w:w="1274" w:type="pct"/>
            <w:tcBorders>
              <w:top w:val="single" w:sz="4" w:space="0" w:color="FFFFFF" w:themeColor="background1"/>
              <w:bottom w:val="single" w:sz="4" w:space="0" w:color="FFFFFF" w:themeColor="background1"/>
            </w:tcBorders>
            <w:shd w:val="clear" w:color="auto" w:fill="CCE0ED"/>
          </w:tcPr>
          <w:p w14:paraId="3F4F3932" w14:textId="09F5AB26" w:rsidR="002640D9" w:rsidRPr="00976D1C" w:rsidRDefault="002640D9" w:rsidP="00EC4213">
            <w:pPr>
              <w:pStyle w:val="TableText"/>
            </w:pPr>
            <w:r w:rsidRPr="00976D1C">
              <w:t xml:space="preserve">Oral health services in the Christmas and Coco Islands, and asylum seekers in community detention </w:t>
            </w:r>
          </w:p>
        </w:tc>
        <w:tc>
          <w:tcPr>
            <w:tcW w:w="3726" w:type="pct"/>
            <w:tcBorders>
              <w:top w:val="single" w:sz="4" w:space="0" w:color="FFFFFF" w:themeColor="background1"/>
              <w:bottom w:val="single" w:sz="4" w:space="0" w:color="FFFFFF" w:themeColor="background1"/>
            </w:tcBorders>
            <w:shd w:val="clear" w:color="auto" w:fill="CCE0ED"/>
          </w:tcPr>
          <w:p w14:paraId="30B39271" w14:textId="77777777" w:rsidR="002640D9" w:rsidRPr="00976D1C" w:rsidRDefault="002640D9" w:rsidP="00EC4213">
            <w:pPr>
              <w:pStyle w:val="TableText"/>
            </w:pPr>
            <w:r w:rsidRPr="00976D1C">
              <w:t>Persons in detention facilities have access to free oral health care, although they may face long waiting times.</w:t>
            </w:r>
          </w:p>
          <w:p w14:paraId="5D51FE9E" w14:textId="7405D762" w:rsidR="002640D9" w:rsidRPr="00976D1C" w:rsidRDefault="002640D9" w:rsidP="00EC4213">
            <w:pPr>
              <w:pStyle w:val="TableText"/>
            </w:pPr>
            <w:r w:rsidRPr="00976D1C">
              <w:t xml:space="preserve">Asylum seekers in community detention may have access to public dental services (for example, dental care is provided with no charge to asylum seekers living in Victoria). </w:t>
            </w:r>
          </w:p>
        </w:tc>
      </w:tr>
    </w:tbl>
    <w:p w14:paraId="5C6FAD9C" w14:textId="46FF4B82" w:rsidR="007438E3" w:rsidRPr="00976D1C" w:rsidRDefault="007438E3" w:rsidP="00EC4213">
      <w:pPr>
        <w:pStyle w:val="Heading1"/>
      </w:pPr>
      <w:bookmarkStart w:id="85" w:name="_Toc407634432"/>
      <w:r w:rsidRPr="00976D1C">
        <w:lastRenderedPageBreak/>
        <w:t xml:space="preserve">Appendix </w:t>
      </w:r>
      <w:r w:rsidR="00083221" w:rsidRPr="00976D1C">
        <w:t>D</w:t>
      </w:r>
      <w:r w:rsidRPr="00976D1C">
        <w:t xml:space="preserve"> – Oral health workforce roles and definitions</w:t>
      </w:r>
      <w:bookmarkEnd w:id="85"/>
    </w:p>
    <w:tbl>
      <w:tblPr>
        <w:tblStyle w:val="ColorfulGrid-Accent11"/>
        <w:tblW w:w="0" w:type="auto"/>
        <w:tblLook w:val="0420" w:firstRow="1" w:lastRow="0" w:firstColumn="0" w:lastColumn="0" w:noHBand="0" w:noVBand="1"/>
        <w:tblDescription w:val="appendix d - oral health workforce roles and definitions (title and definition)"/>
      </w:tblPr>
      <w:tblGrid>
        <w:gridCol w:w="1809"/>
        <w:gridCol w:w="7371"/>
      </w:tblGrid>
      <w:tr w:rsidR="002640D9" w:rsidRPr="00976D1C" w14:paraId="5CB9A23B" w14:textId="77777777" w:rsidTr="00D01168">
        <w:trPr>
          <w:cnfStyle w:val="100000000000" w:firstRow="1" w:lastRow="0" w:firstColumn="0" w:lastColumn="0" w:oddVBand="0" w:evenVBand="0" w:oddHBand="0" w:evenHBand="0" w:firstRowFirstColumn="0" w:firstRowLastColumn="0" w:lastRowFirstColumn="0" w:lastRowLastColumn="0"/>
          <w:tblHeader/>
        </w:trPr>
        <w:tc>
          <w:tcPr>
            <w:tcW w:w="1809" w:type="dxa"/>
            <w:tcBorders>
              <w:top w:val="nil"/>
              <w:bottom w:val="single" w:sz="4" w:space="0" w:color="FFFFFF" w:themeColor="background1"/>
            </w:tcBorders>
            <w:shd w:val="clear" w:color="auto" w:fill="0070C0"/>
          </w:tcPr>
          <w:p w14:paraId="4A5EBBBA" w14:textId="51C94ECA" w:rsidR="002640D9" w:rsidRPr="00A90656" w:rsidRDefault="002640D9" w:rsidP="00EC4213">
            <w:pPr>
              <w:pStyle w:val="TableHeader"/>
            </w:pPr>
            <w:r w:rsidRPr="00A90656">
              <w:t>Title</w:t>
            </w:r>
            <w:bookmarkStart w:id="86" w:name="ColumnTitle_AppendixD_WorkforceTitles"/>
            <w:bookmarkEnd w:id="86"/>
          </w:p>
        </w:tc>
        <w:tc>
          <w:tcPr>
            <w:tcW w:w="7371" w:type="dxa"/>
            <w:tcBorders>
              <w:top w:val="nil"/>
              <w:bottom w:val="single" w:sz="4" w:space="0" w:color="FFFFFF" w:themeColor="background1"/>
            </w:tcBorders>
            <w:shd w:val="clear" w:color="auto" w:fill="0070C0"/>
          </w:tcPr>
          <w:p w14:paraId="2F54A138" w14:textId="32E06976" w:rsidR="002640D9" w:rsidRPr="00A90656" w:rsidRDefault="002640D9" w:rsidP="00EC4213">
            <w:pPr>
              <w:pStyle w:val="TableHeader"/>
            </w:pPr>
            <w:r w:rsidRPr="00A90656">
              <w:t>Definition</w:t>
            </w:r>
          </w:p>
        </w:tc>
      </w:tr>
      <w:tr w:rsidR="002640D9" w:rsidRPr="00976D1C" w14:paraId="718347FF"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589196CF" w14:textId="663A91AE" w:rsidR="002640D9" w:rsidRPr="00976D1C" w:rsidRDefault="002640D9" w:rsidP="00EC4213">
            <w:pPr>
              <w:pStyle w:val="TableText"/>
            </w:pPr>
            <w:r w:rsidRPr="00976D1C">
              <w:t>Dentist</w:t>
            </w:r>
          </w:p>
        </w:tc>
        <w:tc>
          <w:tcPr>
            <w:tcW w:w="7371" w:type="dxa"/>
            <w:tcBorders>
              <w:top w:val="single" w:sz="4" w:space="0" w:color="FFFFFF" w:themeColor="background1"/>
              <w:bottom w:val="single" w:sz="4" w:space="0" w:color="FFFFFF" w:themeColor="background1"/>
            </w:tcBorders>
            <w:shd w:val="clear" w:color="auto" w:fill="CCE0ED"/>
          </w:tcPr>
          <w:p w14:paraId="64537A2F" w14:textId="6FF3BACB" w:rsidR="002640D9" w:rsidRPr="00976D1C" w:rsidRDefault="002640D9" w:rsidP="00EC4213">
            <w:pPr>
              <w:pStyle w:val="TableText"/>
            </w:pPr>
            <w:r w:rsidRPr="00976D1C">
              <w:t xml:space="preserve">Dentists work as independent practitioners and may practice all parts of dentistry. They provide assessment, diagnosis, treatment, management and preventative services to patients of all ages. </w:t>
            </w:r>
          </w:p>
        </w:tc>
      </w:tr>
      <w:tr w:rsidR="002640D9" w:rsidRPr="00976D1C" w14:paraId="3B7F4C25" w14:textId="77777777" w:rsidTr="00D01168">
        <w:tc>
          <w:tcPr>
            <w:tcW w:w="1809" w:type="dxa"/>
            <w:tcBorders>
              <w:top w:val="single" w:sz="4" w:space="0" w:color="FFFFFF" w:themeColor="background1"/>
              <w:bottom w:val="single" w:sz="4" w:space="0" w:color="FFFFFF" w:themeColor="background1"/>
            </w:tcBorders>
            <w:shd w:val="clear" w:color="auto" w:fill="CCEFFC"/>
          </w:tcPr>
          <w:p w14:paraId="546DE331" w14:textId="7451DDE0" w:rsidR="002640D9" w:rsidRPr="00976D1C" w:rsidRDefault="002640D9" w:rsidP="00EC4213">
            <w:pPr>
              <w:pStyle w:val="TableText"/>
            </w:pPr>
            <w:r w:rsidRPr="00976D1C">
              <w:t>Oral health therapist</w:t>
            </w:r>
          </w:p>
        </w:tc>
        <w:tc>
          <w:tcPr>
            <w:tcW w:w="7371" w:type="dxa"/>
            <w:tcBorders>
              <w:top w:val="single" w:sz="4" w:space="0" w:color="FFFFFF" w:themeColor="background1"/>
              <w:bottom w:val="single" w:sz="4" w:space="0" w:color="FFFFFF" w:themeColor="background1"/>
            </w:tcBorders>
            <w:shd w:val="clear" w:color="auto" w:fill="CCEFFC"/>
          </w:tcPr>
          <w:p w14:paraId="16B1BBD3" w14:textId="39F15B98" w:rsidR="002640D9" w:rsidRPr="00976D1C" w:rsidRDefault="002640D9" w:rsidP="00EC4213">
            <w:pPr>
              <w:pStyle w:val="TableText"/>
            </w:pPr>
            <w:r w:rsidRPr="00976D1C">
              <w:t xml:space="preserve">Oral health therapists are dual-qualified as a dental therapist and dental hygienist. They provide oral health assessment, diagnosis, treatment, management and preventative services for children and adolescents and, if educated and trained in a </w:t>
            </w:r>
            <w:r w:rsidR="00DA310F" w:rsidRPr="00976D1C">
              <w:t>programme</w:t>
            </w:r>
            <w:r w:rsidRPr="00976D1C">
              <w:t xml:space="preserve"> of study approved by the National Board, for adults of all ages. Their scope may include restorative/fillings treatment, tooth removal, oral health promotion, periodontal/gum treatment, and other oral care to promote healthy oral behaviours. Oral health therapists may only work within a structured professional relationship with a dentist. </w:t>
            </w:r>
          </w:p>
        </w:tc>
      </w:tr>
      <w:tr w:rsidR="002640D9" w:rsidRPr="00976D1C" w14:paraId="0990570E"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1D98EDA7" w14:textId="0C482E69" w:rsidR="002640D9" w:rsidRPr="00976D1C" w:rsidRDefault="002640D9" w:rsidP="00EC4213">
            <w:pPr>
              <w:pStyle w:val="TableText"/>
            </w:pPr>
            <w:r w:rsidRPr="00976D1C">
              <w:t>Dental hygienist</w:t>
            </w:r>
          </w:p>
        </w:tc>
        <w:tc>
          <w:tcPr>
            <w:tcW w:w="7371" w:type="dxa"/>
            <w:tcBorders>
              <w:top w:val="single" w:sz="4" w:space="0" w:color="FFFFFF" w:themeColor="background1"/>
              <w:bottom w:val="single" w:sz="4" w:space="0" w:color="FFFFFF" w:themeColor="background1"/>
            </w:tcBorders>
            <w:shd w:val="clear" w:color="auto" w:fill="CCE0ED"/>
          </w:tcPr>
          <w:p w14:paraId="0EE1DAB7" w14:textId="48293C53" w:rsidR="002640D9" w:rsidRPr="00976D1C" w:rsidRDefault="002640D9" w:rsidP="00EC4213">
            <w:pPr>
              <w:pStyle w:val="TableText"/>
            </w:pPr>
            <w:r w:rsidRPr="00976D1C">
              <w:t>Dental hygienists provide oral health assessment, diagnosis, treatment, management, and education for the prevention of oral disease to promote healthy oral behaviours to patients of all ages. Their scope may include periodontal/gum treatment, preventative services and other oral care. Dental hygienists may only work within a structured professional relationship with a dentist.</w:t>
            </w:r>
          </w:p>
        </w:tc>
      </w:tr>
      <w:tr w:rsidR="002640D9" w:rsidRPr="00976D1C" w14:paraId="2F3A8B2D" w14:textId="77777777" w:rsidTr="00D01168">
        <w:tc>
          <w:tcPr>
            <w:tcW w:w="1809" w:type="dxa"/>
            <w:tcBorders>
              <w:top w:val="single" w:sz="4" w:space="0" w:color="FFFFFF" w:themeColor="background1"/>
              <w:bottom w:val="single" w:sz="4" w:space="0" w:color="FFFFFF" w:themeColor="background1"/>
            </w:tcBorders>
            <w:shd w:val="clear" w:color="auto" w:fill="CCEFFC"/>
          </w:tcPr>
          <w:p w14:paraId="01686CE3" w14:textId="70FC0F3F" w:rsidR="002640D9" w:rsidRPr="00976D1C" w:rsidRDefault="002640D9" w:rsidP="00EC4213">
            <w:pPr>
              <w:pStyle w:val="TableText"/>
            </w:pPr>
            <w:r w:rsidRPr="00976D1C">
              <w:t>Dental therapist</w:t>
            </w:r>
          </w:p>
        </w:tc>
        <w:tc>
          <w:tcPr>
            <w:tcW w:w="7371" w:type="dxa"/>
            <w:tcBorders>
              <w:top w:val="single" w:sz="4" w:space="0" w:color="FFFFFF" w:themeColor="background1"/>
              <w:bottom w:val="single" w:sz="4" w:space="0" w:color="FFFFFF" w:themeColor="background1"/>
            </w:tcBorders>
            <w:shd w:val="clear" w:color="auto" w:fill="CCEFFC"/>
          </w:tcPr>
          <w:p w14:paraId="1E25E7CE" w14:textId="7B53A591" w:rsidR="002640D9" w:rsidRPr="00976D1C" w:rsidRDefault="002640D9" w:rsidP="00EC4213">
            <w:pPr>
              <w:pStyle w:val="TableText"/>
            </w:pPr>
            <w:r w:rsidRPr="00976D1C">
              <w:t xml:space="preserve">Dental therapists provide oral health assessment, diagnosis, treatment, management and preventative services for children, adolescents and young adults and, if educated and trained in a </w:t>
            </w:r>
            <w:r w:rsidR="00DA310F" w:rsidRPr="00976D1C">
              <w:t>programme</w:t>
            </w:r>
            <w:r w:rsidRPr="00976D1C">
              <w:t xml:space="preserve"> of study approved by the National Board, for adults of all ages. Their scope may include restorative/fillings treatment, tooth removal, additional oral care and oral health promotion. Dental therapists may only work within a structured professional relationship with a dentist. </w:t>
            </w:r>
          </w:p>
        </w:tc>
      </w:tr>
      <w:tr w:rsidR="002640D9" w:rsidRPr="00976D1C" w14:paraId="7E86A1ED"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73FA0B4F" w14:textId="41BF1D25" w:rsidR="002640D9" w:rsidRPr="00976D1C" w:rsidRDefault="002640D9" w:rsidP="00EC4213">
            <w:pPr>
              <w:pStyle w:val="TableText"/>
            </w:pPr>
            <w:r w:rsidRPr="00976D1C">
              <w:t>Dental prosthetist</w:t>
            </w:r>
          </w:p>
        </w:tc>
        <w:tc>
          <w:tcPr>
            <w:tcW w:w="7371" w:type="dxa"/>
            <w:tcBorders>
              <w:top w:val="single" w:sz="4" w:space="0" w:color="FFFFFF" w:themeColor="background1"/>
              <w:bottom w:val="single" w:sz="4" w:space="0" w:color="FFFFFF" w:themeColor="background1"/>
            </w:tcBorders>
            <w:shd w:val="clear" w:color="auto" w:fill="CCE0ED"/>
          </w:tcPr>
          <w:p w14:paraId="5A90C29B" w14:textId="4B33F2F5" w:rsidR="002640D9" w:rsidRPr="00976D1C" w:rsidRDefault="002640D9" w:rsidP="00EC4213">
            <w:pPr>
              <w:pStyle w:val="TableText"/>
            </w:pPr>
            <w:r w:rsidRPr="00976D1C">
              <w:t xml:space="preserve">Dental prosthetists work as independent practitioners in the assessment, treatment, management and provision of removable dentures and flexible, removable mouthguards used for sporting activities. Dental prosthetists who are educated and trained in a </w:t>
            </w:r>
            <w:r w:rsidR="00DA310F" w:rsidRPr="00976D1C">
              <w:t>programme</w:t>
            </w:r>
            <w:r w:rsidRPr="00976D1C">
              <w:t xml:space="preserve"> of study approved by the National Board may provide various types of splints, sleep apnoea devices, anti-snoring devices, immediate dentures and immediate additions to existing dentures. These procedures require written referrals to and from dentists and any appliance or device manufactured under such arrangement must be planned, issued and managed by the treating dentist. </w:t>
            </w:r>
          </w:p>
        </w:tc>
      </w:tr>
      <w:tr w:rsidR="002640D9" w:rsidRPr="00976D1C" w14:paraId="45E6279D" w14:textId="77777777" w:rsidTr="00D01168">
        <w:tc>
          <w:tcPr>
            <w:tcW w:w="1809" w:type="dxa"/>
            <w:tcBorders>
              <w:top w:val="single" w:sz="4" w:space="0" w:color="FFFFFF" w:themeColor="background1"/>
              <w:bottom w:val="single" w:sz="4" w:space="0" w:color="FFFFFF" w:themeColor="background1"/>
            </w:tcBorders>
            <w:shd w:val="clear" w:color="auto" w:fill="CCEFFC"/>
          </w:tcPr>
          <w:p w14:paraId="0DFEF757" w14:textId="052FBDDC" w:rsidR="002640D9" w:rsidRPr="00976D1C" w:rsidRDefault="002640D9" w:rsidP="00EC4213">
            <w:pPr>
              <w:pStyle w:val="TableText"/>
            </w:pPr>
            <w:r w:rsidRPr="00976D1C">
              <w:t>Dental assistant</w:t>
            </w:r>
          </w:p>
        </w:tc>
        <w:tc>
          <w:tcPr>
            <w:tcW w:w="7371" w:type="dxa"/>
            <w:tcBorders>
              <w:top w:val="single" w:sz="4" w:space="0" w:color="FFFFFF" w:themeColor="background1"/>
              <w:bottom w:val="single" w:sz="4" w:space="0" w:color="FFFFFF" w:themeColor="background1"/>
            </w:tcBorders>
            <w:shd w:val="clear" w:color="auto" w:fill="CCEFFC"/>
          </w:tcPr>
          <w:p w14:paraId="09636A00" w14:textId="13935394" w:rsidR="002640D9" w:rsidRPr="00976D1C" w:rsidRDefault="002640D9" w:rsidP="00EC4213">
            <w:pPr>
              <w:pStyle w:val="TableText"/>
            </w:pPr>
            <w:r w:rsidRPr="00976D1C">
              <w:rPr>
                <w:rFonts w:eastAsia="Times New Roman"/>
              </w:rPr>
              <w:t xml:space="preserve">A dental assistant prepares patients for dental examination and assists dentists, dental specialists, dental hygienists, dental therapists and/or oral health therapists in providing care and treatment. </w:t>
            </w:r>
          </w:p>
        </w:tc>
      </w:tr>
      <w:tr w:rsidR="002640D9" w:rsidRPr="00976D1C" w14:paraId="76DBA178"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298A92EB" w14:textId="15FA0027" w:rsidR="002640D9" w:rsidRPr="00976D1C" w:rsidRDefault="002640D9" w:rsidP="00EC4213">
            <w:pPr>
              <w:pStyle w:val="TableText"/>
            </w:pPr>
            <w:r w:rsidRPr="00976D1C">
              <w:t>Dental technician</w:t>
            </w:r>
          </w:p>
        </w:tc>
        <w:tc>
          <w:tcPr>
            <w:tcW w:w="7371" w:type="dxa"/>
            <w:tcBorders>
              <w:top w:val="single" w:sz="4" w:space="0" w:color="FFFFFF" w:themeColor="background1"/>
              <w:bottom w:val="single" w:sz="4" w:space="0" w:color="FFFFFF" w:themeColor="background1"/>
            </w:tcBorders>
            <w:shd w:val="clear" w:color="auto" w:fill="CCE0ED"/>
          </w:tcPr>
          <w:p w14:paraId="443315E4" w14:textId="32E4922A" w:rsidR="002640D9" w:rsidRPr="00976D1C" w:rsidRDefault="002640D9" w:rsidP="00EC4213">
            <w:pPr>
              <w:pStyle w:val="TableText"/>
            </w:pPr>
            <w:r w:rsidRPr="00976D1C">
              <w:rPr>
                <w:rFonts w:eastAsia="Times New Roman"/>
              </w:rPr>
              <w:t>A dental technician constructs and repairs dentures and other dental appliances.</w:t>
            </w:r>
          </w:p>
        </w:tc>
      </w:tr>
    </w:tbl>
    <w:p w14:paraId="0DA71BA7" w14:textId="2699191C" w:rsidR="001F0DE5" w:rsidRPr="00976D1C" w:rsidRDefault="001F0DE5" w:rsidP="00EC4213"/>
    <w:p w14:paraId="5A651578" w14:textId="77777777" w:rsidR="001F0DE5" w:rsidRPr="00976D1C" w:rsidRDefault="001F0DE5" w:rsidP="00EC4213">
      <w:r w:rsidRPr="00976D1C">
        <w:br w:type="page"/>
      </w:r>
    </w:p>
    <w:tbl>
      <w:tblPr>
        <w:tblStyle w:val="ColorfulGrid-Accent1"/>
        <w:tblW w:w="0" w:type="auto"/>
        <w:tblLook w:val="0420" w:firstRow="1" w:lastRow="0" w:firstColumn="0" w:lastColumn="0" w:noHBand="0" w:noVBand="1"/>
        <w:tblDescription w:val="Appendix D – Oral health workforce roles and definitions (dental specialty, definition)"/>
      </w:tblPr>
      <w:tblGrid>
        <w:gridCol w:w="1809"/>
        <w:gridCol w:w="7433"/>
      </w:tblGrid>
      <w:tr w:rsidR="00C94669" w:rsidRPr="00976D1C" w14:paraId="7873F716" w14:textId="77777777" w:rsidTr="00D01168">
        <w:trPr>
          <w:cnfStyle w:val="100000000000" w:firstRow="1" w:lastRow="0" w:firstColumn="0" w:lastColumn="0" w:oddVBand="0" w:evenVBand="0" w:oddHBand="0" w:evenHBand="0" w:firstRowFirstColumn="0" w:firstRowLastColumn="0" w:lastRowFirstColumn="0" w:lastRowLastColumn="0"/>
          <w:tblHeader/>
        </w:trPr>
        <w:tc>
          <w:tcPr>
            <w:tcW w:w="1809" w:type="dxa"/>
            <w:tcBorders>
              <w:top w:val="nil"/>
              <w:bottom w:val="single" w:sz="4" w:space="0" w:color="FFFFFF" w:themeColor="background1"/>
            </w:tcBorders>
            <w:shd w:val="clear" w:color="auto" w:fill="0070C0"/>
          </w:tcPr>
          <w:p w14:paraId="0F76086B" w14:textId="21DAA228" w:rsidR="00C94669" w:rsidRPr="00A90656" w:rsidRDefault="00C94669" w:rsidP="00EC4213">
            <w:pPr>
              <w:pStyle w:val="TableHeader"/>
            </w:pPr>
            <w:r w:rsidRPr="00A90656">
              <w:lastRenderedPageBreak/>
              <w:t>Dental sp</w:t>
            </w:r>
            <w:bookmarkStart w:id="87" w:name="ColumnTitle_AppendixD_DentalSpecialties"/>
            <w:bookmarkEnd w:id="87"/>
            <w:r w:rsidRPr="00A90656">
              <w:t>ecialty</w:t>
            </w:r>
          </w:p>
        </w:tc>
        <w:tc>
          <w:tcPr>
            <w:tcW w:w="7433" w:type="dxa"/>
            <w:tcBorders>
              <w:top w:val="nil"/>
              <w:bottom w:val="single" w:sz="4" w:space="0" w:color="FFFFFF" w:themeColor="background1"/>
            </w:tcBorders>
            <w:shd w:val="clear" w:color="auto" w:fill="0070C0"/>
          </w:tcPr>
          <w:p w14:paraId="3E2DA732" w14:textId="5B8B979F" w:rsidR="00C94669" w:rsidRPr="00A90656" w:rsidRDefault="00C94669" w:rsidP="00EC4213">
            <w:pPr>
              <w:pStyle w:val="TableHeader"/>
            </w:pPr>
            <w:r w:rsidRPr="00A90656">
              <w:t>Definition</w:t>
            </w:r>
          </w:p>
        </w:tc>
      </w:tr>
      <w:tr w:rsidR="00C94669" w:rsidRPr="00976D1C" w14:paraId="518307FB"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22F9D5B9" w14:textId="64991E1E" w:rsidR="00C94669" w:rsidRPr="00976D1C" w:rsidRDefault="00C94669" w:rsidP="00EC4213">
            <w:pPr>
              <w:pStyle w:val="TableText"/>
            </w:pPr>
            <w:r w:rsidRPr="00976D1C">
              <w:t>Dental-maxillofacial radiology</w:t>
            </w:r>
          </w:p>
        </w:tc>
        <w:tc>
          <w:tcPr>
            <w:tcW w:w="7433" w:type="dxa"/>
            <w:tcBorders>
              <w:top w:val="single" w:sz="4" w:space="0" w:color="FFFFFF" w:themeColor="background1"/>
              <w:bottom w:val="single" w:sz="4" w:space="0" w:color="FFFFFF" w:themeColor="background1"/>
            </w:tcBorders>
            <w:shd w:val="clear" w:color="auto" w:fill="CCE0ED"/>
          </w:tcPr>
          <w:p w14:paraId="6588F099" w14:textId="61255643" w:rsidR="00C94669" w:rsidRPr="00976D1C" w:rsidRDefault="00C94669" w:rsidP="00EC4213">
            <w:pPr>
              <w:pStyle w:val="TableText"/>
            </w:pPr>
            <w:r w:rsidRPr="00976D1C">
              <w:t xml:space="preserve">The branch of dentistry that deals with diagnostic imaging procedures applicable to the hard and soft tissues of the oral and maxillofacial region, and to other structures that are relevant for the proper assessment of oral conditions. </w:t>
            </w:r>
          </w:p>
        </w:tc>
      </w:tr>
      <w:tr w:rsidR="00C94669" w:rsidRPr="00976D1C" w14:paraId="15EDAD86" w14:textId="77777777" w:rsidTr="00D01168">
        <w:tc>
          <w:tcPr>
            <w:tcW w:w="1809" w:type="dxa"/>
            <w:tcBorders>
              <w:top w:val="single" w:sz="4" w:space="0" w:color="FFFFFF" w:themeColor="background1"/>
              <w:bottom w:val="single" w:sz="4" w:space="0" w:color="FFFFFF" w:themeColor="background1"/>
            </w:tcBorders>
            <w:shd w:val="clear" w:color="auto" w:fill="CCEFFC"/>
          </w:tcPr>
          <w:p w14:paraId="2AD5FF54" w14:textId="706B41B9" w:rsidR="00C94669" w:rsidRPr="00976D1C" w:rsidRDefault="00C94669" w:rsidP="00EC4213">
            <w:pPr>
              <w:pStyle w:val="TableText"/>
            </w:pPr>
            <w:r w:rsidRPr="00976D1C">
              <w:t>Endodontics</w:t>
            </w:r>
          </w:p>
        </w:tc>
        <w:tc>
          <w:tcPr>
            <w:tcW w:w="7433" w:type="dxa"/>
            <w:tcBorders>
              <w:top w:val="single" w:sz="4" w:space="0" w:color="FFFFFF" w:themeColor="background1"/>
              <w:bottom w:val="single" w:sz="4" w:space="0" w:color="FFFFFF" w:themeColor="background1"/>
            </w:tcBorders>
            <w:shd w:val="clear" w:color="auto" w:fill="CCEFFC"/>
          </w:tcPr>
          <w:p w14:paraId="6EB0F681" w14:textId="5DC539EF" w:rsidR="00C94669" w:rsidRPr="00976D1C" w:rsidRDefault="00C94669" w:rsidP="00EC4213">
            <w:pPr>
              <w:pStyle w:val="TableText"/>
            </w:pPr>
            <w:r w:rsidRPr="00976D1C">
              <w:t xml:space="preserve">The branch of dentistry concerned with the morphology and pathology of the pulpo-dentine complex and peri-radicular tissues. Its study and practice encompasses the basic clinical sciences including the biology of the normal pulp, and the aetiology, diagnosis, prevention and treatment of diseases and injuries to the pulp and associated peri-radicular tissues. </w:t>
            </w:r>
          </w:p>
        </w:tc>
      </w:tr>
      <w:tr w:rsidR="00C94669" w:rsidRPr="00976D1C" w14:paraId="0BB87702"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0414507F" w14:textId="3EBA3A9A" w:rsidR="00C94669" w:rsidRPr="00976D1C" w:rsidRDefault="00C94669" w:rsidP="00EC4213">
            <w:pPr>
              <w:pStyle w:val="TableText"/>
            </w:pPr>
            <w:r w:rsidRPr="00976D1C">
              <w:t>Oral and maxillofacial surgery</w:t>
            </w:r>
          </w:p>
        </w:tc>
        <w:tc>
          <w:tcPr>
            <w:tcW w:w="7433" w:type="dxa"/>
            <w:tcBorders>
              <w:top w:val="single" w:sz="4" w:space="0" w:color="FFFFFF" w:themeColor="background1"/>
              <w:bottom w:val="single" w:sz="4" w:space="0" w:color="FFFFFF" w:themeColor="background1"/>
            </w:tcBorders>
            <w:shd w:val="clear" w:color="auto" w:fill="CCE0ED"/>
          </w:tcPr>
          <w:p w14:paraId="1A60B97C" w14:textId="09670C9A" w:rsidR="00C94669" w:rsidRPr="00976D1C" w:rsidRDefault="00C94669" w:rsidP="00EC4213">
            <w:pPr>
              <w:pStyle w:val="TableText"/>
            </w:pPr>
            <w:r w:rsidRPr="00976D1C">
              <w:t xml:space="preserve">The part of surgery that deals with the diagnosis and surgical and adjunctive treatment of diseases, injuries and defects of human jaws and associated structures. </w:t>
            </w:r>
          </w:p>
        </w:tc>
      </w:tr>
      <w:tr w:rsidR="00C94669" w:rsidRPr="00976D1C" w14:paraId="757B0F16" w14:textId="77777777" w:rsidTr="00D01168">
        <w:tc>
          <w:tcPr>
            <w:tcW w:w="1809" w:type="dxa"/>
            <w:tcBorders>
              <w:top w:val="single" w:sz="4" w:space="0" w:color="FFFFFF" w:themeColor="background1"/>
              <w:bottom w:val="single" w:sz="4" w:space="0" w:color="FFFFFF" w:themeColor="background1"/>
            </w:tcBorders>
            <w:shd w:val="clear" w:color="auto" w:fill="CCEFFC"/>
          </w:tcPr>
          <w:p w14:paraId="6FA9D532" w14:textId="0CFEAD4A" w:rsidR="00C94669" w:rsidRPr="00976D1C" w:rsidRDefault="00C94669" w:rsidP="00EC4213">
            <w:pPr>
              <w:pStyle w:val="TableText"/>
            </w:pPr>
            <w:r w:rsidRPr="00976D1C">
              <w:t>Oral medicine</w:t>
            </w:r>
          </w:p>
        </w:tc>
        <w:tc>
          <w:tcPr>
            <w:tcW w:w="7433" w:type="dxa"/>
            <w:tcBorders>
              <w:top w:val="single" w:sz="4" w:space="0" w:color="FFFFFF" w:themeColor="background1"/>
              <w:bottom w:val="single" w:sz="4" w:space="0" w:color="FFFFFF" w:themeColor="background1"/>
            </w:tcBorders>
            <w:shd w:val="clear" w:color="auto" w:fill="CCEFFC"/>
          </w:tcPr>
          <w:p w14:paraId="6164DCE4" w14:textId="214AB1BF" w:rsidR="00C94669" w:rsidRPr="00976D1C" w:rsidRDefault="00C94669" w:rsidP="00EC4213">
            <w:pPr>
              <w:pStyle w:val="TableText"/>
            </w:pPr>
            <w:r w:rsidRPr="00976D1C">
              <w:t xml:space="preserve">The branch of dentistry concerned with the oral health care of patients with chronic and medically related disorders of the oral and maxillofacial region and with their diagnosis and surgical management. </w:t>
            </w:r>
          </w:p>
        </w:tc>
      </w:tr>
      <w:tr w:rsidR="00C94669" w:rsidRPr="00976D1C" w14:paraId="30A6EF37"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3A527354" w14:textId="0F33D9E4" w:rsidR="00C94669" w:rsidRPr="00976D1C" w:rsidRDefault="00C94669" w:rsidP="00EC4213">
            <w:pPr>
              <w:pStyle w:val="TableText"/>
            </w:pPr>
            <w:r w:rsidRPr="00976D1C">
              <w:t>Oral pathology</w:t>
            </w:r>
          </w:p>
        </w:tc>
        <w:tc>
          <w:tcPr>
            <w:tcW w:w="7433" w:type="dxa"/>
            <w:tcBorders>
              <w:top w:val="single" w:sz="4" w:space="0" w:color="FFFFFF" w:themeColor="background1"/>
              <w:bottom w:val="single" w:sz="4" w:space="0" w:color="FFFFFF" w:themeColor="background1"/>
            </w:tcBorders>
            <w:shd w:val="clear" w:color="auto" w:fill="CCE0ED"/>
          </w:tcPr>
          <w:p w14:paraId="081F37A8" w14:textId="533AA930" w:rsidR="00C94669" w:rsidRPr="00976D1C" w:rsidRDefault="00C94669" w:rsidP="00EC4213">
            <w:pPr>
              <w:pStyle w:val="TableText"/>
            </w:pPr>
            <w:r w:rsidRPr="00976D1C">
              <w:t xml:space="preserve">The branch of pathology that deals with the nature of diseases affecting the oral, maxillofacial and adjacent regions. </w:t>
            </w:r>
          </w:p>
        </w:tc>
      </w:tr>
      <w:tr w:rsidR="00C94669" w:rsidRPr="00976D1C" w14:paraId="0577F3DA" w14:textId="77777777" w:rsidTr="00D01168">
        <w:tc>
          <w:tcPr>
            <w:tcW w:w="1809" w:type="dxa"/>
            <w:tcBorders>
              <w:top w:val="single" w:sz="4" w:space="0" w:color="FFFFFF" w:themeColor="background1"/>
              <w:bottom w:val="single" w:sz="4" w:space="0" w:color="FFFFFF" w:themeColor="background1"/>
            </w:tcBorders>
            <w:shd w:val="clear" w:color="auto" w:fill="CCEFFC"/>
          </w:tcPr>
          <w:p w14:paraId="067360C1" w14:textId="65D29602" w:rsidR="00C94669" w:rsidRPr="00976D1C" w:rsidRDefault="00C94669" w:rsidP="00EC4213">
            <w:pPr>
              <w:pStyle w:val="TableText"/>
            </w:pPr>
            <w:r w:rsidRPr="00976D1C">
              <w:t>Oral surgery</w:t>
            </w:r>
          </w:p>
        </w:tc>
        <w:tc>
          <w:tcPr>
            <w:tcW w:w="7433" w:type="dxa"/>
            <w:tcBorders>
              <w:top w:val="single" w:sz="4" w:space="0" w:color="FFFFFF" w:themeColor="background1"/>
              <w:bottom w:val="single" w:sz="4" w:space="0" w:color="FFFFFF" w:themeColor="background1"/>
            </w:tcBorders>
            <w:shd w:val="clear" w:color="auto" w:fill="CCEFFC"/>
          </w:tcPr>
          <w:p w14:paraId="13538091" w14:textId="5AD1C42F" w:rsidR="00C94669" w:rsidRPr="00976D1C" w:rsidRDefault="00C94669" w:rsidP="00EC4213">
            <w:pPr>
              <w:pStyle w:val="TableText"/>
            </w:pPr>
            <w:r w:rsidRPr="00976D1C">
              <w:t>The branch of dentistry concerned with the diagnosis and surgical management of conditions affecting the oral and dento-alveolar tissues.</w:t>
            </w:r>
          </w:p>
        </w:tc>
      </w:tr>
      <w:tr w:rsidR="00C94669" w:rsidRPr="00976D1C" w14:paraId="6A6C15C2"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4425F000" w14:textId="4F8BAB96" w:rsidR="00C94669" w:rsidRPr="00976D1C" w:rsidRDefault="00C94669" w:rsidP="00EC4213">
            <w:pPr>
              <w:pStyle w:val="TableText"/>
            </w:pPr>
            <w:r w:rsidRPr="00976D1C">
              <w:t>Orthodontics</w:t>
            </w:r>
          </w:p>
        </w:tc>
        <w:tc>
          <w:tcPr>
            <w:tcW w:w="7433" w:type="dxa"/>
            <w:tcBorders>
              <w:top w:val="single" w:sz="4" w:space="0" w:color="FFFFFF" w:themeColor="background1"/>
              <w:bottom w:val="single" w:sz="4" w:space="0" w:color="FFFFFF" w:themeColor="background1"/>
            </w:tcBorders>
            <w:shd w:val="clear" w:color="auto" w:fill="CCE0ED"/>
          </w:tcPr>
          <w:p w14:paraId="7E7505CA" w14:textId="3C4279DA" w:rsidR="00C94669" w:rsidRPr="00976D1C" w:rsidRDefault="00C94669" w:rsidP="00EC4213">
            <w:pPr>
              <w:pStyle w:val="TableText"/>
            </w:pPr>
            <w:r w:rsidRPr="00976D1C">
              <w:t xml:space="preserve">The branch of dentistry that is concerned with the supervision, guidance and correction of the growing and mature dentofacial structures; it includes the diagnosis, prevention, interception and treatment of all forms of malocclusion of the teeth and associated alterations in their surrounding structures. </w:t>
            </w:r>
          </w:p>
        </w:tc>
      </w:tr>
      <w:tr w:rsidR="00C94669" w:rsidRPr="00976D1C" w14:paraId="0719E38F" w14:textId="77777777" w:rsidTr="00D01168">
        <w:tc>
          <w:tcPr>
            <w:tcW w:w="1809" w:type="dxa"/>
            <w:tcBorders>
              <w:top w:val="single" w:sz="4" w:space="0" w:color="FFFFFF" w:themeColor="background1"/>
              <w:bottom w:val="single" w:sz="4" w:space="0" w:color="FFFFFF" w:themeColor="background1"/>
            </w:tcBorders>
            <w:shd w:val="clear" w:color="auto" w:fill="CCEFFC"/>
          </w:tcPr>
          <w:p w14:paraId="179225E7" w14:textId="073BA8FD" w:rsidR="00C94669" w:rsidRPr="00976D1C" w:rsidRDefault="00C94669" w:rsidP="00EC4213">
            <w:pPr>
              <w:pStyle w:val="TableText"/>
            </w:pPr>
            <w:r w:rsidRPr="00976D1C">
              <w:t>Paediatric dentistry</w:t>
            </w:r>
          </w:p>
        </w:tc>
        <w:tc>
          <w:tcPr>
            <w:tcW w:w="7433" w:type="dxa"/>
            <w:tcBorders>
              <w:top w:val="single" w:sz="4" w:space="0" w:color="FFFFFF" w:themeColor="background1"/>
              <w:bottom w:val="single" w:sz="4" w:space="0" w:color="FFFFFF" w:themeColor="background1"/>
            </w:tcBorders>
            <w:shd w:val="clear" w:color="auto" w:fill="CCEFFC"/>
          </w:tcPr>
          <w:p w14:paraId="5CC4DB32" w14:textId="16CEA2B1" w:rsidR="00C94669" w:rsidRPr="00976D1C" w:rsidRDefault="00C94669" w:rsidP="00EC4213">
            <w:pPr>
              <w:pStyle w:val="TableText"/>
            </w:pPr>
            <w:r w:rsidRPr="00976D1C">
              <w:t xml:space="preserve">The branch of dentistry that is concerned with preventative and therapeutic oral health care for children from birth through to adolescence and those with special needs. It includes management of orofacial problems related to medical, behavioural, physical or developmental disabilities. </w:t>
            </w:r>
          </w:p>
        </w:tc>
      </w:tr>
      <w:tr w:rsidR="00C94669" w:rsidRPr="00976D1C" w14:paraId="1A085D07"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3749873C" w14:textId="4DE5995A" w:rsidR="00C94669" w:rsidRPr="00976D1C" w:rsidRDefault="00C94669" w:rsidP="00EC4213">
            <w:pPr>
              <w:pStyle w:val="TableText"/>
            </w:pPr>
            <w:r w:rsidRPr="00976D1C">
              <w:t>Periodontics</w:t>
            </w:r>
          </w:p>
        </w:tc>
        <w:tc>
          <w:tcPr>
            <w:tcW w:w="7433" w:type="dxa"/>
            <w:tcBorders>
              <w:top w:val="single" w:sz="4" w:space="0" w:color="FFFFFF" w:themeColor="background1"/>
              <w:bottom w:val="single" w:sz="4" w:space="0" w:color="FFFFFF" w:themeColor="background1"/>
            </w:tcBorders>
            <w:shd w:val="clear" w:color="auto" w:fill="CCE0ED"/>
          </w:tcPr>
          <w:p w14:paraId="1AD5E03E" w14:textId="7C38FA4B" w:rsidR="00C94669" w:rsidRPr="00976D1C" w:rsidRDefault="00C94669" w:rsidP="00EC4213">
            <w:pPr>
              <w:pStyle w:val="TableText"/>
            </w:pPr>
            <w:r w:rsidRPr="00976D1C">
              <w:t>The branch of dentistry that is concerned with the prevention, diagnosis and treatment of diseases or abnormalities of the supporting tissues of the teeth and their substitutes.</w:t>
            </w:r>
          </w:p>
        </w:tc>
      </w:tr>
      <w:tr w:rsidR="00C94669" w:rsidRPr="00976D1C" w14:paraId="45226B9C" w14:textId="77777777" w:rsidTr="00D01168">
        <w:tc>
          <w:tcPr>
            <w:tcW w:w="1809" w:type="dxa"/>
            <w:tcBorders>
              <w:top w:val="single" w:sz="4" w:space="0" w:color="FFFFFF" w:themeColor="background1"/>
              <w:bottom w:val="single" w:sz="4" w:space="0" w:color="FFFFFF" w:themeColor="background1"/>
            </w:tcBorders>
            <w:shd w:val="clear" w:color="auto" w:fill="CCEFFC"/>
          </w:tcPr>
          <w:p w14:paraId="52F47517" w14:textId="54870E6C" w:rsidR="00C94669" w:rsidRPr="00976D1C" w:rsidRDefault="00C94669" w:rsidP="00EC4213">
            <w:pPr>
              <w:pStyle w:val="TableText"/>
            </w:pPr>
            <w:r w:rsidRPr="00976D1C">
              <w:t>Prosthodontics</w:t>
            </w:r>
          </w:p>
        </w:tc>
        <w:tc>
          <w:tcPr>
            <w:tcW w:w="7433" w:type="dxa"/>
            <w:tcBorders>
              <w:top w:val="single" w:sz="4" w:space="0" w:color="FFFFFF" w:themeColor="background1"/>
              <w:bottom w:val="single" w:sz="4" w:space="0" w:color="FFFFFF" w:themeColor="background1"/>
            </w:tcBorders>
            <w:shd w:val="clear" w:color="auto" w:fill="CCEFFC"/>
          </w:tcPr>
          <w:p w14:paraId="073CDE22" w14:textId="5C411B67" w:rsidR="00C94669" w:rsidRPr="00976D1C" w:rsidRDefault="00C94669" w:rsidP="00EC4213">
            <w:pPr>
              <w:pStyle w:val="TableText"/>
            </w:pPr>
            <w:r w:rsidRPr="00976D1C">
              <w:t>The branch of dentistry that deals with the restoration and maintenance of oral health, function and appearance by coronal alteration or reconstruction of the natural teeth, or the replacement of missing teeth and contiguous oral and maxillofacial tissues with substitutes.</w:t>
            </w:r>
          </w:p>
        </w:tc>
      </w:tr>
      <w:tr w:rsidR="00C94669" w:rsidRPr="00976D1C" w14:paraId="2ECEDF2E"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62C75509" w14:textId="5154B988" w:rsidR="00C94669" w:rsidRPr="00976D1C" w:rsidRDefault="00C94669" w:rsidP="00EC4213">
            <w:pPr>
              <w:pStyle w:val="TableText"/>
            </w:pPr>
            <w:r w:rsidRPr="00976D1C">
              <w:t>Public health dentistry</w:t>
            </w:r>
          </w:p>
        </w:tc>
        <w:tc>
          <w:tcPr>
            <w:tcW w:w="7433" w:type="dxa"/>
            <w:tcBorders>
              <w:top w:val="single" w:sz="4" w:space="0" w:color="FFFFFF" w:themeColor="background1"/>
              <w:bottom w:val="single" w:sz="4" w:space="0" w:color="FFFFFF" w:themeColor="background1"/>
            </w:tcBorders>
            <w:shd w:val="clear" w:color="auto" w:fill="CCE0ED"/>
          </w:tcPr>
          <w:p w14:paraId="14161922" w14:textId="3A5E7DBC" w:rsidR="00C94669" w:rsidRPr="00976D1C" w:rsidRDefault="00C94669" w:rsidP="00EC4213">
            <w:pPr>
              <w:pStyle w:val="TableText"/>
            </w:pPr>
            <w:r w:rsidRPr="00976D1C">
              <w:t>The branch of dentistry that is concerned with oral health education of the public, applied dental research and administration of dental care programmes including prevention and control of oral diseases on a community basis.</w:t>
            </w:r>
          </w:p>
        </w:tc>
      </w:tr>
      <w:tr w:rsidR="00C94669" w:rsidRPr="00976D1C" w14:paraId="72F12E7C" w14:textId="77777777" w:rsidTr="00D01168">
        <w:tc>
          <w:tcPr>
            <w:tcW w:w="1809" w:type="dxa"/>
            <w:tcBorders>
              <w:top w:val="single" w:sz="4" w:space="0" w:color="FFFFFF" w:themeColor="background1"/>
              <w:bottom w:val="single" w:sz="4" w:space="0" w:color="FFFFFF" w:themeColor="background1"/>
            </w:tcBorders>
            <w:shd w:val="clear" w:color="auto" w:fill="CCEFFC"/>
          </w:tcPr>
          <w:p w14:paraId="0B4C0955" w14:textId="29914A34" w:rsidR="00C94669" w:rsidRPr="00976D1C" w:rsidRDefault="00C94669" w:rsidP="00EC4213">
            <w:pPr>
              <w:pStyle w:val="TableText"/>
            </w:pPr>
            <w:r w:rsidRPr="00976D1C">
              <w:t>Special needs dentistry</w:t>
            </w:r>
          </w:p>
        </w:tc>
        <w:tc>
          <w:tcPr>
            <w:tcW w:w="7433" w:type="dxa"/>
            <w:tcBorders>
              <w:top w:val="single" w:sz="4" w:space="0" w:color="FFFFFF" w:themeColor="background1"/>
              <w:bottom w:val="single" w:sz="4" w:space="0" w:color="FFFFFF" w:themeColor="background1"/>
            </w:tcBorders>
            <w:shd w:val="clear" w:color="auto" w:fill="CCEFFC"/>
          </w:tcPr>
          <w:p w14:paraId="7F0EB98C" w14:textId="45D869CF" w:rsidR="00C94669" w:rsidRPr="00976D1C" w:rsidRDefault="00C94669" w:rsidP="00EC4213">
            <w:pPr>
              <w:pStyle w:val="TableText"/>
            </w:pPr>
            <w:r w:rsidRPr="00976D1C">
              <w:t>The branch of dentistry that is concerned with the oral health care of people with an intellectual disability, medical, physical or psychiatric conditions that require special methods or techniques to prevent or treat oral health problems or where such conditions necessitate special dental treatment plans.</w:t>
            </w:r>
          </w:p>
        </w:tc>
      </w:tr>
      <w:tr w:rsidR="00C94669" w:rsidRPr="00976D1C" w14:paraId="6DAB223D" w14:textId="77777777" w:rsidTr="00D01168">
        <w:trPr>
          <w:cnfStyle w:val="000000100000" w:firstRow="0" w:lastRow="0" w:firstColumn="0" w:lastColumn="0" w:oddVBand="0" w:evenVBand="0" w:oddHBand="1" w:evenHBand="0" w:firstRowFirstColumn="0" w:firstRowLastColumn="0" w:lastRowFirstColumn="0" w:lastRowLastColumn="0"/>
        </w:trPr>
        <w:tc>
          <w:tcPr>
            <w:tcW w:w="1809" w:type="dxa"/>
            <w:tcBorders>
              <w:top w:val="single" w:sz="4" w:space="0" w:color="FFFFFF" w:themeColor="background1"/>
              <w:bottom w:val="single" w:sz="4" w:space="0" w:color="FFFFFF" w:themeColor="background1"/>
            </w:tcBorders>
            <w:shd w:val="clear" w:color="auto" w:fill="CCE0ED"/>
          </w:tcPr>
          <w:p w14:paraId="33BA06FC" w14:textId="594D64E3" w:rsidR="00C94669" w:rsidRPr="00976D1C" w:rsidRDefault="00C94669" w:rsidP="00EC4213">
            <w:pPr>
              <w:pStyle w:val="TableText"/>
            </w:pPr>
            <w:r w:rsidRPr="00976D1C">
              <w:t>Forensic odontology</w:t>
            </w:r>
          </w:p>
        </w:tc>
        <w:tc>
          <w:tcPr>
            <w:tcW w:w="7433" w:type="dxa"/>
            <w:tcBorders>
              <w:top w:val="single" w:sz="4" w:space="0" w:color="FFFFFF" w:themeColor="background1"/>
              <w:bottom w:val="single" w:sz="4" w:space="0" w:color="FFFFFF" w:themeColor="background1"/>
            </w:tcBorders>
            <w:shd w:val="clear" w:color="auto" w:fill="CCE0ED"/>
          </w:tcPr>
          <w:p w14:paraId="02AACDF0" w14:textId="09244A6F" w:rsidR="00C94669" w:rsidRPr="00976D1C" w:rsidRDefault="00C94669" w:rsidP="00EC4213">
            <w:pPr>
              <w:pStyle w:val="TableText"/>
            </w:pPr>
            <w:r w:rsidRPr="00976D1C">
              <w:t>The branch of dentistry that is involved with the examination and evaluation of dental evidence, which may then be presented in the interests of justice.</w:t>
            </w:r>
          </w:p>
        </w:tc>
      </w:tr>
    </w:tbl>
    <w:p w14:paraId="33737AC3" w14:textId="72F595AD" w:rsidR="002640D9" w:rsidRPr="00976D1C" w:rsidRDefault="002640D9" w:rsidP="00EC4213">
      <w:pPr>
        <w:pStyle w:val="Tablenotes"/>
        <w:rPr>
          <w:lang w:eastAsia="x-none"/>
        </w:rPr>
      </w:pPr>
      <w:r w:rsidRPr="00976D1C">
        <w:t>Sources: Dental Board of Australia and Australian Bureau of Statistics, Australian and New Zealand Standard Classification of Occupations, Cat no. 1220.0</w:t>
      </w:r>
    </w:p>
    <w:p w14:paraId="55C85E29" w14:textId="77777777" w:rsidR="007438E3" w:rsidRPr="00976D1C" w:rsidRDefault="007438E3" w:rsidP="00EC4213">
      <w:pPr>
        <w:rPr>
          <w:lang w:eastAsia="x-none"/>
        </w:rPr>
        <w:sectPr w:rsidR="007438E3" w:rsidRPr="00976D1C" w:rsidSect="00857C1B">
          <w:endnotePr>
            <w:numFmt w:val="decimal"/>
          </w:endnotePr>
          <w:pgSz w:w="11906" w:h="16838"/>
          <w:pgMar w:top="1440" w:right="1440" w:bottom="1440" w:left="1440" w:header="708" w:footer="708" w:gutter="0"/>
          <w:pgBorders w:offsetFrom="page">
            <w:right w:val="single" w:sz="4" w:space="24" w:color="FFFFFF" w:themeColor="background1"/>
          </w:pgBorders>
          <w:cols w:space="708"/>
          <w:docGrid w:linePitch="360"/>
        </w:sectPr>
      </w:pPr>
    </w:p>
    <w:p w14:paraId="451B8F42" w14:textId="130C9518" w:rsidR="00730483" w:rsidRPr="00976D1C" w:rsidRDefault="00730483" w:rsidP="00EC4213">
      <w:pPr>
        <w:pStyle w:val="Heading1"/>
      </w:pPr>
      <w:bookmarkStart w:id="88" w:name="_Toc377045983"/>
      <w:bookmarkStart w:id="89" w:name="_Toc407634433"/>
      <w:bookmarkEnd w:id="77"/>
      <w:r w:rsidRPr="00976D1C">
        <w:lastRenderedPageBreak/>
        <w:t xml:space="preserve">Appendix </w:t>
      </w:r>
      <w:bookmarkEnd w:id="88"/>
      <w:r w:rsidR="008018E1" w:rsidRPr="00976D1C">
        <w:t>E</w:t>
      </w:r>
      <w:r w:rsidR="0074032E" w:rsidRPr="00976D1C">
        <w:t xml:space="preserve"> – M</w:t>
      </w:r>
      <w:r w:rsidR="003D301F" w:rsidRPr="00976D1C">
        <w:t>ethodology</w:t>
      </w:r>
      <w:bookmarkEnd w:id="89"/>
    </w:p>
    <w:p w14:paraId="001D5F67" w14:textId="77777777" w:rsidR="00DF46FB" w:rsidRPr="00976D1C" w:rsidRDefault="00DF46FB" w:rsidP="00EC4213">
      <w:pPr>
        <w:pStyle w:val="Heading2"/>
      </w:pPr>
      <w:bookmarkStart w:id="90" w:name="_Toc377045986"/>
      <w:bookmarkStart w:id="91" w:name="_Toc407634434"/>
      <w:r w:rsidRPr="00976D1C">
        <w:t>Supply methodology</w:t>
      </w:r>
      <w:bookmarkEnd w:id="90"/>
      <w:bookmarkEnd w:id="91"/>
    </w:p>
    <w:p w14:paraId="01E1A6F2" w14:textId="77777777" w:rsidR="00DF46FB" w:rsidRPr="00976D1C" w:rsidRDefault="00DF46FB" w:rsidP="00EC4213">
      <w:r w:rsidRPr="00976D1C">
        <w:t xml:space="preserve">The principal method used to develop the oral health workforce projections is mathematical simulation modelling, using the National Health Workforce Tool. The simulation model employed to generate the workforce supply projections is a dynamic stock and flow model. </w:t>
      </w:r>
    </w:p>
    <w:p w14:paraId="48CE520E" w14:textId="77777777" w:rsidR="00DF46FB" w:rsidRPr="00976D1C" w:rsidRDefault="00DF46FB" w:rsidP="00EC4213">
      <w:r w:rsidRPr="00976D1C">
        <w:rPr>
          <w:lang w:eastAsia="x-none"/>
        </w:rPr>
        <w:t xml:space="preserve">A stock and flow model involves identifying </w:t>
      </w:r>
      <w:r w:rsidRPr="00976D1C">
        <w:t xml:space="preserve">the size and activity of the current workforce (stock) and sources of inflows and outflows from the stock (people entering and exiting the workforce), as well as looking at trends or influences on the stock and flows. To project future supply, the initial stock is moved forward based on expected inflows and outflows, allowing for the impact of trends and influences in the stock. </w:t>
      </w:r>
      <w:r w:rsidRPr="00976D1C">
        <w:rPr>
          <w:lang w:eastAsia="x-none"/>
        </w:rPr>
        <w:t>The workforce is broken down into age and gender cohorts, and different flow rates are calculated by cohort and year for each of the input and output factors.</w:t>
      </w:r>
    </w:p>
    <w:p w14:paraId="2E2EB785" w14:textId="3C1BC1DC" w:rsidR="00DF46FB" w:rsidRPr="00976D1C" w:rsidRDefault="00DF46FB" w:rsidP="00EC4213">
      <w:r w:rsidRPr="00976D1C">
        <w:t xml:space="preserve">The oral health workforce projections used a dynamic version of the stock and flow approach. This means the stock of the workforce is affected by inflows and outflows to adjacent age cohorts within the stock, as well as external inflows and outflows. That is, each age and gender cohort receives inflows not just from graduates and migration (external flows), but also from people ageing within the model that move from one age cohort into the next. For example, someone moves from the 30 to 34 cohort into the 35 to 39 cohort. Similarly, each age and gender cohort has exits applied </w:t>
      </w:r>
      <w:r w:rsidRPr="00976D1C">
        <w:rPr>
          <w:rFonts w:cs="Í`_¯ ë"/>
        </w:rPr>
        <w:t xml:space="preserve">– </w:t>
      </w:r>
      <w:r w:rsidRPr="00976D1C">
        <w:t xml:space="preserve">exits as people leave the workforce altogether, and exits as a person moves into the next age cohort. This is an iterative calculation in each year over the projection period, and provides for a more realistic representation of labour dynamics. </w:t>
      </w:r>
      <w:r w:rsidRPr="00976D1C">
        <w:rPr>
          <w:lang w:eastAsia="x-none"/>
        </w:rPr>
        <w:t>This provides for a more realistic representation of labour force dynamics. This process is represented in Figure 1</w:t>
      </w:r>
      <w:r w:rsidR="00332E26" w:rsidRPr="00976D1C">
        <w:rPr>
          <w:lang w:eastAsia="x-none"/>
        </w:rPr>
        <w:t>5</w:t>
      </w:r>
      <w:r w:rsidRPr="00976D1C">
        <w:rPr>
          <w:lang w:eastAsia="x-none"/>
        </w:rPr>
        <w:t xml:space="preserve">. </w:t>
      </w:r>
    </w:p>
    <w:p w14:paraId="51433811" w14:textId="77777777" w:rsidR="00DF46FB" w:rsidRPr="00976D1C" w:rsidRDefault="00DF46FB" w:rsidP="00EC4213">
      <w:pPr>
        <w:pStyle w:val="Caption"/>
      </w:pPr>
      <w:bookmarkStart w:id="92" w:name="_Ref382495600"/>
      <w:bookmarkStart w:id="93" w:name="_Ref382495592"/>
      <w:bookmarkStart w:id="94" w:name="_Toc382840276"/>
      <w:bookmarkStart w:id="95" w:name="_Toc407634472"/>
      <w:r w:rsidRPr="00976D1C">
        <w:lastRenderedPageBreak/>
        <w:t xml:space="preserve">Figure </w:t>
      </w:r>
      <w:fldSimple w:instr=" SEQ Figure \* ARABIC ">
        <w:r w:rsidR="00496730" w:rsidRPr="00976D1C">
          <w:t>15</w:t>
        </w:r>
      </w:fldSimple>
      <w:bookmarkEnd w:id="92"/>
      <w:r w:rsidRPr="00976D1C">
        <w:t>: Stock and flow process</w:t>
      </w:r>
      <w:bookmarkEnd w:id="93"/>
      <w:bookmarkEnd w:id="94"/>
      <w:bookmarkEnd w:id="95"/>
    </w:p>
    <w:p w14:paraId="1ACABA59" w14:textId="77777777" w:rsidR="00DF46FB" w:rsidRPr="00976D1C" w:rsidRDefault="00DF46FB" w:rsidP="00EC4213">
      <w:r w:rsidRPr="00976D1C">
        <w:rPr>
          <w:noProof/>
          <w:lang w:eastAsia="en-AU"/>
        </w:rPr>
        <w:drawing>
          <wp:inline distT="0" distB="0" distL="0" distR="0" wp14:anchorId="5B0A0C99" wp14:editId="1FCD02FE">
            <wp:extent cx="5057228" cy="3209925"/>
            <wp:effectExtent l="0" t="0" r="0" b="0"/>
            <wp:docPr id="18" name="Picture 18" descr="The figure represents the stock and flow process used to  in the oral health workforce projections. The oral health workforce projections used a dynamic version of the stock and flow approach. This means the stock of the workforce is affected by inflows (increasing hours worked, immigratin, graduates, holding off on retirement, return to practice and overseas students) and outflows (retirement, death, illness, decreasing hours worked, emigration and career change) to adjacent age cohorts within the stock (5 year age groups from 20-24 to 75+), as well as external inflows and outflows. " title="Figure 15: Stock and flow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053965" cy="3207854"/>
                    </a:xfrm>
                    <a:prstGeom prst="rect">
                      <a:avLst/>
                    </a:prstGeom>
                    <a:noFill/>
                  </pic:spPr>
                </pic:pic>
              </a:graphicData>
            </a:graphic>
          </wp:inline>
        </w:drawing>
      </w:r>
    </w:p>
    <w:p w14:paraId="5DBE0071" w14:textId="445CCAB3" w:rsidR="00DF46FB" w:rsidRPr="00976D1C" w:rsidRDefault="00DF46FB" w:rsidP="00EC4213">
      <w:pPr>
        <w:pStyle w:val="Heading3"/>
        <w:rPr>
          <w:lang w:val="en-AU"/>
        </w:rPr>
      </w:pPr>
      <w:r w:rsidRPr="00976D1C">
        <w:rPr>
          <w:lang w:val="en-AU"/>
        </w:rPr>
        <w:t>Key inputs in the stock and flow model</w:t>
      </w:r>
    </w:p>
    <w:p w14:paraId="5D23CEE2" w14:textId="77777777" w:rsidR="00DF46FB" w:rsidRPr="00976D1C" w:rsidRDefault="00DF46FB" w:rsidP="00EC4213">
      <w:r w:rsidRPr="00976D1C">
        <w:t>There are four key inputs in the dynamic stock and flow model:</w:t>
      </w:r>
    </w:p>
    <w:p w14:paraId="41C49A27" w14:textId="77777777" w:rsidR="00DF46FB" w:rsidRPr="00976D1C" w:rsidRDefault="00DF46FB" w:rsidP="00EC4213">
      <w:pPr>
        <w:pStyle w:val="ListParagraph"/>
        <w:numPr>
          <w:ilvl w:val="0"/>
          <w:numId w:val="44"/>
        </w:numPr>
        <w:rPr>
          <w:rFonts w:eastAsiaTheme="minorHAnsi"/>
        </w:rPr>
      </w:pPr>
      <w:r w:rsidRPr="00976D1C">
        <w:rPr>
          <w:rFonts w:eastAsiaTheme="minorHAnsi"/>
        </w:rPr>
        <w:t>Workforce stock</w:t>
      </w:r>
    </w:p>
    <w:p w14:paraId="2E5AB325" w14:textId="77777777" w:rsidR="00DF46FB" w:rsidRPr="00976D1C" w:rsidRDefault="00DF46FB" w:rsidP="00EC4213">
      <w:pPr>
        <w:pStyle w:val="ListParagraph"/>
        <w:numPr>
          <w:ilvl w:val="0"/>
          <w:numId w:val="44"/>
        </w:numPr>
        <w:rPr>
          <w:rFonts w:eastAsiaTheme="minorHAnsi"/>
        </w:rPr>
      </w:pPr>
      <w:r w:rsidRPr="00976D1C">
        <w:rPr>
          <w:rFonts w:eastAsiaTheme="minorHAnsi"/>
        </w:rPr>
        <w:t>New graduates</w:t>
      </w:r>
    </w:p>
    <w:p w14:paraId="675C3E26" w14:textId="77777777" w:rsidR="00161C86" w:rsidRPr="00976D1C" w:rsidRDefault="00DF46FB" w:rsidP="00EC4213">
      <w:pPr>
        <w:pStyle w:val="ListParagraph"/>
        <w:numPr>
          <w:ilvl w:val="0"/>
          <w:numId w:val="44"/>
        </w:numPr>
        <w:rPr>
          <w:rFonts w:eastAsiaTheme="minorHAnsi"/>
        </w:rPr>
      </w:pPr>
      <w:r w:rsidRPr="00976D1C">
        <w:rPr>
          <w:rFonts w:eastAsiaTheme="minorHAnsi"/>
        </w:rPr>
        <w:t>Migration (permanent and temporary)</w:t>
      </w:r>
      <w:r w:rsidR="00161C86" w:rsidRPr="00976D1C">
        <w:rPr>
          <w:rFonts w:eastAsiaTheme="minorHAnsi"/>
        </w:rPr>
        <w:t xml:space="preserve"> </w:t>
      </w:r>
    </w:p>
    <w:p w14:paraId="11225A5C" w14:textId="58C92AAB" w:rsidR="00DF46FB" w:rsidRPr="00976D1C" w:rsidRDefault="00DF46FB" w:rsidP="00EC4213">
      <w:pPr>
        <w:pStyle w:val="ListParagraph"/>
        <w:numPr>
          <w:ilvl w:val="0"/>
          <w:numId w:val="44"/>
        </w:numPr>
        <w:rPr>
          <w:rFonts w:eastAsiaTheme="minorHAnsi"/>
        </w:rPr>
      </w:pPr>
      <w:r w:rsidRPr="00976D1C">
        <w:rPr>
          <w:rFonts w:eastAsiaTheme="minorHAnsi"/>
        </w:rPr>
        <w:t>Exits, which includes all permanent and temporary flows out of the workforce.</w:t>
      </w:r>
    </w:p>
    <w:p w14:paraId="6DF14898" w14:textId="77777777" w:rsidR="00DF46FB" w:rsidRPr="00976D1C" w:rsidRDefault="00DF46FB" w:rsidP="00EC4213">
      <w:pPr>
        <w:pStyle w:val="Heading3"/>
        <w:rPr>
          <w:lang w:val="en-AU"/>
        </w:rPr>
      </w:pPr>
      <w:r w:rsidRPr="00976D1C">
        <w:rPr>
          <w:lang w:val="en-AU"/>
        </w:rPr>
        <w:t>Workforce stock</w:t>
      </w:r>
    </w:p>
    <w:p w14:paraId="5C7AF2DE" w14:textId="77777777" w:rsidR="00DF46FB" w:rsidRPr="00976D1C" w:rsidRDefault="00DF46FB" w:rsidP="00EC4213">
      <w:r w:rsidRPr="00976D1C">
        <w:t xml:space="preserve">Calculation of the workforce ‘stock’ in the base year (2012) used the National Health Workforce Dataset (NHWDS): Dental practitioners data. The NHWDS combines data from the annual registration process for registered oral health practitioners, together with data from a workforce survey that is voluntarily completed at the time of registration. </w:t>
      </w:r>
    </w:p>
    <w:p w14:paraId="73C40E08" w14:textId="77777777" w:rsidR="00DF46FB" w:rsidRPr="00976D1C" w:rsidRDefault="00DF46FB" w:rsidP="00EC4213">
      <w:r w:rsidRPr="00976D1C">
        <w:t xml:space="preserve">The workforce stock is categorised into five-year age and gender cohorts. </w:t>
      </w:r>
    </w:p>
    <w:p w14:paraId="435B2B83" w14:textId="77777777" w:rsidR="00DF46FB" w:rsidRPr="00976D1C" w:rsidRDefault="00DF46FB" w:rsidP="00EC4213">
      <w:pPr>
        <w:pStyle w:val="Heading3"/>
        <w:rPr>
          <w:lang w:val="en-AU"/>
        </w:rPr>
      </w:pPr>
      <w:r w:rsidRPr="00976D1C">
        <w:rPr>
          <w:lang w:val="en-AU"/>
        </w:rPr>
        <w:t xml:space="preserve">New graduates </w:t>
      </w:r>
    </w:p>
    <w:p w14:paraId="1BA11BEE" w14:textId="77777777" w:rsidR="00DF46FB" w:rsidRPr="00976D1C" w:rsidRDefault="00DF46FB" w:rsidP="00EC4213">
      <w:r w:rsidRPr="00976D1C">
        <w:t xml:space="preserve">Data from the Australasian College of Dental Schools (ACODS), the Department of Education, and the National Centre for Vocational Education Research (NCVER) was used to estimate the anticipated number of new and completing graduates, based on recent trends in the number of graduating students, the number of trainees currently in the system and their expected years of completion. </w:t>
      </w:r>
    </w:p>
    <w:p w14:paraId="0EB93D0D" w14:textId="1D73BD6F" w:rsidR="00DF46FB" w:rsidRPr="00976D1C" w:rsidRDefault="00DF46FB" w:rsidP="00EC4213">
      <w:r w:rsidRPr="00976D1C">
        <w:lastRenderedPageBreak/>
        <w:t xml:space="preserve">Table </w:t>
      </w:r>
      <w:r w:rsidR="00DC3122" w:rsidRPr="00976D1C">
        <w:t>4</w:t>
      </w:r>
      <w:r w:rsidRPr="00976D1C">
        <w:t xml:space="preserve"> shows the number of domestic and international graduates (current and projected) for each practitioner group to 2017. From 2017, graduate numbers are held constant in the model.</w:t>
      </w:r>
    </w:p>
    <w:p w14:paraId="7367C90D" w14:textId="77777777" w:rsidR="00DF46FB" w:rsidRPr="00976D1C" w:rsidRDefault="00DF46FB" w:rsidP="00EC4213">
      <w:pPr>
        <w:pStyle w:val="Caption"/>
      </w:pPr>
      <w:bookmarkStart w:id="96" w:name="_Ref376958078"/>
      <w:bookmarkStart w:id="97" w:name="_Toc382840263"/>
      <w:bookmarkStart w:id="98" w:name="_Toc409532342"/>
      <w:r w:rsidRPr="00976D1C">
        <w:t xml:space="preserve">Table </w:t>
      </w:r>
      <w:fldSimple w:instr=" SEQ Table \* ARABIC ">
        <w:r w:rsidR="00496730" w:rsidRPr="00976D1C">
          <w:t>4</w:t>
        </w:r>
      </w:fldSimple>
      <w:r w:rsidRPr="00976D1C">
        <w:t>: Projected Graduates 2012- 2017</w:t>
      </w:r>
      <w:bookmarkEnd w:id="96"/>
      <w:bookmarkEnd w:id="97"/>
      <w:bookmarkEnd w:id="98"/>
    </w:p>
    <w:tbl>
      <w:tblPr>
        <w:tblW w:w="0" w:type="auto"/>
        <w:tblLayout w:type="fixed"/>
        <w:tblLook w:val="04A0" w:firstRow="1" w:lastRow="0" w:firstColumn="1" w:lastColumn="0" w:noHBand="0" w:noVBand="1"/>
        <w:tblDescription w:val="2012 Dentist – Domestic 441 Dentists – International 111 Oral health Practitioner – Domestic 259 Oral health Practitioner – International 10 Dental Prosthetist – Domestic 104 Dental Prosthetist – International 2&#10;2013 Dentist – Domestic 627 Dentists – International 138 Oral health Practitioner – Domestic 287 Oral health Practitioner – International 17 Dental Prosthetist – Domestic 104 Dental Prosthetist – International 2&#10;2014 Dentist – Domestic 653 Dentists – International 94 Oral health Practitioner – Domestic 324 Oral health Practitioner – International 12 Dental Prosthetist – Domestic 104 Dental Prosthetist – International 2&#10;2015 Dentist – Domestic 737 Dentists – International 89 Oral health Practitioner – Domestic 388 Oral health Practitioner – International 13 Dental Prosthetist – Domestic 104 Dental Prosthetist – International 2&#10;2016 Dentist – Domestic 656 Dentists – International 74 Oral health Practitioner – Domestic 388 Oral health Practitioner – International 13 Dental Prosthetist – Domestic 104 Dental Prosthetist – International 2&#10;2017 Dentist – Domestic 749 Dentists – International 87 Oral health Practitioner – Domestic 388 Oral health Practitioner – International 13 Dental Prosthetist – Domestic 104 Dental Prosthetist – International 2"/>
      </w:tblPr>
      <w:tblGrid>
        <w:gridCol w:w="817"/>
        <w:gridCol w:w="1134"/>
        <w:gridCol w:w="1418"/>
        <w:gridCol w:w="1559"/>
        <w:gridCol w:w="1417"/>
        <w:gridCol w:w="1418"/>
        <w:gridCol w:w="1479"/>
      </w:tblGrid>
      <w:tr w:rsidR="00EC4213" w:rsidRPr="00EC4213" w14:paraId="34DBD90F" w14:textId="77777777" w:rsidTr="00406A2C">
        <w:trPr>
          <w:trHeight w:val="269"/>
          <w:tblHeader/>
        </w:trPr>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vAlign w:val="center"/>
            <w:hideMark/>
          </w:tcPr>
          <w:p w14:paraId="23E10BD4" w14:textId="7E601ED7" w:rsidR="00161C86" w:rsidRPr="00EC4213" w:rsidRDefault="00C836DC" w:rsidP="00EC4213">
            <w:pPr>
              <w:pStyle w:val="TableHeader"/>
              <w:rPr>
                <w:bCs/>
                <w:sz w:val="18"/>
                <w:szCs w:val="18"/>
                <w:lang w:eastAsia="en-AU"/>
              </w:rPr>
            </w:pPr>
            <w:r w:rsidRPr="00EC4213">
              <w:rPr>
                <w:bCs/>
                <w:sz w:val="18"/>
                <w:szCs w:val="18"/>
                <w:lang w:eastAsia="en-AU"/>
              </w:rPr>
              <w:t>Yea</w:t>
            </w:r>
            <w:bookmarkStart w:id="99" w:name="ColumnTitle_4"/>
            <w:bookmarkEnd w:id="99"/>
            <w:r w:rsidRPr="00EC4213">
              <w:rPr>
                <w:bCs/>
                <w:sz w:val="18"/>
                <w:szCs w:val="18"/>
                <w:lang w:eastAsia="en-AU"/>
              </w:rPr>
              <w:t>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bottom"/>
            <w:hideMark/>
          </w:tcPr>
          <w:p w14:paraId="0B8F9936" w14:textId="2934E6C6" w:rsidR="00161C86" w:rsidRPr="00EC4213" w:rsidRDefault="00EC4213" w:rsidP="00EC4213">
            <w:pPr>
              <w:pStyle w:val="TableHeader"/>
              <w:rPr>
                <w:bCs/>
                <w:sz w:val="18"/>
                <w:szCs w:val="18"/>
                <w:lang w:eastAsia="en-AU"/>
              </w:rPr>
            </w:pPr>
            <w:r w:rsidRPr="00EC4213">
              <w:rPr>
                <w:bCs/>
                <w:sz w:val="18"/>
                <w:szCs w:val="18"/>
                <w:lang w:eastAsia="en-AU"/>
              </w:rPr>
              <w:t xml:space="preserve">Dentist – </w:t>
            </w:r>
            <w:r w:rsidR="00161C86" w:rsidRPr="00EC4213">
              <w:rPr>
                <w:bCs/>
                <w:sz w:val="18"/>
                <w:szCs w:val="18"/>
                <w:lang w:eastAsia="en-AU"/>
              </w:rPr>
              <w:t>Domestic</w:t>
            </w:r>
          </w:p>
        </w:tc>
        <w:tc>
          <w:tcPr>
            <w:tcW w:w="141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bottom"/>
            <w:hideMark/>
          </w:tcPr>
          <w:p w14:paraId="1EF57440" w14:textId="6D85F3EC" w:rsidR="00161C86" w:rsidRPr="00EC4213" w:rsidRDefault="00EC4213" w:rsidP="00EC4213">
            <w:pPr>
              <w:pStyle w:val="TableHeader"/>
              <w:rPr>
                <w:bCs/>
                <w:sz w:val="18"/>
                <w:szCs w:val="18"/>
                <w:lang w:eastAsia="en-AU"/>
              </w:rPr>
            </w:pPr>
            <w:r w:rsidRPr="00EC4213">
              <w:rPr>
                <w:bCs/>
                <w:sz w:val="18"/>
                <w:szCs w:val="18"/>
                <w:lang w:eastAsia="en-AU"/>
              </w:rPr>
              <w:t xml:space="preserve">Dentists – </w:t>
            </w:r>
            <w:r w:rsidR="00161C86" w:rsidRPr="00EC4213">
              <w:rPr>
                <w:bCs/>
                <w:sz w:val="18"/>
                <w:szCs w:val="18"/>
                <w:lang w:eastAsia="en-AU"/>
              </w:rPr>
              <w:t>International</w:t>
            </w:r>
          </w:p>
        </w:tc>
        <w:tc>
          <w:tcPr>
            <w:tcW w:w="155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bottom"/>
            <w:hideMark/>
          </w:tcPr>
          <w:p w14:paraId="4979879A" w14:textId="46EB9534" w:rsidR="00161C86" w:rsidRPr="00EC4213" w:rsidRDefault="00EC4213" w:rsidP="00EC4213">
            <w:pPr>
              <w:pStyle w:val="TableHeader"/>
              <w:rPr>
                <w:bCs/>
                <w:sz w:val="18"/>
                <w:szCs w:val="18"/>
                <w:lang w:eastAsia="en-AU"/>
              </w:rPr>
            </w:pPr>
            <w:r w:rsidRPr="00EC4213">
              <w:rPr>
                <w:bCs/>
                <w:sz w:val="18"/>
                <w:szCs w:val="18"/>
                <w:lang w:eastAsia="en-AU"/>
              </w:rPr>
              <w:t xml:space="preserve">Oral health Practitioner – </w:t>
            </w:r>
            <w:r w:rsidR="00161C86" w:rsidRPr="00EC4213">
              <w:rPr>
                <w:bCs/>
                <w:sz w:val="18"/>
                <w:szCs w:val="18"/>
                <w:lang w:eastAsia="en-AU"/>
              </w:rPr>
              <w:t>Domestic</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bottom"/>
            <w:hideMark/>
          </w:tcPr>
          <w:p w14:paraId="5653FC4E" w14:textId="56C7B817" w:rsidR="00161C86" w:rsidRPr="00EC4213" w:rsidRDefault="00EC4213" w:rsidP="00EC4213">
            <w:pPr>
              <w:pStyle w:val="TableHeader"/>
              <w:rPr>
                <w:bCs/>
                <w:sz w:val="18"/>
                <w:szCs w:val="18"/>
                <w:lang w:eastAsia="en-AU"/>
              </w:rPr>
            </w:pPr>
            <w:r w:rsidRPr="00EC4213">
              <w:rPr>
                <w:bCs/>
                <w:sz w:val="18"/>
                <w:szCs w:val="18"/>
                <w:lang w:eastAsia="en-AU"/>
              </w:rPr>
              <w:t xml:space="preserve">Oral health Practitioner – </w:t>
            </w:r>
            <w:r w:rsidR="00161C86" w:rsidRPr="00EC4213">
              <w:rPr>
                <w:bCs/>
                <w:sz w:val="18"/>
                <w:szCs w:val="18"/>
                <w:lang w:eastAsia="en-AU"/>
              </w:rPr>
              <w:t>International</w:t>
            </w:r>
          </w:p>
        </w:tc>
        <w:tc>
          <w:tcPr>
            <w:tcW w:w="141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bottom"/>
            <w:hideMark/>
          </w:tcPr>
          <w:p w14:paraId="6F03229C" w14:textId="46EE4025" w:rsidR="00161C86" w:rsidRPr="00EC4213" w:rsidRDefault="00EC4213" w:rsidP="00EC4213">
            <w:pPr>
              <w:pStyle w:val="TableHeader"/>
              <w:rPr>
                <w:bCs/>
                <w:sz w:val="18"/>
                <w:szCs w:val="18"/>
                <w:lang w:eastAsia="en-AU"/>
              </w:rPr>
            </w:pPr>
            <w:r w:rsidRPr="00EC4213">
              <w:rPr>
                <w:bCs/>
                <w:sz w:val="18"/>
                <w:szCs w:val="18"/>
                <w:lang w:eastAsia="en-AU"/>
              </w:rPr>
              <w:t xml:space="preserve">Dental Prosthetist – </w:t>
            </w:r>
            <w:r w:rsidR="00161C86" w:rsidRPr="00EC4213">
              <w:rPr>
                <w:bCs/>
                <w:sz w:val="18"/>
                <w:szCs w:val="18"/>
                <w:lang w:eastAsia="en-AU"/>
              </w:rPr>
              <w:t>Domestic</w:t>
            </w:r>
          </w:p>
        </w:tc>
        <w:tc>
          <w:tcPr>
            <w:tcW w:w="147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bottom"/>
            <w:hideMark/>
          </w:tcPr>
          <w:p w14:paraId="6653B88D" w14:textId="3D1F9399" w:rsidR="00161C86" w:rsidRPr="00EC4213" w:rsidRDefault="00EC4213" w:rsidP="00EC4213">
            <w:pPr>
              <w:pStyle w:val="TableHeader"/>
              <w:rPr>
                <w:bCs/>
                <w:sz w:val="18"/>
                <w:szCs w:val="18"/>
                <w:lang w:eastAsia="en-AU"/>
              </w:rPr>
            </w:pPr>
            <w:r w:rsidRPr="00EC4213">
              <w:rPr>
                <w:bCs/>
                <w:sz w:val="18"/>
                <w:szCs w:val="18"/>
                <w:lang w:eastAsia="en-AU"/>
              </w:rPr>
              <w:t xml:space="preserve">Dental Prosthetist – </w:t>
            </w:r>
            <w:r w:rsidR="00161C86" w:rsidRPr="00EC4213">
              <w:rPr>
                <w:bCs/>
                <w:sz w:val="18"/>
                <w:szCs w:val="18"/>
                <w:lang w:eastAsia="en-AU"/>
              </w:rPr>
              <w:t>International</w:t>
            </w:r>
          </w:p>
        </w:tc>
      </w:tr>
      <w:tr w:rsidR="00EC4213" w:rsidRPr="00976D1C" w14:paraId="5C5E1438"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817" w:type="dxa"/>
            <w:tcBorders>
              <w:top w:val="single" w:sz="4" w:space="0" w:color="FFFFFF" w:themeColor="background1"/>
            </w:tcBorders>
            <w:shd w:val="clear" w:color="auto" w:fill="CCE0ED"/>
          </w:tcPr>
          <w:p w14:paraId="7122D423" w14:textId="77777777" w:rsidR="00161C86" w:rsidRPr="00976D1C" w:rsidRDefault="00161C86" w:rsidP="00EC4213">
            <w:pPr>
              <w:pStyle w:val="TableText"/>
            </w:pPr>
            <w:r w:rsidRPr="00976D1C">
              <w:rPr>
                <w:lang w:eastAsia="en-AU"/>
              </w:rPr>
              <w:t>2012</w:t>
            </w:r>
          </w:p>
        </w:tc>
        <w:tc>
          <w:tcPr>
            <w:tcW w:w="1134" w:type="dxa"/>
            <w:tcBorders>
              <w:top w:val="single" w:sz="4" w:space="0" w:color="FFFFFF" w:themeColor="background1"/>
            </w:tcBorders>
            <w:shd w:val="clear" w:color="auto" w:fill="CCE0ED"/>
          </w:tcPr>
          <w:p w14:paraId="60312BB0" w14:textId="77777777" w:rsidR="00161C86" w:rsidRPr="00976D1C" w:rsidRDefault="00161C86" w:rsidP="00EC4213">
            <w:pPr>
              <w:pStyle w:val="TableText"/>
            </w:pPr>
            <w:r w:rsidRPr="00976D1C">
              <w:rPr>
                <w:lang w:eastAsia="en-AU"/>
              </w:rPr>
              <w:t>441</w:t>
            </w:r>
          </w:p>
        </w:tc>
        <w:tc>
          <w:tcPr>
            <w:tcW w:w="1418" w:type="dxa"/>
            <w:tcBorders>
              <w:top w:val="single" w:sz="4" w:space="0" w:color="FFFFFF" w:themeColor="background1"/>
            </w:tcBorders>
            <w:shd w:val="clear" w:color="auto" w:fill="CCE0ED"/>
          </w:tcPr>
          <w:p w14:paraId="5965EB35" w14:textId="77777777" w:rsidR="00161C86" w:rsidRPr="00976D1C" w:rsidRDefault="00161C86" w:rsidP="00EC4213">
            <w:pPr>
              <w:pStyle w:val="TableText"/>
            </w:pPr>
            <w:r w:rsidRPr="00976D1C">
              <w:rPr>
                <w:lang w:eastAsia="en-AU"/>
              </w:rPr>
              <w:t>111</w:t>
            </w:r>
          </w:p>
        </w:tc>
        <w:tc>
          <w:tcPr>
            <w:tcW w:w="1559" w:type="dxa"/>
            <w:tcBorders>
              <w:top w:val="single" w:sz="4" w:space="0" w:color="FFFFFF" w:themeColor="background1"/>
            </w:tcBorders>
            <w:shd w:val="clear" w:color="auto" w:fill="CCE0ED"/>
          </w:tcPr>
          <w:p w14:paraId="35FD3C27" w14:textId="77777777" w:rsidR="00161C86" w:rsidRPr="00976D1C" w:rsidRDefault="00161C86" w:rsidP="00EC4213">
            <w:pPr>
              <w:pStyle w:val="TableText"/>
            </w:pPr>
            <w:r w:rsidRPr="00976D1C">
              <w:rPr>
                <w:lang w:eastAsia="en-AU"/>
              </w:rPr>
              <w:t>259</w:t>
            </w:r>
          </w:p>
        </w:tc>
        <w:tc>
          <w:tcPr>
            <w:tcW w:w="1417" w:type="dxa"/>
            <w:tcBorders>
              <w:top w:val="single" w:sz="4" w:space="0" w:color="FFFFFF" w:themeColor="background1"/>
            </w:tcBorders>
            <w:shd w:val="clear" w:color="auto" w:fill="CCE0ED"/>
          </w:tcPr>
          <w:p w14:paraId="4EF96D39" w14:textId="77777777" w:rsidR="00161C86" w:rsidRPr="00976D1C" w:rsidRDefault="00161C86" w:rsidP="00EC4213">
            <w:pPr>
              <w:pStyle w:val="TableText"/>
            </w:pPr>
            <w:r w:rsidRPr="00976D1C">
              <w:rPr>
                <w:lang w:eastAsia="en-AU"/>
              </w:rPr>
              <w:t>10</w:t>
            </w:r>
          </w:p>
        </w:tc>
        <w:tc>
          <w:tcPr>
            <w:tcW w:w="1418" w:type="dxa"/>
            <w:tcBorders>
              <w:top w:val="single" w:sz="4" w:space="0" w:color="FFFFFF" w:themeColor="background1"/>
            </w:tcBorders>
            <w:shd w:val="clear" w:color="auto" w:fill="CCE0ED"/>
          </w:tcPr>
          <w:p w14:paraId="51E0015E" w14:textId="77777777" w:rsidR="00161C86" w:rsidRPr="00976D1C" w:rsidRDefault="00161C86" w:rsidP="00EC4213">
            <w:pPr>
              <w:pStyle w:val="TableText"/>
            </w:pPr>
            <w:r w:rsidRPr="00976D1C">
              <w:rPr>
                <w:lang w:eastAsia="en-AU"/>
              </w:rPr>
              <w:t>104</w:t>
            </w:r>
          </w:p>
        </w:tc>
        <w:tc>
          <w:tcPr>
            <w:tcW w:w="1479" w:type="dxa"/>
            <w:tcBorders>
              <w:top w:val="single" w:sz="4" w:space="0" w:color="FFFFFF" w:themeColor="background1"/>
            </w:tcBorders>
            <w:shd w:val="clear" w:color="auto" w:fill="CCE0ED"/>
          </w:tcPr>
          <w:p w14:paraId="19A14EF0" w14:textId="77777777" w:rsidR="00161C86" w:rsidRPr="00976D1C" w:rsidRDefault="00161C86" w:rsidP="00EC4213">
            <w:pPr>
              <w:pStyle w:val="TableText"/>
            </w:pPr>
            <w:r w:rsidRPr="00976D1C">
              <w:rPr>
                <w:lang w:eastAsia="en-AU"/>
              </w:rPr>
              <w:t>2</w:t>
            </w:r>
          </w:p>
        </w:tc>
      </w:tr>
      <w:tr w:rsidR="00EC4213" w:rsidRPr="00976D1C" w14:paraId="67B791B0"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817" w:type="dxa"/>
            <w:shd w:val="clear" w:color="auto" w:fill="CCEFFC"/>
          </w:tcPr>
          <w:p w14:paraId="203A89AE" w14:textId="77777777" w:rsidR="00161C86" w:rsidRPr="00976D1C" w:rsidRDefault="00161C86" w:rsidP="00EC4213">
            <w:pPr>
              <w:pStyle w:val="TableText"/>
            </w:pPr>
            <w:r w:rsidRPr="00976D1C">
              <w:rPr>
                <w:lang w:eastAsia="en-AU"/>
              </w:rPr>
              <w:t>2013</w:t>
            </w:r>
          </w:p>
        </w:tc>
        <w:tc>
          <w:tcPr>
            <w:tcW w:w="1134" w:type="dxa"/>
            <w:shd w:val="clear" w:color="auto" w:fill="CCEFFC"/>
          </w:tcPr>
          <w:p w14:paraId="00C089D1" w14:textId="77777777" w:rsidR="00161C86" w:rsidRPr="00976D1C" w:rsidRDefault="00161C86" w:rsidP="00EC4213">
            <w:pPr>
              <w:pStyle w:val="TableText"/>
            </w:pPr>
            <w:r w:rsidRPr="00976D1C">
              <w:rPr>
                <w:lang w:eastAsia="en-AU"/>
              </w:rPr>
              <w:t>627</w:t>
            </w:r>
          </w:p>
        </w:tc>
        <w:tc>
          <w:tcPr>
            <w:tcW w:w="1418" w:type="dxa"/>
            <w:shd w:val="clear" w:color="auto" w:fill="CCEFFC"/>
          </w:tcPr>
          <w:p w14:paraId="7573D3D7" w14:textId="77777777" w:rsidR="00161C86" w:rsidRPr="00976D1C" w:rsidRDefault="00161C86" w:rsidP="00EC4213">
            <w:pPr>
              <w:pStyle w:val="TableText"/>
            </w:pPr>
            <w:r w:rsidRPr="00976D1C">
              <w:rPr>
                <w:lang w:eastAsia="en-AU"/>
              </w:rPr>
              <w:t>138</w:t>
            </w:r>
          </w:p>
        </w:tc>
        <w:tc>
          <w:tcPr>
            <w:tcW w:w="1559" w:type="dxa"/>
            <w:shd w:val="clear" w:color="auto" w:fill="CCEFFC"/>
          </w:tcPr>
          <w:p w14:paraId="7792D2CB" w14:textId="77777777" w:rsidR="00161C86" w:rsidRPr="00976D1C" w:rsidRDefault="00161C86" w:rsidP="00EC4213">
            <w:pPr>
              <w:pStyle w:val="TableText"/>
            </w:pPr>
            <w:r w:rsidRPr="00976D1C">
              <w:rPr>
                <w:lang w:eastAsia="en-AU"/>
              </w:rPr>
              <w:t>287</w:t>
            </w:r>
          </w:p>
        </w:tc>
        <w:tc>
          <w:tcPr>
            <w:tcW w:w="1417" w:type="dxa"/>
            <w:shd w:val="clear" w:color="auto" w:fill="CCEFFC"/>
          </w:tcPr>
          <w:p w14:paraId="56ADAC82" w14:textId="77777777" w:rsidR="00161C86" w:rsidRPr="00976D1C" w:rsidRDefault="00161C86" w:rsidP="00EC4213">
            <w:pPr>
              <w:pStyle w:val="TableText"/>
            </w:pPr>
            <w:r w:rsidRPr="00976D1C">
              <w:rPr>
                <w:lang w:eastAsia="en-AU"/>
              </w:rPr>
              <w:t>17</w:t>
            </w:r>
          </w:p>
        </w:tc>
        <w:tc>
          <w:tcPr>
            <w:tcW w:w="1418" w:type="dxa"/>
            <w:shd w:val="clear" w:color="auto" w:fill="CCEFFC"/>
          </w:tcPr>
          <w:p w14:paraId="5FBFCD51" w14:textId="77777777" w:rsidR="00161C86" w:rsidRPr="00976D1C" w:rsidRDefault="00161C86" w:rsidP="00EC4213">
            <w:pPr>
              <w:pStyle w:val="TableText"/>
            </w:pPr>
            <w:r w:rsidRPr="00976D1C">
              <w:rPr>
                <w:lang w:eastAsia="en-AU"/>
              </w:rPr>
              <w:t>104</w:t>
            </w:r>
          </w:p>
        </w:tc>
        <w:tc>
          <w:tcPr>
            <w:tcW w:w="1479" w:type="dxa"/>
            <w:shd w:val="clear" w:color="auto" w:fill="CCEFFC"/>
          </w:tcPr>
          <w:p w14:paraId="5C349150" w14:textId="77777777" w:rsidR="00161C86" w:rsidRPr="00976D1C" w:rsidRDefault="00161C86" w:rsidP="00EC4213">
            <w:pPr>
              <w:pStyle w:val="TableText"/>
            </w:pPr>
            <w:r w:rsidRPr="00976D1C">
              <w:rPr>
                <w:lang w:eastAsia="en-AU"/>
              </w:rPr>
              <w:t>2</w:t>
            </w:r>
          </w:p>
        </w:tc>
      </w:tr>
      <w:tr w:rsidR="00EC4213" w:rsidRPr="00976D1C" w14:paraId="33637F3B"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817" w:type="dxa"/>
            <w:shd w:val="clear" w:color="auto" w:fill="CCE0ED"/>
          </w:tcPr>
          <w:p w14:paraId="085CEECC" w14:textId="77777777" w:rsidR="00161C86" w:rsidRPr="00976D1C" w:rsidRDefault="00161C86" w:rsidP="00EC4213">
            <w:pPr>
              <w:pStyle w:val="TableText"/>
            </w:pPr>
            <w:r w:rsidRPr="00976D1C">
              <w:rPr>
                <w:lang w:eastAsia="en-AU"/>
              </w:rPr>
              <w:t>2014</w:t>
            </w:r>
          </w:p>
        </w:tc>
        <w:tc>
          <w:tcPr>
            <w:tcW w:w="1134" w:type="dxa"/>
            <w:shd w:val="clear" w:color="auto" w:fill="CCE0ED"/>
          </w:tcPr>
          <w:p w14:paraId="7041C420" w14:textId="77777777" w:rsidR="00161C86" w:rsidRPr="00976D1C" w:rsidRDefault="00161C86" w:rsidP="00EC4213">
            <w:pPr>
              <w:pStyle w:val="TableText"/>
            </w:pPr>
            <w:r w:rsidRPr="00976D1C">
              <w:rPr>
                <w:lang w:eastAsia="en-AU"/>
              </w:rPr>
              <w:t>653</w:t>
            </w:r>
          </w:p>
        </w:tc>
        <w:tc>
          <w:tcPr>
            <w:tcW w:w="1418" w:type="dxa"/>
            <w:shd w:val="clear" w:color="auto" w:fill="CCE0ED"/>
          </w:tcPr>
          <w:p w14:paraId="260DEC6C" w14:textId="77777777" w:rsidR="00161C86" w:rsidRPr="00976D1C" w:rsidRDefault="00161C86" w:rsidP="00EC4213">
            <w:pPr>
              <w:pStyle w:val="TableText"/>
            </w:pPr>
            <w:r w:rsidRPr="00976D1C">
              <w:rPr>
                <w:lang w:eastAsia="en-AU"/>
              </w:rPr>
              <w:t>94</w:t>
            </w:r>
          </w:p>
        </w:tc>
        <w:tc>
          <w:tcPr>
            <w:tcW w:w="1559" w:type="dxa"/>
            <w:shd w:val="clear" w:color="auto" w:fill="CCE0ED"/>
          </w:tcPr>
          <w:p w14:paraId="7F33BB2E" w14:textId="77777777" w:rsidR="00161C86" w:rsidRPr="00976D1C" w:rsidRDefault="00161C86" w:rsidP="00EC4213">
            <w:pPr>
              <w:pStyle w:val="TableText"/>
            </w:pPr>
            <w:r w:rsidRPr="00976D1C">
              <w:rPr>
                <w:lang w:eastAsia="en-AU"/>
              </w:rPr>
              <w:t>324</w:t>
            </w:r>
          </w:p>
        </w:tc>
        <w:tc>
          <w:tcPr>
            <w:tcW w:w="1417" w:type="dxa"/>
            <w:shd w:val="clear" w:color="auto" w:fill="CCE0ED"/>
          </w:tcPr>
          <w:p w14:paraId="7EA0CCA4" w14:textId="77777777" w:rsidR="00161C86" w:rsidRPr="00976D1C" w:rsidRDefault="00161C86" w:rsidP="00EC4213">
            <w:pPr>
              <w:pStyle w:val="TableText"/>
            </w:pPr>
            <w:r w:rsidRPr="00976D1C">
              <w:rPr>
                <w:lang w:eastAsia="en-AU"/>
              </w:rPr>
              <w:t>12</w:t>
            </w:r>
          </w:p>
        </w:tc>
        <w:tc>
          <w:tcPr>
            <w:tcW w:w="1418" w:type="dxa"/>
            <w:shd w:val="clear" w:color="auto" w:fill="CCE0ED"/>
          </w:tcPr>
          <w:p w14:paraId="79D7B65F" w14:textId="77777777" w:rsidR="00161C86" w:rsidRPr="00976D1C" w:rsidRDefault="00161C86" w:rsidP="00EC4213">
            <w:pPr>
              <w:pStyle w:val="TableText"/>
            </w:pPr>
            <w:r w:rsidRPr="00976D1C">
              <w:rPr>
                <w:lang w:eastAsia="en-AU"/>
              </w:rPr>
              <w:t>104</w:t>
            </w:r>
          </w:p>
        </w:tc>
        <w:tc>
          <w:tcPr>
            <w:tcW w:w="1479" w:type="dxa"/>
            <w:shd w:val="clear" w:color="auto" w:fill="CCE0ED"/>
          </w:tcPr>
          <w:p w14:paraId="637C5205" w14:textId="77777777" w:rsidR="00161C86" w:rsidRPr="00976D1C" w:rsidRDefault="00161C86" w:rsidP="00EC4213">
            <w:pPr>
              <w:pStyle w:val="TableText"/>
            </w:pPr>
            <w:r w:rsidRPr="00976D1C">
              <w:rPr>
                <w:lang w:eastAsia="en-AU"/>
              </w:rPr>
              <w:t>2</w:t>
            </w:r>
          </w:p>
        </w:tc>
      </w:tr>
      <w:tr w:rsidR="00EC4213" w:rsidRPr="00976D1C" w14:paraId="1E9486AF"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817" w:type="dxa"/>
            <w:shd w:val="clear" w:color="auto" w:fill="CCEFFC"/>
          </w:tcPr>
          <w:p w14:paraId="0B14C61D" w14:textId="77777777" w:rsidR="00161C86" w:rsidRPr="00976D1C" w:rsidRDefault="00161C86" w:rsidP="00EC4213">
            <w:pPr>
              <w:pStyle w:val="TableText"/>
            </w:pPr>
            <w:r w:rsidRPr="00976D1C">
              <w:rPr>
                <w:lang w:eastAsia="en-AU"/>
              </w:rPr>
              <w:t>2015</w:t>
            </w:r>
          </w:p>
        </w:tc>
        <w:tc>
          <w:tcPr>
            <w:tcW w:w="1134" w:type="dxa"/>
            <w:shd w:val="clear" w:color="auto" w:fill="CCEFFC"/>
          </w:tcPr>
          <w:p w14:paraId="37010B8C" w14:textId="77777777" w:rsidR="00161C86" w:rsidRPr="00976D1C" w:rsidRDefault="00161C86" w:rsidP="00EC4213">
            <w:pPr>
              <w:pStyle w:val="TableText"/>
            </w:pPr>
            <w:r w:rsidRPr="00976D1C">
              <w:rPr>
                <w:lang w:eastAsia="en-AU"/>
              </w:rPr>
              <w:t>737</w:t>
            </w:r>
          </w:p>
        </w:tc>
        <w:tc>
          <w:tcPr>
            <w:tcW w:w="1418" w:type="dxa"/>
            <w:shd w:val="clear" w:color="auto" w:fill="CCEFFC"/>
          </w:tcPr>
          <w:p w14:paraId="3E24B880" w14:textId="77777777" w:rsidR="00161C86" w:rsidRPr="00976D1C" w:rsidRDefault="00161C86" w:rsidP="00EC4213">
            <w:pPr>
              <w:pStyle w:val="TableText"/>
            </w:pPr>
            <w:r w:rsidRPr="00976D1C">
              <w:rPr>
                <w:lang w:eastAsia="en-AU"/>
              </w:rPr>
              <w:t>89</w:t>
            </w:r>
          </w:p>
        </w:tc>
        <w:tc>
          <w:tcPr>
            <w:tcW w:w="1559" w:type="dxa"/>
            <w:shd w:val="clear" w:color="auto" w:fill="CCEFFC"/>
          </w:tcPr>
          <w:p w14:paraId="21C6DAA6" w14:textId="77777777" w:rsidR="00161C86" w:rsidRPr="00976D1C" w:rsidRDefault="00161C86" w:rsidP="00EC4213">
            <w:pPr>
              <w:pStyle w:val="TableText"/>
            </w:pPr>
            <w:r w:rsidRPr="00976D1C">
              <w:rPr>
                <w:lang w:eastAsia="en-AU"/>
              </w:rPr>
              <w:t>388</w:t>
            </w:r>
          </w:p>
        </w:tc>
        <w:tc>
          <w:tcPr>
            <w:tcW w:w="1417" w:type="dxa"/>
            <w:shd w:val="clear" w:color="auto" w:fill="CCEFFC"/>
          </w:tcPr>
          <w:p w14:paraId="64BEC51B" w14:textId="77777777" w:rsidR="00161C86" w:rsidRPr="00976D1C" w:rsidRDefault="00161C86" w:rsidP="00EC4213">
            <w:pPr>
              <w:pStyle w:val="TableText"/>
            </w:pPr>
            <w:r w:rsidRPr="00976D1C">
              <w:rPr>
                <w:lang w:eastAsia="en-AU"/>
              </w:rPr>
              <w:t>13</w:t>
            </w:r>
          </w:p>
        </w:tc>
        <w:tc>
          <w:tcPr>
            <w:tcW w:w="1418" w:type="dxa"/>
            <w:shd w:val="clear" w:color="auto" w:fill="CCEFFC"/>
          </w:tcPr>
          <w:p w14:paraId="059C7C7F" w14:textId="77777777" w:rsidR="00161C86" w:rsidRPr="00976D1C" w:rsidRDefault="00161C86" w:rsidP="00EC4213">
            <w:pPr>
              <w:pStyle w:val="TableText"/>
            </w:pPr>
            <w:r w:rsidRPr="00976D1C">
              <w:rPr>
                <w:lang w:eastAsia="en-AU"/>
              </w:rPr>
              <w:t>104</w:t>
            </w:r>
          </w:p>
        </w:tc>
        <w:tc>
          <w:tcPr>
            <w:tcW w:w="1479" w:type="dxa"/>
            <w:shd w:val="clear" w:color="auto" w:fill="CCEFFC"/>
          </w:tcPr>
          <w:p w14:paraId="5F60C5E3" w14:textId="77777777" w:rsidR="00161C86" w:rsidRPr="00976D1C" w:rsidRDefault="00161C86" w:rsidP="00EC4213">
            <w:pPr>
              <w:pStyle w:val="TableText"/>
            </w:pPr>
            <w:r w:rsidRPr="00976D1C">
              <w:rPr>
                <w:lang w:eastAsia="en-AU"/>
              </w:rPr>
              <w:t>2</w:t>
            </w:r>
          </w:p>
        </w:tc>
      </w:tr>
      <w:tr w:rsidR="00EC4213" w:rsidRPr="00976D1C" w14:paraId="3CA4A567"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817" w:type="dxa"/>
            <w:shd w:val="clear" w:color="auto" w:fill="CCE0ED"/>
          </w:tcPr>
          <w:p w14:paraId="42FFACA9" w14:textId="77777777" w:rsidR="00161C86" w:rsidRPr="00976D1C" w:rsidRDefault="00161C86" w:rsidP="00EC4213">
            <w:pPr>
              <w:pStyle w:val="TableText"/>
            </w:pPr>
            <w:r w:rsidRPr="00976D1C">
              <w:rPr>
                <w:lang w:eastAsia="en-AU"/>
              </w:rPr>
              <w:t>2016</w:t>
            </w:r>
          </w:p>
        </w:tc>
        <w:tc>
          <w:tcPr>
            <w:tcW w:w="1134" w:type="dxa"/>
            <w:shd w:val="clear" w:color="auto" w:fill="CCE0ED"/>
          </w:tcPr>
          <w:p w14:paraId="658F9500" w14:textId="77777777" w:rsidR="00161C86" w:rsidRPr="00976D1C" w:rsidRDefault="00161C86" w:rsidP="00EC4213">
            <w:pPr>
              <w:pStyle w:val="TableText"/>
            </w:pPr>
            <w:r w:rsidRPr="00976D1C">
              <w:rPr>
                <w:lang w:eastAsia="en-AU"/>
              </w:rPr>
              <w:t>656</w:t>
            </w:r>
          </w:p>
        </w:tc>
        <w:tc>
          <w:tcPr>
            <w:tcW w:w="1418" w:type="dxa"/>
            <w:shd w:val="clear" w:color="auto" w:fill="CCE0ED"/>
          </w:tcPr>
          <w:p w14:paraId="50541763" w14:textId="77777777" w:rsidR="00161C86" w:rsidRPr="00976D1C" w:rsidRDefault="00161C86" w:rsidP="00EC4213">
            <w:pPr>
              <w:pStyle w:val="TableText"/>
            </w:pPr>
            <w:r w:rsidRPr="00976D1C">
              <w:rPr>
                <w:lang w:eastAsia="en-AU"/>
              </w:rPr>
              <w:t>74</w:t>
            </w:r>
          </w:p>
        </w:tc>
        <w:tc>
          <w:tcPr>
            <w:tcW w:w="1559" w:type="dxa"/>
            <w:shd w:val="clear" w:color="auto" w:fill="CCE0ED"/>
          </w:tcPr>
          <w:p w14:paraId="45120A81" w14:textId="77777777" w:rsidR="00161C86" w:rsidRPr="00976D1C" w:rsidRDefault="00161C86" w:rsidP="00EC4213">
            <w:pPr>
              <w:pStyle w:val="TableText"/>
            </w:pPr>
            <w:r w:rsidRPr="00976D1C">
              <w:rPr>
                <w:lang w:eastAsia="en-AU"/>
              </w:rPr>
              <w:t>388</w:t>
            </w:r>
          </w:p>
        </w:tc>
        <w:tc>
          <w:tcPr>
            <w:tcW w:w="1417" w:type="dxa"/>
            <w:shd w:val="clear" w:color="auto" w:fill="CCE0ED"/>
          </w:tcPr>
          <w:p w14:paraId="6029D306" w14:textId="77777777" w:rsidR="00161C86" w:rsidRPr="00976D1C" w:rsidRDefault="00161C86" w:rsidP="00EC4213">
            <w:pPr>
              <w:pStyle w:val="TableText"/>
            </w:pPr>
            <w:r w:rsidRPr="00976D1C">
              <w:rPr>
                <w:lang w:eastAsia="en-AU"/>
              </w:rPr>
              <w:t>13</w:t>
            </w:r>
          </w:p>
        </w:tc>
        <w:tc>
          <w:tcPr>
            <w:tcW w:w="1418" w:type="dxa"/>
            <w:shd w:val="clear" w:color="auto" w:fill="CCE0ED"/>
          </w:tcPr>
          <w:p w14:paraId="3F91770E" w14:textId="77777777" w:rsidR="00161C86" w:rsidRPr="00976D1C" w:rsidRDefault="00161C86" w:rsidP="00EC4213">
            <w:pPr>
              <w:pStyle w:val="TableText"/>
            </w:pPr>
            <w:r w:rsidRPr="00976D1C">
              <w:rPr>
                <w:lang w:eastAsia="en-AU"/>
              </w:rPr>
              <w:t>104</w:t>
            </w:r>
          </w:p>
        </w:tc>
        <w:tc>
          <w:tcPr>
            <w:tcW w:w="1479" w:type="dxa"/>
            <w:shd w:val="clear" w:color="auto" w:fill="CCE0ED"/>
          </w:tcPr>
          <w:p w14:paraId="4A9120D0" w14:textId="77777777" w:rsidR="00161C86" w:rsidRPr="00976D1C" w:rsidRDefault="00161C86" w:rsidP="00EC4213">
            <w:pPr>
              <w:pStyle w:val="TableText"/>
            </w:pPr>
            <w:r w:rsidRPr="00976D1C">
              <w:rPr>
                <w:lang w:eastAsia="en-AU"/>
              </w:rPr>
              <w:t>2</w:t>
            </w:r>
          </w:p>
        </w:tc>
      </w:tr>
      <w:tr w:rsidR="00EC4213" w:rsidRPr="00976D1C" w14:paraId="76F79212"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817" w:type="dxa"/>
            <w:shd w:val="clear" w:color="auto" w:fill="CCEFFC"/>
          </w:tcPr>
          <w:p w14:paraId="136A3218" w14:textId="77777777" w:rsidR="00161C86" w:rsidRPr="00976D1C" w:rsidRDefault="00161C86" w:rsidP="00EC4213">
            <w:pPr>
              <w:pStyle w:val="TableText"/>
            </w:pPr>
            <w:r w:rsidRPr="00976D1C">
              <w:rPr>
                <w:lang w:eastAsia="en-AU"/>
              </w:rPr>
              <w:t>2017</w:t>
            </w:r>
          </w:p>
        </w:tc>
        <w:tc>
          <w:tcPr>
            <w:tcW w:w="1134" w:type="dxa"/>
            <w:shd w:val="clear" w:color="auto" w:fill="CCEFFC"/>
          </w:tcPr>
          <w:p w14:paraId="6C1075BE" w14:textId="77777777" w:rsidR="00161C86" w:rsidRPr="00976D1C" w:rsidRDefault="00161C86" w:rsidP="00EC4213">
            <w:pPr>
              <w:pStyle w:val="TableText"/>
            </w:pPr>
            <w:r w:rsidRPr="00976D1C">
              <w:rPr>
                <w:lang w:eastAsia="en-AU"/>
              </w:rPr>
              <w:t>749</w:t>
            </w:r>
          </w:p>
        </w:tc>
        <w:tc>
          <w:tcPr>
            <w:tcW w:w="1418" w:type="dxa"/>
            <w:shd w:val="clear" w:color="auto" w:fill="CCEFFC"/>
          </w:tcPr>
          <w:p w14:paraId="4E81EE9C" w14:textId="77777777" w:rsidR="00161C86" w:rsidRPr="00976D1C" w:rsidRDefault="00161C86" w:rsidP="00EC4213">
            <w:pPr>
              <w:pStyle w:val="TableText"/>
            </w:pPr>
            <w:r w:rsidRPr="00976D1C">
              <w:rPr>
                <w:lang w:eastAsia="en-AU"/>
              </w:rPr>
              <w:t>87</w:t>
            </w:r>
          </w:p>
        </w:tc>
        <w:tc>
          <w:tcPr>
            <w:tcW w:w="1559" w:type="dxa"/>
            <w:shd w:val="clear" w:color="auto" w:fill="CCEFFC"/>
          </w:tcPr>
          <w:p w14:paraId="69ABC8C9" w14:textId="77777777" w:rsidR="00161C86" w:rsidRPr="00976D1C" w:rsidRDefault="00161C86" w:rsidP="00EC4213">
            <w:pPr>
              <w:pStyle w:val="TableText"/>
            </w:pPr>
            <w:r w:rsidRPr="00976D1C">
              <w:rPr>
                <w:lang w:eastAsia="en-AU"/>
              </w:rPr>
              <w:t>388</w:t>
            </w:r>
          </w:p>
        </w:tc>
        <w:tc>
          <w:tcPr>
            <w:tcW w:w="1417" w:type="dxa"/>
            <w:shd w:val="clear" w:color="auto" w:fill="CCEFFC"/>
          </w:tcPr>
          <w:p w14:paraId="7E42B95B" w14:textId="77777777" w:rsidR="00161C86" w:rsidRPr="00976D1C" w:rsidRDefault="00161C86" w:rsidP="00EC4213">
            <w:pPr>
              <w:pStyle w:val="TableText"/>
            </w:pPr>
            <w:r w:rsidRPr="00976D1C">
              <w:rPr>
                <w:lang w:eastAsia="en-AU"/>
              </w:rPr>
              <w:t>13</w:t>
            </w:r>
          </w:p>
        </w:tc>
        <w:tc>
          <w:tcPr>
            <w:tcW w:w="1418" w:type="dxa"/>
            <w:shd w:val="clear" w:color="auto" w:fill="CCEFFC"/>
          </w:tcPr>
          <w:p w14:paraId="60CDDF4D" w14:textId="77777777" w:rsidR="00161C86" w:rsidRPr="00976D1C" w:rsidRDefault="00161C86" w:rsidP="00EC4213">
            <w:pPr>
              <w:pStyle w:val="TableText"/>
            </w:pPr>
            <w:r w:rsidRPr="00976D1C">
              <w:rPr>
                <w:lang w:eastAsia="en-AU"/>
              </w:rPr>
              <w:t>104</w:t>
            </w:r>
          </w:p>
        </w:tc>
        <w:tc>
          <w:tcPr>
            <w:tcW w:w="1479" w:type="dxa"/>
            <w:shd w:val="clear" w:color="auto" w:fill="CCEFFC"/>
          </w:tcPr>
          <w:p w14:paraId="54FC87EE" w14:textId="77777777" w:rsidR="00161C86" w:rsidRPr="00976D1C" w:rsidRDefault="00161C86" w:rsidP="00EC4213">
            <w:pPr>
              <w:pStyle w:val="TableText"/>
            </w:pPr>
            <w:r w:rsidRPr="00976D1C">
              <w:rPr>
                <w:lang w:eastAsia="en-AU"/>
              </w:rPr>
              <w:t>2</w:t>
            </w:r>
          </w:p>
        </w:tc>
      </w:tr>
    </w:tbl>
    <w:p w14:paraId="2AAD2D31" w14:textId="77777777" w:rsidR="00DF46FB" w:rsidRPr="00976D1C" w:rsidRDefault="00DF46FB" w:rsidP="00EC4213">
      <w:pPr>
        <w:pStyle w:val="Heading3"/>
        <w:rPr>
          <w:lang w:val="en-AU"/>
        </w:rPr>
      </w:pPr>
      <w:r w:rsidRPr="00976D1C">
        <w:rPr>
          <w:lang w:val="en-AU"/>
        </w:rPr>
        <w:t>Migration</w:t>
      </w:r>
    </w:p>
    <w:p w14:paraId="2B5F1813" w14:textId="19C03AD5" w:rsidR="00332E26" w:rsidRPr="00976D1C" w:rsidRDefault="00DF46FB" w:rsidP="00EC4213">
      <w:r w:rsidRPr="00976D1C">
        <w:t xml:space="preserve">Table </w:t>
      </w:r>
      <w:r w:rsidR="00DC3122" w:rsidRPr="00976D1C">
        <w:t>5</w:t>
      </w:r>
      <w:r w:rsidRPr="00976D1C">
        <w:t xml:space="preserve"> shows data from the Department of Immigration and Border Protection used to estimate migratory inflows. Both temporary and permanent migration numbers in 2012 are held constant to 2025. To avoid double counting, the number of permanent migrants who had not previously held a working visa was used as the input into the workforce projections.</w:t>
      </w:r>
      <w:bookmarkStart w:id="100" w:name="_Ref376958232"/>
      <w:bookmarkStart w:id="101" w:name="_Toc382840264"/>
    </w:p>
    <w:p w14:paraId="5FDE6827" w14:textId="332EF44E" w:rsidR="00DF46FB" w:rsidRPr="00976D1C" w:rsidRDefault="00DF46FB" w:rsidP="00EC4213">
      <w:pPr>
        <w:pStyle w:val="Caption"/>
      </w:pPr>
      <w:bookmarkStart w:id="102" w:name="_Toc409532343"/>
      <w:r w:rsidRPr="00976D1C">
        <w:t xml:space="preserve">Table </w:t>
      </w:r>
      <w:fldSimple w:instr=" SEQ Table \* ARABIC ">
        <w:r w:rsidR="00496730" w:rsidRPr="00976D1C">
          <w:t>5</w:t>
        </w:r>
      </w:fldSimple>
      <w:r w:rsidRPr="00976D1C">
        <w:t>: Temporary and Permanent migrants, 201</w:t>
      </w:r>
      <w:bookmarkEnd w:id="100"/>
      <w:r w:rsidRPr="00976D1C">
        <w:t>2</w:t>
      </w:r>
      <w:bookmarkEnd w:id="101"/>
      <w:bookmarkEnd w:id="102"/>
    </w:p>
    <w:tbl>
      <w:tblPr>
        <w:tblW w:w="3970" w:type="pct"/>
        <w:tblLook w:val="04A0" w:firstRow="1" w:lastRow="0" w:firstColumn="1" w:lastColumn="0" w:noHBand="0" w:noVBand="1"/>
        <w:tblDescription w:val="Dental Specialist - Dentist Temporary Migration 177 No previous working visa 118&#10;Oral Health Practitioners Temporary Migration 2 No previous working visa 19&#10;Dental Prosthetist Temporary Migration 0 No previous working visa 0&#10;Total Temporary Migration 179 No previous working visa 137"/>
      </w:tblPr>
      <w:tblGrid>
        <w:gridCol w:w="2490"/>
        <w:gridCol w:w="2220"/>
        <w:gridCol w:w="2628"/>
      </w:tblGrid>
      <w:tr w:rsidR="00161C86" w:rsidRPr="00976D1C" w14:paraId="1F6151E6" w14:textId="77777777" w:rsidTr="00406A2C">
        <w:trPr>
          <w:trHeight w:val="255"/>
          <w:tblHeader/>
        </w:trPr>
        <w:tc>
          <w:tcPr>
            <w:tcW w:w="1752"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vAlign w:val="bottom"/>
          </w:tcPr>
          <w:p w14:paraId="15BF6BF7" w14:textId="77777777" w:rsidR="00161C86" w:rsidRPr="00976D1C" w:rsidRDefault="00161C86" w:rsidP="00EC4213">
            <w:pPr>
              <w:pStyle w:val="TableHeader"/>
              <w:rPr>
                <w:bCs/>
                <w:lang w:eastAsia="en-AU"/>
              </w:rPr>
            </w:pPr>
            <w:r w:rsidRPr="00976D1C">
              <w:rPr>
                <w:bCs/>
                <w:lang w:eastAsia="en-AU"/>
              </w:rPr>
              <w:t>Oral h</w:t>
            </w:r>
            <w:bookmarkStart w:id="103" w:name="ColumnTitle_5"/>
            <w:bookmarkEnd w:id="103"/>
            <w:r w:rsidRPr="00976D1C">
              <w:rPr>
                <w:bCs/>
                <w:lang w:eastAsia="en-AU"/>
              </w:rPr>
              <w:t>ealth practitioner</w:t>
            </w:r>
          </w:p>
        </w:tc>
        <w:tc>
          <w:tcPr>
            <w:tcW w:w="15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bottom"/>
          </w:tcPr>
          <w:p w14:paraId="6B9D9F92" w14:textId="77777777" w:rsidR="00161C86" w:rsidRPr="00976D1C" w:rsidRDefault="00161C86" w:rsidP="00EC4213">
            <w:pPr>
              <w:pStyle w:val="TableHeader"/>
              <w:rPr>
                <w:bCs/>
                <w:lang w:eastAsia="en-AU"/>
              </w:rPr>
            </w:pPr>
            <w:r w:rsidRPr="00976D1C">
              <w:rPr>
                <w:bCs/>
                <w:lang w:eastAsia="en-AU"/>
              </w:rPr>
              <w:t>Temporary Migration</w:t>
            </w:r>
          </w:p>
        </w:tc>
        <w:tc>
          <w:tcPr>
            <w:tcW w:w="1748"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65A4"/>
            <w:noWrap/>
            <w:vAlign w:val="center"/>
          </w:tcPr>
          <w:p w14:paraId="18FF90C3" w14:textId="77777777" w:rsidR="00161C86" w:rsidRPr="00976D1C" w:rsidRDefault="00161C86" w:rsidP="00EC4213">
            <w:pPr>
              <w:pStyle w:val="TableHeader"/>
              <w:rPr>
                <w:bCs/>
                <w:lang w:eastAsia="en-AU"/>
              </w:rPr>
            </w:pPr>
            <w:r w:rsidRPr="00976D1C">
              <w:rPr>
                <w:bCs/>
                <w:lang w:eastAsia="en-AU"/>
              </w:rPr>
              <w:t>No previous working visa</w:t>
            </w:r>
          </w:p>
        </w:tc>
      </w:tr>
      <w:tr w:rsidR="00161C86" w:rsidRPr="00976D1C" w14:paraId="1D904DF8"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1747" w:type="pct"/>
            <w:tcBorders>
              <w:top w:val="single" w:sz="4" w:space="0" w:color="FFFFFF" w:themeColor="background1"/>
            </w:tcBorders>
            <w:shd w:val="clear" w:color="auto" w:fill="CCE0ED"/>
            <w:vAlign w:val="center"/>
          </w:tcPr>
          <w:p w14:paraId="738F9BD9" w14:textId="77777777" w:rsidR="00161C86" w:rsidRPr="00976D1C" w:rsidRDefault="00161C86" w:rsidP="00EC4213">
            <w:pPr>
              <w:pStyle w:val="TableText"/>
            </w:pPr>
            <w:r w:rsidRPr="00976D1C">
              <w:t>Dental Specialist - Dentist</w:t>
            </w:r>
          </w:p>
        </w:tc>
        <w:tc>
          <w:tcPr>
            <w:tcW w:w="1504" w:type="pct"/>
            <w:tcBorders>
              <w:top w:val="single" w:sz="4" w:space="0" w:color="FFFFFF" w:themeColor="background1"/>
            </w:tcBorders>
            <w:shd w:val="clear" w:color="auto" w:fill="CCE0ED"/>
            <w:vAlign w:val="center"/>
          </w:tcPr>
          <w:p w14:paraId="675AD5FB" w14:textId="77777777" w:rsidR="00161C86" w:rsidRPr="00976D1C" w:rsidRDefault="00161C86" w:rsidP="00EC4213">
            <w:pPr>
              <w:pStyle w:val="TableText"/>
              <w:jc w:val="center"/>
            </w:pPr>
            <w:r w:rsidRPr="00976D1C">
              <w:t>177</w:t>
            </w:r>
          </w:p>
        </w:tc>
        <w:tc>
          <w:tcPr>
            <w:tcW w:w="1748" w:type="pct"/>
            <w:tcBorders>
              <w:top w:val="single" w:sz="4" w:space="0" w:color="FFFFFF" w:themeColor="background1"/>
            </w:tcBorders>
            <w:shd w:val="clear" w:color="auto" w:fill="CCE0ED"/>
            <w:vAlign w:val="center"/>
          </w:tcPr>
          <w:p w14:paraId="22CFEBA8" w14:textId="77777777" w:rsidR="00161C86" w:rsidRPr="00976D1C" w:rsidRDefault="00161C86" w:rsidP="00EC4213">
            <w:pPr>
              <w:pStyle w:val="TableText"/>
              <w:jc w:val="center"/>
            </w:pPr>
            <w:r w:rsidRPr="00976D1C">
              <w:t>118</w:t>
            </w:r>
          </w:p>
        </w:tc>
      </w:tr>
      <w:tr w:rsidR="00161C86" w:rsidRPr="00976D1C" w14:paraId="2D27D40C"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1747" w:type="pct"/>
            <w:shd w:val="clear" w:color="auto" w:fill="CCEFFC"/>
            <w:vAlign w:val="center"/>
          </w:tcPr>
          <w:p w14:paraId="440BF6F0" w14:textId="77777777" w:rsidR="00161C86" w:rsidRPr="00976D1C" w:rsidRDefault="00161C86" w:rsidP="00EC4213">
            <w:pPr>
              <w:pStyle w:val="TableText"/>
            </w:pPr>
            <w:r w:rsidRPr="00976D1C">
              <w:t>Oral Health Practitioners</w:t>
            </w:r>
          </w:p>
        </w:tc>
        <w:tc>
          <w:tcPr>
            <w:tcW w:w="1504" w:type="pct"/>
            <w:shd w:val="clear" w:color="auto" w:fill="CCEFFC"/>
            <w:vAlign w:val="center"/>
          </w:tcPr>
          <w:p w14:paraId="1A0D38D8" w14:textId="77777777" w:rsidR="00161C86" w:rsidRPr="00976D1C" w:rsidRDefault="00161C86" w:rsidP="00EC4213">
            <w:pPr>
              <w:pStyle w:val="TableText"/>
              <w:jc w:val="center"/>
            </w:pPr>
            <w:r w:rsidRPr="00976D1C">
              <w:t>2</w:t>
            </w:r>
          </w:p>
        </w:tc>
        <w:tc>
          <w:tcPr>
            <w:tcW w:w="1748" w:type="pct"/>
            <w:shd w:val="clear" w:color="auto" w:fill="CCEFFC"/>
            <w:vAlign w:val="center"/>
          </w:tcPr>
          <w:p w14:paraId="084A8047" w14:textId="77777777" w:rsidR="00161C86" w:rsidRPr="00976D1C" w:rsidRDefault="00161C86" w:rsidP="00EC4213">
            <w:pPr>
              <w:pStyle w:val="TableText"/>
              <w:jc w:val="center"/>
            </w:pPr>
            <w:r w:rsidRPr="00976D1C">
              <w:t>19</w:t>
            </w:r>
          </w:p>
        </w:tc>
      </w:tr>
      <w:tr w:rsidR="00161C86" w:rsidRPr="00976D1C" w14:paraId="6B9963E7"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1747" w:type="pct"/>
            <w:shd w:val="clear" w:color="auto" w:fill="CCE0ED"/>
            <w:vAlign w:val="center"/>
          </w:tcPr>
          <w:p w14:paraId="6BFEA94C" w14:textId="77777777" w:rsidR="00161C86" w:rsidRPr="00976D1C" w:rsidRDefault="00161C86" w:rsidP="00EC4213">
            <w:pPr>
              <w:pStyle w:val="TableText"/>
            </w:pPr>
            <w:r w:rsidRPr="00976D1C">
              <w:t>Dental Prosthetist</w:t>
            </w:r>
          </w:p>
        </w:tc>
        <w:tc>
          <w:tcPr>
            <w:tcW w:w="1504" w:type="pct"/>
            <w:shd w:val="clear" w:color="auto" w:fill="CCE0ED"/>
            <w:vAlign w:val="center"/>
          </w:tcPr>
          <w:p w14:paraId="23B1B9C1" w14:textId="77777777" w:rsidR="00161C86" w:rsidRPr="00976D1C" w:rsidRDefault="00161C86" w:rsidP="00EC4213">
            <w:pPr>
              <w:pStyle w:val="TableText"/>
              <w:jc w:val="center"/>
            </w:pPr>
            <w:r w:rsidRPr="00976D1C">
              <w:t>0</w:t>
            </w:r>
          </w:p>
        </w:tc>
        <w:tc>
          <w:tcPr>
            <w:tcW w:w="1748" w:type="pct"/>
            <w:shd w:val="clear" w:color="auto" w:fill="CCE0ED"/>
            <w:vAlign w:val="center"/>
          </w:tcPr>
          <w:p w14:paraId="742FDF60" w14:textId="77777777" w:rsidR="00161C86" w:rsidRPr="00976D1C" w:rsidRDefault="00161C86" w:rsidP="00EC4213">
            <w:pPr>
              <w:pStyle w:val="TableText"/>
              <w:jc w:val="center"/>
            </w:pPr>
            <w:r w:rsidRPr="00976D1C">
              <w:t>0</w:t>
            </w:r>
          </w:p>
        </w:tc>
      </w:tr>
      <w:tr w:rsidR="00161C86" w:rsidRPr="00976D1C" w14:paraId="11CC357F" w14:textId="77777777" w:rsidTr="00406A2C">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PrEx>
        <w:tc>
          <w:tcPr>
            <w:tcW w:w="1747" w:type="pct"/>
            <w:shd w:val="clear" w:color="auto" w:fill="CCEFFC"/>
            <w:vAlign w:val="center"/>
          </w:tcPr>
          <w:p w14:paraId="769A82D6" w14:textId="77777777" w:rsidR="00161C86" w:rsidRPr="00976D1C" w:rsidRDefault="00161C86" w:rsidP="00EC4213">
            <w:pPr>
              <w:pStyle w:val="TableText"/>
            </w:pPr>
            <w:r w:rsidRPr="00976D1C">
              <w:t>Total</w:t>
            </w:r>
          </w:p>
        </w:tc>
        <w:tc>
          <w:tcPr>
            <w:tcW w:w="1504" w:type="pct"/>
            <w:shd w:val="clear" w:color="auto" w:fill="CCEFFC"/>
            <w:vAlign w:val="center"/>
          </w:tcPr>
          <w:p w14:paraId="209A3791" w14:textId="77777777" w:rsidR="00161C86" w:rsidRPr="00976D1C" w:rsidRDefault="00161C86" w:rsidP="00EC4213">
            <w:pPr>
              <w:pStyle w:val="TableText"/>
              <w:jc w:val="center"/>
            </w:pPr>
            <w:r w:rsidRPr="00976D1C">
              <w:t>179</w:t>
            </w:r>
          </w:p>
        </w:tc>
        <w:tc>
          <w:tcPr>
            <w:tcW w:w="1748" w:type="pct"/>
            <w:shd w:val="clear" w:color="auto" w:fill="CCEFFC"/>
            <w:vAlign w:val="center"/>
          </w:tcPr>
          <w:p w14:paraId="575277D6" w14:textId="77777777" w:rsidR="00161C86" w:rsidRPr="00976D1C" w:rsidRDefault="00161C86" w:rsidP="00EC4213">
            <w:pPr>
              <w:pStyle w:val="TableText"/>
              <w:jc w:val="center"/>
            </w:pPr>
            <w:r w:rsidRPr="00976D1C">
              <w:t>137</w:t>
            </w:r>
          </w:p>
        </w:tc>
      </w:tr>
    </w:tbl>
    <w:p w14:paraId="0DAE7F1A" w14:textId="77777777" w:rsidR="00DF46FB" w:rsidRPr="00976D1C" w:rsidRDefault="00DF46FB" w:rsidP="00EC4213">
      <w:pPr>
        <w:pStyle w:val="Tablenotes"/>
      </w:pPr>
      <w:r w:rsidRPr="00976D1C">
        <w:t>Source: Department of Immigration and Border Protection</w:t>
      </w:r>
    </w:p>
    <w:p w14:paraId="7A4EBED7" w14:textId="77777777" w:rsidR="00DF46FB" w:rsidRPr="00976D1C" w:rsidRDefault="00DF46FB" w:rsidP="00EC4213">
      <w:pPr>
        <w:pStyle w:val="Heading3"/>
        <w:rPr>
          <w:lang w:val="en-AU"/>
        </w:rPr>
      </w:pPr>
      <w:r w:rsidRPr="00976D1C">
        <w:rPr>
          <w:lang w:val="en-AU"/>
        </w:rPr>
        <w:t xml:space="preserve">Exits </w:t>
      </w:r>
    </w:p>
    <w:p w14:paraId="39FC395D" w14:textId="4CE74C49" w:rsidR="00DF46FB" w:rsidRPr="00976D1C" w:rsidRDefault="00DF46FB" w:rsidP="00EC4213">
      <w:r w:rsidRPr="00976D1C">
        <w:t xml:space="preserve">Estimates of exits are based on the number of permanent departures (retirements, resignations, deaths and migration) and </w:t>
      </w:r>
      <w:r w:rsidR="00026033" w:rsidRPr="00976D1C">
        <w:t>temporary departures</w:t>
      </w:r>
      <w:r w:rsidRPr="00976D1C">
        <w:t xml:space="preserve"> (absences from the workforce on a medium to long term basis, including leave without pay and maternity leave) from national registrations. </w:t>
      </w:r>
    </w:p>
    <w:p w14:paraId="1C3176FC" w14:textId="77777777" w:rsidR="00DF46FB" w:rsidRPr="00976D1C" w:rsidRDefault="00DF46FB" w:rsidP="00EC4213">
      <w:pPr>
        <w:pStyle w:val="Heading2"/>
      </w:pPr>
      <w:bookmarkStart w:id="104" w:name="_Toc377045987"/>
      <w:bookmarkStart w:id="105" w:name="_Toc407634435"/>
      <w:r w:rsidRPr="00976D1C">
        <w:lastRenderedPageBreak/>
        <w:t>Demand methodology</w:t>
      </w:r>
      <w:bookmarkEnd w:id="104"/>
      <w:bookmarkEnd w:id="105"/>
    </w:p>
    <w:p w14:paraId="30AE5EFD" w14:textId="32E89825" w:rsidR="00DF46FB" w:rsidRPr="00976D1C" w:rsidRDefault="00DF46FB" w:rsidP="00EC4213">
      <w:pPr>
        <w:rPr>
          <w:lang w:eastAsia="en-AU"/>
        </w:rPr>
      </w:pPr>
      <w:r w:rsidRPr="00976D1C">
        <w:rPr>
          <w:lang w:eastAsia="en-AU"/>
        </w:rPr>
        <w:t xml:space="preserve">Demand projections employed the utilisation method – which measures expressed demand, and are based on service utilisation patterns as they currently exist for five-year age and gender cohorts. The utilisation approach makes </w:t>
      </w:r>
      <w:r w:rsidRPr="00976D1C">
        <w:t>no assumptions</w:t>
      </w:r>
      <w:r w:rsidRPr="00976D1C">
        <w:rPr>
          <w:lang w:eastAsia="en-AU"/>
        </w:rPr>
        <w:t xml:space="preserve"> about potential </w:t>
      </w:r>
      <w:r w:rsidR="007B5FE6" w:rsidRPr="00976D1C">
        <w:rPr>
          <w:lang w:eastAsia="en-AU"/>
        </w:rPr>
        <w:t xml:space="preserve">(or unmet) </w:t>
      </w:r>
      <w:r w:rsidRPr="00976D1C">
        <w:rPr>
          <w:lang w:eastAsia="en-AU"/>
        </w:rPr>
        <w:t xml:space="preserve">demand. </w:t>
      </w:r>
    </w:p>
    <w:p w14:paraId="2C7EE7A7" w14:textId="77777777" w:rsidR="00DF46FB" w:rsidRPr="00976D1C" w:rsidRDefault="00DF46FB" w:rsidP="00EC4213">
      <w:r w:rsidRPr="00976D1C">
        <w:rPr>
          <w:lang w:eastAsia="en-AU"/>
        </w:rPr>
        <w:t xml:space="preserve">Utilisation patterns were calculated based on ARCPOH NDTIS data </w:t>
      </w:r>
      <w:r w:rsidRPr="00976D1C">
        <w:t xml:space="preserve">on visits and services provided between 1994 and 2010. </w:t>
      </w:r>
      <w:r w:rsidRPr="00976D1C">
        <w:rPr>
          <w:lang w:eastAsia="en-AU"/>
        </w:rPr>
        <w:t xml:space="preserve">This was matched against age and gender cohorts, and once mapped was projected against future demographic structures. </w:t>
      </w:r>
    </w:p>
    <w:p w14:paraId="1B89C00C" w14:textId="35E6E1C9" w:rsidR="00DF46FB" w:rsidRPr="00976D1C" w:rsidRDefault="00DF46FB" w:rsidP="00EC4213">
      <w:r w:rsidRPr="00976D1C">
        <w:t xml:space="preserve">Table </w:t>
      </w:r>
      <w:r w:rsidR="00DC3122" w:rsidRPr="00976D1C">
        <w:t>6</w:t>
      </w:r>
      <w:r w:rsidRPr="00976D1C">
        <w:t xml:space="preserve"> shows the demand r</w:t>
      </w:r>
      <w:r w:rsidR="00872D01" w:rsidRPr="00976D1C">
        <w:t xml:space="preserve">ates based on visits, services </w:t>
      </w:r>
      <w:r w:rsidRPr="00976D1C">
        <w:t xml:space="preserve">and services per visit used in the modelling. </w:t>
      </w:r>
      <w:bookmarkStart w:id="106" w:name="_Ref371943197"/>
      <w:bookmarkStart w:id="107" w:name="_Ref371943181"/>
    </w:p>
    <w:p w14:paraId="0E993FB0" w14:textId="77777777" w:rsidR="00DF46FB" w:rsidRPr="00976D1C" w:rsidRDefault="00DF46FB" w:rsidP="00EC4213">
      <w:pPr>
        <w:pStyle w:val="Caption"/>
      </w:pPr>
      <w:bookmarkStart w:id="108" w:name="_Ref383431382"/>
      <w:bookmarkStart w:id="109" w:name="_Toc382840265"/>
      <w:bookmarkStart w:id="110" w:name="_Toc409532344"/>
      <w:bookmarkEnd w:id="106"/>
      <w:r w:rsidRPr="00976D1C">
        <w:t xml:space="preserve">Table </w:t>
      </w:r>
      <w:fldSimple w:instr=" SEQ Table \* ARABIC ">
        <w:r w:rsidR="00496730" w:rsidRPr="00976D1C">
          <w:t>6</w:t>
        </w:r>
      </w:fldSimple>
      <w:bookmarkEnd w:id="108"/>
      <w:r w:rsidRPr="00976D1C">
        <w:t>: Utilisation patterns for oral health</w:t>
      </w:r>
      <w:bookmarkEnd w:id="107"/>
      <w:bookmarkEnd w:id="109"/>
      <w:bookmarkEnd w:id="110"/>
    </w:p>
    <w:tbl>
      <w:tblPr>
        <w:tblW w:w="4966"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Description w:val="Total visits 1994-1996 -1.99% 1996-1999 7.44% 1999-2002 -0.63% 1994 - 2002 1.97% 2002-2008 3.24% 2002-2010 3.13% 2008-2010 2.80% 1994-2010 2.55%&#10;Total services 1994-1996 0.65% 1996-1999 5.47% 1999-2002 12.56% 1994 - 2002 6.82% 2002-2008 5.07% 2002-2010 4.89% 2008-2010 4.36% 1994-2010 5.85%&#10;Services per visit 1994-1996 2.70% 1996-1999 -1.84% 1999-2002 13.27% 1994 - 2002 4.75% 2002-2008 1.77% 2002-2010 1.70% 2008-2010 1.51% 1994-2010 3.22%&#10;"/>
      </w:tblPr>
      <w:tblGrid>
        <w:gridCol w:w="1018"/>
        <w:gridCol w:w="1020"/>
        <w:gridCol w:w="1021"/>
        <w:gridCol w:w="1021"/>
        <w:gridCol w:w="1021"/>
        <w:gridCol w:w="1021"/>
        <w:gridCol w:w="1021"/>
        <w:gridCol w:w="1021"/>
        <w:gridCol w:w="1015"/>
      </w:tblGrid>
      <w:tr w:rsidR="00161C86" w:rsidRPr="00976D1C" w14:paraId="36911788" w14:textId="77777777" w:rsidTr="00F9573F">
        <w:trPr>
          <w:trHeight w:val="963"/>
          <w:tblHeader/>
        </w:trPr>
        <w:tc>
          <w:tcPr>
            <w:tcW w:w="555" w:type="pct"/>
            <w:shd w:val="clear" w:color="auto" w:fill="0065A4"/>
            <w:vAlign w:val="bottom"/>
          </w:tcPr>
          <w:p w14:paraId="6E3A9CE9" w14:textId="77777777" w:rsidR="00161C86" w:rsidRPr="00976D1C" w:rsidRDefault="00161C86" w:rsidP="00EC4213">
            <w:pPr>
              <w:pStyle w:val="TableHeader"/>
              <w:rPr>
                <w:bCs/>
              </w:rPr>
            </w:pPr>
            <w:r w:rsidRPr="00976D1C">
              <w:rPr>
                <w:bCs/>
              </w:rPr>
              <w:t>Item</w:t>
            </w:r>
            <w:bookmarkStart w:id="111" w:name="ColumnTitle_6"/>
            <w:bookmarkEnd w:id="111"/>
          </w:p>
        </w:tc>
        <w:tc>
          <w:tcPr>
            <w:tcW w:w="556" w:type="pct"/>
            <w:shd w:val="clear" w:color="auto" w:fill="0065A4"/>
            <w:vAlign w:val="center"/>
          </w:tcPr>
          <w:p w14:paraId="59A2816B" w14:textId="77777777" w:rsidR="00161C86" w:rsidRPr="00976D1C" w:rsidRDefault="00161C86" w:rsidP="00EC4213">
            <w:pPr>
              <w:pStyle w:val="TableHeader"/>
              <w:rPr>
                <w:bCs/>
              </w:rPr>
            </w:pPr>
            <w:r w:rsidRPr="00976D1C">
              <w:rPr>
                <w:bCs/>
              </w:rPr>
              <w:t>1994-1996</w:t>
            </w:r>
          </w:p>
        </w:tc>
        <w:tc>
          <w:tcPr>
            <w:tcW w:w="556" w:type="pct"/>
            <w:shd w:val="clear" w:color="auto" w:fill="0065A4"/>
            <w:vAlign w:val="center"/>
          </w:tcPr>
          <w:p w14:paraId="4A4BB991" w14:textId="77777777" w:rsidR="00161C86" w:rsidRPr="00976D1C" w:rsidRDefault="00161C86" w:rsidP="00EC4213">
            <w:pPr>
              <w:pStyle w:val="TableHeader"/>
              <w:rPr>
                <w:bCs/>
              </w:rPr>
            </w:pPr>
            <w:r w:rsidRPr="00976D1C">
              <w:rPr>
                <w:bCs/>
              </w:rPr>
              <w:t>1996-1999</w:t>
            </w:r>
          </w:p>
        </w:tc>
        <w:tc>
          <w:tcPr>
            <w:tcW w:w="556" w:type="pct"/>
            <w:shd w:val="clear" w:color="auto" w:fill="0065A4"/>
            <w:vAlign w:val="center"/>
          </w:tcPr>
          <w:p w14:paraId="561AC565" w14:textId="77777777" w:rsidR="00161C86" w:rsidRPr="00976D1C" w:rsidRDefault="00161C86" w:rsidP="00EC4213">
            <w:pPr>
              <w:pStyle w:val="TableHeader"/>
              <w:rPr>
                <w:bCs/>
              </w:rPr>
            </w:pPr>
            <w:r w:rsidRPr="00976D1C">
              <w:rPr>
                <w:bCs/>
              </w:rPr>
              <w:t>1999-2002</w:t>
            </w:r>
          </w:p>
        </w:tc>
        <w:tc>
          <w:tcPr>
            <w:tcW w:w="556" w:type="pct"/>
            <w:shd w:val="clear" w:color="auto" w:fill="0065A4"/>
            <w:vAlign w:val="center"/>
          </w:tcPr>
          <w:p w14:paraId="5C1385BD" w14:textId="77777777" w:rsidR="00161C86" w:rsidRPr="00976D1C" w:rsidRDefault="00161C86" w:rsidP="00EC4213">
            <w:pPr>
              <w:pStyle w:val="TableHeader"/>
              <w:rPr>
                <w:bCs/>
              </w:rPr>
            </w:pPr>
            <w:r w:rsidRPr="00976D1C">
              <w:rPr>
                <w:bCs/>
              </w:rPr>
              <w:t>1994 - 2002</w:t>
            </w:r>
          </w:p>
        </w:tc>
        <w:tc>
          <w:tcPr>
            <w:tcW w:w="556" w:type="pct"/>
            <w:shd w:val="clear" w:color="auto" w:fill="0065A4"/>
            <w:vAlign w:val="center"/>
          </w:tcPr>
          <w:p w14:paraId="73FE7986" w14:textId="77777777" w:rsidR="00161C86" w:rsidRPr="00976D1C" w:rsidRDefault="00161C86" w:rsidP="00EC4213">
            <w:pPr>
              <w:pStyle w:val="TableHeader"/>
              <w:rPr>
                <w:bCs/>
              </w:rPr>
            </w:pPr>
            <w:r w:rsidRPr="00976D1C">
              <w:rPr>
                <w:bCs/>
              </w:rPr>
              <w:t>2002-2008</w:t>
            </w:r>
          </w:p>
        </w:tc>
        <w:tc>
          <w:tcPr>
            <w:tcW w:w="556" w:type="pct"/>
            <w:shd w:val="clear" w:color="auto" w:fill="0065A4"/>
            <w:vAlign w:val="center"/>
          </w:tcPr>
          <w:p w14:paraId="04891008" w14:textId="77777777" w:rsidR="00161C86" w:rsidRPr="00976D1C" w:rsidRDefault="00161C86" w:rsidP="00EC4213">
            <w:pPr>
              <w:pStyle w:val="TableHeader"/>
              <w:rPr>
                <w:bCs/>
              </w:rPr>
            </w:pPr>
            <w:r w:rsidRPr="00976D1C">
              <w:rPr>
                <w:bCs/>
              </w:rPr>
              <w:t>2002-2010</w:t>
            </w:r>
          </w:p>
        </w:tc>
        <w:tc>
          <w:tcPr>
            <w:tcW w:w="556" w:type="pct"/>
            <w:shd w:val="clear" w:color="auto" w:fill="0065A4"/>
            <w:vAlign w:val="center"/>
          </w:tcPr>
          <w:p w14:paraId="1938AA3F" w14:textId="77777777" w:rsidR="00161C86" w:rsidRPr="00976D1C" w:rsidRDefault="00161C86" w:rsidP="00EC4213">
            <w:pPr>
              <w:pStyle w:val="TableHeader"/>
              <w:rPr>
                <w:bCs/>
              </w:rPr>
            </w:pPr>
            <w:r w:rsidRPr="00976D1C">
              <w:rPr>
                <w:bCs/>
              </w:rPr>
              <w:t>2008-2010</w:t>
            </w:r>
          </w:p>
        </w:tc>
        <w:tc>
          <w:tcPr>
            <w:tcW w:w="556" w:type="pct"/>
            <w:shd w:val="clear" w:color="auto" w:fill="0065A4"/>
            <w:vAlign w:val="center"/>
          </w:tcPr>
          <w:p w14:paraId="2DE7F43A" w14:textId="77777777" w:rsidR="00161C86" w:rsidRPr="00976D1C" w:rsidRDefault="00161C86" w:rsidP="00EC4213">
            <w:pPr>
              <w:pStyle w:val="TableHeader"/>
              <w:rPr>
                <w:bCs/>
              </w:rPr>
            </w:pPr>
            <w:r w:rsidRPr="00976D1C">
              <w:rPr>
                <w:bCs/>
              </w:rPr>
              <w:t>1994-2010</w:t>
            </w:r>
          </w:p>
        </w:tc>
      </w:tr>
      <w:tr w:rsidR="00161C86" w:rsidRPr="00976D1C" w14:paraId="7EFF3E93" w14:textId="77777777" w:rsidTr="00F9573F">
        <w:tc>
          <w:tcPr>
            <w:tcW w:w="555" w:type="pct"/>
            <w:shd w:val="clear" w:color="auto" w:fill="CCE0ED"/>
            <w:vAlign w:val="center"/>
          </w:tcPr>
          <w:p w14:paraId="77409AAA" w14:textId="77777777" w:rsidR="00161C86" w:rsidRPr="00976D1C" w:rsidRDefault="00161C86" w:rsidP="00EC4213">
            <w:pPr>
              <w:pStyle w:val="TableText"/>
            </w:pPr>
            <w:r w:rsidRPr="00976D1C">
              <w:t>Total visits</w:t>
            </w:r>
          </w:p>
        </w:tc>
        <w:tc>
          <w:tcPr>
            <w:tcW w:w="556" w:type="pct"/>
            <w:shd w:val="clear" w:color="auto" w:fill="CCE0ED"/>
            <w:vAlign w:val="center"/>
          </w:tcPr>
          <w:p w14:paraId="047A58EF" w14:textId="77777777" w:rsidR="00161C86" w:rsidRPr="00976D1C" w:rsidRDefault="00161C86" w:rsidP="00EC4213">
            <w:pPr>
              <w:pStyle w:val="TableText"/>
            </w:pPr>
            <w:r w:rsidRPr="00976D1C">
              <w:t>-1.99%</w:t>
            </w:r>
          </w:p>
        </w:tc>
        <w:tc>
          <w:tcPr>
            <w:tcW w:w="556" w:type="pct"/>
            <w:shd w:val="clear" w:color="auto" w:fill="CCE0ED"/>
            <w:vAlign w:val="center"/>
          </w:tcPr>
          <w:p w14:paraId="64B26EF6" w14:textId="77777777" w:rsidR="00161C86" w:rsidRPr="00976D1C" w:rsidRDefault="00161C86" w:rsidP="00EC4213">
            <w:pPr>
              <w:pStyle w:val="TableText"/>
            </w:pPr>
            <w:r w:rsidRPr="00976D1C">
              <w:t>7.44%</w:t>
            </w:r>
          </w:p>
        </w:tc>
        <w:tc>
          <w:tcPr>
            <w:tcW w:w="556" w:type="pct"/>
            <w:shd w:val="clear" w:color="auto" w:fill="CCE0ED"/>
            <w:vAlign w:val="center"/>
          </w:tcPr>
          <w:p w14:paraId="2C57BEAB" w14:textId="77777777" w:rsidR="00161C86" w:rsidRPr="00976D1C" w:rsidRDefault="00161C86" w:rsidP="00EC4213">
            <w:pPr>
              <w:pStyle w:val="TableText"/>
            </w:pPr>
            <w:r w:rsidRPr="00976D1C">
              <w:t>-0.63%</w:t>
            </w:r>
          </w:p>
        </w:tc>
        <w:tc>
          <w:tcPr>
            <w:tcW w:w="556" w:type="pct"/>
            <w:shd w:val="clear" w:color="auto" w:fill="CCE0ED"/>
            <w:vAlign w:val="center"/>
          </w:tcPr>
          <w:p w14:paraId="3D3A5DCB" w14:textId="77777777" w:rsidR="00161C86" w:rsidRPr="00976D1C" w:rsidRDefault="00161C86" w:rsidP="00EC4213">
            <w:pPr>
              <w:pStyle w:val="TableText"/>
            </w:pPr>
            <w:r w:rsidRPr="00976D1C">
              <w:t>1.97%</w:t>
            </w:r>
          </w:p>
        </w:tc>
        <w:tc>
          <w:tcPr>
            <w:tcW w:w="556" w:type="pct"/>
            <w:shd w:val="clear" w:color="auto" w:fill="CCE0ED"/>
            <w:vAlign w:val="center"/>
          </w:tcPr>
          <w:p w14:paraId="032D0D04" w14:textId="77777777" w:rsidR="00161C86" w:rsidRPr="00976D1C" w:rsidRDefault="00161C86" w:rsidP="00EC4213">
            <w:pPr>
              <w:pStyle w:val="TableText"/>
            </w:pPr>
            <w:r w:rsidRPr="00976D1C">
              <w:t>3.24%</w:t>
            </w:r>
          </w:p>
        </w:tc>
        <w:tc>
          <w:tcPr>
            <w:tcW w:w="556" w:type="pct"/>
            <w:shd w:val="clear" w:color="auto" w:fill="CCE0ED"/>
            <w:vAlign w:val="center"/>
          </w:tcPr>
          <w:p w14:paraId="725904E1" w14:textId="77777777" w:rsidR="00161C86" w:rsidRPr="00976D1C" w:rsidRDefault="00161C86" w:rsidP="00EC4213">
            <w:pPr>
              <w:pStyle w:val="TableText"/>
            </w:pPr>
            <w:r w:rsidRPr="00976D1C">
              <w:t>3.13%</w:t>
            </w:r>
          </w:p>
        </w:tc>
        <w:tc>
          <w:tcPr>
            <w:tcW w:w="556" w:type="pct"/>
            <w:shd w:val="clear" w:color="auto" w:fill="CCE0ED"/>
            <w:vAlign w:val="center"/>
          </w:tcPr>
          <w:p w14:paraId="5C1D0EF2" w14:textId="77777777" w:rsidR="00161C86" w:rsidRPr="00976D1C" w:rsidRDefault="00161C86" w:rsidP="00EC4213">
            <w:pPr>
              <w:pStyle w:val="TableText"/>
            </w:pPr>
            <w:r w:rsidRPr="00976D1C">
              <w:t>2.80%</w:t>
            </w:r>
          </w:p>
        </w:tc>
        <w:tc>
          <w:tcPr>
            <w:tcW w:w="556" w:type="pct"/>
            <w:shd w:val="clear" w:color="auto" w:fill="CCE0ED"/>
            <w:vAlign w:val="center"/>
          </w:tcPr>
          <w:p w14:paraId="61D33759" w14:textId="77777777" w:rsidR="00161C86" w:rsidRPr="00976D1C" w:rsidRDefault="00161C86" w:rsidP="00EC4213">
            <w:pPr>
              <w:pStyle w:val="TableText"/>
              <w:rPr>
                <w:b/>
              </w:rPr>
            </w:pPr>
            <w:r w:rsidRPr="00976D1C">
              <w:rPr>
                <w:b/>
              </w:rPr>
              <w:t>2.55%</w:t>
            </w:r>
          </w:p>
        </w:tc>
      </w:tr>
      <w:tr w:rsidR="00161C86" w:rsidRPr="00976D1C" w14:paraId="00B6B647" w14:textId="77777777" w:rsidTr="00F9573F">
        <w:tc>
          <w:tcPr>
            <w:tcW w:w="555" w:type="pct"/>
            <w:shd w:val="clear" w:color="auto" w:fill="CCEFFC"/>
            <w:vAlign w:val="center"/>
          </w:tcPr>
          <w:p w14:paraId="2110872A" w14:textId="77777777" w:rsidR="00161C86" w:rsidRPr="00976D1C" w:rsidRDefault="00161C86" w:rsidP="00EC4213">
            <w:pPr>
              <w:pStyle w:val="TableText"/>
            </w:pPr>
            <w:r w:rsidRPr="00976D1C">
              <w:t>Total services</w:t>
            </w:r>
          </w:p>
        </w:tc>
        <w:tc>
          <w:tcPr>
            <w:tcW w:w="556" w:type="pct"/>
            <w:shd w:val="clear" w:color="auto" w:fill="CCEFFC"/>
            <w:vAlign w:val="center"/>
          </w:tcPr>
          <w:p w14:paraId="121E102E" w14:textId="77777777" w:rsidR="00161C86" w:rsidRPr="00976D1C" w:rsidRDefault="00161C86" w:rsidP="00EC4213">
            <w:pPr>
              <w:pStyle w:val="TableText"/>
            </w:pPr>
            <w:r w:rsidRPr="00976D1C">
              <w:t>0.65%</w:t>
            </w:r>
          </w:p>
        </w:tc>
        <w:tc>
          <w:tcPr>
            <w:tcW w:w="556" w:type="pct"/>
            <w:shd w:val="clear" w:color="auto" w:fill="CCEFFC"/>
            <w:vAlign w:val="center"/>
          </w:tcPr>
          <w:p w14:paraId="265F77D9" w14:textId="77777777" w:rsidR="00161C86" w:rsidRPr="00976D1C" w:rsidRDefault="00161C86" w:rsidP="00EC4213">
            <w:pPr>
              <w:pStyle w:val="TableText"/>
            </w:pPr>
            <w:r w:rsidRPr="00976D1C">
              <w:t>5.47%</w:t>
            </w:r>
          </w:p>
        </w:tc>
        <w:tc>
          <w:tcPr>
            <w:tcW w:w="556" w:type="pct"/>
            <w:shd w:val="clear" w:color="auto" w:fill="CCEFFC"/>
            <w:vAlign w:val="center"/>
          </w:tcPr>
          <w:p w14:paraId="37859015" w14:textId="77777777" w:rsidR="00161C86" w:rsidRPr="00976D1C" w:rsidRDefault="00161C86" w:rsidP="00EC4213">
            <w:pPr>
              <w:pStyle w:val="TableText"/>
            </w:pPr>
            <w:r w:rsidRPr="00976D1C">
              <w:t>12.56%</w:t>
            </w:r>
          </w:p>
        </w:tc>
        <w:tc>
          <w:tcPr>
            <w:tcW w:w="556" w:type="pct"/>
            <w:shd w:val="clear" w:color="auto" w:fill="CCEFFC"/>
            <w:vAlign w:val="center"/>
          </w:tcPr>
          <w:p w14:paraId="19F53DB6" w14:textId="77777777" w:rsidR="00161C86" w:rsidRPr="00976D1C" w:rsidRDefault="00161C86" w:rsidP="00EC4213">
            <w:pPr>
              <w:pStyle w:val="TableText"/>
            </w:pPr>
            <w:r w:rsidRPr="00976D1C">
              <w:t>6.82%</w:t>
            </w:r>
          </w:p>
        </w:tc>
        <w:tc>
          <w:tcPr>
            <w:tcW w:w="556" w:type="pct"/>
            <w:shd w:val="clear" w:color="auto" w:fill="CCEFFC"/>
            <w:vAlign w:val="center"/>
          </w:tcPr>
          <w:p w14:paraId="704D3EEA" w14:textId="77777777" w:rsidR="00161C86" w:rsidRPr="00976D1C" w:rsidRDefault="00161C86" w:rsidP="00EC4213">
            <w:pPr>
              <w:pStyle w:val="TableText"/>
            </w:pPr>
            <w:r w:rsidRPr="00976D1C">
              <w:t>5.07%</w:t>
            </w:r>
          </w:p>
        </w:tc>
        <w:tc>
          <w:tcPr>
            <w:tcW w:w="556" w:type="pct"/>
            <w:shd w:val="clear" w:color="auto" w:fill="CCEFFC"/>
            <w:vAlign w:val="center"/>
          </w:tcPr>
          <w:p w14:paraId="5E738201" w14:textId="77777777" w:rsidR="00161C86" w:rsidRPr="00976D1C" w:rsidRDefault="00161C86" w:rsidP="00EC4213">
            <w:pPr>
              <w:pStyle w:val="TableText"/>
            </w:pPr>
            <w:r w:rsidRPr="00976D1C">
              <w:t>4.89%</w:t>
            </w:r>
          </w:p>
        </w:tc>
        <w:tc>
          <w:tcPr>
            <w:tcW w:w="556" w:type="pct"/>
            <w:shd w:val="clear" w:color="auto" w:fill="CCEFFC"/>
            <w:vAlign w:val="center"/>
          </w:tcPr>
          <w:p w14:paraId="104F48E4" w14:textId="77777777" w:rsidR="00161C86" w:rsidRPr="00976D1C" w:rsidRDefault="00161C86" w:rsidP="00EC4213">
            <w:pPr>
              <w:pStyle w:val="TableText"/>
            </w:pPr>
            <w:r w:rsidRPr="00976D1C">
              <w:t>4.36%</w:t>
            </w:r>
          </w:p>
        </w:tc>
        <w:tc>
          <w:tcPr>
            <w:tcW w:w="556" w:type="pct"/>
            <w:shd w:val="clear" w:color="auto" w:fill="CCEFFC"/>
            <w:vAlign w:val="center"/>
          </w:tcPr>
          <w:p w14:paraId="4CAC1537" w14:textId="77777777" w:rsidR="00161C86" w:rsidRPr="00976D1C" w:rsidRDefault="00161C86" w:rsidP="00EC4213">
            <w:pPr>
              <w:pStyle w:val="TableText"/>
              <w:rPr>
                <w:b/>
              </w:rPr>
            </w:pPr>
            <w:r w:rsidRPr="00976D1C">
              <w:rPr>
                <w:b/>
              </w:rPr>
              <w:t>5.85%</w:t>
            </w:r>
          </w:p>
        </w:tc>
      </w:tr>
      <w:tr w:rsidR="00161C86" w:rsidRPr="00976D1C" w14:paraId="31604FD8" w14:textId="77777777" w:rsidTr="00F9573F">
        <w:tc>
          <w:tcPr>
            <w:tcW w:w="555" w:type="pct"/>
            <w:shd w:val="clear" w:color="auto" w:fill="CCE0ED"/>
            <w:vAlign w:val="center"/>
          </w:tcPr>
          <w:p w14:paraId="7C7B665B" w14:textId="77777777" w:rsidR="00161C86" w:rsidRPr="00976D1C" w:rsidRDefault="00161C86" w:rsidP="00EC4213">
            <w:pPr>
              <w:pStyle w:val="TableText"/>
            </w:pPr>
            <w:r w:rsidRPr="00976D1C">
              <w:t>Services per visit</w:t>
            </w:r>
          </w:p>
        </w:tc>
        <w:tc>
          <w:tcPr>
            <w:tcW w:w="556" w:type="pct"/>
            <w:shd w:val="clear" w:color="auto" w:fill="CCE0ED"/>
            <w:vAlign w:val="center"/>
          </w:tcPr>
          <w:p w14:paraId="2512A37A" w14:textId="77777777" w:rsidR="00161C86" w:rsidRPr="00976D1C" w:rsidRDefault="00161C86" w:rsidP="00EC4213">
            <w:pPr>
              <w:pStyle w:val="TableText"/>
            </w:pPr>
            <w:r w:rsidRPr="00976D1C">
              <w:t>2.70%</w:t>
            </w:r>
          </w:p>
        </w:tc>
        <w:tc>
          <w:tcPr>
            <w:tcW w:w="556" w:type="pct"/>
            <w:shd w:val="clear" w:color="auto" w:fill="CCE0ED"/>
            <w:vAlign w:val="center"/>
          </w:tcPr>
          <w:p w14:paraId="57164C6C" w14:textId="77777777" w:rsidR="00161C86" w:rsidRPr="00976D1C" w:rsidRDefault="00161C86" w:rsidP="00EC4213">
            <w:pPr>
              <w:pStyle w:val="TableText"/>
            </w:pPr>
            <w:r w:rsidRPr="00976D1C">
              <w:t>-1.84%</w:t>
            </w:r>
          </w:p>
        </w:tc>
        <w:tc>
          <w:tcPr>
            <w:tcW w:w="556" w:type="pct"/>
            <w:shd w:val="clear" w:color="auto" w:fill="CCE0ED"/>
            <w:vAlign w:val="center"/>
          </w:tcPr>
          <w:p w14:paraId="0D7EA18E" w14:textId="77777777" w:rsidR="00161C86" w:rsidRPr="00976D1C" w:rsidRDefault="00161C86" w:rsidP="00EC4213">
            <w:pPr>
              <w:pStyle w:val="TableText"/>
            </w:pPr>
            <w:r w:rsidRPr="00976D1C">
              <w:t>13.27%</w:t>
            </w:r>
          </w:p>
        </w:tc>
        <w:tc>
          <w:tcPr>
            <w:tcW w:w="556" w:type="pct"/>
            <w:shd w:val="clear" w:color="auto" w:fill="CCE0ED"/>
            <w:vAlign w:val="center"/>
          </w:tcPr>
          <w:p w14:paraId="4E0881A7" w14:textId="77777777" w:rsidR="00161C86" w:rsidRPr="00976D1C" w:rsidRDefault="00161C86" w:rsidP="00EC4213">
            <w:pPr>
              <w:pStyle w:val="TableText"/>
            </w:pPr>
            <w:r w:rsidRPr="00976D1C">
              <w:t>4.75%</w:t>
            </w:r>
          </w:p>
        </w:tc>
        <w:tc>
          <w:tcPr>
            <w:tcW w:w="556" w:type="pct"/>
            <w:shd w:val="clear" w:color="auto" w:fill="CCE0ED"/>
            <w:vAlign w:val="center"/>
          </w:tcPr>
          <w:p w14:paraId="3762BEEE" w14:textId="77777777" w:rsidR="00161C86" w:rsidRPr="00976D1C" w:rsidRDefault="00161C86" w:rsidP="00EC4213">
            <w:pPr>
              <w:pStyle w:val="TableText"/>
            </w:pPr>
            <w:r w:rsidRPr="00976D1C">
              <w:t>1.77%</w:t>
            </w:r>
          </w:p>
        </w:tc>
        <w:tc>
          <w:tcPr>
            <w:tcW w:w="556" w:type="pct"/>
            <w:shd w:val="clear" w:color="auto" w:fill="CCE0ED"/>
            <w:vAlign w:val="center"/>
          </w:tcPr>
          <w:p w14:paraId="62439370" w14:textId="77777777" w:rsidR="00161C86" w:rsidRPr="00976D1C" w:rsidRDefault="00161C86" w:rsidP="00EC4213">
            <w:pPr>
              <w:pStyle w:val="TableText"/>
            </w:pPr>
            <w:r w:rsidRPr="00976D1C">
              <w:t>1.70%</w:t>
            </w:r>
          </w:p>
        </w:tc>
        <w:tc>
          <w:tcPr>
            <w:tcW w:w="556" w:type="pct"/>
            <w:shd w:val="clear" w:color="auto" w:fill="CCE0ED"/>
            <w:vAlign w:val="center"/>
          </w:tcPr>
          <w:p w14:paraId="557C2DDE" w14:textId="77777777" w:rsidR="00161C86" w:rsidRPr="00976D1C" w:rsidRDefault="00161C86" w:rsidP="00EC4213">
            <w:pPr>
              <w:pStyle w:val="TableText"/>
            </w:pPr>
            <w:r w:rsidRPr="00976D1C">
              <w:t>1.51%</w:t>
            </w:r>
          </w:p>
        </w:tc>
        <w:tc>
          <w:tcPr>
            <w:tcW w:w="556" w:type="pct"/>
            <w:shd w:val="clear" w:color="auto" w:fill="CCE0ED"/>
            <w:vAlign w:val="center"/>
          </w:tcPr>
          <w:p w14:paraId="17F872FF" w14:textId="77777777" w:rsidR="00161C86" w:rsidRPr="00976D1C" w:rsidRDefault="00161C86" w:rsidP="00EC4213">
            <w:pPr>
              <w:pStyle w:val="TableText"/>
              <w:rPr>
                <w:b/>
              </w:rPr>
            </w:pPr>
            <w:r w:rsidRPr="00976D1C">
              <w:rPr>
                <w:b/>
              </w:rPr>
              <w:t>3.22%</w:t>
            </w:r>
          </w:p>
        </w:tc>
      </w:tr>
    </w:tbl>
    <w:p w14:paraId="5D21998E" w14:textId="60665FFD" w:rsidR="00DF46FB" w:rsidRPr="00976D1C" w:rsidRDefault="00DF46FB" w:rsidP="00EC4213">
      <w:pPr>
        <w:pStyle w:val="Tablenotes"/>
      </w:pPr>
      <w:r w:rsidRPr="00976D1C">
        <w:t xml:space="preserve">Source: </w:t>
      </w:r>
      <w:r w:rsidR="00BD188F" w:rsidRPr="00976D1C">
        <w:t>HWA analysis of ARCPOH data</w:t>
      </w:r>
    </w:p>
    <w:p w14:paraId="6D0CB2D3" w14:textId="4621EE5A" w:rsidR="00DF46FB" w:rsidRPr="00976D1C" w:rsidRDefault="00DF46FB" w:rsidP="00EC4213">
      <w:pPr>
        <w:pStyle w:val="Heading3"/>
        <w:rPr>
          <w:lang w:val="en-AU"/>
        </w:rPr>
      </w:pPr>
      <w:r w:rsidRPr="00976D1C">
        <w:rPr>
          <w:lang w:val="en-AU"/>
        </w:rPr>
        <w:t xml:space="preserve">Scenarios </w:t>
      </w:r>
    </w:p>
    <w:p w14:paraId="1B354B7B" w14:textId="77777777" w:rsidR="00DF46FB" w:rsidRPr="00976D1C" w:rsidRDefault="00DF46FB" w:rsidP="00EC4213">
      <w:r w:rsidRPr="00976D1C">
        <w:t>Scenario modelling is used to demonstrate the impact of potential policy options on future workforce supply and demand. These ‘alternative futures’ are modelled and measured by varying input parameters. The general method used is to present a comparison scenario, where current trends are assumed to continue into the future, and use this to compare with a range of alternative scenarios. The alternative scenarios are generated by altering parameters in the model, with the flow through effect to the future workforce measured through the impact relative to the comparison scenario.</w:t>
      </w:r>
    </w:p>
    <w:p w14:paraId="33422724" w14:textId="527D5416" w:rsidR="007B5FE6" w:rsidRPr="00976D1C" w:rsidRDefault="00DF46FB" w:rsidP="00EC4213">
      <w:r w:rsidRPr="00976D1C">
        <w:t>The impact of these scenarios is measured by comparing their workforce projection results with the comparison scenario – a technical construct where current trends are assumed to continue into the future. The comparison scenario is</w:t>
      </w:r>
      <w:r w:rsidR="003812D6" w:rsidRPr="00976D1C">
        <w:t xml:space="preserve"> not a prediction of the future;</w:t>
      </w:r>
      <w:r w:rsidRPr="00976D1C">
        <w:t xml:space="preserve"> </w:t>
      </w:r>
      <w:r w:rsidR="007B5FE6" w:rsidRPr="00976D1C">
        <w:t>it is based on utilisation patterns as they currently exist;</w:t>
      </w:r>
      <w:r w:rsidR="00134947" w:rsidRPr="00976D1C">
        <w:t xml:space="preserve"> does not account for any unmet need;</w:t>
      </w:r>
      <w:r w:rsidR="007B5FE6" w:rsidRPr="00976D1C">
        <w:t xml:space="preserve"> and </w:t>
      </w:r>
      <w:r w:rsidRPr="00976D1C">
        <w:t xml:space="preserve">should be interpreted as a ‘do nothing’ scenario, which assumes known policy settings are held constant as their future levels cannot be predicted. This allows an assessment of the effects of other changes which may </w:t>
      </w:r>
      <w:r w:rsidRPr="00976D1C">
        <w:lastRenderedPageBreak/>
        <w:t>impact the workforce. In the comparison scenario, the total growth in visits between 1994 and 2010</w:t>
      </w:r>
      <w:r w:rsidR="003812D6" w:rsidRPr="00976D1C">
        <w:t xml:space="preserve"> (2.55 per cent, see Table </w:t>
      </w:r>
      <w:r w:rsidR="00DC3122" w:rsidRPr="00976D1C">
        <w:t>6</w:t>
      </w:r>
      <w:r w:rsidRPr="00976D1C">
        <w:t>) was used to calculate baseline projections for demand for oral health services.</w:t>
      </w:r>
    </w:p>
    <w:p w14:paraId="756F68A1" w14:textId="77777777" w:rsidR="008C5528" w:rsidRPr="00976D1C" w:rsidRDefault="00DF46FB" w:rsidP="00EC4213">
      <w:pPr>
        <w:rPr>
          <w:vertAlign w:val="superscript"/>
        </w:rPr>
      </w:pPr>
      <w:r w:rsidRPr="00976D1C">
        <w:rPr>
          <w:lang w:eastAsia="en-AU"/>
        </w:rPr>
        <w:t>Eight alternative scenarios were developed for AFHW – Oral Health. It is important to note the scenarios are not predictions of what will happen over the period to 2025 – each provides an estimate of a likely outcome given the set of conditions upon which it is based.</w:t>
      </w:r>
      <w:r w:rsidRPr="00976D1C">
        <w:rPr>
          <w:rFonts w:cs="Times"/>
          <w:lang w:eastAsia="en-AU"/>
        </w:rPr>
        <w:t xml:space="preserve"> </w:t>
      </w:r>
      <w:r w:rsidRPr="00976D1C">
        <w:t xml:space="preserve">The scenarios were developed based on consultation with stakeholders, and follow the similar vein as those in </w:t>
      </w:r>
      <w:r w:rsidRPr="00976D1C">
        <w:rPr>
          <w:i/>
        </w:rPr>
        <w:t>Health Workforce 2025 – Doctors, Nurses and Midwives Volumes 1 to 3</w:t>
      </w:r>
      <w:r w:rsidR="00915581" w:rsidRPr="00976D1C">
        <w:rPr>
          <w:i/>
        </w:rPr>
        <w:t>.</w:t>
      </w:r>
      <w:r w:rsidR="00915581" w:rsidRPr="00A90656">
        <w:rPr>
          <w:rStyle w:val="EndnoteReference"/>
        </w:rPr>
        <w:endnoteReference w:id="45"/>
      </w:r>
      <w:r w:rsidR="00915581" w:rsidRPr="00976D1C">
        <w:rPr>
          <w:vertAlign w:val="superscript"/>
        </w:rPr>
        <w:t>,</w:t>
      </w:r>
      <w:r w:rsidR="00915581" w:rsidRPr="00A90656">
        <w:rPr>
          <w:rStyle w:val="EndnoteReference"/>
        </w:rPr>
        <w:endnoteReference w:id="46"/>
      </w:r>
      <w:r w:rsidR="00915581" w:rsidRPr="00976D1C">
        <w:rPr>
          <w:vertAlign w:val="superscript"/>
        </w:rPr>
        <w:t>,</w:t>
      </w:r>
      <w:r w:rsidR="00915581" w:rsidRPr="00A90656">
        <w:rPr>
          <w:rStyle w:val="EndnoteReference"/>
        </w:rPr>
        <w:endnoteReference w:id="47"/>
      </w:r>
      <w:r w:rsidR="008C5528" w:rsidRPr="00976D1C">
        <w:rPr>
          <w:vertAlign w:val="superscript"/>
        </w:rPr>
        <w:t xml:space="preserve"> </w:t>
      </w:r>
    </w:p>
    <w:p w14:paraId="3F7FA9BD" w14:textId="4E0DEB8A" w:rsidR="00DF46FB" w:rsidRPr="00976D1C" w:rsidRDefault="00DF46FB" w:rsidP="00EC4213">
      <w:pPr>
        <w:rPr>
          <w:rFonts w:cs="Times"/>
          <w:lang w:eastAsia="en-AU"/>
        </w:rPr>
      </w:pPr>
      <w:r w:rsidRPr="00976D1C">
        <w:t xml:space="preserve">These scenarios reflect potential policy options for </w:t>
      </w:r>
      <w:r w:rsidR="00332E26" w:rsidRPr="00976D1C">
        <w:t xml:space="preserve">the </w:t>
      </w:r>
      <w:r w:rsidRPr="00976D1C">
        <w:t xml:space="preserve">government, industry and education sectors to influence health workforce outcomes, as well as possible external shocks to the oral health workforce. </w:t>
      </w:r>
    </w:p>
    <w:p w14:paraId="1F9F8AC2" w14:textId="77777777" w:rsidR="00DF46FB" w:rsidRPr="00976D1C" w:rsidRDefault="00DF46FB" w:rsidP="00EC4213">
      <w:pPr>
        <w:pStyle w:val="Heading4"/>
        <w:rPr>
          <w:lang w:val="en-AU"/>
        </w:rPr>
      </w:pPr>
      <w:r w:rsidRPr="00976D1C">
        <w:rPr>
          <w:lang w:val="en-AU"/>
        </w:rPr>
        <w:t xml:space="preserve">Medium self-sufficiency </w:t>
      </w:r>
    </w:p>
    <w:p w14:paraId="469AF8D0" w14:textId="4DA27A29" w:rsidR="00DF46FB" w:rsidRPr="00976D1C" w:rsidRDefault="00DF46FB" w:rsidP="00EC4213">
      <w:r w:rsidRPr="00976D1C">
        <w:t xml:space="preserve">This scenario presents the results of moving towards a 50 per cent reduction in net international migration (both temporary and permanent), and a 50 per cent reduction in the number of international students graduating Australian dental </w:t>
      </w:r>
      <w:r w:rsidR="00DA310F" w:rsidRPr="00976D1C">
        <w:t>programme</w:t>
      </w:r>
      <w:r w:rsidRPr="00976D1C">
        <w:t>s, by 2025 (starting from the number of migrants and international graduates in the base year, 2012).</w:t>
      </w:r>
    </w:p>
    <w:p w14:paraId="42481037" w14:textId="77777777" w:rsidR="00DF46FB" w:rsidRPr="00976D1C" w:rsidRDefault="00DF46FB" w:rsidP="00EC4213">
      <w:pPr>
        <w:pStyle w:val="Heading4"/>
        <w:rPr>
          <w:lang w:val="en-AU"/>
        </w:rPr>
      </w:pPr>
      <w:r w:rsidRPr="00976D1C">
        <w:rPr>
          <w:lang w:val="en-AU"/>
        </w:rPr>
        <w:t>Productivity</w:t>
      </w:r>
    </w:p>
    <w:p w14:paraId="61A2E0D9" w14:textId="78EAEFA1" w:rsidR="00DF46FB" w:rsidRPr="00976D1C" w:rsidRDefault="00DF46FB" w:rsidP="00EC4213">
      <w:r w:rsidRPr="00976D1C">
        <w:t xml:space="preserve">This scenario presents the impact on workforce supply and demand projections of a five per cent productivity gain over the projection period. In this scenario, the productivity gain is not attributed to any particular measure, but could include gains achieved through workforce reforms such as changing models of care, adjustments to skill mix, health professionals working to their full scope of practice and technology changes. </w:t>
      </w:r>
      <w:r w:rsidR="00666C28" w:rsidRPr="00976D1C">
        <w:t xml:space="preserve">In the modelling, an increase in productivity is represented by reducing demand, because the ability to produce more with less requires fewer people to deliver a given quantum of services. </w:t>
      </w:r>
      <w:r w:rsidRPr="00976D1C">
        <w:t xml:space="preserve">Given the nature of oral health service delivery in Australia, a five per cent productivity gain may sound low to some stakeholders, but this needs to take into account improvements in both the public and private sectors. </w:t>
      </w:r>
    </w:p>
    <w:p w14:paraId="4098E0FD" w14:textId="77777777" w:rsidR="00DF46FB" w:rsidRPr="00976D1C" w:rsidRDefault="00DF46FB" w:rsidP="00EC4213">
      <w:pPr>
        <w:pStyle w:val="Heading4"/>
        <w:rPr>
          <w:lang w:val="en-AU"/>
        </w:rPr>
      </w:pPr>
      <w:r w:rsidRPr="00976D1C">
        <w:rPr>
          <w:lang w:val="en-AU"/>
        </w:rPr>
        <w:t>Low demand</w:t>
      </w:r>
    </w:p>
    <w:p w14:paraId="43FC22ED" w14:textId="00423B98" w:rsidR="00DF46FB" w:rsidRPr="00976D1C" w:rsidRDefault="00DF46FB" w:rsidP="00EC4213">
      <w:r w:rsidRPr="00976D1C">
        <w:t>This scenario models the impact of a reduction in demand that may stem from the effects of health reform measures and other systemic changes that would lower the use of oral health services by the general population, or a reduction in the demand for particular categories of oral health practitioners. For the purposes of modelling, one per cent</w:t>
      </w:r>
      <w:r w:rsidR="00524A34" w:rsidRPr="00976D1C">
        <w:t xml:space="preserve"> </w:t>
      </w:r>
      <w:r w:rsidRPr="00976D1C">
        <w:t>was used</w:t>
      </w:r>
      <w:r w:rsidR="00524A34" w:rsidRPr="00976D1C">
        <w:t xml:space="preserve"> (which is less than the comparison scenario demand)</w:t>
      </w:r>
      <w:r w:rsidRPr="00976D1C">
        <w:t xml:space="preserve">. </w:t>
      </w:r>
    </w:p>
    <w:p w14:paraId="3AD4AFD8" w14:textId="77777777" w:rsidR="00DF46FB" w:rsidRPr="00976D1C" w:rsidRDefault="00DF46FB" w:rsidP="00EC4213">
      <w:pPr>
        <w:pStyle w:val="Heading4"/>
        <w:rPr>
          <w:lang w:val="en-AU"/>
        </w:rPr>
      </w:pPr>
      <w:r w:rsidRPr="00976D1C">
        <w:rPr>
          <w:lang w:val="en-AU"/>
        </w:rPr>
        <w:lastRenderedPageBreak/>
        <w:t xml:space="preserve">High demand </w:t>
      </w:r>
    </w:p>
    <w:p w14:paraId="0C6AD1D4" w14:textId="68E5FA2D" w:rsidR="00DF46FB" w:rsidRPr="00976D1C" w:rsidRDefault="00DF46FB" w:rsidP="00EC4213">
      <w:r w:rsidRPr="00976D1C">
        <w:t>This scenario models the impact of increase in demand for oral health services or an increase in demand for particular categories of oral health practitioners by the general population. The level of growth in oral health services provided between 1994 a</w:t>
      </w:r>
      <w:r w:rsidR="003812D6" w:rsidRPr="00976D1C">
        <w:t>nd 2010</w:t>
      </w:r>
      <w:r w:rsidRPr="00976D1C">
        <w:t xml:space="preserve">, </w:t>
      </w:r>
      <w:r w:rsidR="00026033" w:rsidRPr="00976D1C">
        <w:t>5.85</w:t>
      </w:r>
      <w:r w:rsidRPr="00976D1C">
        <w:t xml:space="preserve"> per cent</w:t>
      </w:r>
      <w:r w:rsidR="003812D6" w:rsidRPr="00976D1C">
        <w:t xml:space="preserve"> (</w:t>
      </w:r>
      <w:r w:rsidR="003812D6" w:rsidRPr="00976D1C">
        <w:fldChar w:fldCharType="begin"/>
      </w:r>
      <w:r w:rsidR="003812D6" w:rsidRPr="00976D1C">
        <w:instrText xml:space="preserve"> REF _Ref383431382 \h </w:instrText>
      </w:r>
      <w:r w:rsidR="001856EB" w:rsidRPr="00976D1C">
        <w:instrText xml:space="preserve"> \* MERGEFORMAT </w:instrText>
      </w:r>
      <w:r w:rsidR="003812D6" w:rsidRPr="00976D1C">
        <w:fldChar w:fldCharType="separate"/>
      </w:r>
      <w:r w:rsidR="00496730" w:rsidRPr="00976D1C">
        <w:t xml:space="preserve">Table </w:t>
      </w:r>
      <w:r w:rsidR="00496730" w:rsidRPr="00976D1C">
        <w:rPr>
          <w:noProof/>
        </w:rPr>
        <w:t>6</w:t>
      </w:r>
      <w:r w:rsidR="003812D6" w:rsidRPr="00976D1C">
        <w:fldChar w:fldCharType="end"/>
      </w:r>
      <w:r w:rsidR="003812D6" w:rsidRPr="00976D1C">
        <w:t>)</w:t>
      </w:r>
      <w:r w:rsidRPr="00976D1C">
        <w:t xml:space="preserve">, has been used as the growth rate to model this scenario. </w:t>
      </w:r>
    </w:p>
    <w:p w14:paraId="79007C1E" w14:textId="77777777" w:rsidR="00DF46FB" w:rsidRPr="00976D1C" w:rsidRDefault="00DF46FB" w:rsidP="00EC4213">
      <w:pPr>
        <w:pStyle w:val="Heading4"/>
        <w:rPr>
          <w:lang w:val="en-AU"/>
        </w:rPr>
      </w:pPr>
      <w:r w:rsidRPr="00976D1C">
        <w:rPr>
          <w:lang w:val="en-AU"/>
        </w:rPr>
        <w:t xml:space="preserve">Undersupply </w:t>
      </w:r>
    </w:p>
    <w:p w14:paraId="22A67D64" w14:textId="59BB6C5C" w:rsidR="00DF46FB" w:rsidRPr="00976D1C" w:rsidRDefault="00DF46FB" w:rsidP="00EC4213">
      <w:r w:rsidRPr="00976D1C">
        <w:t xml:space="preserve">An assumption in the workforce projections is that supply and demand are in balance in the first year. There is no quantitative measure of the pre-existing workforce position (whether it is in shortage, balance or </w:t>
      </w:r>
      <w:r w:rsidR="00D63A3A" w:rsidRPr="00976D1C">
        <w:t>supply exceeds demand</w:t>
      </w:r>
      <w:r w:rsidRPr="00976D1C">
        <w:t>), however the consensus among stakeholders is that the oral health workforce is in undersupply</w:t>
      </w:r>
      <w:r w:rsidR="003812D6" w:rsidRPr="00976D1C">
        <w:t xml:space="preserve"> in some areas,</w:t>
      </w:r>
      <w:r w:rsidRPr="00976D1C">
        <w:t xml:space="preserve"> such as the public sector and in rural and remote areas. </w:t>
      </w:r>
    </w:p>
    <w:p w14:paraId="68252DC8" w14:textId="77777777" w:rsidR="00DF46FB" w:rsidRPr="00976D1C" w:rsidRDefault="00DF46FB" w:rsidP="00EC4213">
      <w:r w:rsidRPr="00976D1C">
        <w:t xml:space="preserve">Therefore, this scenario was developed to illustrate the impact on the workforce where a five per cent undersupply is assumed in the initial year of modelling. </w:t>
      </w:r>
    </w:p>
    <w:p w14:paraId="755A444B" w14:textId="77777777" w:rsidR="00DF46FB" w:rsidRPr="00976D1C" w:rsidRDefault="00DF46FB" w:rsidP="00EC4213">
      <w:pPr>
        <w:pStyle w:val="Heading4"/>
        <w:rPr>
          <w:lang w:val="en-AU"/>
        </w:rPr>
      </w:pPr>
      <w:r w:rsidRPr="00976D1C">
        <w:rPr>
          <w:lang w:val="en-AU"/>
        </w:rPr>
        <w:t xml:space="preserve">Oversupply </w:t>
      </w:r>
    </w:p>
    <w:p w14:paraId="22FAEE01" w14:textId="4F2A5B64" w:rsidR="00DF46FB" w:rsidRPr="00976D1C" w:rsidRDefault="00DF46FB" w:rsidP="00EC4213">
      <w:r w:rsidRPr="00976D1C">
        <w:t xml:space="preserve">Similar to the undersupply scenario, as there is no quantitative measure of the pre-existing workforce position (whether it is in shortage, balance or </w:t>
      </w:r>
      <w:r w:rsidR="00D63A3A" w:rsidRPr="00976D1C">
        <w:t>supply exceeds demand</w:t>
      </w:r>
      <w:r w:rsidRPr="00976D1C">
        <w:t xml:space="preserve">) of the oral health workforce, this scenario models the assumption that there is an existing workforce imbalance in the base year of the projections, with </w:t>
      </w:r>
      <w:r w:rsidR="00332E26" w:rsidRPr="00976D1C">
        <w:t xml:space="preserve">workforce </w:t>
      </w:r>
      <w:r w:rsidRPr="00976D1C">
        <w:t>supply higher than demand. There was consensus among stakeholders that, despite any geographic and sectoral mal</w:t>
      </w:r>
      <w:r w:rsidR="0043219E" w:rsidRPr="00976D1C">
        <w:t>-</w:t>
      </w:r>
      <w:r w:rsidRPr="00976D1C">
        <w:t>distribution in the oral health workforce, some areas of oral health practitioners</w:t>
      </w:r>
      <w:r w:rsidR="00D63A3A" w:rsidRPr="00976D1C">
        <w:t>’</w:t>
      </w:r>
      <w:r w:rsidRPr="00976D1C">
        <w:t xml:space="preserve"> </w:t>
      </w:r>
      <w:r w:rsidR="00D63A3A" w:rsidRPr="00976D1C">
        <w:t>supply exceeds demand</w:t>
      </w:r>
      <w:r w:rsidRPr="00976D1C">
        <w:t>.</w:t>
      </w:r>
    </w:p>
    <w:p w14:paraId="0F89607A" w14:textId="77777777" w:rsidR="00DF46FB" w:rsidRPr="00976D1C" w:rsidRDefault="00DF46FB" w:rsidP="00EC4213">
      <w:r w:rsidRPr="00976D1C">
        <w:t>The scenario demonstrates the impact on the workforce where a five per cent oversupply is assumed in the initial year of modelling.</w:t>
      </w:r>
    </w:p>
    <w:p w14:paraId="289E4FD1" w14:textId="77777777" w:rsidR="00DF46FB" w:rsidRPr="00976D1C" w:rsidRDefault="00DF46FB" w:rsidP="00EC4213">
      <w:pPr>
        <w:pStyle w:val="Heading4"/>
        <w:rPr>
          <w:lang w:val="en-AU"/>
        </w:rPr>
      </w:pPr>
      <w:r w:rsidRPr="00976D1C">
        <w:rPr>
          <w:lang w:val="en-AU"/>
        </w:rPr>
        <w:t>Graduate reduction</w:t>
      </w:r>
    </w:p>
    <w:p w14:paraId="5C68C224" w14:textId="6847B596" w:rsidR="00DF46FB" w:rsidRPr="00976D1C" w:rsidRDefault="00DF46FB" w:rsidP="00EC4213">
      <w:r w:rsidRPr="00976D1C">
        <w:t xml:space="preserve">This scenario models the effects of a ten per cent reduction in the number of graduates (both domestic and international) of Australian dental </w:t>
      </w:r>
      <w:r w:rsidR="00DA310F" w:rsidRPr="00976D1C">
        <w:t>programme</w:t>
      </w:r>
      <w:r w:rsidRPr="00976D1C">
        <w:t xml:space="preserve">s. In the comparison scenario, the number of graduates was projected to 2017, based on recent trends in the number of graduates, the number of students currently enrolled in dental </w:t>
      </w:r>
      <w:r w:rsidR="00DA310F" w:rsidRPr="00976D1C">
        <w:t>programme</w:t>
      </w:r>
      <w:r w:rsidRPr="00976D1C">
        <w:t xml:space="preserve">s, and their expected years of completion. This number was then held constant from 2017 to 2025. In the graduate reduction scenario, a ten per cent </w:t>
      </w:r>
      <w:r w:rsidR="00524A34" w:rsidRPr="00976D1C">
        <w:t>reduction</w:t>
      </w:r>
      <w:r w:rsidRPr="00976D1C">
        <w:t xml:space="preserve"> in the projected number of graduates to 2017 was calculated, and the reduced number of expected graduates in 2017 was held constant to 2025. </w:t>
      </w:r>
    </w:p>
    <w:p w14:paraId="39ECC847" w14:textId="220E17BB" w:rsidR="00DF46FB" w:rsidRPr="00976D1C" w:rsidRDefault="00DF46FB" w:rsidP="00EC4213">
      <w:r w:rsidRPr="00976D1C">
        <w:t>In th</w:t>
      </w:r>
      <w:r w:rsidR="004521D5" w:rsidRPr="00976D1C">
        <w:t>is</w:t>
      </w:r>
      <w:r w:rsidRPr="00976D1C">
        <w:t xml:space="preserve"> scenario, the reduction in graduate numbers is not attributed to any particular measure, but could include a reduction due to a cap in student numbers or a reduction in the number of students electing to enter or complete dental </w:t>
      </w:r>
      <w:r w:rsidR="00DA310F" w:rsidRPr="00976D1C">
        <w:t>programme</w:t>
      </w:r>
      <w:r w:rsidRPr="00976D1C">
        <w:t xml:space="preserve">s. </w:t>
      </w:r>
    </w:p>
    <w:p w14:paraId="4BCC2688" w14:textId="77777777" w:rsidR="00DF46FB" w:rsidRPr="00976D1C" w:rsidRDefault="00DF46FB" w:rsidP="00EC4213">
      <w:pPr>
        <w:pStyle w:val="Heading2"/>
      </w:pPr>
      <w:bookmarkStart w:id="112" w:name="_Toc377045984"/>
      <w:bookmarkStart w:id="113" w:name="_Toc407634436"/>
      <w:r w:rsidRPr="00976D1C">
        <w:lastRenderedPageBreak/>
        <w:t>Assumptions</w:t>
      </w:r>
      <w:bookmarkEnd w:id="112"/>
      <w:bookmarkEnd w:id="113"/>
    </w:p>
    <w:p w14:paraId="71EF07F8" w14:textId="77777777" w:rsidR="00DF46FB" w:rsidRPr="00976D1C" w:rsidRDefault="00DF46FB" w:rsidP="00EC4213">
      <w:r w:rsidRPr="00976D1C">
        <w:t>The simulation modelling techniques used to produce the projections rely on two key inputs:</w:t>
      </w:r>
    </w:p>
    <w:p w14:paraId="7A11A9C1" w14:textId="77777777" w:rsidR="00DF46FB" w:rsidRPr="00976D1C" w:rsidRDefault="00DF46FB" w:rsidP="00EC4213">
      <w:pPr>
        <w:pStyle w:val="ListParagraph"/>
        <w:numPr>
          <w:ilvl w:val="0"/>
          <w:numId w:val="45"/>
        </w:numPr>
      </w:pPr>
      <w:r w:rsidRPr="00976D1C">
        <w:t xml:space="preserve">The set of assumptions about future conditions; and </w:t>
      </w:r>
    </w:p>
    <w:p w14:paraId="12AA4A47" w14:textId="77777777" w:rsidR="00DF46FB" w:rsidRPr="00976D1C" w:rsidRDefault="00DF46FB" w:rsidP="00EC4213">
      <w:pPr>
        <w:pStyle w:val="ListParagraph"/>
        <w:numPr>
          <w:ilvl w:val="0"/>
          <w:numId w:val="45"/>
        </w:numPr>
      </w:pPr>
      <w:r w:rsidRPr="00976D1C">
        <w:t xml:space="preserve">The data from which the model’s parameters inputs and starting position are derived. </w:t>
      </w:r>
    </w:p>
    <w:p w14:paraId="29F02E55" w14:textId="77777777" w:rsidR="00DF46FB" w:rsidRPr="00976D1C" w:rsidRDefault="00DF46FB" w:rsidP="00EC4213">
      <w:r w:rsidRPr="00976D1C">
        <w:t>The assumptions are important as they affect the interpretation of workforce projection results. The projections provide likely outcomes given the assumptions on which they are based, so if any of the assumptions are not applicable or cease to reflect real world situations, the projections will not provide an accurate indication of future outcomes. For the input data, any inaccuracies that may exist will directly impact on the accuracy of the modelled results.</w:t>
      </w:r>
    </w:p>
    <w:p w14:paraId="7E2E309E" w14:textId="6F05A92C" w:rsidR="00DF46FB" w:rsidRPr="00976D1C" w:rsidRDefault="00DF46FB" w:rsidP="00EC4213">
      <w:pPr>
        <w:rPr>
          <w:lang w:eastAsia="en-AU"/>
        </w:rPr>
      </w:pPr>
      <w:r w:rsidRPr="00976D1C">
        <w:rPr>
          <w:lang w:eastAsia="en-AU"/>
        </w:rPr>
        <w:t>Major assumptions and data treatments underlying the scenarios are outlined in the following sections. These are critical to understand as the interpretation of the modelled outputs needs to be done in the context of the underpinning assumptions.</w:t>
      </w:r>
    </w:p>
    <w:p w14:paraId="4D0C1103" w14:textId="77777777" w:rsidR="00DF46FB" w:rsidRPr="00976D1C" w:rsidRDefault="00DF46FB" w:rsidP="00EC4213">
      <w:pPr>
        <w:pStyle w:val="Heading3"/>
        <w:rPr>
          <w:lang w:val="en-AU"/>
        </w:rPr>
      </w:pPr>
      <w:r w:rsidRPr="00976D1C">
        <w:rPr>
          <w:lang w:val="en-AU"/>
        </w:rPr>
        <w:t>Supply assumptions</w:t>
      </w:r>
    </w:p>
    <w:p w14:paraId="62F5846B" w14:textId="77777777" w:rsidR="00DF46FB" w:rsidRPr="00976D1C" w:rsidRDefault="00DF46FB" w:rsidP="00EC4213">
      <w:pPr>
        <w:pStyle w:val="ListParagraph"/>
        <w:numPr>
          <w:ilvl w:val="0"/>
          <w:numId w:val="46"/>
        </w:numPr>
      </w:pPr>
      <w:r w:rsidRPr="00976D1C">
        <w:rPr>
          <w:lang w:eastAsia="en-AU"/>
        </w:rPr>
        <w:t xml:space="preserve">The base oral health workforce is set at 2012 levels. </w:t>
      </w:r>
    </w:p>
    <w:p w14:paraId="7FE5DF06" w14:textId="3F671292" w:rsidR="00DF46FB" w:rsidRPr="00976D1C" w:rsidRDefault="00DF46FB" w:rsidP="00EC4213">
      <w:pPr>
        <w:pStyle w:val="ListParagraph"/>
        <w:numPr>
          <w:ilvl w:val="0"/>
          <w:numId w:val="46"/>
        </w:numPr>
      </w:pPr>
      <w:r w:rsidRPr="00976D1C">
        <w:rPr>
          <w:lang w:eastAsia="en-AU"/>
        </w:rPr>
        <w:t xml:space="preserve">Workforce entrants enter the model as graduates or as </w:t>
      </w:r>
      <w:r w:rsidR="00332E26" w:rsidRPr="00976D1C">
        <w:rPr>
          <w:lang w:eastAsia="en-AU"/>
        </w:rPr>
        <w:t>i</w:t>
      </w:r>
      <w:r w:rsidRPr="00976D1C">
        <w:rPr>
          <w:lang w:eastAsia="en-AU"/>
        </w:rPr>
        <w:t>nternationally-trained oral health professionals through either temporary or</w:t>
      </w:r>
      <w:r w:rsidRPr="00976D1C">
        <w:t xml:space="preserve"> </w:t>
      </w:r>
      <w:r w:rsidRPr="00976D1C">
        <w:rPr>
          <w:lang w:eastAsia="en-AU"/>
        </w:rPr>
        <w:t xml:space="preserve">permanent migration streams. </w:t>
      </w:r>
    </w:p>
    <w:p w14:paraId="30A9E76F" w14:textId="77777777" w:rsidR="00DF46FB" w:rsidRPr="00976D1C" w:rsidRDefault="00DF46FB" w:rsidP="00EC4213">
      <w:pPr>
        <w:pStyle w:val="ListParagraph"/>
        <w:numPr>
          <w:ilvl w:val="0"/>
          <w:numId w:val="46"/>
        </w:numPr>
      </w:pPr>
      <w:r w:rsidRPr="00976D1C">
        <w:rPr>
          <w:lang w:eastAsia="en-AU"/>
        </w:rPr>
        <w:t>Dental graduates entering the workforce are grown through to 2017 based on ACODS data and held constant thereafter. For the other workforces, graduates are grown through to 2015, and held constant thereafter.</w:t>
      </w:r>
    </w:p>
    <w:p w14:paraId="012069B7" w14:textId="77777777" w:rsidR="00DF46FB" w:rsidRPr="00976D1C" w:rsidRDefault="00DF46FB" w:rsidP="00EC4213">
      <w:pPr>
        <w:pStyle w:val="ListParagraph"/>
        <w:numPr>
          <w:ilvl w:val="0"/>
          <w:numId w:val="46"/>
        </w:numPr>
      </w:pPr>
      <w:r w:rsidRPr="00976D1C">
        <w:rPr>
          <w:lang w:eastAsia="en-AU"/>
        </w:rPr>
        <w:t>The inflow of oral health professionals via migration is</w:t>
      </w:r>
      <w:r w:rsidRPr="00976D1C">
        <w:t xml:space="preserve"> </w:t>
      </w:r>
      <w:r w:rsidRPr="00976D1C">
        <w:rPr>
          <w:lang w:eastAsia="en-AU"/>
        </w:rPr>
        <w:t>obtained from the Department of Immigration and Border Protection. The model holds</w:t>
      </w:r>
      <w:r w:rsidRPr="00976D1C">
        <w:t xml:space="preserve"> </w:t>
      </w:r>
      <w:r w:rsidRPr="00976D1C">
        <w:rPr>
          <w:lang w:eastAsia="en-AU"/>
        </w:rPr>
        <w:t>constant 2012 levels of international migration.</w:t>
      </w:r>
    </w:p>
    <w:p w14:paraId="53844388" w14:textId="0976B2EF" w:rsidR="00DF46FB" w:rsidRPr="00976D1C" w:rsidRDefault="00DF46FB" w:rsidP="00EC4213">
      <w:pPr>
        <w:pStyle w:val="ListParagraph"/>
        <w:numPr>
          <w:ilvl w:val="0"/>
          <w:numId w:val="46"/>
        </w:numPr>
        <w:rPr>
          <w:lang w:eastAsia="en-AU"/>
        </w:rPr>
      </w:pPr>
      <w:r w:rsidRPr="00976D1C">
        <w:rPr>
          <w:lang w:eastAsia="en-AU"/>
        </w:rPr>
        <w:t xml:space="preserve">The proportion of graduating international students entering the workforce is calculated at 70 </w:t>
      </w:r>
      <w:r w:rsidR="000F41D2" w:rsidRPr="00976D1C">
        <w:rPr>
          <w:lang w:eastAsia="en-AU"/>
        </w:rPr>
        <w:t>per cent</w:t>
      </w:r>
      <w:r w:rsidRPr="00976D1C">
        <w:rPr>
          <w:lang w:eastAsia="en-AU"/>
        </w:rPr>
        <w:t xml:space="preserve"> for dentists. </w:t>
      </w:r>
    </w:p>
    <w:p w14:paraId="141F9F23" w14:textId="77777777" w:rsidR="00DF46FB" w:rsidRPr="00976D1C" w:rsidRDefault="00DF46FB" w:rsidP="00EC4213">
      <w:pPr>
        <w:pStyle w:val="ListParagraph"/>
        <w:numPr>
          <w:ilvl w:val="0"/>
          <w:numId w:val="46"/>
        </w:numPr>
        <w:rPr>
          <w:lang w:eastAsia="en-AU"/>
        </w:rPr>
      </w:pPr>
      <w:r w:rsidRPr="00976D1C">
        <w:rPr>
          <w:lang w:eastAsia="en-AU"/>
        </w:rPr>
        <w:t xml:space="preserve">Hours worked are calculated and applied separately for each age/sex cohort within each oral health workforce (dentists, dental prosthetists, </w:t>
      </w:r>
      <w:r w:rsidRPr="00976D1C">
        <w:t>oral health therapists, dental hygienists, dental therapists</w:t>
      </w:r>
      <w:r w:rsidRPr="00976D1C">
        <w:rPr>
          <w:lang w:eastAsia="en-AU"/>
        </w:rPr>
        <w:t>). The data from which hours worked is calculated is taken from the National Health Workforce Dataset for 2012.</w:t>
      </w:r>
    </w:p>
    <w:p w14:paraId="1C28C1C8" w14:textId="77777777" w:rsidR="00DF46FB" w:rsidRPr="00976D1C" w:rsidRDefault="00DF46FB" w:rsidP="00EC4213">
      <w:pPr>
        <w:pStyle w:val="ListParagraph"/>
        <w:numPr>
          <w:ilvl w:val="0"/>
          <w:numId w:val="46"/>
        </w:numPr>
        <w:rPr>
          <w:lang w:eastAsia="en-AU"/>
        </w:rPr>
      </w:pPr>
      <w:r w:rsidRPr="00976D1C">
        <w:rPr>
          <w:lang w:eastAsia="en-AU"/>
        </w:rPr>
        <w:t xml:space="preserve">Exit rates are calculated separately for dentists, dental prosthetists and for </w:t>
      </w:r>
      <w:r w:rsidRPr="00976D1C">
        <w:t xml:space="preserve">oral health practitioners (comprised of oral health therapists, dental hygienists, dental therapists). </w:t>
      </w:r>
      <w:r w:rsidRPr="00976D1C">
        <w:rPr>
          <w:lang w:eastAsia="en-AU"/>
        </w:rPr>
        <w:t xml:space="preserve">They are calculated for each five year age/sex cohort. </w:t>
      </w:r>
    </w:p>
    <w:p w14:paraId="629ED4BE" w14:textId="77777777" w:rsidR="00DF46FB" w:rsidRPr="00976D1C" w:rsidRDefault="00DF46FB" w:rsidP="00EC4213">
      <w:pPr>
        <w:pStyle w:val="ListParagraph"/>
        <w:numPr>
          <w:ilvl w:val="0"/>
          <w:numId w:val="46"/>
        </w:numPr>
        <w:rPr>
          <w:lang w:eastAsia="en-AU"/>
        </w:rPr>
      </w:pPr>
      <w:r w:rsidRPr="00976D1C">
        <w:rPr>
          <w:lang w:eastAsia="en-AU"/>
        </w:rPr>
        <w:t>Exit rates are a composite measure including all forms of removal from the workforce, permanent or temporary.</w:t>
      </w:r>
    </w:p>
    <w:p w14:paraId="02547AFB" w14:textId="77777777" w:rsidR="00DF46FB" w:rsidRPr="00976D1C" w:rsidRDefault="00DF46FB" w:rsidP="00EC4213">
      <w:pPr>
        <w:pStyle w:val="ListParagraph"/>
        <w:numPr>
          <w:ilvl w:val="0"/>
          <w:numId w:val="46"/>
        </w:numPr>
        <w:rPr>
          <w:lang w:eastAsia="en-AU"/>
        </w:rPr>
      </w:pPr>
      <w:r w:rsidRPr="00976D1C">
        <w:rPr>
          <w:lang w:eastAsia="en-AU"/>
        </w:rPr>
        <w:lastRenderedPageBreak/>
        <w:t>All graduating oral health professionals are assumed to remain in the workforce, even in situations of workforce supply exceeding demand. That is, exit rates are not adjusted to take account of possible movements away from a profession in an oversupply situation</w:t>
      </w:r>
    </w:p>
    <w:p w14:paraId="177D4007" w14:textId="77777777" w:rsidR="00E8105B" w:rsidRPr="00976D1C" w:rsidRDefault="00E8105B" w:rsidP="00EC4213">
      <w:pPr>
        <w:pStyle w:val="Heading3"/>
        <w:rPr>
          <w:lang w:val="en-AU"/>
        </w:rPr>
      </w:pPr>
      <w:r w:rsidRPr="00976D1C">
        <w:rPr>
          <w:lang w:val="en-AU"/>
        </w:rPr>
        <w:t>Demand assumptions</w:t>
      </w:r>
    </w:p>
    <w:p w14:paraId="1CE3599C" w14:textId="40DFE287" w:rsidR="00E8105B" w:rsidRPr="00976D1C" w:rsidRDefault="00E8105B" w:rsidP="00EC4213">
      <w:pPr>
        <w:pStyle w:val="ListParagraph"/>
        <w:numPr>
          <w:ilvl w:val="0"/>
          <w:numId w:val="46"/>
        </w:numPr>
        <w:rPr>
          <w:lang w:eastAsia="en-AU"/>
        </w:rPr>
      </w:pPr>
      <w:r w:rsidRPr="00976D1C">
        <w:t xml:space="preserve">For the total population, the expressed demand rate for the comparison scenario was calculated based on the growth in the number of visits provided between 1994 and 2010, using data from the ARCPOH NDTIS. This was calculated to be 2.55 per cent. </w:t>
      </w:r>
      <w:r w:rsidRPr="00976D1C">
        <w:rPr>
          <w:rFonts w:eastAsiaTheme="minorHAnsi"/>
        </w:rPr>
        <w:t>A constant, linear growth rate is then applied to the various age/sex cohorts. This provides for variation in demand as a result of different sizes of age/sex cohorts over time, but not due to different demand patterns within an age/sex cohort.</w:t>
      </w:r>
    </w:p>
    <w:p w14:paraId="576023B2" w14:textId="3B0DFA1A" w:rsidR="00E8105B" w:rsidRPr="00976D1C" w:rsidRDefault="00E8105B" w:rsidP="00EC4213">
      <w:pPr>
        <w:pStyle w:val="ListParagraph"/>
        <w:numPr>
          <w:ilvl w:val="0"/>
          <w:numId w:val="46"/>
        </w:numPr>
        <w:rPr>
          <w:lang w:eastAsia="en-AU"/>
        </w:rPr>
      </w:pPr>
      <w:r w:rsidRPr="00976D1C">
        <w:rPr>
          <w:rFonts w:eastAsiaTheme="minorHAnsi"/>
        </w:rPr>
        <w:t>Demand and supply start from an ‘in balance’ position. This is for the purposes of modelling only and should not be taken to imply that the workforces are (or are not) currently in balance.</w:t>
      </w:r>
    </w:p>
    <w:p w14:paraId="768A1C46" w14:textId="77777777" w:rsidR="00DF46FB" w:rsidRPr="00976D1C" w:rsidRDefault="00DF46FB" w:rsidP="00EC4213">
      <w:pPr>
        <w:pStyle w:val="Heading2"/>
      </w:pPr>
      <w:bookmarkStart w:id="114" w:name="_Toc407634437"/>
      <w:r w:rsidRPr="00976D1C">
        <w:t>Accuracy of workforce projections</w:t>
      </w:r>
      <w:bookmarkEnd w:id="114"/>
    </w:p>
    <w:p w14:paraId="2B6BA0F1" w14:textId="77777777" w:rsidR="00DF46FB" w:rsidRPr="00976D1C" w:rsidRDefault="00DF46FB" w:rsidP="00EC4213">
      <w:r w:rsidRPr="00976D1C">
        <w:t xml:space="preserve">It should be noted that projections become less accurate as the period of time over which they are applied increases. This is due to the inherent error in any projection methodology, and/or changes in technology (or other factors) which over an extended period are likely to change the relationship between type and number of services provided per practitioner. Another factor that influences the projection period is the changes and reliability in data sets used. For example, over a long period of time the population projections applied to the modelling may change. However, it is the graduate numbers over the projection period that could change most dramatically. Both will alter the workforce projections. In summary, the relevance of long term projections generated will in part depend on the quality of the data inputs for those projections, while less robust data will limit the projection period. </w:t>
      </w:r>
    </w:p>
    <w:p w14:paraId="3B754E5B" w14:textId="457A6537" w:rsidR="008018E1" w:rsidRPr="00976D1C" w:rsidRDefault="008018E1" w:rsidP="00EC4213">
      <w:pPr>
        <w:pStyle w:val="Heading1"/>
      </w:pPr>
      <w:bookmarkStart w:id="115" w:name="_Toc407634438"/>
      <w:r w:rsidRPr="00976D1C">
        <w:lastRenderedPageBreak/>
        <w:t>Appendix F – Data sources</w:t>
      </w:r>
      <w:bookmarkEnd w:id="115"/>
    </w:p>
    <w:p w14:paraId="1CAB3833" w14:textId="77777777" w:rsidR="0086077F" w:rsidRPr="00976D1C" w:rsidRDefault="0086077F" w:rsidP="00EC4213">
      <w:r w:rsidRPr="00976D1C">
        <w:t xml:space="preserve">Data sources available to HWA vary significantly in terms of their frequency, source and length of time series available. Many sources are only newly available, are only partially complete (due to the need to collect data over an extended period) or are collected infrequently. The extent to which HWA can accurately model the future oral health workforce is entirely dependent on the quality and availability of relevant data. </w:t>
      </w:r>
    </w:p>
    <w:p w14:paraId="6F97BBB0" w14:textId="77777777" w:rsidR="0086077F" w:rsidRPr="00976D1C" w:rsidRDefault="0086077F" w:rsidP="00EC4213">
      <w:r w:rsidRPr="00976D1C">
        <w:t xml:space="preserve">In preparing this report, potential data sources were assessed to determine the availability, coverage and quality of those data items which are essential for estimating the current workforce and projecting the future workforce. Appropriate data sources which have been used in the modelling in this report are listed in the tables below. </w:t>
      </w:r>
    </w:p>
    <w:p w14:paraId="2B0853DD" w14:textId="77777777" w:rsidR="0086077F" w:rsidRPr="00976D1C" w:rsidRDefault="0086077F" w:rsidP="00EC4213">
      <w:r w:rsidRPr="00976D1C">
        <w:t>Where the process of selecting input data identified data gaps, options for addressing the gaps were considered and assessed on the basis of the:</w:t>
      </w:r>
    </w:p>
    <w:p w14:paraId="798601C0" w14:textId="77777777" w:rsidR="0086077F" w:rsidRPr="00976D1C" w:rsidRDefault="0086077F" w:rsidP="00EC4213">
      <w:pPr>
        <w:pStyle w:val="ListParagraph"/>
        <w:numPr>
          <w:ilvl w:val="0"/>
          <w:numId w:val="48"/>
        </w:numPr>
      </w:pPr>
      <w:r w:rsidRPr="00976D1C">
        <w:t>type of data required</w:t>
      </w:r>
    </w:p>
    <w:p w14:paraId="24FE12FF" w14:textId="77777777" w:rsidR="0086077F" w:rsidRPr="00976D1C" w:rsidRDefault="0086077F" w:rsidP="00EC4213">
      <w:pPr>
        <w:pStyle w:val="ListParagraph"/>
        <w:numPr>
          <w:ilvl w:val="0"/>
          <w:numId w:val="48"/>
        </w:numPr>
      </w:pPr>
      <w:r w:rsidRPr="00976D1C">
        <w:t>collection methods used</w:t>
      </w:r>
    </w:p>
    <w:p w14:paraId="422B7802" w14:textId="77777777" w:rsidR="0086077F" w:rsidRPr="00976D1C" w:rsidRDefault="0086077F" w:rsidP="00EC4213">
      <w:pPr>
        <w:pStyle w:val="ListParagraph"/>
        <w:numPr>
          <w:ilvl w:val="0"/>
          <w:numId w:val="48"/>
        </w:numPr>
      </w:pPr>
      <w:r w:rsidRPr="00976D1C">
        <w:t>tool and infrastructure required</w:t>
      </w:r>
    </w:p>
    <w:p w14:paraId="18A7C77C" w14:textId="77777777" w:rsidR="0086077F" w:rsidRPr="00976D1C" w:rsidRDefault="0086077F" w:rsidP="00EC4213">
      <w:pPr>
        <w:pStyle w:val="ListParagraph"/>
        <w:numPr>
          <w:ilvl w:val="0"/>
          <w:numId w:val="48"/>
        </w:numPr>
      </w:pPr>
      <w:r w:rsidRPr="00976D1C">
        <w:t>resource cost and time requirements</w:t>
      </w:r>
    </w:p>
    <w:p w14:paraId="779CA2F4" w14:textId="77777777" w:rsidR="0086077F" w:rsidRPr="00976D1C" w:rsidRDefault="0086077F" w:rsidP="00EC4213">
      <w:pPr>
        <w:pStyle w:val="ListParagraph"/>
        <w:numPr>
          <w:ilvl w:val="0"/>
          <w:numId w:val="48"/>
        </w:numPr>
      </w:pPr>
      <w:r w:rsidRPr="00976D1C">
        <w:t xml:space="preserve">potential analysis in the future, such as developing a survey to conduct annually or longer intervals to provide ongoing information. </w:t>
      </w:r>
    </w:p>
    <w:p w14:paraId="4F2472B6" w14:textId="77777777" w:rsidR="0086077F" w:rsidRPr="00976D1C" w:rsidRDefault="0086077F" w:rsidP="00EC4213">
      <w:r w:rsidRPr="00976D1C">
        <w:t>HWA will continue to augment and refine the capabilities of the model over time to reflect the accumulation of additional datasets, changes in underlying demand and supply factors, and finer levels of detail (for example, modelling regional versus metropolitan service levels).</w:t>
      </w:r>
    </w:p>
    <w:p w14:paraId="44518490" w14:textId="77777777" w:rsidR="0086077F" w:rsidRPr="00976D1C" w:rsidRDefault="0086077F" w:rsidP="00EC4213">
      <w:pPr>
        <w:pStyle w:val="Heading2"/>
      </w:pPr>
      <w:bookmarkStart w:id="116" w:name="_Toc407634439"/>
      <w:r w:rsidRPr="00976D1C">
        <w:t>Workforce supply data sources and data items</w:t>
      </w:r>
      <w:bookmarkEnd w:id="116"/>
    </w:p>
    <w:tbl>
      <w:tblP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Description w:val="workforce supply data sources and data item"/>
      </w:tblPr>
      <w:tblGrid>
        <w:gridCol w:w="2240"/>
        <w:gridCol w:w="2334"/>
        <w:gridCol w:w="2334"/>
        <w:gridCol w:w="2334"/>
      </w:tblGrid>
      <w:tr w:rsidR="0086077F" w:rsidRPr="00976D1C" w14:paraId="1AEBC78F" w14:textId="77777777" w:rsidTr="006D4962">
        <w:trPr>
          <w:cantSplit/>
          <w:tblHeader/>
        </w:trPr>
        <w:tc>
          <w:tcPr>
            <w:tcW w:w="2240" w:type="dxa"/>
            <w:shd w:val="clear" w:color="auto" w:fill="0065A4"/>
          </w:tcPr>
          <w:p w14:paraId="065756FE" w14:textId="77777777" w:rsidR="0086077F" w:rsidRPr="00976D1C" w:rsidRDefault="0086077F" w:rsidP="00EC4213">
            <w:pPr>
              <w:pStyle w:val="TableHeader"/>
              <w:rPr>
                <w:sz w:val="18"/>
              </w:rPr>
            </w:pPr>
            <w:r w:rsidRPr="00976D1C">
              <w:t>Data Sour</w:t>
            </w:r>
            <w:bookmarkStart w:id="117" w:name="ColumnTitle_AppendixF_Supply"/>
            <w:bookmarkEnd w:id="117"/>
            <w:r w:rsidRPr="00976D1C">
              <w:t>ce</w:t>
            </w:r>
          </w:p>
        </w:tc>
        <w:tc>
          <w:tcPr>
            <w:tcW w:w="2334" w:type="dxa"/>
            <w:shd w:val="clear" w:color="auto" w:fill="0065A4"/>
          </w:tcPr>
          <w:p w14:paraId="5FB0F71C" w14:textId="77777777" w:rsidR="0086077F" w:rsidRPr="00976D1C" w:rsidRDefault="0086077F" w:rsidP="00EC4213">
            <w:pPr>
              <w:pStyle w:val="TableHeader"/>
              <w:rPr>
                <w:sz w:val="18"/>
              </w:rPr>
            </w:pPr>
            <w:r w:rsidRPr="00976D1C">
              <w:t>Data items</w:t>
            </w:r>
          </w:p>
        </w:tc>
        <w:tc>
          <w:tcPr>
            <w:tcW w:w="2334" w:type="dxa"/>
            <w:shd w:val="clear" w:color="auto" w:fill="0065A4"/>
          </w:tcPr>
          <w:p w14:paraId="2304C6CA" w14:textId="77777777" w:rsidR="0086077F" w:rsidRPr="00976D1C" w:rsidRDefault="0086077F" w:rsidP="00EC4213">
            <w:pPr>
              <w:pStyle w:val="TableHeader"/>
              <w:rPr>
                <w:sz w:val="18"/>
              </w:rPr>
            </w:pPr>
            <w:r w:rsidRPr="00976D1C">
              <w:t>Modelling purpose</w:t>
            </w:r>
          </w:p>
        </w:tc>
        <w:tc>
          <w:tcPr>
            <w:tcW w:w="2334" w:type="dxa"/>
            <w:shd w:val="clear" w:color="auto" w:fill="0065A4"/>
          </w:tcPr>
          <w:p w14:paraId="094AF027" w14:textId="77777777" w:rsidR="0086077F" w:rsidRPr="00976D1C" w:rsidRDefault="0086077F" w:rsidP="00EC4213">
            <w:pPr>
              <w:pStyle w:val="TableHeader"/>
              <w:rPr>
                <w:sz w:val="18"/>
              </w:rPr>
            </w:pPr>
            <w:r w:rsidRPr="00976D1C">
              <w:t>Limitation</w:t>
            </w:r>
          </w:p>
        </w:tc>
      </w:tr>
      <w:tr w:rsidR="0086077F" w:rsidRPr="00976D1C" w14:paraId="27B84289" w14:textId="77777777" w:rsidTr="006D4962">
        <w:trPr>
          <w:cantSplit/>
        </w:trPr>
        <w:tc>
          <w:tcPr>
            <w:tcW w:w="2240" w:type="dxa"/>
            <w:shd w:val="clear" w:color="auto" w:fill="CCE0ED"/>
          </w:tcPr>
          <w:p w14:paraId="6253860C" w14:textId="77777777" w:rsidR="0086077F" w:rsidRPr="00976D1C" w:rsidRDefault="0086077F" w:rsidP="00EC4213">
            <w:pPr>
              <w:pStyle w:val="TableText"/>
            </w:pPr>
            <w:r w:rsidRPr="00976D1C">
              <w:t>Australian Health Practitioner Regulation Agency</w:t>
            </w:r>
          </w:p>
        </w:tc>
        <w:tc>
          <w:tcPr>
            <w:tcW w:w="2334" w:type="dxa"/>
            <w:shd w:val="clear" w:color="auto" w:fill="CCE0ED"/>
          </w:tcPr>
          <w:p w14:paraId="394A770A" w14:textId="77777777" w:rsidR="0086077F" w:rsidRPr="00976D1C" w:rsidRDefault="0086077F" w:rsidP="00EC4213">
            <w:pPr>
              <w:pStyle w:val="TableText"/>
            </w:pPr>
            <w:r w:rsidRPr="00976D1C">
              <w:t>2012: Registration data, Labour force survey data</w:t>
            </w:r>
          </w:p>
          <w:p w14:paraId="78C59E0F" w14:textId="77777777" w:rsidR="0086077F" w:rsidRPr="00976D1C" w:rsidRDefault="0086077F" w:rsidP="00EC4213">
            <w:pPr>
              <w:pStyle w:val="Tablebullet"/>
            </w:pPr>
            <w:r w:rsidRPr="00976D1C">
              <w:t>Profession</w:t>
            </w:r>
          </w:p>
          <w:p w14:paraId="504DA713" w14:textId="77777777" w:rsidR="0086077F" w:rsidRPr="00976D1C" w:rsidRDefault="0086077F" w:rsidP="00EC4213">
            <w:pPr>
              <w:pStyle w:val="Tablebullet"/>
            </w:pPr>
            <w:r w:rsidRPr="00976D1C">
              <w:t xml:space="preserve">Age </w:t>
            </w:r>
          </w:p>
          <w:p w14:paraId="4E0F6708" w14:textId="77777777" w:rsidR="0086077F" w:rsidRPr="00976D1C" w:rsidRDefault="0086077F" w:rsidP="00EC4213">
            <w:pPr>
              <w:pStyle w:val="Tablebullet"/>
            </w:pPr>
            <w:r w:rsidRPr="00976D1C">
              <w:t>Gender</w:t>
            </w:r>
          </w:p>
          <w:p w14:paraId="3FF083A9" w14:textId="77777777" w:rsidR="0086077F" w:rsidRPr="00976D1C" w:rsidRDefault="0086077F" w:rsidP="00EC4213">
            <w:pPr>
              <w:pStyle w:val="Tablebullet"/>
            </w:pPr>
            <w:r w:rsidRPr="00976D1C">
              <w:t>Hours worked</w:t>
            </w:r>
          </w:p>
        </w:tc>
        <w:tc>
          <w:tcPr>
            <w:tcW w:w="2334" w:type="dxa"/>
            <w:shd w:val="clear" w:color="auto" w:fill="CCE0ED"/>
          </w:tcPr>
          <w:p w14:paraId="08F7B780" w14:textId="77777777" w:rsidR="0086077F" w:rsidRPr="00976D1C" w:rsidRDefault="0086077F" w:rsidP="00EC4213">
            <w:pPr>
              <w:pStyle w:val="Tablebullet"/>
            </w:pPr>
            <w:r w:rsidRPr="00976D1C">
              <w:t>Workforce supply</w:t>
            </w:r>
          </w:p>
          <w:p w14:paraId="22475975" w14:textId="77777777" w:rsidR="0086077F" w:rsidRPr="00976D1C" w:rsidRDefault="0086077F" w:rsidP="00EC4213">
            <w:pPr>
              <w:pStyle w:val="Tablebullet"/>
            </w:pPr>
            <w:r w:rsidRPr="00976D1C">
              <w:t xml:space="preserve">Workforce profiles </w:t>
            </w:r>
          </w:p>
          <w:p w14:paraId="263F9A93" w14:textId="77777777" w:rsidR="0086077F" w:rsidRPr="00976D1C" w:rsidRDefault="0086077F" w:rsidP="00EC4213">
            <w:pPr>
              <w:pStyle w:val="Tablebullet"/>
            </w:pPr>
            <w:r w:rsidRPr="00976D1C">
              <w:t>Exit rates</w:t>
            </w:r>
          </w:p>
        </w:tc>
        <w:tc>
          <w:tcPr>
            <w:tcW w:w="2334" w:type="dxa"/>
            <w:shd w:val="clear" w:color="auto" w:fill="CCE0ED"/>
          </w:tcPr>
          <w:p w14:paraId="0140A2F5" w14:textId="668662FD" w:rsidR="0086077F" w:rsidRPr="00976D1C" w:rsidRDefault="0086077F" w:rsidP="00EC4213">
            <w:pPr>
              <w:pStyle w:val="TableText"/>
            </w:pPr>
            <w:r w:rsidRPr="00976D1C">
              <w:t>Reporting of distinct categories due to multiple registration</w:t>
            </w:r>
          </w:p>
        </w:tc>
      </w:tr>
      <w:tr w:rsidR="0086077F" w:rsidRPr="00976D1C" w14:paraId="7B4BD2FA" w14:textId="77777777" w:rsidTr="006D4962">
        <w:trPr>
          <w:cantSplit/>
        </w:trPr>
        <w:tc>
          <w:tcPr>
            <w:tcW w:w="2240" w:type="dxa"/>
            <w:shd w:val="clear" w:color="auto" w:fill="CCEFFC"/>
          </w:tcPr>
          <w:p w14:paraId="62DD37B8" w14:textId="77777777" w:rsidR="0086077F" w:rsidRPr="00976D1C" w:rsidRDefault="0086077F" w:rsidP="00EC4213">
            <w:pPr>
              <w:pStyle w:val="TableText"/>
            </w:pPr>
            <w:r w:rsidRPr="00976D1C">
              <w:lastRenderedPageBreak/>
              <w:t>Australian Institute of Health and Welfare /  Australian Research Centre for Population Oral Health</w:t>
            </w:r>
          </w:p>
        </w:tc>
        <w:tc>
          <w:tcPr>
            <w:tcW w:w="2334" w:type="dxa"/>
            <w:shd w:val="clear" w:color="auto" w:fill="CCEFFC"/>
          </w:tcPr>
          <w:p w14:paraId="5BAF6ACA" w14:textId="77777777" w:rsidR="0086077F" w:rsidRPr="00976D1C" w:rsidRDefault="0086077F" w:rsidP="00EC4213">
            <w:pPr>
              <w:pStyle w:val="TableText"/>
            </w:pPr>
            <w:r w:rsidRPr="00976D1C">
              <w:t>2006 and 2012: Registration data, Labour force survey data</w:t>
            </w:r>
          </w:p>
          <w:p w14:paraId="73A0C0EA" w14:textId="77777777" w:rsidR="0086077F" w:rsidRPr="00976D1C" w:rsidRDefault="0086077F" w:rsidP="00EC4213">
            <w:pPr>
              <w:pStyle w:val="Tablebullet"/>
            </w:pPr>
            <w:r w:rsidRPr="00976D1C">
              <w:t>Profession</w:t>
            </w:r>
          </w:p>
          <w:p w14:paraId="7915C2AC" w14:textId="77777777" w:rsidR="0086077F" w:rsidRPr="00976D1C" w:rsidRDefault="0086077F" w:rsidP="00EC4213">
            <w:pPr>
              <w:pStyle w:val="Tablebullet"/>
            </w:pPr>
            <w:r w:rsidRPr="00976D1C">
              <w:t xml:space="preserve">Age </w:t>
            </w:r>
          </w:p>
          <w:p w14:paraId="52DA2F74" w14:textId="77777777" w:rsidR="0086077F" w:rsidRPr="00976D1C" w:rsidRDefault="0086077F" w:rsidP="00EC4213">
            <w:pPr>
              <w:pStyle w:val="Tablebullet"/>
            </w:pPr>
            <w:r w:rsidRPr="00976D1C">
              <w:t xml:space="preserve">Gender </w:t>
            </w:r>
          </w:p>
          <w:p w14:paraId="175B4F6F" w14:textId="77777777" w:rsidR="0086077F" w:rsidRPr="00976D1C" w:rsidRDefault="0086077F" w:rsidP="00EC4213">
            <w:pPr>
              <w:pStyle w:val="Tablebullet"/>
            </w:pPr>
            <w:r w:rsidRPr="00976D1C">
              <w:t>Hours worked</w:t>
            </w:r>
          </w:p>
        </w:tc>
        <w:tc>
          <w:tcPr>
            <w:tcW w:w="2334" w:type="dxa"/>
            <w:shd w:val="clear" w:color="auto" w:fill="CCEFFC"/>
          </w:tcPr>
          <w:p w14:paraId="25030415" w14:textId="77777777" w:rsidR="0086077F" w:rsidRPr="00976D1C" w:rsidRDefault="0086077F" w:rsidP="00EC4213">
            <w:pPr>
              <w:pStyle w:val="TableText"/>
            </w:pPr>
            <w:r w:rsidRPr="00976D1C">
              <w:t>Exit rates</w:t>
            </w:r>
          </w:p>
        </w:tc>
        <w:tc>
          <w:tcPr>
            <w:tcW w:w="2334" w:type="dxa"/>
            <w:shd w:val="clear" w:color="auto" w:fill="CCEFFC"/>
          </w:tcPr>
          <w:p w14:paraId="7FC05A4A" w14:textId="77777777" w:rsidR="0086077F" w:rsidRPr="00976D1C" w:rsidRDefault="0086077F" w:rsidP="00EC4213">
            <w:pPr>
              <w:pStyle w:val="Tablebullet"/>
            </w:pPr>
            <w:r w:rsidRPr="00976D1C">
              <w:t xml:space="preserve">Reporting of distinct categories due to multiple registrations. </w:t>
            </w:r>
          </w:p>
          <w:p w14:paraId="1154BFB9" w14:textId="77777777" w:rsidR="0086077F" w:rsidRPr="00976D1C" w:rsidRDefault="0086077F" w:rsidP="00EC4213">
            <w:pPr>
              <w:pStyle w:val="Tablebullet"/>
            </w:pPr>
            <w:r w:rsidRPr="00976D1C">
              <w:t>This is at 5 year age groups.</w:t>
            </w:r>
          </w:p>
        </w:tc>
      </w:tr>
      <w:tr w:rsidR="0086077F" w:rsidRPr="00976D1C" w14:paraId="79C071B9" w14:textId="77777777" w:rsidTr="006D4962">
        <w:trPr>
          <w:cantSplit/>
        </w:trPr>
        <w:tc>
          <w:tcPr>
            <w:tcW w:w="2240" w:type="dxa"/>
            <w:shd w:val="clear" w:color="auto" w:fill="CCE0ED"/>
          </w:tcPr>
          <w:p w14:paraId="26E9B88F" w14:textId="77777777" w:rsidR="0086077F" w:rsidRPr="00976D1C" w:rsidRDefault="0086077F" w:rsidP="00EC4213">
            <w:pPr>
              <w:pStyle w:val="TableText"/>
            </w:pPr>
            <w:r w:rsidRPr="00976D1C">
              <w:t>Australian Bureau of Statistics</w:t>
            </w:r>
          </w:p>
        </w:tc>
        <w:tc>
          <w:tcPr>
            <w:tcW w:w="2334" w:type="dxa"/>
            <w:shd w:val="clear" w:color="auto" w:fill="CCE0ED"/>
          </w:tcPr>
          <w:p w14:paraId="6F5A039D" w14:textId="77777777" w:rsidR="0086077F" w:rsidRPr="00976D1C" w:rsidRDefault="0086077F" w:rsidP="00EC4213">
            <w:pPr>
              <w:pStyle w:val="TableText"/>
            </w:pPr>
            <w:r w:rsidRPr="00976D1C">
              <w:t>Census data:</w:t>
            </w:r>
          </w:p>
          <w:p w14:paraId="6B498AAE" w14:textId="77777777" w:rsidR="0086077F" w:rsidRPr="00976D1C" w:rsidRDefault="0086077F" w:rsidP="00EC4213">
            <w:pPr>
              <w:pStyle w:val="Tablebullet"/>
            </w:pPr>
            <w:r w:rsidRPr="00976D1C">
              <w:t>Profession</w:t>
            </w:r>
          </w:p>
          <w:p w14:paraId="7F5A1DBB" w14:textId="77777777" w:rsidR="0086077F" w:rsidRPr="00976D1C" w:rsidRDefault="0086077F" w:rsidP="00EC4213">
            <w:pPr>
              <w:pStyle w:val="Tablebullet"/>
            </w:pPr>
            <w:r w:rsidRPr="00976D1C">
              <w:t xml:space="preserve">Total Employed Persons </w:t>
            </w:r>
          </w:p>
          <w:p w14:paraId="3F339E1F" w14:textId="77777777" w:rsidR="0086077F" w:rsidRPr="00976D1C" w:rsidRDefault="0086077F" w:rsidP="00EC4213">
            <w:pPr>
              <w:pStyle w:val="Tablebullet"/>
            </w:pPr>
            <w:r w:rsidRPr="00976D1C">
              <w:t>Average hours worked</w:t>
            </w:r>
          </w:p>
        </w:tc>
        <w:tc>
          <w:tcPr>
            <w:tcW w:w="2334" w:type="dxa"/>
            <w:shd w:val="clear" w:color="auto" w:fill="CCE0ED"/>
          </w:tcPr>
          <w:p w14:paraId="3A45E999" w14:textId="77777777" w:rsidR="0086077F" w:rsidRPr="00976D1C" w:rsidRDefault="0086077F" w:rsidP="00EC4213">
            <w:pPr>
              <w:pStyle w:val="TableText"/>
            </w:pPr>
            <w:r w:rsidRPr="00976D1C">
              <w:t>Workforce profiles</w:t>
            </w:r>
          </w:p>
        </w:tc>
        <w:tc>
          <w:tcPr>
            <w:tcW w:w="2334" w:type="dxa"/>
            <w:shd w:val="clear" w:color="auto" w:fill="CCE0ED"/>
          </w:tcPr>
          <w:p w14:paraId="271F605C" w14:textId="77777777" w:rsidR="0086077F" w:rsidRPr="00976D1C" w:rsidRDefault="0086077F" w:rsidP="00EC4213">
            <w:pPr>
              <w:pStyle w:val="TableText"/>
            </w:pPr>
            <w:r w:rsidRPr="00976D1C">
              <w:t>Self-reported census data.</w:t>
            </w:r>
          </w:p>
        </w:tc>
      </w:tr>
      <w:tr w:rsidR="0086077F" w:rsidRPr="00976D1C" w14:paraId="301B2BA3" w14:textId="77777777" w:rsidTr="006D4962">
        <w:trPr>
          <w:cantSplit/>
        </w:trPr>
        <w:tc>
          <w:tcPr>
            <w:tcW w:w="2240" w:type="dxa"/>
            <w:shd w:val="clear" w:color="auto" w:fill="CCEFFC"/>
          </w:tcPr>
          <w:p w14:paraId="66D7D146" w14:textId="77777777" w:rsidR="0086077F" w:rsidRPr="00976D1C" w:rsidRDefault="0086077F" w:rsidP="00EC4213">
            <w:pPr>
              <w:pStyle w:val="TableText"/>
            </w:pPr>
            <w:r w:rsidRPr="00976D1C">
              <w:t>Department of Education</w:t>
            </w:r>
          </w:p>
        </w:tc>
        <w:tc>
          <w:tcPr>
            <w:tcW w:w="2334" w:type="dxa"/>
            <w:shd w:val="clear" w:color="auto" w:fill="CCEFFC"/>
          </w:tcPr>
          <w:p w14:paraId="00844911" w14:textId="77777777" w:rsidR="0086077F" w:rsidRPr="00976D1C" w:rsidRDefault="0086077F" w:rsidP="00EC4213">
            <w:pPr>
              <w:pStyle w:val="TableText"/>
            </w:pPr>
            <w:r w:rsidRPr="00976D1C">
              <w:t>2006 to 2012 Commencements and completions for course names</w:t>
            </w:r>
          </w:p>
          <w:p w14:paraId="6DF3D475" w14:textId="77777777" w:rsidR="0086077F" w:rsidRPr="00976D1C" w:rsidRDefault="0086077F" w:rsidP="00EC4213">
            <w:pPr>
              <w:pStyle w:val="Tablebullet"/>
            </w:pPr>
            <w:r w:rsidRPr="00976D1C">
              <w:t xml:space="preserve">Age  </w:t>
            </w:r>
          </w:p>
          <w:p w14:paraId="3E2A910E" w14:textId="77777777" w:rsidR="0086077F" w:rsidRPr="00976D1C" w:rsidRDefault="0086077F" w:rsidP="00EC4213">
            <w:pPr>
              <w:pStyle w:val="Tablebullet"/>
            </w:pPr>
            <w:r w:rsidRPr="00976D1C">
              <w:t>Gender</w:t>
            </w:r>
          </w:p>
        </w:tc>
        <w:tc>
          <w:tcPr>
            <w:tcW w:w="2334" w:type="dxa"/>
            <w:shd w:val="clear" w:color="auto" w:fill="CCEFFC"/>
          </w:tcPr>
          <w:p w14:paraId="020B918B" w14:textId="77777777" w:rsidR="0086077F" w:rsidRPr="00976D1C" w:rsidRDefault="0086077F" w:rsidP="00EC4213">
            <w:pPr>
              <w:pStyle w:val="Tablebullet"/>
            </w:pPr>
            <w:r w:rsidRPr="00976D1C">
              <w:t>Inflows</w:t>
            </w:r>
          </w:p>
          <w:p w14:paraId="10DB319A" w14:textId="77777777" w:rsidR="0086077F" w:rsidRPr="00976D1C" w:rsidRDefault="0086077F" w:rsidP="00EC4213">
            <w:pPr>
              <w:pStyle w:val="Tablebullet"/>
            </w:pPr>
            <w:r w:rsidRPr="00976D1C">
              <w:t xml:space="preserve">Exit rates </w:t>
            </w:r>
          </w:p>
          <w:p w14:paraId="440AABF3" w14:textId="77777777" w:rsidR="0086077F" w:rsidRPr="00976D1C" w:rsidRDefault="0086077F" w:rsidP="00EC4213">
            <w:pPr>
              <w:pStyle w:val="Tablebullet"/>
            </w:pPr>
            <w:r w:rsidRPr="00976D1C">
              <w:t xml:space="preserve">Profile </w:t>
            </w:r>
          </w:p>
        </w:tc>
        <w:tc>
          <w:tcPr>
            <w:tcW w:w="2334" w:type="dxa"/>
            <w:shd w:val="clear" w:color="auto" w:fill="CCEFFC"/>
          </w:tcPr>
          <w:p w14:paraId="6873734C" w14:textId="31BE6E69" w:rsidR="0086077F" w:rsidRPr="00A90656" w:rsidRDefault="006D4962" w:rsidP="00EC4213">
            <w:pPr>
              <w:pStyle w:val="TableText"/>
            </w:pPr>
            <w:r w:rsidRPr="00A90656">
              <w:t>–</w:t>
            </w:r>
          </w:p>
        </w:tc>
      </w:tr>
      <w:tr w:rsidR="0086077F" w:rsidRPr="00976D1C" w14:paraId="1A2F8578" w14:textId="77777777" w:rsidTr="006D4962">
        <w:trPr>
          <w:cantSplit/>
        </w:trPr>
        <w:tc>
          <w:tcPr>
            <w:tcW w:w="2240" w:type="dxa"/>
            <w:shd w:val="clear" w:color="auto" w:fill="CCE0ED"/>
          </w:tcPr>
          <w:p w14:paraId="1D65DDD0" w14:textId="77777777" w:rsidR="0086077F" w:rsidRPr="00976D1C" w:rsidRDefault="0086077F" w:rsidP="00EC4213">
            <w:pPr>
              <w:pStyle w:val="TableText"/>
            </w:pPr>
            <w:r w:rsidRPr="00976D1C">
              <w:t>Australasian Council of Dental Schools</w:t>
            </w:r>
          </w:p>
        </w:tc>
        <w:tc>
          <w:tcPr>
            <w:tcW w:w="2334" w:type="dxa"/>
            <w:shd w:val="clear" w:color="auto" w:fill="CCE0ED"/>
          </w:tcPr>
          <w:p w14:paraId="67FB46FB" w14:textId="77777777" w:rsidR="0086077F" w:rsidRPr="00976D1C" w:rsidRDefault="0086077F" w:rsidP="00EC4213">
            <w:pPr>
              <w:pStyle w:val="TableText"/>
            </w:pPr>
            <w:r w:rsidRPr="00976D1C">
              <w:t xml:space="preserve">2006 to 2012 Commencements and completions for course names </w:t>
            </w:r>
          </w:p>
          <w:p w14:paraId="2DDF03E5" w14:textId="77777777" w:rsidR="0086077F" w:rsidRPr="00976D1C" w:rsidRDefault="0086077F" w:rsidP="00EC4213">
            <w:pPr>
              <w:pStyle w:val="Tablebullet"/>
            </w:pPr>
            <w:r w:rsidRPr="00976D1C">
              <w:t xml:space="preserve">Age </w:t>
            </w:r>
          </w:p>
          <w:p w14:paraId="5FA53391" w14:textId="77777777" w:rsidR="0086077F" w:rsidRPr="00976D1C" w:rsidRDefault="0086077F" w:rsidP="00EC4213">
            <w:pPr>
              <w:pStyle w:val="Tablebullet"/>
            </w:pPr>
            <w:r w:rsidRPr="00976D1C">
              <w:t>Gender</w:t>
            </w:r>
          </w:p>
        </w:tc>
        <w:tc>
          <w:tcPr>
            <w:tcW w:w="2334" w:type="dxa"/>
            <w:shd w:val="clear" w:color="auto" w:fill="CCE0ED"/>
          </w:tcPr>
          <w:p w14:paraId="5FB83789" w14:textId="77777777" w:rsidR="0086077F" w:rsidRPr="00976D1C" w:rsidRDefault="0086077F" w:rsidP="00EC4213">
            <w:pPr>
              <w:pStyle w:val="Tablebullet"/>
            </w:pPr>
            <w:r w:rsidRPr="00976D1C">
              <w:t>Inflows</w:t>
            </w:r>
          </w:p>
          <w:p w14:paraId="39377842" w14:textId="77777777" w:rsidR="0086077F" w:rsidRPr="00976D1C" w:rsidRDefault="0086077F" w:rsidP="00EC4213">
            <w:pPr>
              <w:pStyle w:val="Tablebullet"/>
            </w:pPr>
            <w:r w:rsidRPr="00976D1C">
              <w:t>Exit rates</w:t>
            </w:r>
          </w:p>
          <w:p w14:paraId="200D4EA0" w14:textId="77777777" w:rsidR="0086077F" w:rsidRPr="00976D1C" w:rsidRDefault="0086077F" w:rsidP="00EC4213">
            <w:pPr>
              <w:pStyle w:val="Tablebullet"/>
            </w:pPr>
            <w:r w:rsidRPr="00976D1C">
              <w:t xml:space="preserve">Profile </w:t>
            </w:r>
          </w:p>
        </w:tc>
        <w:tc>
          <w:tcPr>
            <w:tcW w:w="2334" w:type="dxa"/>
            <w:shd w:val="clear" w:color="auto" w:fill="CCE0ED"/>
          </w:tcPr>
          <w:p w14:paraId="398E1103" w14:textId="77777777" w:rsidR="0086077F" w:rsidRPr="00976D1C" w:rsidRDefault="0086077F" w:rsidP="00EC4213">
            <w:pPr>
              <w:pStyle w:val="TableText"/>
            </w:pPr>
            <w:r w:rsidRPr="00976D1C">
              <w:t>The retention rate of International students is often based on an assumption in modelling previously done.</w:t>
            </w:r>
          </w:p>
        </w:tc>
      </w:tr>
      <w:tr w:rsidR="0086077F" w:rsidRPr="00976D1C" w14:paraId="52677FF8" w14:textId="77777777" w:rsidTr="006D4962">
        <w:trPr>
          <w:cantSplit/>
        </w:trPr>
        <w:tc>
          <w:tcPr>
            <w:tcW w:w="2240" w:type="dxa"/>
            <w:shd w:val="clear" w:color="auto" w:fill="CCEFFC"/>
          </w:tcPr>
          <w:p w14:paraId="2C201D38" w14:textId="77777777" w:rsidR="0086077F" w:rsidRPr="00976D1C" w:rsidRDefault="0086077F" w:rsidP="00EC4213">
            <w:pPr>
              <w:pStyle w:val="TableText"/>
            </w:pPr>
            <w:r w:rsidRPr="00976D1C">
              <w:t>National Centre for Vocational Education Research</w:t>
            </w:r>
          </w:p>
        </w:tc>
        <w:tc>
          <w:tcPr>
            <w:tcW w:w="2334" w:type="dxa"/>
            <w:shd w:val="clear" w:color="auto" w:fill="CCEFFC"/>
          </w:tcPr>
          <w:p w14:paraId="670DB1E7" w14:textId="77777777" w:rsidR="0086077F" w:rsidRPr="00976D1C" w:rsidRDefault="0086077F" w:rsidP="00EC4213">
            <w:pPr>
              <w:pStyle w:val="TableText"/>
            </w:pPr>
            <w:r w:rsidRPr="00976D1C">
              <w:t xml:space="preserve">2006 to 2012 (annual) Commencements and completions for course names </w:t>
            </w:r>
          </w:p>
          <w:p w14:paraId="136ECC7A" w14:textId="77777777" w:rsidR="0086077F" w:rsidRPr="00976D1C" w:rsidRDefault="0086077F" w:rsidP="00EC4213">
            <w:pPr>
              <w:pStyle w:val="Tablebullet"/>
            </w:pPr>
            <w:r w:rsidRPr="00976D1C">
              <w:t xml:space="preserve">Age </w:t>
            </w:r>
          </w:p>
          <w:p w14:paraId="1CA72AD5" w14:textId="77777777" w:rsidR="0086077F" w:rsidRPr="00976D1C" w:rsidRDefault="0086077F" w:rsidP="00EC4213">
            <w:pPr>
              <w:pStyle w:val="Tablebullet"/>
            </w:pPr>
            <w:r w:rsidRPr="00976D1C">
              <w:t xml:space="preserve">Gender </w:t>
            </w:r>
          </w:p>
        </w:tc>
        <w:tc>
          <w:tcPr>
            <w:tcW w:w="2334" w:type="dxa"/>
            <w:shd w:val="clear" w:color="auto" w:fill="CCEFFC"/>
          </w:tcPr>
          <w:p w14:paraId="5422DDEE" w14:textId="77777777" w:rsidR="0086077F" w:rsidRPr="00976D1C" w:rsidRDefault="0086077F" w:rsidP="00EC4213">
            <w:pPr>
              <w:pStyle w:val="Tablebullet"/>
            </w:pPr>
            <w:r w:rsidRPr="00976D1C">
              <w:t>Inflows</w:t>
            </w:r>
          </w:p>
          <w:p w14:paraId="58A8E846" w14:textId="77777777" w:rsidR="0086077F" w:rsidRPr="00976D1C" w:rsidRDefault="0086077F" w:rsidP="00EC4213">
            <w:pPr>
              <w:pStyle w:val="Tablebullet"/>
            </w:pPr>
            <w:r w:rsidRPr="00976D1C">
              <w:t>Profile</w:t>
            </w:r>
          </w:p>
        </w:tc>
        <w:tc>
          <w:tcPr>
            <w:tcW w:w="2334" w:type="dxa"/>
            <w:shd w:val="clear" w:color="auto" w:fill="CCEFFC"/>
          </w:tcPr>
          <w:p w14:paraId="62E3A616" w14:textId="24F3A2EF" w:rsidR="0086077F" w:rsidRPr="00A90656" w:rsidRDefault="006D4962" w:rsidP="00EC4213">
            <w:pPr>
              <w:pStyle w:val="TableText"/>
            </w:pPr>
            <w:r w:rsidRPr="00A90656">
              <w:t>–</w:t>
            </w:r>
          </w:p>
        </w:tc>
      </w:tr>
      <w:tr w:rsidR="0086077F" w:rsidRPr="00976D1C" w14:paraId="4F66C0B2" w14:textId="77777777" w:rsidTr="006D4962">
        <w:trPr>
          <w:cantSplit/>
        </w:trPr>
        <w:tc>
          <w:tcPr>
            <w:tcW w:w="2240" w:type="dxa"/>
            <w:shd w:val="clear" w:color="auto" w:fill="CCE0ED"/>
          </w:tcPr>
          <w:p w14:paraId="67A52F19" w14:textId="77777777" w:rsidR="0086077F" w:rsidRPr="00976D1C" w:rsidRDefault="0086077F" w:rsidP="00EC4213">
            <w:pPr>
              <w:pStyle w:val="TableText"/>
            </w:pPr>
            <w:r w:rsidRPr="00976D1C">
              <w:t>Department of Immigration and Border Protection</w:t>
            </w:r>
          </w:p>
        </w:tc>
        <w:tc>
          <w:tcPr>
            <w:tcW w:w="2334" w:type="dxa"/>
            <w:shd w:val="clear" w:color="auto" w:fill="CCE0ED"/>
          </w:tcPr>
          <w:p w14:paraId="470CC266" w14:textId="77777777" w:rsidR="0086077F" w:rsidRPr="00976D1C" w:rsidRDefault="0086077F" w:rsidP="00EC4213">
            <w:pPr>
              <w:pStyle w:val="TableText"/>
            </w:pPr>
            <w:r w:rsidRPr="00976D1C">
              <w:t>2006 to 2012 (annual)</w:t>
            </w:r>
          </w:p>
          <w:p w14:paraId="4F8AA79C" w14:textId="77777777" w:rsidR="0086077F" w:rsidRPr="00976D1C" w:rsidRDefault="0086077F" w:rsidP="00EC4213">
            <w:pPr>
              <w:pStyle w:val="TableText"/>
            </w:pPr>
            <w:r w:rsidRPr="00976D1C">
              <w:t xml:space="preserve">Permanent and temporary visa subclasses </w:t>
            </w:r>
          </w:p>
          <w:p w14:paraId="154CDC5F" w14:textId="77777777" w:rsidR="0086077F" w:rsidRPr="00976D1C" w:rsidRDefault="0086077F" w:rsidP="00EC4213">
            <w:pPr>
              <w:pStyle w:val="Tablebullet"/>
            </w:pPr>
            <w:r w:rsidRPr="00976D1C">
              <w:t xml:space="preserve">Age </w:t>
            </w:r>
          </w:p>
          <w:p w14:paraId="40AEF40A" w14:textId="77777777" w:rsidR="0086077F" w:rsidRPr="00976D1C" w:rsidRDefault="0086077F" w:rsidP="00EC4213">
            <w:pPr>
              <w:pStyle w:val="Tablebullet"/>
            </w:pPr>
            <w:r w:rsidRPr="00976D1C">
              <w:t>Gender</w:t>
            </w:r>
          </w:p>
        </w:tc>
        <w:tc>
          <w:tcPr>
            <w:tcW w:w="2334" w:type="dxa"/>
            <w:shd w:val="clear" w:color="auto" w:fill="CCE0ED"/>
          </w:tcPr>
          <w:p w14:paraId="12D50112" w14:textId="77777777" w:rsidR="0086077F" w:rsidRPr="00976D1C" w:rsidRDefault="0086077F" w:rsidP="00EC4213">
            <w:pPr>
              <w:pStyle w:val="Tablebullet"/>
            </w:pPr>
            <w:r w:rsidRPr="00976D1C">
              <w:t>Inflows</w:t>
            </w:r>
          </w:p>
          <w:p w14:paraId="1096D66D" w14:textId="77777777" w:rsidR="0086077F" w:rsidRPr="00976D1C" w:rsidRDefault="0086077F" w:rsidP="00EC4213">
            <w:pPr>
              <w:pStyle w:val="Tablebullet"/>
            </w:pPr>
            <w:r w:rsidRPr="00976D1C">
              <w:t>Exit rates</w:t>
            </w:r>
          </w:p>
        </w:tc>
        <w:tc>
          <w:tcPr>
            <w:tcW w:w="2334" w:type="dxa"/>
            <w:shd w:val="clear" w:color="auto" w:fill="CCE0ED"/>
          </w:tcPr>
          <w:p w14:paraId="05ACC0A2" w14:textId="68C33C77" w:rsidR="0086077F" w:rsidRPr="00A90656" w:rsidRDefault="006D4962" w:rsidP="00EC4213">
            <w:pPr>
              <w:pStyle w:val="TableText"/>
            </w:pPr>
            <w:r w:rsidRPr="00A90656">
              <w:t>–</w:t>
            </w:r>
          </w:p>
        </w:tc>
      </w:tr>
      <w:tr w:rsidR="0086077F" w:rsidRPr="00976D1C" w14:paraId="14E92025" w14:textId="77777777" w:rsidTr="006D4962">
        <w:trPr>
          <w:cantSplit/>
        </w:trPr>
        <w:tc>
          <w:tcPr>
            <w:tcW w:w="2240" w:type="dxa"/>
            <w:shd w:val="clear" w:color="auto" w:fill="CCEFFC"/>
          </w:tcPr>
          <w:p w14:paraId="33FB4F32" w14:textId="77777777" w:rsidR="0086077F" w:rsidRPr="00976D1C" w:rsidRDefault="0086077F" w:rsidP="00EC4213">
            <w:pPr>
              <w:pStyle w:val="TableText"/>
            </w:pPr>
            <w:r w:rsidRPr="00976D1C">
              <w:t>Australian Dental Council</w:t>
            </w:r>
          </w:p>
        </w:tc>
        <w:tc>
          <w:tcPr>
            <w:tcW w:w="2334" w:type="dxa"/>
            <w:shd w:val="clear" w:color="auto" w:fill="CCEFFC"/>
          </w:tcPr>
          <w:p w14:paraId="4B1A0588" w14:textId="77777777" w:rsidR="0086077F" w:rsidRPr="00976D1C" w:rsidRDefault="0086077F" w:rsidP="00EC4213">
            <w:pPr>
              <w:pStyle w:val="TableText"/>
            </w:pPr>
            <w:r w:rsidRPr="00976D1C">
              <w:t xml:space="preserve">2006, 2009, 2012 Permanent and temporary migrants </w:t>
            </w:r>
          </w:p>
          <w:p w14:paraId="4053207A" w14:textId="77777777" w:rsidR="0086077F" w:rsidRPr="00976D1C" w:rsidRDefault="0086077F" w:rsidP="00EC4213">
            <w:pPr>
              <w:pStyle w:val="Tablebullet"/>
            </w:pPr>
            <w:r w:rsidRPr="00976D1C">
              <w:t xml:space="preserve">Age </w:t>
            </w:r>
          </w:p>
          <w:p w14:paraId="5011BBA4" w14:textId="77777777" w:rsidR="0086077F" w:rsidRPr="00976D1C" w:rsidRDefault="0086077F" w:rsidP="00EC4213">
            <w:pPr>
              <w:pStyle w:val="Tablebullet"/>
            </w:pPr>
            <w:r w:rsidRPr="00976D1C">
              <w:t>Gender</w:t>
            </w:r>
          </w:p>
        </w:tc>
        <w:tc>
          <w:tcPr>
            <w:tcW w:w="2334" w:type="dxa"/>
            <w:shd w:val="clear" w:color="auto" w:fill="CCEFFC"/>
          </w:tcPr>
          <w:p w14:paraId="53585BD1" w14:textId="77777777" w:rsidR="0086077F" w:rsidRPr="00976D1C" w:rsidRDefault="0086077F" w:rsidP="00EC4213">
            <w:pPr>
              <w:pStyle w:val="Tablebullet"/>
            </w:pPr>
            <w:r w:rsidRPr="00976D1C">
              <w:t>Inflows</w:t>
            </w:r>
          </w:p>
          <w:p w14:paraId="7FC74793" w14:textId="77777777" w:rsidR="0086077F" w:rsidRPr="00976D1C" w:rsidRDefault="0086077F" w:rsidP="00EC4213">
            <w:pPr>
              <w:pStyle w:val="Tablebullet"/>
            </w:pPr>
            <w:r w:rsidRPr="00976D1C">
              <w:t>Exit rates</w:t>
            </w:r>
          </w:p>
        </w:tc>
        <w:tc>
          <w:tcPr>
            <w:tcW w:w="2334" w:type="dxa"/>
            <w:shd w:val="clear" w:color="auto" w:fill="CCEFFC"/>
          </w:tcPr>
          <w:p w14:paraId="1B11CCC3" w14:textId="6D54C981" w:rsidR="0086077F" w:rsidRPr="00A90656" w:rsidRDefault="006D4962" w:rsidP="00EC4213">
            <w:pPr>
              <w:pStyle w:val="TableText"/>
            </w:pPr>
            <w:r w:rsidRPr="00A90656">
              <w:t>–</w:t>
            </w:r>
          </w:p>
        </w:tc>
      </w:tr>
      <w:tr w:rsidR="0086077F" w:rsidRPr="00976D1C" w14:paraId="4F325946" w14:textId="77777777" w:rsidTr="006D4962">
        <w:trPr>
          <w:cantSplit/>
        </w:trPr>
        <w:tc>
          <w:tcPr>
            <w:tcW w:w="2240" w:type="dxa"/>
            <w:shd w:val="clear" w:color="auto" w:fill="CCE0ED"/>
          </w:tcPr>
          <w:p w14:paraId="4E82F3F9" w14:textId="77777777" w:rsidR="0086077F" w:rsidRPr="00976D1C" w:rsidRDefault="0086077F" w:rsidP="00EC4213">
            <w:pPr>
              <w:pStyle w:val="TableText"/>
            </w:pPr>
            <w:r w:rsidRPr="00976D1C">
              <w:lastRenderedPageBreak/>
              <w:t>Public dental sector workforce scheme</w:t>
            </w:r>
          </w:p>
        </w:tc>
        <w:tc>
          <w:tcPr>
            <w:tcW w:w="2334" w:type="dxa"/>
            <w:shd w:val="clear" w:color="auto" w:fill="CCE0ED"/>
          </w:tcPr>
          <w:p w14:paraId="10D66AB5" w14:textId="77777777" w:rsidR="0086077F" w:rsidRPr="00976D1C" w:rsidRDefault="0086077F" w:rsidP="00EC4213">
            <w:pPr>
              <w:pStyle w:val="TableText"/>
            </w:pPr>
            <w:r w:rsidRPr="00976D1C">
              <w:t xml:space="preserve">Number of dentists that enter Australia through this stream instead of through ADC based on an eligibility listing in each jurisdiction. </w:t>
            </w:r>
          </w:p>
        </w:tc>
        <w:tc>
          <w:tcPr>
            <w:tcW w:w="2334" w:type="dxa"/>
            <w:shd w:val="clear" w:color="auto" w:fill="CCE0ED"/>
          </w:tcPr>
          <w:p w14:paraId="7B58372A" w14:textId="02F5B0B4" w:rsidR="0086077F" w:rsidRPr="00976D1C" w:rsidRDefault="0086077F" w:rsidP="00EC4213">
            <w:pPr>
              <w:pStyle w:val="TableText"/>
              <w:rPr>
                <w:rFonts w:ascii="Avenir LT Std 35 Light" w:hAnsi="Avenir LT Std 35 Light"/>
                <w:szCs w:val="18"/>
              </w:rPr>
            </w:pPr>
            <w:r w:rsidRPr="00976D1C">
              <w:t>Inflows</w:t>
            </w:r>
          </w:p>
        </w:tc>
        <w:tc>
          <w:tcPr>
            <w:tcW w:w="2334" w:type="dxa"/>
            <w:shd w:val="clear" w:color="auto" w:fill="CCE0ED"/>
          </w:tcPr>
          <w:p w14:paraId="0249403F" w14:textId="262ED2AC" w:rsidR="0086077F" w:rsidRPr="00A90656" w:rsidRDefault="006D4962" w:rsidP="00EC4213">
            <w:pPr>
              <w:pStyle w:val="TableText"/>
            </w:pPr>
            <w:r w:rsidRPr="00A90656">
              <w:t>–</w:t>
            </w:r>
          </w:p>
        </w:tc>
      </w:tr>
    </w:tbl>
    <w:p w14:paraId="6FC60B54" w14:textId="77777777" w:rsidR="0086077F" w:rsidRPr="00976D1C" w:rsidRDefault="0086077F" w:rsidP="00EC4213">
      <w:pPr>
        <w:pStyle w:val="Heading2"/>
      </w:pPr>
      <w:bookmarkStart w:id="118" w:name="_Toc407634440"/>
      <w:r w:rsidRPr="00976D1C">
        <w:t>Workforce demand data sources and data items</w:t>
      </w:r>
      <w:bookmarkEnd w:id="118"/>
    </w:p>
    <w:tbl>
      <w:tblPr>
        <w:tblW w:w="5000"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CCEFFC"/>
        <w:tblLook w:val="0480" w:firstRow="0" w:lastRow="0" w:firstColumn="1" w:lastColumn="0" w:noHBand="0" w:noVBand="1"/>
        <w:tblDescription w:val="Workforce demand data sources and data items"/>
      </w:tblPr>
      <w:tblGrid>
        <w:gridCol w:w="2375"/>
        <w:gridCol w:w="3745"/>
        <w:gridCol w:w="3122"/>
      </w:tblGrid>
      <w:tr w:rsidR="0086077F" w:rsidRPr="00976D1C" w14:paraId="0A58F43B" w14:textId="77777777" w:rsidTr="006D4962">
        <w:trPr>
          <w:cantSplit/>
          <w:tblHeader/>
        </w:trPr>
        <w:tc>
          <w:tcPr>
            <w:tcW w:w="1285" w:type="pct"/>
            <w:shd w:val="clear" w:color="auto" w:fill="0065A4"/>
          </w:tcPr>
          <w:p w14:paraId="1BAD8AA2" w14:textId="77777777" w:rsidR="0086077F" w:rsidRPr="00976D1C" w:rsidRDefault="0086077F" w:rsidP="00EC4213">
            <w:pPr>
              <w:pStyle w:val="TableHeader"/>
            </w:pPr>
            <w:r w:rsidRPr="00976D1C">
              <w:t>Data Sou</w:t>
            </w:r>
            <w:bookmarkStart w:id="119" w:name="ColumnTitle_AppendixF_Demand"/>
            <w:bookmarkEnd w:id="119"/>
            <w:r w:rsidRPr="00976D1C">
              <w:t>rce</w:t>
            </w:r>
          </w:p>
        </w:tc>
        <w:tc>
          <w:tcPr>
            <w:tcW w:w="2026" w:type="pct"/>
            <w:shd w:val="clear" w:color="auto" w:fill="0065A4"/>
          </w:tcPr>
          <w:p w14:paraId="6BAC18BA" w14:textId="77777777" w:rsidR="0086077F" w:rsidRPr="00976D1C" w:rsidRDefault="0086077F" w:rsidP="00EC4213">
            <w:pPr>
              <w:pStyle w:val="TableHeader"/>
            </w:pPr>
            <w:r w:rsidRPr="00976D1C">
              <w:t>Data items</w:t>
            </w:r>
          </w:p>
        </w:tc>
        <w:tc>
          <w:tcPr>
            <w:tcW w:w="1689" w:type="pct"/>
            <w:shd w:val="clear" w:color="auto" w:fill="0065A4"/>
          </w:tcPr>
          <w:p w14:paraId="443D9A65" w14:textId="77777777" w:rsidR="0086077F" w:rsidRPr="00976D1C" w:rsidRDefault="0086077F" w:rsidP="00EC4213">
            <w:pPr>
              <w:pStyle w:val="TableHeader"/>
            </w:pPr>
            <w:r w:rsidRPr="00976D1C">
              <w:t>Limitation</w:t>
            </w:r>
          </w:p>
        </w:tc>
      </w:tr>
      <w:tr w:rsidR="0086077F" w:rsidRPr="00976D1C" w14:paraId="4724BF23" w14:textId="77777777" w:rsidTr="006D4962">
        <w:trPr>
          <w:cantSplit/>
        </w:trPr>
        <w:tc>
          <w:tcPr>
            <w:tcW w:w="1285" w:type="pct"/>
            <w:tcBorders>
              <w:bottom w:val="single" w:sz="4" w:space="0" w:color="FFFFFF" w:themeColor="background1"/>
            </w:tcBorders>
            <w:shd w:val="clear" w:color="auto" w:fill="CCE0ED"/>
          </w:tcPr>
          <w:p w14:paraId="119E1F41" w14:textId="77777777" w:rsidR="0086077F" w:rsidRPr="00976D1C" w:rsidRDefault="0086077F" w:rsidP="00EC4213">
            <w:pPr>
              <w:pStyle w:val="TableText"/>
            </w:pPr>
            <w:r w:rsidRPr="00976D1C">
              <w:t>Australian Bureau of Statistics</w:t>
            </w:r>
          </w:p>
        </w:tc>
        <w:tc>
          <w:tcPr>
            <w:tcW w:w="2026" w:type="pct"/>
            <w:tcBorders>
              <w:bottom w:val="single" w:sz="4" w:space="0" w:color="FFFFFF" w:themeColor="background1"/>
            </w:tcBorders>
            <w:shd w:val="clear" w:color="auto" w:fill="CCE0ED"/>
          </w:tcPr>
          <w:p w14:paraId="7A21AD58" w14:textId="77777777" w:rsidR="0086077F" w:rsidRPr="00976D1C" w:rsidRDefault="0086077F" w:rsidP="00EC4213">
            <w:pPr>
              <w:pStyle w:val="TableText"/>
            </w:pPr>
            <w:r w:rsidRPr="00976D1C">
              <w:t xml:space="preserve">Population projections 2006 – 2025: </w:t>
            </w:r>
          </w:p>
          <w:p w14:paraId="7903F3AA" w14:textId="77777777" w:rsidR="0086077F" w:rsidRPr="00976D1C" w:rsidRDefault="0086077F" w:rsidP="00EC4213">
            <w:pPr>
              <w:pStyle w:val="Tablebullet"/>
            </w:pPr>
            <w:r w:rsidRPr="00976D1C">
              <w:t>5 year age cohorts</w:t>
            </w:r>
          </w:p>
          <w:p w14:paraId="27A7B3C6" w14:textId="77777777" w:rsidR="0086077F" w:rsidRPr="00976D1C" w:rsidRDefault="0086077F" w:rsidP="00EC4213">
            <w:pPr>
              <w:pStyle w:val="Tablebullet"/>
            </w:pPr>
            <w:r w:rsidRPr="00976D1C">
              <w:t>Gender</w:t>
            </w:r>
          </w:p>
        </w:tc>
        <w:tc>
          <w:tcPr>
            <w:tcW w:w="1689" w:type="pct"/>
            <w:tcBorders>
              <w:bottom w:val="single" w:sz="4" w:space="0" w:color="FFFFFF" w:themeColor="background1"/>
            </w:tcBorders>
            <w:shd w:val="clear" w:color="auto" w:fill="CCE0ED"/>
          </w:tcPr>
          <w:p w14:paraId="67A885E0" w14:textId="6858B30D" w:rsidR="0086077F" w:rsidRPr="00A90656" w:rsidRDefault="006D4962" w:rsidP="00EC4213">
            <w:pPr>
              <w:pStyle w:val="TableText"/>
            </w:pPr>
            <w:r w:rsidRPr="00A90656">
              <w:t>–</w:t>
            </w:r>
          </w:p>
        </w:tc>
      </w:tr>
      <w:tr w:rsidR="0086077F" w:rsidRPr="00976D1C" w14:paraId="5FEBEEEB" w14:textId="77777777" w:rsidTr="006D4962">
        <w:trPr>
          <w:cantSplit/>
        </w:trPr>
        <w:tc>
          <w:tcPr>
            <w:tcW w:w="1285" w:type="pct"/>
            <w:shd w:val="clear" w:color="auto" w:fill="CCEFFC"/>
          </w:tcPr>
          <w:p w14:paraId="67C5769B" w14:textId="71B92F4E" w:rsidR="0086077F" w:rsidRPr="00976D1C" w:rsidRDefault="006D4962" w:rsidP="00EC4213">
            <w:pPr>
              <w:pStyle w:val="TableText"/>
            </w:pPr>
            <w:r w:rsidRPr="00976D1C">
              <w:t>Australian Bureau of Statistics</w:t>
            </w:r>
          </w:p>
        </w:tc>
        <w:tc>
          <w:tcPr>
            <w:tcW w:w="2026" w:type="pct"/>
            <w:shd w:val="clear" w:color="auto" w:fill="CCEFFC"/>
          </w:tcPr>
          <w:p w14:paraId="1D6410CC" w14:textId="77777777" w:rsidR="0086077F" w:rsidRPr="00976D1C" w:rsidRDefault="0086077F" w:rsidP="00EC4213">
            <w:pPr>
              <w:pStyle w:val="TableText"/>
            </w:pPr>
            <w:r w:rsidRPr="00976D1C">
              <w:t>Patient Health Survey 2011-12:</w:t>
            </w:r>
          </w:p>
          <w:p w14:paraId="22E51896" w14:textId="77777777" w:rsidR="0086077F" w:rsidRPr="00976D1C" w:rsidRDefault="0086077F" w:rsidP="00EC4213">
            <w:pPr>
              <w:pStyle w:val="Tablebullet"/>
            </w:pPr>
            <w:r w:rsidRPr="00976D1C">
              <w:t>Visit to dental professionals</w:t>
            </w:r>
          </w:p>
          <w:p w14:paraId="49ECE7FE" w14:textId="77777777" w:rsidR="0086077F" w:rsidRPr="00976D1C" w:rsidRDefault="0086077F" w:rsidP="00EC4213">
            <w:pPr>
              <w:pStyle w:val="Tablebullet"/>
            </w:pPr>
            <w:r w:rsidRPr="00976D1C">
              <w:t>Sought a dental professional by age/gender (15 and over)</w:t>
            </w:r>
          </w:p>
          <w:p w14:paraId="208CC947" w14:textId="77777777" w:rsidR="0086077F" w:rsidRPr="00976D1C" w:rsidRDefault="0086077F" w:rsidP="00EC4213">
            <w:pPr>
              <w:pStyle w:val="Tablebullet"/>
            </w:pPr>
            <w:r w:rsidRPr="00976D1C">
              <w:t>Use of dental services for own health in the last 12 months (15 and over)</w:t>
            </w:r>
          </w:p>
        </w:tc>
        <w:tc>
          <w:tcPr>
            <w:tcW w:w="1689" w:type="pct"/>
            <w:shd w:val="clear" w:color="auto" w:fill="CCEFFC"/>
          </w:tcPr>
          <w:p w14:paraId="54125FA4" w14:textId="77777777" w:rsidR="0086077F" w:rsidRPr="00976D1C" w:rsidRDefault="0086077F" w:rsidP="00EC4213">
            <w:pPr>
              <w:pStyle w:val="TableText"/>
            </w:pPr>
            <w:r w:rsidRPr="00976D1C">
              <w:t>Based on overall population rather than dentate population only</w:t>
            </w:r>
          </w:p>
        </w:tc>
      </w:tr>
      <w:tr w:rsidR="0086077F" w:rsidRPr="00976D1C" w14:paraId="4E78BFCF" w14:textId="77777777" w:rsidTr="006D4962">
        <w:trPr>
          <w:cantSplit/>
        </w:trPr>
        <w:tc>
          <w:tcPr>
            <w:tcW w:w="1285" w:type="pct"/>
            <w:shd w:val="clear" w:color="auto" w:fill="CCE0ED"/>
          </w:tcPr>
          <w:p w14:paraId="79398D20" w14:textId="77777777" w:rsidR="0086077F" w:rsidRPr="00976D1C" w:rsidRDefault="0086077F" w:rsidP="00EC4213">
            <w:pPr>
              <w:pStyle w:val="TableText"/>
            </w:pPr>
            <w:r w:rsidRPr="00976D1C">
              <w:t>Australian Research Centre for Population Oral Health</w:t>
            </w:r>
          </w:p>
        </w:tc>
        <w:tc>
          <w:tcPr>
            <w:tcW w:w="2026" w:type="pct"/>
            <w:shd w:val="clear" w:color="auto" w:fill="CCE0ED"/>
          </w:tcPr>
          <w:p w14:paraId="2FE80A13" w14:textId="77777777" w:rsidR="0086077F" w:rsidRPr="00976D1C" w:rsidRDefault="0086077F" w:rsidP="00EC4213">
            <w:pPr>
              <w:pStyle w:val="TableText"/>
            </w:pPr>
            <w:r w:rsidRPr="00976D1C">
              <w:t xml:space="preserve">Longitudinal Survey of Dentists’ Practice Activity </w:t>
            </w:r>
          </w:p>
          <w:p w14:paraId="73D741B5" w14:textId="77777777" w:rsidR="0086077F" w:rsidRPr="00976D1C" w:rsidRDefault="0086077F" w:rsidP="00EC4213">
            <w:pPr>
              <w:pStyle w:val="Tablebullet"/>
            </w:pPr>
            <w:r w:rsidRPr="00976D1C">
              <w:t>Supply of visits</w:t>
            </w:r>
          </w:p>
          <w:p w14:paraId="2400AF8C" w14:textId="77777777" w:rsidR="0086077F" w:rsidRPr="00976D1C" w:rsidRDefault="0086077F" w:rsidP="00EC4213">
            <w:pPr>
              <w:pStyle w:val="Tablebullet"/>
            </w:pPr>
            <w:r w:rsidRPr="00976D1C">
              <w:t xml:space="preserve">Hours and services </w:t>
            </w:r>
          </w:p>
        </w:tc>
        <w:tc>
          <w:tcPr>
            <w:tcW w:w="1689" w:type="pct"/>
            <w:shd w:val="clear" w:color="auto" w:fill="CCE0ED"/>
          </w:tcPr>
          <w:p w14:paraId="495B4BD3" w14:textId="77777777" w:rsidR="0086077F" w:rsidRPr="00976D1C" w:rsidRDefault="0086077F" w:rsidP="00EC4213">
            <w:pPr>
              <w:pStyle w:val="TableText"/>
            </w:pPr>
            <w:r w:rsidRPr="00976D1C">
              <w:t>It is a logbook of dentists’ practice activity</w:t>
            </w:r>
          </w:p>
        </w:tc>
      </w:tr>
      <w:tr w:rsidR="00D91FAC" w:rsidRPr="00976D1C" w14:paraId="03431736" w14:textId="77777777" w:rsidTr="006D4962">
        <w:trPr>
          <w:cantSplit/>
        </w:trPr>
        <w:tc>
          <w:tcPr>
            <w:tcW w:w="1285" w:type="pct"/>
            <w:tcBorders>
              <w:bottom w:val="single" w:sz="4" w:space="0" w:color="FFFFFF" w:themeColor="background1"/>
            </w:tcBorders>
            <w:shd w:val="clear" w:color="auto" w:fill="CCEFFC"/>
          </w:tcPr>
          <w:p w14:paraId="3F9E8EAB" w14:textId="51002770" w:rsidR="00D91FAC" w:rsidRPr="00976D1C" w:rsidRDefault="00D91FAC" w:rsidP="00EC4213">
            <w:pPr>
              <w:pStyle w:val="TableText"/>
            </w:pPr>
            <w:r w:rsidRPr="00976D1C">
              <w:t>Australian Dental Association</w:t>
            </w:r>
          </w:p>
        </w:tc>
        <w:tc>
          <w:tcPr>
            <w:tcW w:w="2026" w:type="pct"/>
            <w:tcBorders>
              <w:bottom w:val="single" w:sz="4" w:space="0" w:color="FFFFFF" w:themeColor="background1"/>
            </w:tcBorders>
            <w:shd w:val="clear" w:color="auto" w:fill="CCEFFC"/>
          </w:tcPr>
          <w:p w14:paraId="40D40792" w14:textId="77777777" w:rsidR="00D91FAC" w:rsidRPr="00976D1C" w:rsidRDefault="00D91FAC" w:rsidP="00EC4213">
            <w:pPr>
              <w:pStyle w:val="TableText"/>
            </w:pPr>
            <w:r w:rsidRPr="00976D1C">
              <w:t>2006 – 2012 services items numbers</w:t>
            </w:r>
          </w:p>
          <w:p w14:paraId="21333087" w14:textId="77777777" w:rsidR="00D91FAC" w:rsidRPr="00976D1C" w:rsidRDefault="00D91FAC" w:rsidP="00EC4213">
            <w:pPr>
              <w:pStyle w:val="Tablebullet"/>
            </w:pPr>
            <w:r w:rsidRPr="00976D1C">
              <w:t xml:space="preserve">Costs </w:t>
            </w:r>
          </w:p>
          <w:p w14:paraId="43D95F45" w14:textId="77777777" w:rsidR="00D91FAC" w:rsidRPr="00976D1C" w:rsidRDefault="00D91FAC" w:rsidP="00EC4213">
            <w:pPr>
              <w:pStyle w:val="Tablebullet"/>
            </w:pPr>
            <w:r w:rsidRPr="00976D1C">
              <w:t>Services</w:t>
            </w:r>
          </w:p>
        </w:tc>
        <w:tc>
          <w:tcPr>
            <w:tcW w:w="1689" w:type="pct"/>
            <w:tcBorders>
              <w:bottom w:val="single" w:sz="4" w:space="0" w:color="FFFFFF" w:themeColor="background1"/>
            </w:tcBorders>
            <w:shd w:val="clear" w:color="auto" w:fill="CCEFFC"/>
          </w:tcPr>
          <w:p w14:paraId="0528A4B3" w14:textId="741C5A93" w:rsidR="00D91FAC" w:rsidRPr="00A90656" w:rsidRDefault="006D4962" w:rsidP="00EC4213">
            <w:pPr>
              <w:pStyle w:val="TableText"/>
            </w:pPr>
            <w:r w:rsidRPr="00A90656">
              <w:t>–</w:t>
            </w:r>
          </w:p>
        </w:tc>
      </w:tr>
      <w:tr w:rsidR="00D91FAC" w:rsidRPr="00976D1C" w14:paraId="1FE2AFDF" w14:textId="77777777" w:rsidTr="006D4962">
        <w:trPr>
          <w:cantSplit/>
        </w:trPr>
        <w:tc>
          <w:tcPr>
            <w:tcW w:w="1285" w:type="pct"/>
            <w:shd w:val="clear" w:color="auto" w:fill="CCE0ED"/>
          </w:tcPr>
          <w:p w14:paraId="3FDE1E3A" w14:textId="64D99FA3" w:rsidR="00D91FAC" w:rsidRPr="00976D1C" w:rsidRDefault="006D4962" w:rsidP="00EC4213">
            <w:pPr>
              <w:pStyle w:val="TableText"/>
            </w:pPr>
            <w:r w:rsidRPr="00976D1C">
              <w:t>Australian Dental Association</w:t>
            </w:r>
          </w:p>
        </w:tc>
        <w:tc>
          <w:tcPr>
            <w:tcW w:w="2026" w:type="pct"/>
            <w:shd w:val="clear" w:color="auto" w:fill="CCE0ED"/>
          </w:tcPr>
          <w:p w14:paraId="473A65F9" w14:textId="77777777" w:rsidR="00D91FAC" w:rsidRPr="00976D1C" w:rsidRDefault="00D91FAC" w:rsidP="00EC4213">
            <w:pPr>
              <w:pStyle w:val="TableText"/>
            </w:pPr>
            <w:r w:rsidRPr="00976D1C">
              <w:t>Practice survey data:</w:t>
            </w:r>
          </w:p>
          <w:p w14:paraId="2666D634" w14:textId="77777777" w:rsidR="00D91FAC" w:rsidRPr="00976D1C" w:rsidRDefault="00D91FAC" w:rsidP="00EC4213">
            <w:pPr>
              <w:pStyle w:val="Tablebullet"/>
            </w:pPr>
            <w:r w:rsidRPr="00976D1C">
              <w:t>Question 8: usual working hours</w:t>
            </w:r>
          </w:p>
          <w:p w14:paraId="52344D13" w14:textId="77777777" w:rsidR="00D91FAC" w:rsidRPr="00976D1C" w:rsidRDefault="00D91FAC" w:rsidP="00EC4213">
            <w:pPr>
              <w:pStyle w:val="Tablebullet"/>
            </w:pPr>
            <w:r w:rsidRPr="00976D1C">
              <w:t>Question 9: patient appointments</w:t>
            </w:r>
          </w:p>
          <w:p w14:paraId="3B7DB6FB" w14:textId="77777777" w:rsidR="00D91FAC" w:rsidRPr="00976D1C" w:rsidRDefault="00D91FAC" w:rsidP="00EC4213">
            <w:pPr>
              <w:pStyle w:val="Tablebullet"/>
            </w:pPr>
            <w:r w:rsidRPr="00976D1C">
              <w:t>Question 10: practice ‘busyness’</w:t>
            </w:r>
          </w:p>
          <w:p w14:paraId="60E1964B" w14:textId="77777777" w:rsidR="00D91FAC" w:rsidRPr="00976D1C" w:rsidRDefault="00D91FAC" w:rsidP="00EC4213">
            <w:pPr>
              <w:pStyle w:val="Tablebullet"/>
            </w:pPr>
            <w:r w:rsidRPr="00976D1C">
              <w:t>Question 12: dental practice</w:t>
            </w:r>
          </w:p>
          <w:p w14:paraId="494FB6A7" w14:textId="77777777" w:rsidR="00D91FAC" w:rsidRPr="00976D1C" w:rsidRDefault="00D91FAC" w:rsidP="00EC4213">
            <w:pPr>
              <w:pStyle w:val="Tablebullet"/>
            </w:pPr>
            <w:r w:rsidRPr="00976D1C">
              <w:t>Question 2.1: details of private practice</w:t>
            </w:r>
          </w:p>
          <w:p w14:paraId="121F04BB" w14:textId="77777777" w:rsidR="00D91FAC" w:rsidRPr="00976D1C" w:rsidRDefault="00D91FAC" w:rsidP="00EC4213">
            <w:pPr>
              <w:pStyle w:val="TableText"/>
            </w:pPr>
            <w:r w:rsidRPr="00976D1C">
              <w:t>Unit record data is currently being requested</w:t>
            </w:r>
          </w:p>
        </w:tc>
        <w:tc>
          <w:tcPr>
            <w:tcW w:w="1689" w:type="pct"/>
            <w:shd w:val="clear" w:color="auto" w:fill="CCE0ED"/>
          </w:tcPr>
          <w:p w14:paraId="4B05282A" w14:textId="77777777" w:rsidR="00D91FAC" w:rsidRPr="00976D1C" w:rsidRDefault="00D91FAC" w:rsidP="00EC4213">
            <w:pPr>
              <w:pStyle w:val="TableText"/>
            </w:pPr>
            <w:r w:rsidRPr="00976D1C">
              <w:t xml:space="preserve">This will give an indication of private practice activity. This data is intended to be utilized as an implied private practice at a national level. </w:t>
            </w:r>
          </w:p>
        </w:tc>
      </w:tr>
      <w:tr w:rsidR="0086077F" w:rsidRPr="00976D1C" w14:paraId="58E7CFC2" w14:textId="77777777" w:rsidTr="006D4962">
        <w:trPr>
          <w:cantSplit/>
        </w:trPr>
        <w:tc>
          <w:tcPr>
            <w:tcW w:w="1285" w:type="pct"/>
            <w:shd w:val="clear" w:color="auto" w:fill="CCEFFC"/>
          </w:tcPr>
          <w:p w14:paraId="5681C4F8" w14:textId="77777777" w:rsidR="0086077F" w:rsidRPr="00976D1C" w:rsidRDefault="0086077F" w:rsidP="00EC4213">
            <w:pPr>
              <w:pStyle w:val="TableText"/>
            </w:pPr>
            <w:r w:rsidRPr="00976D1C">
              <w:t>Australian Institute of Health and Welfare</w:t>
            </w:r>
          </w:p>
        </w:tc>
        <w:tc>
          <w:tcPr>
            <w:tcW w:w="2026" w:type="pct"/>
            <w:shd w:val="clear" w:color="auto" w:fill="CCEFFC"/>
          </w:tcPr>
          <w:p w14:paraId="4B6E3875" w14:textId="77777777" w:rsidR="0086077F" w:rsidRPr="00976D1C" w:rsidRDefault="0086077F" w:rsidP="00EC4213">
            <w:pPr>
              <w:pStyle w:val="TableText"/>
            </w:pPr>
            <w:r w:rsidRPr="00976D1C">
              <w:t xml:space="preserve">Hospital morbidity data (dental care is one of the most common reasons for hospital admission for children under the age of 10 years). </w:t>
            </w:r>
          </w:p>
        </w:tc>
        <w:tc>
          <w:tcPr>
            <w:tcW w:w="1689" w:type="pct"/>
            <w:shd w:val="clear" w:color="auto" w:fill="CCEFFC"/>
          </w:tcPr>
          <w:p w14:paraId="5E78BC97" w14:textId="7ECBB362" w:rsidR="0086077F" w:rsidRPr="00A90656" w:rsidRDefault="006D4962" w:rsidP="00EC4213">
            <w:pPr>
              <w:pStyle w:val="TableText"/>
            </w:pPr>
            <w:r w:rsidRPr="00A90656">
              <w:t>–</w:t>
            </w:r>
          </w:p>
        </w:tc>
      </w:tr>
      <w:tr w:rsidR="0086077F" w:rsidRPr="00976D1C" w14:paraId="6B2EE264" w14:textId="77777777" w:rsidTr="006D4962">
        <w:trPr>
          <w:cantSplit/>
        </w:trPr>
        <w:tc>
          <w:tcPr>
            <w:tcW w:w="1285" w:type="pct"/>
            <w:tcBorders>
              <w:bottom w:val="single" w:sz="4" w:space="0" w:color="FFFFFF" w:themeColor="background1"/>
            </w:tcBorders>
            <w:shd w:val="clear" w:color="auto" w:fill="CCE0ED"/>
          </w:tcPr>
          <w:p w14:paraId="501A3CB0" w14:textId="77777777" w:rsidR="0086077F" w:rsidRPr="00976D1C" w:rsidRDefault="0086077F" w:rsidP="00EC4213">
            <w:pPr>
              <w:pStyle w:val="TableText"/>
            </w:pPr>
            <w:r w:rsidRPr="00976D1C">
              <w:lastRenderedPageBreak/>
              <w:t xml:space="preserve">Medicare </w:t>
            </w:r>
          </w:p>
        </w:tc>
        <w:tc>
          <w:tcPr>
            <w:tcW w:w="2026" w:type="pct"/>
            <w:tcBorders>
              <w:bottom w:val="single" w:sz="4" w:space="0" w:color="FFFFFF" w:themeColor="background1"/>
            </w:tcBorders>
            <w:shd w:val="clear" w:color="auto" w:fill="CCE0ED"/>
          </w:tcPr>
          <w:p w14:paraId="19970568" w14:textId="77777777" w:rsidR="0086077F" w:rsidRPr="00976D1C" w:rsidRDefault="0086077F" w:rsidP="00EC4213">
            <w:pPr>
              <w:pStyle w:val="Tablebullet"/>
            </w:pPr>
            <w:r w:rsidRPr="00976D1C">
              <w:t>Chronic Disease Dental Scheme (CDDS) and teen dental Medicare data 2007 – 2012:</w:t>
            </w:r>
          </w:p>
          <w:p w14:paraId="51B7159C" w14:textId="77777777" w:rsidR="0086077F" w:rsidRPr="00976D1C" w:rsidRDefault="0086077F" w:rsidP="00EC4213">
            <w:pPr>
              <w:pStyle w:val="Tablebullet"/>
            </w:pPr>
            <w:r w:rsidRPr="00976D1C">
              <w:t>Services by category and item numbers</w:t>
            </w:r>
          </w:p>
          <w:p w14:paraId="0D35417C" w14:textId="77777777" w:rsidR="0086077F" w:rsidRPr="00976D1C" w:rsidRDefault="0086077F" w:rsidP="00EC4213">
            <w:pPr>
              <w:pStyle w:val="Tablebullet"/>
            </w:pPr>
            <w:r w:rsidRPr="00976D1C">
              <w:t>Benefits paid by Medicare</w:t>
            </w:r>
          </w:p>
          <w:p w14:paraId="23509ED7" w14:textId="77777777" w:rsidR="006D4962" w:rsidRPr="00976D1C" w:rsidRDefault="006D4962" w:rsidP="00EC4213">
            <w:pPr>
              <w:pStyle w:val="Tablebullet"/>
            </w:pPr>
            <w:r w:rsidRPr="00976D1C">
              <w:t>Category 4 – oral and maxillofacial services</w:t>
            </w:r>
          </w:p>
          <w:p w14:paraId="77C4EFAA" w14:textId="66EA6BBB" w:rsidR="006D4962" w:rsidRPr="00976D1C" w:rsidRDefault="006D4962" w:rsidP="00EC4213">
            <w:pPr>
              <w:pStyle w:val="Tablebullet"/>
            </w:pPr>
            <w:r w:rsidRPr="00976D1C">
              <w:t>Medicare services for dentists, dental prosthetists, dentistry-oral surgery/ other dental specialist, dentistry-registered and orthodontistry</w:t>
            </w:r>
          </w:p>
        </w:tc>
        <w:tc>
          <w:tcPr>
            <w:tcW w:w="1689" w:type="pct"/>
            <w:tcBorders>
              <w:bottom w:val="single" w:sz="4" w:space="0" w:color="FFFFFF" w:themeColor="background1"/>
            </w:tcBorders>
            <w:shd w:val="clear" w:color="auto" w:fill="CCE0ED"/>
          </w:tcPr>
          <w:p w14:paraId="592B3F79" w14:textId="77777777" w:rsidR="0086077F" w:rsidRPr="00976D1C" w:rsidRDefault="0086077F" w:rsidP="00EC4213">
            <w:pPr>
              <w:pStyle w:val="TableText"/>
            </w:pPr>
            <w:r w:rsidRPr="00976D1C">
              <w:t>Medicare data focuses primarily on the public sector, and records the number of services and the benefits paid by Medicare (with an upper limit that is paid). The types of treatment services provided are similar to those that are identified in table 4. The benefits paid per service grew at 1.44 per cent between 2007 and 2011.</w:t>
            </w:r>
          </w:p>
        </w:tc>
      </w:tr>
      <w:tr w:rsidR="0086077F" w:rsidRPr="00976D1C" w14:paraId="01EC00AF" w14:textId="77777777" w:rsidTr="006D4962">
        <w:trPr>
          <w:cantSplit/>
        </w:trPr>
        <w:tc>
          <w:tcPr>
            <w:tcW w:w="1285" w:type="pct"/>
            <w:shd w:val="clear" w:color="auto" w:fill="CCEFFC"/>
          </w:tcPr>
          <w:p w14:paraId="53868EB0" w14:textId="77777777" w:rsidR="0086077F" w:rsidRPr="00976D1C" w:rsidRDefault="0086077F" w:rsidP="00EC4213">
            <w:pPr>
              <w:pStyle w:val="TableText"/>
            </w:pPr>
            <w:r w:rsidRPr="00976D1C">
              <w:t>Department of Veteran’s Affairs</w:t>
            </w:r>
          </w:p>
        </w:tc>
        <w:tc>
          <w:tcPr>
            <w:tcW w:w="2026" w:type="pct"/>
            <w:shd w:val="clear" w:color="auto" w:fill="CCEFFC"/>
          </w:tcPr>
          <w:p w14:paraId="6C1CE6DA" w14:textId="77777777" w:rsidR="0086077F" w:rsidRPr="00976D1C" w:rsidRDefault="0086077F" w:rsidP="00EC4213">
            <w:pPr>
              <w:pStyle w:val="TableText"/>
            </w:pPr>
            <w:r w:rsidRPr="00976D1C">
              <w:t>2006 – 2012 services by Medicare category and service item numbers</w:t>
            </w:r>
          </w:p>
        </w:tc>
        <w:tc>
          <w:tcPr>
            <w:tcW w:w="1689" w:type="pct"/>
            <w:shd w:val="clear" w:color="auto" w:fill="CCEFFC"/>
          </w:tcPr>
          <w:p w14:paraId="130A0199" w14:textId="67ADABB6" w:rsidR="0086077F" w:rsidRPr="00A90656" w:rsidRDefault="006D4962" w:rsidP="00EC4213">
            <w:pPr>
              <w:pStyle w:val="TableText"/>
            </w:pPr>
            <w:r w:rsidRPr="00A90656">
              <w:t>–</w:t>
            </w:r>
          </w:p>
        </w:tc>
      </w:tr>
      <w:tr w:rsidR="0086077F" w:rsidRPr="00976D1C" w14:paraId="150D0ECB" w14:textId="77777777" w:rsidTr="006D4962">
        <w:trPr>
          <w:cantSplit/>
        </w:trPr>
        <w:tc>
          <w:tcPr>
            <w:tcW w:w="1285" w:type="pct"/>
            <w:shd w:val="clear" w:color="auto" w:fill="CCE0ED"/>
          </w:tcPr>
          <w:p w14:paraId="55E2F298" w14:textId="77777777" w:rsidR="0086077F" w:rsidRPr="00976D1C" w:rsidRDefault="0086077F" w:rsidP="00EC4213">
            <w:pPr>
              <w:pStyle w:val="TableText"/>
            </w:pPr>
            <w:r w:rsidRPr="00976D1C">
              <w:t>Public Dental Directors/ Jurisdictions</w:t>
            </w:r>
          </w:p>
        </w:tc>
        <w:tc>
          <w:tcPr>
            <w:tcW w:w="2026" w:type="pct"/>
            <w:shd w:val="clear" w:color="auto" w:fill="CCE0ED"/>
          </w:tcPr>
          <w:p w14:paraId="7E8193D3" w14:textId="77777777" w:rsidR="0086077F" w:rsidRPr="00976D1C" w:rsidRDefault="0086077F" w:rsidP="00EC4213">
            <w:pPr>
              <w:pStyle w:val="Tablebullet"/>
            </w:pPr>
            <w:r w:rsidRPr="00976D1C">
              <w:t xml:space="preserve">Public sector utilization patterns and typical service usage. </w:t>
            </w:r>
          </w:p>
          <w:p w14:paraId="4C10F7FE" w14:textId="77777777" w:rsidR="0086077F" w:rsidRPr="00976D1C" w:rsidRDefault="0086077F" w:rsidP="00EC4213">
            <w:pPr>
              <w:pStyle w:val="Tablebullet"/>
            </w:pPr>
            <w:r w:rsidRPr="00976D1C">
              <w:t>Child dental health data</w:t>
            </w:r>
          </w:p>
        </w:tc>
        <w:tc>
          <w:tcPr>
            <w:tcW w:w="1689" w:type="pct"/>
            <w:shd w:val="clear" w:color="auto" w:fill="CCE0ED"/>
          </w:tcPr>
          <w:p w14:paraId="4206AC4E" w14:textId="0CA161BA" w:rsidR="0086077F" w:rsidRPr="00A90656" w:rsidRDefault="006D4962" w:rsidP="00EC4213">
            <w:pPr>
              <w:pStyle w:val="TableText"/>
            </w:pPr>
            <w:r w:rsidRPr="00A90656">
              <w:t>–</w:t>
            </w:r>
          </w:p>
        </w:tc>
      </w:tr>
      <w:tr w:rsidR="0086077F" w:rsidRPr="00976D1C" w14:paraId="4F1D6D20" w14:textId="77777777" w:rsidTr="006D4962">
        <w:trPr>
          <w:cantSplit/>
        </w:trPr>
        <w:tc>
          <w:tcPr>
            <w:tcW w:w="1285" w:type="pct"/>
            <w:shd w:val="clear" w:color="auto" w:fill="CCEFFC"/>
          </w:tcPr>
          <w:p w14:paraId="30FD4F26" w14:textId="77777777" w:rsidR="0086077F" w:rsidRPr="00976D1C" w:rsidRDefault="0086077F" w:rsidP="00EC4213">
            <w:pPr>
              <w:pStyle w:val="TableText"/>
            </w:pPr>
            <w:r w:rsidRPr="00976D1C">
              <w:lastRenderedPageBreak/>
              <w:t xml:space="preserve">National Dental Telephone Interview Survey (ARCPOH) </w:t>
            </w:r>
          </w:p>
        </w:tc>
        <w:tc>
          <w:tcPr>
            <w:tcW w:w="2026" w:type="pct"/>
            <w:shd w:val="clear" w:color="auto" w:fill="CCEFFC"/>
          </w:tcPr>
          <w:p w14:paraId="00D230A3" w14:textId="77777777" w:rsidR="0086077F" w:rsidRPr="00976D1C" w:rsidRDefault="0086077F" w:rsidP="00EC4213">
            <w:pPr>
              <w:pStyle w:val="TableText"/>
            </w:pPr>
            <w:r w:rsidRPr="00976D1C">
              <w:t xml:space="preserve">Total population, 65+ population, geographical distribution by remoteness area, index of relative socio-economic advantage and disadvantage, gender and age cohorts for: </w:t>
            </w:r>
          </w:p>
          <w:p w14:paraId="3AC0CD31" w14:textId="44DA382E" w:rsidR="00496C01" w:rsidRPr="00976D1C" w:rsidRDefault="00496C01" w:rsidP="00EC4213">
            <w:pPr>
              <w:pStyle w:val="Tablebullet"/>
            </w:pPr>
            <w:r w:rsidRPr="00976D1C">
              <w:t>Exams</w:t>
            </w:r>
          </w:p>
          <w:p w14:paraId="4D78B6AF" w14:textId="3EECC73A" w:rsidR="00496C01" w:rsidRPr="00976D1C" w:rsidRDefault="00496C01" w:rsidP="00EC4213">
            <w:pPr>
              <w:pStyle w:val="Tablebullet"/>
            </w:pPr>
            <w:r w:rsidRPr="00976D1C">
              <w:t>X-rays</w:t>
            </w:r>
          </w:p>
          <w:p w14:paraId="1CA3D5FD" w14:textId="7D678849" w:rsidR="00496C01" w:rsidRPr="00976D1C" w:rsidRDefault="00496C01" w:rsidP="00EC4213">
            <w:pPr>
              <w:pStyle w:val="Tablebullet"/>
            </w:pPr>
            <w:r w:rsidRPr="00976D1C">
              <w:t>Scale and cleans</w:t>
            </w:r>
          </w:p>
          <w:p w14:paraId="07E45C9F" w14:textId="5F0E62C7" w:rsidR="00496C01" w:rsidRPr="00976D1C" w:rsidRDefault="00496C01" w:rsidP="00EC4213">
            <w:pPr>
              <w:pStyle w:val="Tablebullet"/>
            </w:pPr>
            <w:r w:rsidRPr="00976D1C">
              <w:t>Extractions</w:t>
            </w:r>
          </w:p>
          <w:p w14:paraId="52F62D50" w14:textId="0A00ED88" w:rsidR="00496C01" w:rsidRPr="00976D1C" w:rsidRDefault="00496C01" w:rsidP="00EC4213">
            <w:pPr>
              <w:pStyle w:val="Tablebullet"/>
            </w:pPr>
            <w:r w:rsidRPr="00976D1C">
              <w:t>Fillings</w:t>
            </w:r>
          </w:p>
          <w:p w14:paraId="45F04D40" w14:textId="1A1B97E4" w:rsidR="00496C01" w:rsidRPr="00976D1C" w:rsidRDefault="00496C01" w:rsidP="00EC4213">
            <w:pPr>
              <w:pStyle w:val="Tablebullet"/>
            </w:pPr>
            <w:r w:rsidRPr="00976D1C">
              <w:t>Crowns</w:t>
            </w:r>
          </w:p>
          <w:p w14:paraId="317B0D9D" w14:textId="77777777" w:rsidR="00496C01" w:rsidRPr="00976D1C" w:rsidRDefault="00496C01" w:rsidP="00EC4213">
            <w:pPr>
              <w:pStyle w:val="Tablebullet"/>
            </w:pPr>
            <w:r w:rsidRPr="00976D1C">
              <w:t xml:space="preserve">Bridges </w:t>
            </w:r>
          </w:p>
          <w:p w14:paraId="60A52A82" w14:textId="5F24FA47" w:rsidR="00496C01" w:rsidRPr="00976D1C" w:rsidRDefault="00496C01" w:rsidP="00EC4213">
            <w:pPr>
              <w:pStyle w:val="Tablebullet"/>
            </w:pPr>
            <w:r w:rsidRPr="00976D1C">
              <w:t>Gum treatments</w:t>
            </w:r>
          </w:p>
          <w:p w14:paraId="381548D9" w14:textId="729E5E1E" w:rsidR="00BD188F" w:rsidRPr="00976D1C" w:rsidRDefault="00496C01" w:rsidP="00EC4213">
            <w:pPr>
              <w:pStyle w:val="Tablebullet"/>
            </w:pPr>
            <w:r w:rsidRPr="00976D1C">
              <w:t>Orthodontic services.</w:t>
            </w:r>
          </w:p>
        </w:tc>
        <w:tc>
          <w:tcPr>
            <w:tcW w:w="1689" w:type="pct"/>
            <w:shd w:val="clear" w:color="auto" w:fill="CCEFFC"/>
          </w:tcPr>
          <w:p w14:paraId="1B3D4BEC" w14:textId="77777777" w:rsidR="0086077F" w:rsidRPr="00976D1C" w:rsidRDefault="0086077F" w:rsidP="00EC4213">
            <w:pPr>
              <w:pStyle w:val="Tablebullet"/>
            </w:pPr>
            <w:r w:rsidRPr="00976D1C">
              <w:t xml:space="preserve">Self-report survey with a relatively small sample size (~7,000) collected every three years. </w:t>
            </w:r>
          </w:p>
          <w:p w14:paraId="7669ACF7" w14:textId="3BB8FC7F" w:rsidR="008503DB" w:rsidRPr="00976D1C" w:rsidRDefault="008503DB" w:rsidP="00EC4213">
            <w:pPr>
              <w:pStyle w:val="Tablebullet"/>
            </w:pPr>
            <w:r w:rsidRPr="00976D1C">
              <w:t>NDTIS captures data on dental visiting by asking respondents about the number of visits made in the previous 12 months. Data on services received at those visits were collected by asking respondents to recall the number of exams, x-rays, scale and cleans, extractions, fillings, crowns, bridges, gum treatments and orthodontic services received in the last 12 months. The NDTIS services received questions were primarily designed to gain an understanding of the orientation of dental care within the community. While these service types represent the large majority of services received, the data does not necessarily reflect all dental services received. As such there is a high likelihood that the total count of services is conservative, and that services per visit applied in the dental demand projection is likely to be highly conservative.</w:t>
            </w:r>
          </w:p>
        </w:tc>
      </w:tr>
      <w:tr w:rsidR="0086077F" w:rsidRPr="00976D1C" w14:paraId="738FC033" w14:textId="77777777" w:rsidTr="006D4962">
        <w:trPr>
          <w:cantSplit/>
        </w:trPr>
        <w:tc>
          <w:tcPr>
            <w:tcW w:w="1285" w:type="pct"/>
            <w:shd w:val="clear" w:color="auto" w:fill="CCE0ED"/>
          </w:tcPr>
          <w:p w14:paraId="36F045F5" w14:textId="7B9E844F" w:rsidR="0086077F" w:rsidRPr="00976D1C" w:rsidRDefault="0086077F" w:rsidP="00EC4213">
            <w:pPr>
              <w:pStyle w:val="TableText"/>
            </w:pPr>
            <w:r w:rsidRPr="00976D1C">
              <w:t>Private Health Insurance Administration Council (PHIAC)</w:t>
            </w:r>
          </w:p>
        </w:tc>
        <w:tc>
          <w:tcPr>
            <w:tcW w:w="2026" w:type="pct"/>
            <w:shd w:val="clear" w:color="auto" w:fill="CCE0ED"/>
          </w:tcPr>
          <w:p w14:paraId="3AB89FF8" w14:textId="77777777" w:rsidR="0086077F" w:rsidRPr="00976D1C" w:rsidRDefault="0086077F" w:rsidP="00EC4213">
            <w:pPr>
              <w:pStyle w:val="TableText"/>
            </w:pPr>
            <w:r w:rsidRPr="00976D1C">
              <w:t>Private insurance quarterly report on the number of services and their cost from 2006 to present</w:t>
            </w:r>
          </w:p>
        </w:tc>
        <w:tc>
          <w:tcPr>
            <w:tcW w:w="1689" w:type="pct"/>
            <w:shd w:val="clear" w:color="auto" w:fill="CCE0ED"/>
          </w:tcPr>
          <w:p w14:paraId="57DDD05F" w14:textId="77777777" w:rsidR="0086077F" w:rsidRPr="00976D1C" w:rsidRDefault="0086077F" w:rsidP="00EC4213">
            <w:pPr>
              <w:pStyle w:val="TableText"/>
            </w:pPr>
            <w:r w:rsidRPr="00976D1C">
              <w:t xml:space="preserve">Data from PHIAC provides the number of services, benefits paid and fees charged per quarter. The number of services from 2006 to 2011 has grown at 4.54 per cent over this five- year period. The type of services provided under the Dental category under general treatment include: comprehensive examination or consultation, dental x-ray, clean, polish, fluoride treatments, scale and clean, custom-made mouth guards, tooth fillings, crowns and bridges, full upper or lower denture, major dental work, periodontics, endodontics, dentures and surgical extraction of teeth. However there is no breakdown of the general treatments for dental. </w:t>
            </w:r>
          </w:p>
        </w:tc>
      </w:tr>
      <w:tr w:rsidR="0086077F" w:rsidRPr="00976D1C" w14:paraId="09D4DC3E" w14:textId="77777777" w:rsidTr="006D4962">
        <w:trPr>
          <w:cantSplit/>
        </w:trPr>
        <w:tc>
          <w:tcPr>
            <w:tcW w:w="1285" w:type="pct"/>
            <w:shd w:val="clear" w:color="auto" w:fill="CCEFFC"/>
          </w:tcPr>
          <w:p w14:paraId="6CCD4FBF" w14:textId="77777777" w:rsidR="0086077F" w:rsidRPr="00976D1C" w:rsidRDefault="0086077F" w:rsidP="00EC4213">
            <w:pPr>
              <w:pStyle w:val="TableText"/>
            </w:pPr>
            <w:r w:rsidRPr="00976D1C">
              <w:lastRenderedPageBreak/>
              <w:t>Hardes data</w:t>
            </w:r>
          </w:p>
        </w:tc>
        <w:tc>
          <w:tcPr>
            <w:tcW w:w="2026" w:type="pct"/>
            <w:shd w:val="clear" w:color="auto" w:fill="CCEFFC"/>
          </w:tcPr>
          <w:p w14:paraId="1B794FE5" w14:textId="77777777" w:rsidR="0086077F" w:rsidRPr="00976D1C" w:rsidRDefault="0086077F" w:rsidP="00EC4213">
            <w:pPr>
              <w:pStyle w:val="TableText"/>
            </w:pPr>
            <w:r w:rsidRPr="00976D1C">
              <w:t xml:space="preserve">Hospital inpatient data for public and private, by jurisdiction, Remoteness Area, age and gender. </w:t>
            </w:r>
          </w:p>
        </w:tc>
        <w:tc>
          <w:tcPr>
            <w:tcW w:w="1689" w:type="pct"/>
            <w:shd w:val="clear" w:color="auto" w:fill="CCEFFC"/>
          </w:tcPr>
          <w:p w14:paraId="17FAC143" w14:textId="77777777" w:rsidR="0086077F" w:rsidRPr="00976D1C" w:rsidRDefault="0086077F" w:rsidP="00EC4213">
            <w:pPr>
              <w:pStyle w:val="TableText"/>
            </w:pPr>
            <w:r w:rsidRPr="00976D1C">
              <w:t>This data is only for inpatient activity.</w:t>
            </w:r>
          </w:p>
        </w:tc>
      </w:tr>
    </w:tbl>
    <w:p w14:paraId="5997A899" w14:textId="77777777" w:rsidR="0086077F" w:rsidRPr="00976D1C" w:rsidRDefault="0086077F" w:rsidP="00EC4213"/>
    <w:p w14:paraId="418EE911" w14:textId="3CA2976E" w:rsidR="003127EE" w:rsidRPr="00976D1C" w:rsidRDefault="003127EE" w:rsidP="00EC4213">
      <w:pPr>
        <w:pStyle w:val="Heading1"/>
      </w:pPr>
      <w:bookmarkStart w:id="120" w:name="_Toc407634441"/>
      <w:r w:rsidRPr="00976D1C">
        <w:lastRenderedPageBreak/>
        <w:t>Appendix G – Workforce planning scenario results</w:t>
      </w:r>
      <w:bookmarkEnd w:id="120"/>
    </w:p>
    <w:p w14:paraId="2E281E54" w14:textId="6D72BA5B" w:rsidR="00CC0E4C" w:rsidRPr="00976D1C" w:rsidRDefault="003127EE" w:rsidP="00EC4213">
      <w:r w:rsidRPr="00976D1C">
        <w:t xml:space="preserve">Tables </w:t>
      </w:r>
      <w:r w:rsidR="00DC3122" w:rsidRPr="00976D1C">
        <w:t>7</w:t>
      </w:r>
      <w:r w:rsidRPr="00976D1C">
        <w:t xml:space="preserve"> to </w:t>
      </w:r>
      <w:r w:rsidR="003F3CF1" w:rsidRPr="00976D1C">
        <w:t>1</w:t>
      </w:r>
      <w:r w:rsidR="00DC3122" w:rsidRPr="00976D1C">
        <w:t>4</w:t>
      </w:r>
      <w:r w:rsidRPr="00976D1C">
        <w:t xml:space="preserve"> show the supply and demand for the oral health workforce for selected years to 2025, as well as the input parameters on inflows and exits that were used to generate the supply projections.</w:t>
      </w:r>
      <w:r w:rsidR="003B6205" w:rsidRPr="00976D1C">
        <w:t xml:space="preserve"> All results are also presented in terms of headcount. This allows for an estimation of the required number of students or practitioners at each stage of the pipeline to be generated. However it should be noted that underlying the headcount results is a full-time equivalent measure that represents the current and projected reported hours of work of each age cohort in the relevant workforce. Because of the process to generate these results, the headcount demand figures can vary from those presented in the comparison scenario (although not by a material amount).  </w:t>
      </w:r>
    </w:p>
    <w:p w14:paraId="7EF38F96" w14:textId="77777777" w:rsidR="00FC6928" w:rsidRPr="00976D1C" w:rsidRDefault="00FC6928" w:rsidP="00EC4213">
      <w:pPr>
        <w:pStyle w:val="Caption"/>
      </w:pPr>
      <w:bookmarkStart w:id="121" w:name="_Toc409532345"/>
      <w:r w:rsidRPr="00976D1C">
        <w:t xml:space="preserve">Table </w:t>
      </w:r>
      <w:fldSimple w:instr=" SEQ Table \* ARABIC ">
        <w:r w:rsidRPr="00976D1C">
          <w:rPr>
            <w:noProof/>
          </w:rPr>
          <w:t>7</w:t>
        </w:r>
      </w:fldSimple>
      <w:r w:rsidRPr="00976D1C">
        <w:t>: Oral health workforce, comparison scenario, selected years, headcount</w:t>
      </w:r>
      <w:bookmarkEnd w:id="121"/>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FC6928" w:rsidRPr="00F9573F" w14:paraId="2474FF01"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1DF3D573" w14:textId="374238C1" w:rsidR="00FC6928" w:rsidRPr="00F9573F" w:rsidRDefault="00F9573F" w:rsidP="00EC4213">
            <w:pPr>
              <w:pStyle w:val="TableHeader"/>
              <w:keepNext/>
            </w:pPr>
            <w:bookmarkStart w:id="122" w:name="_GoBack" w:colFirst="0" w:colLast="5"/>
            <w:r w:rsidRPr="00F9573F">
              <w:t>Category</w:t>
            </w:r>
            <w:bookmarkStart w:id="123" w:name="ColumnTitle_7"/>
            <w:bookmarkEnd w:id="123"/>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2E50538D" w14:textId="77777777" w:rsidR="00FC6928" w:rsidRPr="00F9573F" w:rsidRDefault="00FC6928" w:rsidP="00EC4213">
            <w:pPr>
              <w:pStyle w:val="TableHeader"/>
              <w:keepNext/>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5AA21998" w14:textId="77777777" w:rsidR="00FC6928" w:rsidRPr="00F9573F" w:rsidRDefault="00FC6928" w:rsidP="00EC4213">
            <w:pPr>
              <w:pStyle w:val="TableHeader"/>
              <w:keepNext/>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17BCC01A" w14:textId="77777777" w:rsidR="00FC6928" w:rsidRPr="00F9573F" w:rsidRDefault="00FC6928" w:rsidP="00EC4213">
            <w:pPr>
              <w:pStyle w:val="TableHeader"/>
              <w:keepNext/>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3F225DCB" w14:textId="77777777" w:rsidR="00FC6928" w:rsidRPr="00F9573F" w:rsidRDefault="00FC6928" w:rsidP="00EC4213">
            <w:pPr>
              <w:pStyle w:val="TableHeader"/>
              <w:keepNext/>
            </w:pPr>
            <w:r w:rsidRPr="00F9573F">
              <w:t>2025</w:t>
            </w:r>
          </w:p>
        </w:tc>
      </w:tr>
      <w:tr w:rsidR="00FC6928" w:rsidRPr="00F9573F" w14:paraId="722D34C4"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37677D11" w14:textId="77777777" w:rsidR="00FC6928" w:rsidRPr="00F9573F" w:rsidRDefault="00FC6928" w:rsidP="00EC4213">
            <w:pPr>
              <w:pStyle w:val="TableText"/>
              <w:keepN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1835B564" w14:textId="77777777" w:rsidR="00FC6928" w:rsidRPr="00F9573F" w:rsidRDefault="00FC6928"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5F7C8A5A" w14:textId="77777777" w:rsidR="00FC6928" w:rsidRPr="00F9573F" w:rsidRDefault="00FC6928" w:rsidP="00EC4213">
            <w:pPr>
              <w:pStyle w:val="TableText"/>
              <w:keepNext/>
              <w:jc w:val="right"/>
            </w:pPr>
            <w:r w:rsidRPr="00F9573F">
              <w:t>19,280</w:t>
            </w:r>
          </w:p>
        </w:tc>
        <w:tc>
          <w:tcPr>
            <w:tcW w:w="1817" w:type="dxa"/>
            <w:tcBorders>
              <w:top w:val="nil"/>
              <w:left w:val="nil"/>
              <w:bottom w:val="single" w:sz="8" w:space="0" w:color="FFFFFF"/>
              <w:right w:val="single" w:sz="8" w:space="0" w:color="FFFFFF"/>
            </w:tcBorders>
            <w:shd w:val="clear" w:color="000000" w:fill="CCE0ED"/>
            <w:vAlign w:val="center"/>
            <w:hideMark/>
          </w:tcPr>
          <w:p w14:paraId="47D49468" w14:textId="77777777" w:rsidR="00FC6928" w:rsidRPr="00F9573F" w:rsidRDefault="00FC6928" w:rsidP="00EC4213">
            <w:pPr>
              <w:pStyle w:val="TableText"/>
              <w:keepNext/>
              <w:jc w:val="right"/>
            </w:pPr>
            <w:r w:rsidRPr="00F9573F">
              <w:t>22,314</w:t>
            </w:r>
          </w:p>
        </w:tc>
        <w:tc>
          <w:tcPr>
            <w:tcW w:w="1818" w:type="dxa"/>
            <w:tcBorders>
              <w:top w:val="nil"/>
              <w:left w:val="nil"/>
              <w:bottom w:val="single" w:sz="8" w:space="0" w:color="FFFFFF"/>
              <w:right w:val="single" w:sz="8" w:space="0" w:color="FFFFFF"/>
            </w:tcBorders>
            <w:shd w:val="clear" w:color="000000" w:fill="CCE0ED"/>
            <w:vAlign w:val="center"/>
            <w:hideMark/>
          </w:tcPr>
          <w:p w14:paraId="414E4155" w14:textId="77777777" w:rsidR="00FC6928" w:rsidRPr="00F9573F" w:rsidRDefault="00FC6928" w:rsidP="00EC4213">
            <w:pPr>
              <w:pStyle w:val="TableText"/>
              <w:keepNext/>
              <w:jc w:val="right"/>
            </w:pPr>
            <w:r w:rsidRPr="00F9573F">
              <w:t>26,140</w:t>
            </w:r>
          </w:p>
        </w:tc>
      </w:tr>
      <w:tr w:rsidR="00FC6928" w:rsidRPr="00F9573F" w14:paraId="45FD1760"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4B4E29B4" w14:textId="77777777" w:rsidR="00FC6928" w:rsidRPr="00F9573F" w:rsidRDefault="00FC6928" w:rsidP="00EC4213">
            <w:pPr>
              <w:pStyle w:val="TableText"/>
              <w:keepN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10A2CAD1" w14:textId="77777777" w:rsidR="00FC6928" w:rsidRPr="00F9573F" w:rsidRDefault="00FC6928" w:rsidP="00EC4213">
            <w:pPr>
              <w:pStyle w:val="TableText"/>
              <w:keepN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504B6108" w14:textId="77777777" w:rsidR="00FC6928" w:rsidRPr="00F9573F" w:rsidRDefault="00FC6928" w:rsidP="00EC4213">
            <w:pPr>
              <w:pStyle w:val="TableText"/>
              <w:keepNext/>
              <w:jc w:val="right"/>
            </w:pPr>
            <w:r w:rsidRPr="00F9573F">
              <w:t>1,148</w:t>
            </w:r>
          </w:p>
        </w:tc>
        <w:tc>
          <w:tcPr>
            <w:tcW w:w="1817" w:type="dxa"/>
            <w:tcBorders>
              <w:top w:val="nil"/>
              <w:left w:val="nil"/>
              <w:bottom w:val="single" w:sz="8" w:space="0" w:color="FFFFFF"/>
              <w:right w:val="single" w:sz="8" w:space="0" w:color="FFFFFF"/>
            </w:tcBorders>
            <w:shd w:val="clear" w:color="000000" w:fill="CCEFFC"/>
            <w:vAlign w:val="center"/>
            <w:hideMark/>
          </w:tcPr>
          <w:p w14:paraId="76D65714" w14:textId="77777777" w:rsidR="00FC6928" w:rsidRPr="00F9573F" w:rsidRDefault="00FC6928" w:rsidP="00EC4213">
            <w:pPr>
              <w:pStyle w:val="TableText"/>
              <w:keepNext/>
              <w:jc w:val="right"/>
            </w:pPr>
            <w:r w:rsidRPr="00F9573F">
              <w:t>1,241</w:t>
            </w:r>
          </w:p>
        </w:tc>
        <w:tc>
          <w:tcPr>
            <w:tcW w:w="1818" w:type="dxa"/>
            <w:tcBorders>
              <w:top w:val="nil"/>
              <w:left w:val="nil"/>
              <w:bottom w:val="single" w:sz="8" w:space="0" w:color="FFFFFF"/>
              <w:right w:val="single" w:sz="8" w:space="0" w:color="FFFFFF"/>
            </w:tcBorders>
            <w:shd w:val="clear" w:color="000000" w:fill="CCEFFC"/>
            <w:vAlign w:val="center"/>
            <w:hideMark/>
          </w:tcPr>
          <w:p w14:paraId="17D79F0B" w14:textId="77777777" w:rsidR="00FC6928" w:rsidRPr="00F9573F" w:rsidRDefault="00FC6928" w:rsidP="00EC4213">
            <w:pPr>
              <w:pStyle w:val="TableText"/>
              <w:keepNext/>
              <w:jc w:val="right"/>
            </w:pPr>
            <w:r w:rsidRPr="00F9573F">
              <w:t>1,241</w:t>
            </w:r>
          </w:p>
        </w:tc>
      </w:tr>
      <w:tr w:rsidR="00FC6928" w:rsidRPr="00F9573F" w14:paraId="2E0715B6"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1976A86D" w14:textId="77777777" w:rsidR="00FC6928" w:rsidRPr="00F9573F" w:rsidRDefault="00FC6928" w:rsidP="00EC4213">
            <w:pPr>
              <w:pStyle w:val="TableText"/>
              <w:keepN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78281C4F" w14:textId="77777777" w:rsidR="00FC6928" w:rsidRPr="00F9573F" w:rsidRDefault="00FC6928" w:rsidP="00EC4213">
            <w:pPr>
              <w:pStyle w:val="TableText"/>
              <w:keepN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35D3042D" w14:textId="77777777" w:rsidR="00FC6928" w:rsidRPr="00F9573F" w:rsidRDefault="00FC6928" w:rsidP="00EC4213">
            <w:pPr>
              <w:pStyle w:val="TableText"/>
              <w:keepNext/>
              <w:jc w:val="right"/>
            </w:pPr>
            <w:r w:rsidRPr="00F9573F">
              <w:t>89</w:t>
            </w:r>
          </w:p>
        </w:tc>
        <w:tc>
          <w:tcPr>
            <w:tcW w:w="1817" w:type="dxa"/>
            <w:tcBorders>
              <w:top w:val="nil"/>
              <w:left w:val="nil"/>
              <w:bottom w:val="single" w:sz="8" w:space="0" w:color="FFFFFF"/>
              <w:right w:val="single" w:sz="8" w:space="0" w:color="FFFFFF"/>
            </w:tcBorders>
            <w:shd w:val="clear" w:color="000000" w:fill="CCE0ED"/>
            <w:vAlign w:val="center"/>
            <w:hideMark/>
          </w:tcPr>
          <w:p w14:paraId="7B540763" w14:textId="77777777" w:rsidR="00FC6928" w:rsidRPr="00F9573F" w:rsidRDefault="00FC6928" w:rsidP="00EC4213">
            <w:pPr>
              <w:pStyle w:val="TableText"/>
              <w:keepNext/>
              <w:jc w:val="right"/>
            </w:pPr>
            <w:r w:rsidRPr="00F9573F">
              <w:t>102</w:t>
            </w:r>
          </w:p>
        </w:tc>
        <w:tc>
          <w:tcPr>
            <w:tcW w:w="1818" w:type="dxa"/>
            <w:tcBorders>
              <w:top w:val="nil"/>
              <w:left w:val="nil"/>
              <w:bottom w:val="single" w:sz="8" w:space="0" w:color="FFFFFF"/>
              <w:right w:val="single" w:sz="8" w:space="0" w:color="FFFFFF"/>
            </w:tcBorders>
            <w:shd w:val="clear" w:color="000000" w:fill="CCE0ED"/>
            <w:vAlign w:val="center"/>
            <w:hideMark/>
          </w:tcPr>
          <w:p w14:paraId="61AC6762" w14:textId="77777777" w:rsidR="00FC6928" w:rsidRPr="00F9573F" w:rsidRDefault="00FC6928" w:rsidP="00EC4213">
            <w:pPr>
              <w:pStyle w:val="TableText"/>
              <w:keepNext/>
              <w:jc w:val="right"/>
            </w:pPr>
            <w:r w:rsidRPr="00F9573F">
              <w:t>102</w:t>
            </w:r>
          </w:p>
        </w:tc>
      </w:tr>
      <w:tr w:rsidR="00FC6928" w:rsidRPr="00F9573F" w14:paraId="53CEFBDC"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60D8AB4D" w14:textId="77777777" w:rsidR="00FC6928" w:rsidRPr="00F9573F" w:rsidRDefault="00FC6928" w:rsidP="00EC4213">
            <w:pPr>
              <w:pStyle w:val="TableText"/>
              <w:keepN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73308E0C" w14:textId="77777777" w:rsidR="00FC6928" w:rsidRPr="00F9573F" w:rsidRDefault="00FC6928"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28C663D6" w14:textId="77777777" w:rsidR="00FC6928" w:rsidRPr="00F9573F" w:rsidRDefault="00FC6928" w:rsidP="00EC4213">
            <w:pPr>
              <w:pStyle w:val="TableText"/>
              <w:keepNext/>
              <w:jc w:val="right"/>
            </w:pPr>
            <w:r w:rsidRPr="00F9573F">
              <w:t>137</w:t>
            </w:r>
          </w:p>
        </w:tc>
        <w:tc>
          <w:tcPr>
            <w:tcW w:w="1817" w:type="dxa"/>
            <w:tcBorders>
              <w:top w:val="nil"/>
              <w:left w:val="nil"/>
              <w:bottom w:val="single" w:sz="8" w:space="0" w:color="FFFFFF"/>
              <w:right w:val="single" w:sz="8" w:space="0" w:color="FFFFFF"/>
            </w:tcBorders>
            <w:shd w:val="clear" w:color="000000" w:fill="CCEFFC"/>
            <w:vAlign w:val="center"/>
            <w:hideMark/>
          </w:tcPr>
          <w:p w14:paraId="5DF0DDC9" w14:textId="77777777" w:rsidR="00FC6928" w:rsidRPr="00F9573F" w:rsidRDefault="00FC6928"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7C794813" w14:textId="77777777" w:rsidR="00FC6928" w:rsidRPr="00F9573F" w:rsidRDefault="00FC6928" w:rsidP="00EC4213">
            <w:pPr>
              <w:pStyle w:val="TableText"/>
              <w:keepNext/>
              <w:jc w:val="right"/>
            </w:pPr>
            <w:r w:rsidRPr="00F9573F">
              <w:t>137</w:t>
            </w:r>
          </w:p>
        </w:tc>
      </w:tr>
      <w:tr w:rsidR="00FC6928" w:rsidRPr="00F9573F" w14:paraId="43B0CBFA"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46A1039C" w14:textId="77777777" w:rsidR="00FC6928" w:rsidRPr="00F9573F" w:rsidRDefault="00FC6928" w:rsidP="00EC4213">
            <w:pPr>
              <w:pStyle w:val="TableText"/>
              <w:keepN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2A144599" w14:textId="77777777" w:rsidR="00FC6928" w:rsidRPr="00F9573F" w:rsidRDefault="00FC6928"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66BED4D3" w14:textId="77777777" w:rsidR="00FC6928" w:rsidRPr="00F9573F" w:rsidRDefault="00FC6928" w:rsidP="00EC4213">
            <w:pPr>
              <w:pStyle w:val="TableText"/>
              <w:keepNext/>
              <w:jc w:val="right"/>
            </w:pPr>
            <w:r w:rsidRPr="00F9573F">
              <w:t>179</w:t>
            </w:r>
          </w:p>
        </w:tc>
        <w:tc>
          <w:tcPr>
            <w:tcW w:w="1817" w:type="dxa"/>
            <w:tcBorders>
              <w:top w:val="nil"/>
              <w:left w:val="nil"/>
              <w:bottom w:val="single" w:sz="8" w:space="0" w:color="FFFFFF"/>
              <w:right w:val="single" w:sz="8" w:space="0" w:color="FFFFFF"/>
            </w:tcBorders>
            <w:shd w:val="clear" w:color="000000" w:fill="CCE0ED"/>
            <w:vAlign w:val="center"/>
            <w:hideMark/>
          </w:tcPr>
          <w:p w14:paraId="41F77F1D" w14:textId="77777777" w:rsidR="00FC6928" w:rsidRPr="00F9573F" w:rsidRDefault="00FC6928"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4ED45AEB" w14:textId="77777777" w:rsidR="00FC6928" w:rsidRPr="00F9573F" w:rsidRDefault="00FC6928" w:rsidP="00EC4213">
            <w:pPr>
              <w:pStyle w:val="TableText"/>
              <w:keepNext/>
              <w:jc w:val="right"/>
            </w:pPr>
            <w:r w:rsidRPr="00F9573F">
              <w:t>179</w:t>
            </w:r>
          </w:p>
        </w:tc>
      </w:tr>
      <w:tr w:rsidR="00FC6928" w:rsidRPr="00F9573F" w14:paraId="20D46B00"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708E1128" w14:textId="77777777" w:rsidR="00FC6928" w:rsidRPr="00F9573F" w:rsidRDefault="00FC6928" w:rsidP="00EC4213">
            <w:pPr>
              <w:pStyle w:val="TableText"/>
              <w:keepN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1535157C" w14:textId="77777777" w:rsidR="00FC6928" w:rsidRPr="00F9573F" w:rsidRDefault="00FC6928" w:rsidP="00EC4213">
            <w:pPr>
              <w:pStyle w:val="TableText"/>
              <w:keepNext/>
              <w:jc w:val="right"/>
            </w:pPr>
            <w:r w:rsidRPr="00F9573F">
              <w:t>5.45%</w:t>
            </w:r>
          </w:p>
        </w:tc>
        <w:tc>
          <w:tcPr>
            <w:tcW w:w="1818" w:type="dxa"/>
            <w:tcBorders>
              <w:top w:val="nil"/>
              <w:left w:val="nil"/>
              <w:bottom w:val="single" w:sz="8" w:space="0" w:color="FFFFFF"/>
              <w:right w:val="single" w:sz="8" w:space="0" w:color="FFFFFF"/>
            </w:tcBorders>
            <w:shd w:val="clear" w:color="000000" w:fill="CCEFFC"/>
            <w:vAlign w:val="center"/>
            <w:hideMark/>
          </w:tcPr>
          <w:p w14:paraId="3085E388" w14:textId="77777777" w:rsidR="00FC6928" w:rsidRPr="00F9573F" w:rsidRDefault="00FC6928" w:rsidP="00EC4213">
            <w:pPr>
              <w:pStyle w:val="TableText"/>
              <w:keepNext/>
              <w:jc w:val="right"/>
            </w:pPr>
            <w:r w:rsidRPr="00F9573F">
              <w:t>3.65%</w:t>
            </w:r>
          </w:p>
        </w:tc>
        <w:tc>
          <w:tcPr>
            <w:tcW w:w="1817" w:type="dxa"/>
            <w:tcBorders>
              <w:top w:val="nil"/>
              <w:left w:val="nil"/>
              <w:bottom w:val="single" w:sz="8" w:space="0" w:color="FFFFFF"/>
              <w:right w:val="single" w:sz="8" w:space="0" w:color="FFFFFF"/>
            </w:tcBorders>
            <w:shd w:val="clear" w:color="000000" w:fill="CCEFFC"/>
            <w:vAlign w:val="center"/>
            <w:hideMark/>
          </w:tcPr>
          <w:p w14:paraId="1B7695B3" w14:textId="77777777" w:rsidR="00FC6928" w:rsidRPr="00F9573F" w:rsidRDefault="00FC6928" w:rsidP="00EC4213">
            <w:pPr>
              <w:pStyle w:val="TableText"/>
              <w:keepNext/>
              <w:jc w:val="right"/>
            </w:pPr>
            <w:r w:rsidRPr="00F9573F">
              <w:t>3.12%</w:t>
            </w:r>
          </w:p>
        </w:tc>
        <w:tc>
          <w:tcPr>
            <w:tcW w:w="1818" w:type="dxa"/>
            <w:tcBorders>
              <w:top w:val="nil"/>
              <w:left w:val="nil"/>
              <w:bottom w:val="single" w:sz="8" w:space="0" w:color="FFFFFF"/>
              <w:right w:val="single" w:sz="8" w:space="0" w:color="FFFFFF"/>
            </w:tcBorders>
            <w:shd w:val="clear" w:color="000000" w:fill="CCEFFC"/>
            <w:vAlign w:val="center"/>
            <w:hideMark/>
          </w:tcPr>
          <w:p w14:paraId="2F59BDD5" w14:textId="77777777" w:rsidR="00FC6928" w:rsidRPr="00F9573F" w:rsidRDefault="00FC6928" w:rsidP="00EC4213">
            <w:pPr>
              <w:pStyle w:val="TableText"/>
              <w:keepNext/>
              <w:jc w:val="right"/>
            </w:pPr>
            <w:r w:rsidRPr="00F9573F">
              <w:t>2.91%</w:t>
            </w:r>
          </w:p>
        </w:tc>
      </w:tr>
      <w:tr w:rsidR="00FC6928" w:rsidRPr="00F9573F" w14:paraId="30BB0526"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10199194" w14:textId="77777777" w:rsidR="00FC6928" w:rsidRPr="00F9573F" w:rsidRDefault="00FC6928" w:rsidP="00EC4213">
            <w:pPr>
              <w:pStyle w:val="TableText"/>
              <w:keepN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3FF2A58B" w14:textId="77777777" w:rsidR="00FC6928" w:rsidRPr="00F9573F" w:rsidRDefault="00FC6928"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5AC5A9F9" w14:textId="77777777" w:rsidR="00FC6928" w:rsidRPr="00F9573F" w:rsidRDefault="00FC6928" w:rsidP="00EC4213">
            <w:pPr>
              <w:pStyle w:val="TableText"/>
              <w:keepNext/>
              <w:jc w:val="right"/>
            </w:pPr>
            <w:r w:rsidRPr="00F9573F">
              <w:t>17,869</w:t>
            </w:r>
          </w:p>
        </w:tc>
        <w:tc>
          <w:tcPr>
            <w:tcW w:w="1817" w:type="dxa"/>
            <w:tcBorders>
              <w:top w:val="nil"/>
              <w:left w:val="nil"/>
              <w:bottom w:val="single" w:sz="8" w:space="0" w:color="FFFFFF"/>
              <w:right w:val="single" w:sz="8" w:space="0" w:color="FFFFFF"/>
            </w:tcBorders>
            <w:shd w:val="clear" w:color="000000" w:fill="CCE0ED"/>
            <w:vAlign w:val="center"/>
            <w:hideMark/>
          </w:tcPr>
          <w:p w14:paraId="6C16A58C" w14:textId="77777777" w:rsidR="00FC6928" w:rsidRPr="00F9573F" w:rsidRDefault="00FC6928" w:rsidP="00EC4213">
            <w:pPr>
              <w:pStyle w:val="TableText"/>
              <w:keepNext/>
              <w:jc w:val="right"/>
            </w:pPr>
            <w:r w:rsidRPr="00F9573F">
              <w:t>19,021</w:t>
            </w:r>
          </w:p>
        </w:tc>
        <w:tc>
          <w:tcPr>
            <w:tcW w:w="1818" w:type="dxa"/>
            <w:tcBorders>
              <w:top w:val="nil"/>
              <w:left w:val="nil"/>
              <w:bottom w:val="single" w:sz="8" w:space="0" w:color="FFFFFF"/>
              <w:right w:val="single" w:sz="8" w:space="0" w:color="FFFFFF"/>
            </w:tcBorders>
            <w:shd w:val="clear" w:color="000000" w:fill="CCE0ED"/>
            <w:vAlign w:val="center"/>
            <w:hideMark/>
          </w:tcPr>
          <w:p w14:paraId="3BD9E1DF" w14:textId="77777777" w:rsidR="00FC6928" w:rsidRPr="00F9573F" w:rsidRDefault="00FC6928" w:rsidP="00EC4213">
            <w:pPr>
              <w:pStyle w:val="TableText"/>
              <w:keepNext/>
              <w:jc w:val="right"/>
            </w:pPr>
            <w:r w:rsidRPr="00F9573F">
              <w:t>20,496</w:t>
            </w:r>
          </w:p>
        </w:tc>
      </w:tr>
      <w:tr w:rsidR="00FC6928" w:rsidRPr="00F9573F" w14:paraId="356A5D55"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11C1542E" w14:textId="77777777" w:rsidR="00FC6928" w:rsidRPr="00F9573F" w:rsidRDefault="00FC6928" w:rsidP="00EC4213">
            <w:pPr>
              <w:pStyle w:val="TableText"/>
              <w:keepN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40C7263A" w14:textId="77777777" w:rsidR="00FC6928" w:rsidRPr="00F9573F" w:rsidRDefault="00FC6928" w:rsidP="00EC4213">
            <w:pPr>
              <w:pStyle w:val="TableText"/>
              <w:keepNext/>
              <w:jc w:val="right"/>
            </w:pPr>
            <w:r w:rsidRPr="00F9573F">
              <w:t>SP</w:t>
            </w:r>
          </w:p>
        </w:tc>
        <w:tc>
          <w:tcPr>
            <w:tcW w:w="1818" w:type="dxa"/>
            <w:tcBorders>
              <w:top w:val="nil"/>
              <w:left w:val="nil"/>
              <w:bottom w:val="single" w:sz="8" w:space="0" w:color="FFFFFF"/>
              <w:right w:val="single" w:sz="8" w:space="0" w:color="FFFFFF"/>
            </w:tcBorders>
            <w:shd w:val="clear" w:color="000000" w:fill="CCEFFC"/>
            <w:vAlign w:val="center"/>
            <w:hideMark/>
          </w:tcPr>
          <w:p w14:paraId="33125DC8" w14:textId="77777777" w:rsidR="00FC6928" w:rsidRPr="00F9573F" w:rsidRDefault="00FC6928" w:rsidP="00EC4213">
            <w:pPr>
              <w:pStyle w:val="TableText"/>
              <w:keepNext/>
              <w:jc w:val="right"/>
            </w:pPr>
            <w:r w:rsidRPr="00F9573F">
              <w:t>1,411</w:t>
            </w:r>
          </w:p>
        </w:tc>
        <w:tc>
          <w:tcPr>
            <w:tcW w:w="1817" w:type="dxa"/>
            <w:tcBorders>
              <w:top w:val="nil"/>
              <w:left w:val="nil"/>
              <w:bottom w:val="single" w:sz="8" w:space="0" w:color="FFFFFF"/>
              <w:right w:val="single" w:sz="8" w:space="0" w:color="FFFFFF"/>
            </w:tcBorders>
            <w:shd w:val="clear" w:color="000000" w:fill="CCEFFC"/>
            <w:vAlign w:val="center"/>
            <w:hideMark/>
          </w:tcPr>
          <w:p w14:paraId="62A48BE9" w14:textId="77777777" w:rsidR="00FC6928" w:rsidRPr="00F9573F" w:rsidRDefault="00FC6928" w:rsidP="00EC4213">
            <w:pPr>
              <w:pStyle w:val="TableText"/>
              <w:keepNext/>
              <w:jc w:val="right"/>
            </w:pPr>
            <w:r w:rsidRPr="00F9573F">
              <w:t>3,293</w:t>
            </w:r>
          </w:p>
        </w:tc>
        <w:tc>
          <w:tcPr>
            <w:tcW w:w="1818" w:type="dxa"/>
            <w:tcBorders>
              <w:top w:val="nil"/>
              <w:left w:val="nil"/>
              <w:bottom w:val="single" w:sz="8" w:space="0" w:color="FFFFFF"/>
              <w:right w:val="single" w:sz="8" w:space="0" w:color="FFFFFF"/>
            </w:tcBorders>
            <w:shd w:val="clear" w:color="000000" w:fill="CCEFFC"/>
            <w:vAlign w:val="center"/>
            <w:hideMark/>
          </w:tcPr>
          <w:p w14:paraId="5D9843B5" w14:textId="77777777" w:rsidR="00FC6928" w:rsidRPr="00F9573F" w:rsidRDefault="00FC6928" w:rsidP="00EC4213">
            <w:pPr>
              <w:pStyle w:val="TableText"/>
              <w:keepNext/>
              <w:jc w:val="right"/>
            </w:pPr>
            <w:r w:rsidRPr="00F9573F">
              <w:t>5,644</w:t>
            </w:r>
          </w:p>
        </w:tc>
      </w:tr>
    </w:tbl>
    <w:bookmarkEnd w:id="122"/>
    <w:p w14:paraId="17A0670A" w14:textId="156160A1" w:rsidR="002D4663" w:rsidRPr="00F9573F" w:rsidRDefault="002D4663" w:rsidP="00EC4213">
      <w:pPr>
        <w:pStyle w:val="Tablenotes"/>
      </w:pPr>
      <w:r w:rsidRPr="00F9573F">
        <w:t>SP: starting point</w:t>
      </w:r>
    </w:p>
    <w:p w14:paraId="1DEA4551" w14:textId="77777777" w:rsidR="002D4663" w:rsidRPr="00976D1C" w:rsidRDefault="002D4663" w:rsidP="00EC4213">
      <w:pPr>
        <w:pStyle w:val="Caption"/>
      </w:pPr>
      <w:bookmarkStart w:id="124" w:name="_Toc409532346"/>
      <w:r w:rsidRPr="00976D1C">
        <w:lastRenderedPageBreak/>
        <w:t xml:space="preserve">Table </w:t>
      </w:r>
      <w:fldSimple w:instr=" SEQ Table \* ARABIC ">
        <w:r w:rsidRPr="00976D1C">
          <w:rPr>
            <w:noProof/>
          </w:rPr>
          <w:t>8</w:t>
        </w:r>
      </w:fldSimple>
      <w:r w:rsidRPr="00976D1C">
        <w:t>: Oral health workforce, medium self-sufficiency scenario, selected years, headcount</w:t>
      </w:r>
      <w:bookmarkEnd w:id="124"/>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2D4663" w:rsidRPr="00F9573F" w14:paraId="157E83C3"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653E7958" w14:textId="1150722E" w:rsidR="002D4663" w:rsidRPr="00F9573F" w:rsidRDefault="00F9573F" w:rsidP="00EC4213">
            <w:pPr>
              <w:pStyle w:val="TableHeader"/>
              <w:keepNext/>
            </w:pPr>
            <w:r w:rsidRPr="00F9573F">
              <w:t>Category</w:t>
            </w:r>
            <w:bookmarkStart w:id="125" w:name="ColumnTitle_8"/>
            <w:bookmarkEnd w:id="125"/>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28C21BA8" w14:textId="77777777" w:rsidR="002D4663" w:rsidRPr="00F9573F" w:rsidRDefault="002D4663" w:rsidP="00EC4213">
            <w:pPr>
              <w:pStyle w:val="TableHeader"/>
              <w:keepNext/>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39ABCB15" w14:textId="77777777" w:rsidR="002D4663" w:rsidRPr="00F9573F" w:rsidRDefault="002D4663" w:rsidP="00EC4213">
            <w:pPr>
              <w:pStyle w:val="TableHeader"/>
              <w:keepNext/>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0E9AB04F" w14:textId="77777777" w:rsidR="002D4663" w:rsidRPr="00F9573F" w:rsidRDefault="002D4663" w:rsidP="00EC4213">
            <w:pPr>
              <w:pStyle w:val="TableHeader"/>
              <w:keepNext/>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5F6A8BB5" w14:textId="77777777" w:rsidR="002D4663" w:rsidRPr="00F9573F" w:rsidRDefault="002D4663" w:rsidP="00EC4213">
            <w:pPr>
              <w:pStyle w:val="TableHeader"/>
              <w:keepNext/>
            </w:pPr>
            <w:r w:rsidRPr="00F9573F">
              <w:t>2025</w:t>
            </w:r>
          </w:p>
        </w:tc>
      </w:tr>
      <w:tr w:rsidR="002D4663" w:rsidRPr="00F9573F" w14:paraId="7134319A"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31917D9F" w14:textId="77777777" w:rsidR="002D4663" w:rsidRPr="00F9573F" w:rsidRDefault="002D4663" w:rsidP="00EC4213">
            <w:pPr>
              <w:pStyle w:val="TableText"/>
              <w:keepN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358D15ED" w14:textId="77777777" w:rsidR="002D4663" w:rsidRPr="00F9573F" w:rsidRDefault="002D4663"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008F04C9" w14:textId="77777777" w:rsidR="002D4663" w:rsidRPr="00F9573F" w:rsidRDefault="002D4663" w:rsidP="00EC4213">
            <w:pPr>
              <w:pStyle w:val="TableText"/>
              <w:keepNext/>
              <w:jc w:val="right"/>
            </w:pPr>
            <w:r w:rsidRPr="00F9573F">
              <w:t>19,177</w:t>
            </w:r>
          </w:p>
        </w:tc>
        <w:tc>
          <w:tcPr>
            <w:tcW w:w="1817" w:type="dxa"/>
            <w:tcBorders>
              <w:top w:val="nil"/>
              <w:left w:val="nil"/>
              <w:bottom w:val="single" w:sz="8" w:space="0" w:color="FFFFFF"/>
              <w:right w:val="single" w:sz="8" w:space="0" w:color="FFFFFF"/>
            </w:tcBorders>
            <w:shd w:val="clear" w:color="000000" w:fill="CCE0ED"/>
            <w:vAlign w:val="center"/>
            <w:hideMark/>
          </w:tcPr>
          <w:p w14:paraId="09B744C7" w14:textId="77777777" w:rsidR="002D4663" w:rsidRPr="00F9573F" w:rsidRDefault="002D4663" w:rsidP="00EC4213">
            <w:pPr>
              <w:pStyle w:val="TableText"/>
              <w:keepNext/>
              <w:jc w:val="right"/>
            </w:pPr>
            <w:r w:rsidRPr="00F9573F">
              <w:t>21,827</w:t>
            </w:r>
          </w:p>
        </w:tc>
        <w:tc>
          <w:tcPr>
            <w:tcW w:w="1818" w:type="dxa"/>
            <w:tcBorders>
              <w:top w:val="nil"/>
              <w:left w:val="nil"/>
              <w:bottom w:val="single" w:sz="8" w:space="0" w:color="FFFFFF"/>
              <w:right w:val="single" w:sz="8" w:space="0" w:color="FFFFFF"/>
            </w:tcBorders>
            <w:shd w:val="clear" w:color="000000" w:fill="CCE0ED"/>
            <w:vAlign w:val="center"/>
            <w:hideMark/>
          </w:tcPr>
          <w:p w14:paraId="56D62AC8" w14:textId="77777777" w:rsidR="002D4663" w:rsidRPr="00F9573F" w:rsidRDefault="002D4663" w:rsidP="00EC4213">
            <w:pPr>
              <w:pStyle w:val="TableText"/>
              <w:keepNext/>
              <w:jc w:val="right"/>
            </w:pPr>
            <w:r w:rsidRPr="00F9573F">
              <w:t>24,782</w:t>
            </w:r>
          </w:p>
        </w:tc>
      </w:tr>
      <w:tr w:rsidR="002D4663" w:rsidRPr="00F9573F" w14:paraId="0CA20368"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7A5FDB86" w14:textId="77777777" w:rsidR="002D4663" w:rsidRPr="00F9573F" w:rsidRDefault="002D4663" w:rsidP="00EC4213">
            <w:pPr>
              <w:pStyle w:val="TableText"/>
              <w:keepN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4A75AA2D" w14:textId="77777777" w:rsidR="002D4663" w:rsidRPr="00F9573F" w:rsidRDefault="002D4663" w:rsidP="00EC4213">
            <w:pPr>
              <w:pStyle w:val="TableText"/>
              <w:keepN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1F0E5BFD" w14:textId="77777777" w:rsidR="002D4663" w:rsidRPr="00F9573F" w:rsidRDefault="002D4663" w:rsidP="00EC4213">
            <w:pPr>
              <w:pStyle w:val="TableText"/>
              <w:keepNext/>
              <w:jc w:val="right"/>
            </w:pPr>
            <w:r w:rsidRPr="00F9573F">
              <w:t>1,148</w:t>
            </w:r>
          </w:p>
        </w:tc>
        <w:tc>
          <w:tcPr>
            <w:tcW w:w="1817" w:type="dxa"/>
            <w:tcBorders>
              <w:top w:val="nil"/>
              <w:left w:val="nil"/>
              <w:bottom w:val="single" w:sz="8" w:space="0" w:color="FFFFFF"/>
              <w:right w:val="single" w:sz="8" w:space="0" w:color="FFFFFF"/>
            </w:tcBorders>
            <w:shd w:val="clear" w:color="000000" w:fill="CCEFFC"/>
            <w:vAlign w:val="center"/>
            <w:hideMark/>
          </w:tcPr>
          <w:p w14:paraId="04EBB202" w14:textId="77777777" w:rsidR="002D4663" w:rsidRPr="00F9573F" w:rsidRDefault="002D4663" w:rsidP="00EC4213">
            <w:pPr>
              <w:pStyle w:val="TableText"/>
              <w:keepNext/>
              <w:jc w:val="right"/>
            </w:pPr>
            <w:r w:rsidRPr="00F9573F">
              <w:t>1,241</w:t>
            </w:r>
          </w:p>
        </w:tc>
        <w:tc>
          <w:tcPr>
            <w:tcW w:w="1818" w:type="dxa"/>
            <w:tcBorders>
              <w:top w:val="nil"/>
              <w:left w:val="nil"/>
              <w:bottom w:val="single" w:sz="8" w:space="0" w:color="FFFFFF"/>
              <w:right w:val="single" w:sz="8" w:space="0" w:color="FFFFFF"/>
            </w:tcBorders>
            <w:shd w:val="clear" w:color="000000" w:fill="CCEFFC"/>
            <w:vAlign w:val="center"/>
            <w:hideMark/>
          </w:tcPr>
          <w:p w14:paraId="6118B9F0" w14:textId="77777777" w:rsidR="002D4663" w:rsidRPr="00F9573F" w:rsidRDefault="002D4663" w:rsidP="00EC4213">
            <w:pPr>
              <w:pStyle w:val="TableText"/>
              <w:keepNext/>
              <w:jc w:val="right"/>
            </w:pPr>
            <w:r w:rsidRPr="00F9573F">
              <w:t>1,241</w:t>
            </w:r>
          </w:p>
        </w:tc>
      </w:tr>
      <w:tr w:rsidR="002D4663" w:rsidRPr="00F9573F" w14:paraId="5C9E8A6A"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3E6970BE" w14:textId="77777777" w:rsidR="002D4663" w:rsidRPr="00F9573F" w:rsidRDefault="002D4663" w:rsidP="00EC4213">
            <w:pPr>
              <w:pStyle w:val="TableText"/>
              <w:keepN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6E16F932" w14:textId="77777777" w:rsidR="002D4663" w:rsidRPr="00F9573F" w:rsidRDefault="002D4663" w:rsidP="00EC4213">
            <w:pPr>
              <w:pStyle w:val="TableText"/>
              <w:keepN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0262DAA5" w14:textId="77777777" w:rsidR="002D4663" w:rsidRPr="00F9573F" w:rsidRDefault="002D4663" w:rsidP="00EC4213">
            <w:pPr>
              <w:pStyle w:val="TableText"/>
              <w:keepNext/>
              <w:jc w:val="right"/>
            </w:pPr>
            <w:r w:rsidRPr="00F9573F">
              <w:t>78</w:t>
            </w:r>
          </w:p>
        </w:tc>
        <w:tc>
          <w:tcPr>
            <w:tcW w:w="1817" w:type="dxa"/>
            <w:tcBorders>
              <w:top w:val="nil"/>
              <w:left w:val="nil"/>
              <w:bottom w:val="single" w:sz="8" w:space="0" w:color="FFFFFF"/>
              <w:right w:val="single" w:sz="8" w:space="0" w:color="FFFFFF"/>
            </w:tcBorders>
            <w:shd w:val="clear" w:color="000000" w:fill="CCE0ED"/>
            <w:vAlign w:val="center"/>
            <w:hideMark/>
          </w:tcPr>
          <w:p w14:paraId="256A9993" w14:textId="77777777" w:rsidR="002D4663" w:rsidRPr="00F9573F" w:rsidRDefault="002D4663" w:rsidP="00EC4213">
            <w:pPr>
              <w:pStyle w:val="TableText"/>
              <w:keepNext/>
              <w:jc w:val="right"/>
            </w:pPr>
            <w:r w:rsidRPr="00F9573F">
              <w:t>72</w:t>
            </w:r>
          </w:p>
        </w:tc>
        <w:tc>
          <w:tcPr>
            <w:tcW w:w="1818" w:type="dxa"/>
            <w:tcBorders>
              <w:top w:val="nil"/>
              <w:left w:val="nil"/>
              <w:bottom w:val="single" w:sz="8" w:space="0" w:color="FFFFFF"/>
              <w:right w:val="single" w:sz="8" w:space="0" w:color="FFFFFF"/>
            </w:tcBorders>
            <w:shd w:val="clear" w:color="000000" w:fill="CCE0ED"/>
            <w:vAlign w:val="center"/>
            <w:hideMark/>
          </w:tcPr>
          <w:p w14:paraId="059267A3" w14:textId="77777777" w:rsidR="002D4663" w:rsidRPr="00F9573F" w:rsidRDefault="002D4663" w:rsidP="00EC4213">
            <w:pPr>
              <w:pStyle w:val="TableText"/>
              <w:keepNext/>
              <w:jc w:val="right"/>
            </w:pPr>
            <w:r w:rsidRPr="00F9573F">
              <w:t>51</w:t>
            </w:r>
          </w:p>
        </w:tc>
      </w:tr>
      <w:tr w:rsidR="002D4663" w:rsidRPr="00F9573F" w14:paraId="69A923F1"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4930F92C" w14:textId="77777777" w:rsidR="002D4663" w:rsidRPr="00F9573F" w:rsidRDefault="002D4663" w:rsidP="00EC4213">
            <w:pPr>
              <w:pStyle w:val="TableText"/>
              <w:keepN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76D3DFB4" w14:textId="77777777" w:rsidR="002D4663" w:rsidRPr="00F9573F" w:rsidRDefault="002D4663"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3939EA9C" w14:textId="77777777" w:rsidR="002D4663" w:rsidRPr="00F9573F" w:rsidRDefault="002D4663" w:rsidP="00EC4213">
            <w:pPr>
              <w:pStyle w:val="TableText"/>
              <w:keepNext/>
              <w:jc w:val="right"/>
            </w:pPr>
            <w:r w:rsidRPr="00F9573F">
              <w:t>120</w:t>
            </w:r>
          </w:p>
        </w:tc>
        <w:tc>
          <w:tcPr>
            <w:tcW w:w="1817" w:type="dxa"/>
            <w:tcBorders>
              <w:top w:val="nil"/>
              <w:left w:val="nil"/>
              <w:bottom w:val="single" w:sz="8" w:space="0" w:color="FFFFFF"/>
              <w:right w:val="single" w:sz="8" w:space="0" w:color="FFFFFF"/>
            </w:tcBorders>
            <w:shd w:val="clear" w:color="000000" w:fill="CCEFFC"/>
            <w:vAlign w:val="center"/>
            <w:hideMark/>
          </w:tcPr>
          <w:p w14:paraId="7DEA4400" w14:textId="77777777" w:rsidR="002D4663" w:rsidRPr="00F9573F" w:rsidRDefault="002D4663" w:rsidP="00EC4213">
            <w:pPr>
              <w:pStyle w:val="TableText"/>
              <w:keepNext/>
              <w:jc w:val="right"/>
            </w:pPr>
            <w:r w:rsidRPr="00F9573F">
              <w:t>97</w:t>
            </w:r>
          </w:p>
        </w:tc>
        <w:tc>
          <w:tcPr>
            <w:tcW w:w="1818" w:type="dxa"/>
            <w:tcBorders>
              <w:top w:val="nil"/>
              <w:left w:val="nil"/>
              <w:bottom w:val="single" w:sz="8" w:space="0" w:color="FFFFFF"/>
              <w:right w:val="single" w:sz="8" w:space="0" w:color="FFFFFF"/>
            </w:tcBorders>
            <w:shd w:val="clear" w:color="000000" w:fill="CCEFFC"/>
            <w:vAlign w:val="center"/>
            <w:hideMark/>
          </w:tcPr>
          <w:p w14:paraId="1F3FB255" w14:textId="77777777" w:rsidR="002D4663" w:rsidRPr="00F9573F" w:rsidRDefault="002D4663" w:rsidP="00EC4213">
            <w:pPr>
              <w:pStyle w:val="TableText"/>
              <w:keepNext/>
              <w:jc w:val="right"/>
            </w:pPr>
            <w:r w:rsidRPr="00F9573F">
              <w:t>69</w:t>
            </w:r>
          </w:p>
        </w:tc>
      </w:tr>
      <w:tr w:rsidR="002D4663" w:rsidRPr="00F9573F" w14:paraId="22679EE8"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18D4D62E" w14:textId="77777777" w:rsidR="002D4663" w:rsidRPr="00F9573F" w:rsidRDefault="002D4663" w:rsidP="00EC4213">
            <w:pPr>
              <w:pStyle w:val="TableText"/>
              <w:keepN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38295F54" w14:textId="77777777" w:rsidR="002D4663" w:rsidRPr="00F9573F" w:rsidRDefault="002D4663"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263AF155" w14:textId="77777777" w:rsidR="002D4663" w:rsidRPr="00F9573F" w:rsidRDefault="002D4663" w:rsidP="00EC4213">
            <w:pPr>
              <w:pStyle w:val="TableText"/>
              <w:keepNext/>
              <w:jc w:val="right"/>
            </w:pPr>
            <w:r w:rsidRPr="00F9573F">
              <w:t>157</w:t>
            </w:r>
          </w:p>
        </w:tc>
        <w:tc>
          <w:tcPr>
            <w:tcW w:w="1817" w:type="dxa"/>
            <w:tcBorders>
              <w:top w:val="nil"/>
              <w:left w:val="nil"/>
              <w:bottom w:val="single" w:sz="8" w:space="0" w:color="FFFFFF"/>
              <w:right w:val="single" w:sz="8" w:space="0" w:color="FFFFFF"/>
            </w:tcBorders>
            <w:shd w:val="clear" w:color="000000" w:fill="CCE0ED"/>
            <w:vAlign w:val="center"/>
            <w:hideMark/>
          </w:tcPr>
          <w:p w14:paraId="3E491F39" w14:textId="77777777" w:rsidR="002D4663" w:rsidRPr="00F9573F" w:rsidRDefault="002D4663" w:rsidP="00EC4213">
            <w:pPr>
              <w:pStyle w:val="TableText"/>
              <w:keepNext/>
              <w:jc w:val="right"/>
            </w:pPr>
            <w:r w:rsidRPr="00F9573F">
              <w:t>127</w:t>
            </w:r>
          </w:p>
        </w:tc>
        <w:tc>
          <w:tcPr>
            <w:tcW w:w="1818" w:type="dxa"/>
            <w:tcBorders>
              <w:top w:val="nil"/>
              <w:left w:val="nil"/>
              <w:bottom w:val="single" w:sz="8" w:space="0" w:color="FFFFFF"/>
              <w:right w:val="single" w:sz="8" w:space="0" w:color="FFFFFF"/>
            </w:tcBorders>
            <w:shd w:val="clear" w:color="000000" w:fill="CCE0ED"/>
            <w:vAlign w:val="center"/>
            <w:hideMark/>
          </w:tcPr>
          <w:p w14:paraId="163FA347" w14:textId="77777777" w:rsidR="002D4663" w:rsidRPr="00F9573F" w:rsidRDefault="002D4663" w:rsidP="00EC4213">
            <w:pPr>
              <w:pStyle w:val="TableText"/>
              <w:keepNext/>
              <w:jc w:val="right"/>
            </w:pPr>
            <w:r w:rsidRPr="00F9573F">
              <w:t>90</w:t>
            </w:r>
          </w:p>
        </w:tc>
      </w:tr>
      <w:tr w:rsidR="002D4663" w:rsidRPr="00F9573F" w14:paraId="3EF2595E"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7C47E206" w14:textId="77777777" w:rsidR="002D4663" w:rsidRPr="00F9573F" w:rsidRDefault="002D4663" w:rsidP="00EC4213">
            <w:pPr>
              <w:pStyle w:val="TableText"/>
              <w:keepN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6CB705C6" w14:textId="77777777" w:rsidR="002D4663" w:rsidRPr="00F9573F" w:rsidRDefault="002D4663" w:rsidP="00EC4213">
            <w:pPr>
              <w:pStyle w:val="TableText"/>
              <w:keepNext/>
              <w:jc w:val="right"/>
            </w:pPr>
            <w:r w:rsidRPr="00F9573F">
              <w:t>5.45%</w:t>
            </w:r>
          </w:p>
        </w:tc>
        <w:tc>
          <w:tcPr>
            <w:tcW w:w="1818" w:type="dxa"/>
            <w:tcBorders>
              <w:top w:val="nil"/>
              <w:left w:val="nil"/>
              <w:bottom w:val="single" w:sz="8" w:space="0" w:color="FFFFFF"/>
              <w:right w:val="single" w:sz="8" w:space="0" w:color="FFFFFF"/>
            </w:tcBorders>
            <w:shd w:val="clear" w:color="000000" w:fill="CCEFFC"/>
            <w:vAlign w:val="center"/>
            <w:hideMark/>
          </w:tcPr>
          <w:p w14:paraId="44657809" w14:textId="77777777" w:rsidR="002D4663" w:rsidRPr="00F9573F" w:rsidRDefault="002D4663" w:rsidP="00EC4213">
            <w:pPr>
              <w:pStyle w:val="TableText"/>
              <w:keepNext/>
              <w:jc w:val="right"/>
            </w:pPr>
            <w:r w:rsidRPr="00F9573F">
              <w:t>3.67%</w:t>
            </w:r>
          </w:p>
        </w:tc>
        <w:tc>
          <w:tcPr>
            <w:tcW w:w="1817" w:type="dxa"/>
            <w:tcBorders>
              <w:top w:val="nil"/>
              <w:left w:val="nil"/>
              <w:bottom w:val="single" w:sz="8" w:space="0" w:color="FFFFFF"/>
              <w:right w:val="single" w:sz="8" w:space="0" w:color="FFFFFF"/>
            </w:tcBorders>
            <w:shd w:val="clear" w:color="000000" w:fill="CCEFFC"/>
            <w:vAlign w:val="center"/>
            <w:hideMark/>
          </w:tcPr>
          <w:p w14:paraId="03BADBE6" w14:textId="77777777" w:rsidR="002D4663" w:rsidRPr="00F9573F" w:rsidRDefault="002D4663" w:rsidP="00EC4213">
            <w:pPr>
              <w:pStyle w:val="TableText"/>
              <w:keepNext/>
              <w:jc w:val="right"/>
            </w:pPr>
            <w:r w:rsidRPr="00F9573F">
              <w:t>3.19%</w:t>
            </w:r>
          </w:p>
        </w:tc>
        <w:tc>
          <w:tcPr>
            <w:tcW w:w="1818" w:type="dxa"/>
            <w:tcBorders>
              <w:top w:val="nil"/>
              <w:left w:val="nil"/>
              <w:bottom w:val="single" w:sz="8" w:space="0" w:color="FFFFFF"/>
              <w:right w:val="single" w:sz="8" w:space="0" w:color="FFFFFF"/>
            </w:tcBorders>
            <w:shd w:val="clear" w:color="000000" w:fill="CCEFFC"/>
            <w:vAlign w:val="center"/>
            <w:hideMark/>
          </w:tcPr>
          <w:p w14:paraId="3292A5E0" w14:textId="77777777" w:rsidR="002D4663" w:rsidRPr="00F9573F" w:rsidRDefault="002D4663" w:rsidP="00EC4213">
            <w:pPr>
              <w:pStyle w:val="TableText"/>
              <w:keepNext/>
              <w:jc w:val="right"/>
            </w:pPr>
            <w:r w:rsidRPr="00F9573F">
              <w:t>3.07%</w:t>
            </w:r>
          </w:p>
        </w:tc>
      </w:tr>
      <w:tr w:rsidR="002D4663" w:rsidRPr="00F9573F" w14:paraId="37358F6A"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725B4090" w14:textId="77777777" w:rsidR="002D4663" w:rsidRPr="00F9573F" w:rsidRDefault="002D4663" w:rsidP="00EC4213">
            <w:pPr>
              <w:pStyle w:val="TableText"/>
              <w:keepN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31C8D737" w14:textId="77777777" w:rsidR="002D4663" w:rsidRPr="00F9573F" w:rsidRDefault="002D4663"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00F5190C" w14:textId="77777777" w:rsidR="002D4663" w:rsidRPr="00F9573F" w:rsidRDefault="002D4663" w:rsidP="00EC4213">
            <w:pPr>
              <w:pStyle w:val="TableText"/>
              <w:keepNext/>
              <w:jc w:val="right"/>
            </w:pPr>
            <w:r w:rsidRPr="00F9573F">
              <w:t>17,869</w:t>
            </w:r>
          </w:p>
        </w:tc>
        <w:tc>
          <w:tcPr>
            <w:tcW w:w="1817" w:type="dxa"/>
            <w:tcBorders>
              <w:top w:val="nil"/>
              <w:left w:val="nil"/>
              <w:bottom w:val="single" w:sz="8" w:space="0" w:color="FFFFFF"/>
              <w:right w:val="single" w:sz="8" w:space="0" w:color="FFFFFF"/>
            </w:tcBorders>
            <w:shd w:val="clear" w:color="000000" w:fill="CCE0ED"/>
            <w:vAlign w:val="center"/>
            <w:hideMark/>
          </w:tcPr>
          <w:p w14:paraId="55CEA073" w14:textId="77777777" w:rsidR="002D4663" w:rsidRPr="00F9573F" w:rsidRDefault="002D4663" w:rsidP="00EC4213">
            <w:pPr>
              <w:pStyle w:val="TableText"/>
              <w:keepNext/>
              <w:jc w:val="right"/>
            </w:pPr>
            <w:r w:rsidRPr="00F9573F">
              <w:t>19,021</w:t>
            </w:r>
          </w:p>
        </w:tc>
        <w:tc>
          <w:tcPr>
            <w:tcW w:w="1818" w:type="dxa"/>
            <w:tcBorders>
              <w:top w:val="nil"/>
              <w:left w:val="nil"/>
              <w:bottom w:val="single" w:sz="8" w:space="0" w:color="FFFFFF"/>
              <w:right w:val="single" w:sz="8" w:space="0" w:color="FFFFFF"/>
            </w:tcBorders>
            <w:shd w:val="clear" w:color="000000" w:fill="CCE0ED"/>
            <w:vAlign w:val="center"/>
            <w:hideMark/>
          </w:tcPr>
          <w:p w14:paraId="72EE335E" w14:textId="77777777" w:rsidR="002D4663" w:rsidRPr="00F9573F" w:rsidRDefault="002D4663" w:rsidP="00EC4213">
            <w:pPr>
              <w:pStyle w:val="TableText"/>
              <w:keepNext/>
              <w:jc w:val="right"/>
            </w:pPr>
            <w:r w:rsidRPr="00F9573F">
              <w:t>20,496</w:t>
            </w:r>
          </w:p>
        </w:tc>
      </w:tr>
      <w:tr w:rsidR="002D4663" w:rsidRPr="00F9573F" w14:paraId="72FD2C36"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1CCBAF80" w14:textId="77777777" w:rsidR="002D4663" w:rsidRPr="00F9573F" w:rsidRDefault="002D4663" w:rsidP="00EC4213">
            <w:pPr>
              <w:pStyle w:val="TableText"/>
              <w:keepN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4D187ABF" w14:textId="77777777" w:rsidR="002D4663" w:rsidRPr="00F9573F" w:rsidRDefault="002D4663" w:rsidP="00EC4213">
            <w:pPr>
              <w:pStyle w:val="TableText"/>
              <w:keepNext/>
              <w:jc w:val="right"/>
            </w:pPr>
            <w:r w:rsidRPr="00F9573F">
              <w:t>SP</w:t>
            </w:r>
          </w:p>
        </w:tc>
        <w:tc>
          <w:tcPr>
            <w:tcW w:w="1818" w:type="dxa"/>
            <w:tcBorders>
              <w:top w:val="nil"/>
              <w:left w:val="nil"/>
              <w:bottom w:val="single" w:sz="8" w:space="0" w:color="FFFFFF"/>
              <w:right w:val="single" w:sz="8" w:space="0" w:color="FFFFFF"/>
            </w:tcBorders>
            <w:shd w:val="clear" w:color="000000" w:fill="CCEFFC"/>
            <w:vAlign w:val="center"/>
            <w:hideMark/>
          </w:tcPr>
          <w:p w14:paraId="3F29C289" w14:textId="77777777" w:rsidR="002D4663" w:rsidRPr="00F9573F" w:rsidRDefault="002D4663" w:rsidP="00EC4213">
            <w:pPr>
              <w:pStyle w:val="TableText"/>
              <w:keepNext/>
              <w:jc w:val="right"/>
            </w:pPr>
            <w:r w:rsidRPr="00F9573F">
              <w:t>1,308</w:t>
            </w:r>
          </w:p>
        </w:tc>
        <w:tc>
          <w:tcPr>
            <w:tcW w:w="1817" w:type="dxa"/>
            <w:tcBorders>
              <w:top w:val="nil"/>
              <w:left w:val="nil"/>
              <w:bottom w:val="single" w:sz="8" w:space="0" w:color="FFFFFF"/>
              <w:right w:val="single" w:sz="8" w:space="0" w:color="FFFFFF"/>
            </w:tcBorders>
            <w:shd w:val="clear" w:color="000000" w:fill="CCEFFC"/>
            <w:vAlign w:val="center"/>
            <w:hideMark/>
          </w:tcPr>
          <w:p w14:paraId="4018D0BF" w14:textId="77777777" w:rsidR="002D4663" w:rsidRPr="00F9573F" w:rsidRDefault="002D4663" w:rsidP="00EC4213">
            <w:pPr>
              <w:pStyle w:val="TableText"/>
              <w:keepNext/>
              <w:jc w:val="right"/>
            </w:pPr>
            <w:r w:rsidRPr="00F9573F">
              <w:t>2,806</w:t>
            </w:r>
          </w:p>
        </w:tc>
        <w:tc>
          <w:tcPr>
            <w:tcW w:w="1818" w:type="dxa"/>
            <w:tcBorders>
              <w:top w:val="nil"/>
              <w:left w:val="nil"/>
              <w:bottom w:val="single" w:sz="8" w:space="0" w:color="FFFFFF"/>
              <w:right w:val="single" w:sz="8" w:space="0" w:color="FFFFFF"/>
            </w:tcBorders>
            <w:shd w:val="clear" w:color="000000" w:fill="CCEFFC"/>
            <w:vAlign w:val="center"/>
            <w:hideMark/>
          </w:tcPr>
          <w:p w14:paraId="130CF419" w14:textId="77777777" w:rsidR="002D4663" w:rsidRPr="00F9573F" w:rsidRDefault="002D4663" w:rsidP="00EC4213">
            <w:pPr>
              <w:pStyle w:val="TableText"/>
              <w:keepNext/>
              <w:jc w:val="right"/>
            </w:pPr>
            <w:r w:rsidRPr="00F9573F">
              <w:t>4,286</w:t>
            </w:r>
          </w:p>
        </w:tc>
      </w:tr>
    </w:tbl>
    <w:p w14:paraId="7B01BA5A" w14:textId="77777777" w:rsidR="002D4663" w:rsidRPr="00A90656" w:rsidRDefault="002D4663" w:rsidP="00EC4213">
      <w:pPr>
        <w:pStyle w:val="Tablenotes"/>
      </w:pPr>
      <w:r w:rsidRPr="00A90656">
        <w:t>SP: starting point</w:t>
      </w:r>
    </w:p>
    <w:p w14:paraId="7A5D6285" w14:textId="77777777" w:rsidR="002D4663" w:rsidRPr="00976D1C" w:rsidRDefault="002D4663" w:rsidP="00EC4213">
      <w:pPr>
        <w:pStyle w:val="Caption"/>
      </w:pPr>
      <w:bookmarkStart w:id="126" w:name="_Toc409532347"/>
      <w:r w:rsidRPr="00976D1C">
        <w:t xml:space="preserve">Table </w:t>
      </w:r>
      <w:fldSimple w:instr=" SEQ Table \* ARABIC ">
        <w:r w:rsidRPr="00976D1C">
          <w:rPr>
            <w:noProof/>
          </w:rPr>
          <w:t>9</w:t>
        </w:r>
      </w:fldSimple>
      <w:r w:rsidRPr="00976D1C">
        <w:t>: Oral health workforce, productivity scenario, selected years, headcount</w:t>
      </w:r>
      <w:bookmarkEnd w:id="126"/>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2D4663" w:rsidRPr="00F9573F" w14:paraId="2509E95C"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5A1F6D13" w14:textId="67B07398" w:rsidR="002D4663" w:rsidRPr="00F9573F" w:rsidRDefault="00F9573F" w:rsidP="00EC4213">
            <w:pPr>
              <w:pStyle w:val="TableHeader"/>
            </w:pPr>
            <w:r w:rsidRPr="00F9573F">
              <w:t>Category</w:t>
            </w:r>
            <w:bookmarkStart w:id="127" w:name="ColumnTitle_9"/>
            <w:bookmarkEnd w:id="127"/>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02A848E7" w14:textId="77777777" w:rsidR="002D4663" w:rsidRPr="00F9573F" w:rsidRDefault="002D4663" w:rsidP="00EC4213">
            <w:pPr>
              <w:pStyle w:val="TableHeader"/>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0D01659E" w14:textId="77777777" w:rsidR="002D4663" w:rsidRPr="00F9573F" w:rsidRDefault="002D4663" w:rsidP="00EC4213">
            <w:pPr>
              <w:pStyle w:val="TableHeader"/>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09A40B83" w14:textId="77777777" w:rsidR="002D4663" w:rsidRPr="00F9573F" w:rsidRDefault="002D4663" w:rsidP="00EC4213">
            <w:pPr>
              <w:pStyle w:val="TableHeader"/>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755A5208" w14:textId="77777777" w:rsidR="002D4663" w:rsidRPr="00F9573F" w:rsidRDefault="002D4663" w:rsidP="00EC4213">
            <w:pPr>
              <w:pStyle w:val="TableHeader"/>
            </w:pPr>
            <w:r w:rsidRPr="00F9573F">
              <w:t>2025</w:t>
            </w:r>
          </w:p>
        </w:tc>
      </w:tr>
      <w:tr w:rsidR="002D4663" w:rsidRPr="00F9573F" w14:paraId="60CDE79F"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084A22F3" w14:textId="77777777" w:rsidR="002D4663" w:rsidRPr="00F9573F" w:rsidRDefault="002D4663" w:rsidP="00EC4213">
            <w:pPr>
              <w:pStyle w:val="TableT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1F2B846B" w14:textId="77777777" w:rsidR="002D4663" w:rsidRPr="00F9573F" w:rsidRDefault="002D4663" w:rsidP="00EC4213">
            <w:pPr>
              <w:pStyle w:val="TableT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6383C2ED" w14:textId="77777777" w:rsidR="002D4663" w:rsidRPr="00F9573F" w:rsidRDefault="002D4663" w:rsidP="00EC4213">
            <w:pPr>
              <w:pStyle w:val="TableText"/>
              <w:jc w:val="right"/>
            </w:pPr>
            <w:r w:rsidRPr="00F9573F">
              <w:t>19,280</w:t>
            </w:r>
          </w:p>
        </w:tc>
        <w:tc>
          <w:tcPr>
            <w:tcW w:w="1817" w:type="dxa"/>
            <w:tcBorders>
              <w:top w:val="nil"/>
              <w:left w:val="nil"/>
              <w:bottom w:val="single" w:sz="8" w:space="0" w:color="FFFFFF"/>
              <w:right w:val="single" w:sz="8" w:space="0" w:color="FFFFFF"/>
            </w:tcBorders>
            <w:shd w:val="clear" w:color="000000" w:fill="CCE0ED"/>
            <w:vAlign w:val="center"/>
            <w:hideMark/>
          </w:tcPr>
          <w:p w14:paraId="50D9F7EE" w14:textId="77777777" w:rsidR="002D4663" w:rsidRPr="00F9573F" w:rsidRDefault="002D4663" w:rsidP="00EC4213">
            <w:pPr>
              <w:pStyle w:val="TableText"/>
              <w:jc w:val="right"/>
            </w:pPr>
            <w:r w:rsidRPr="00F9573F">
              <w:t>22,314</w:t>
            </w:r>
          </w:p>
        </w:tc>
        <w:tc>
          <w:tcPr>
            <w:tcW w:w="1818" w:type="dxa"/>
            <w:tcBorders>
              <w:top w:val="nil"/>
              <w:left w:val="nil"/>
              <w:bottom w:val="single" w:sz="8" w:space="0" w:color="FFFFFF"/>
              <w:right w:val="single" w:sz="8" w:space="0" w:color="FFFFFF"/>
            </w:tcBorders>
            <w:shd w:val="clear" w:color="000000" w:fill="CCE0ED"/>
            <w:vAlign w:val="center"/>
            <w:hideMark/>
          </w:tcPr>
          <w:p w14:paraId="55094CA3" w14:textId="77777777" w:rsidR="002D4663" w:rsidRPr="00F9573F" w:rsidRDefault="002D4663" w:rsidP="00EC4213">
            <w:pPr>
              <w:pStyle w:val="TableText"/>
              <w:jc w:val="right"/>
            </w:pPr>
            <w:r w:rsidRPr="00F9573F">
              <w:t>26,140</w:t>
            </w:r>
          </w:p>
        </w:tc>
      </w:tr>
      <w:tr w:rsidR="002D4663" w:rsidRPr="00F9573F" w14:paraId="5AA15E09"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563BB9DE" w14:textId="77777777" w:rsidR="002D4663" w:rsidRPr="00F9573F" w:rsidRDefault="002D4663" w:rsidP="00EC4213">
            <w:pPr>
              <w:pStyle w:val="TableT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4C566432" w14:textId="77777777" w:rsidR="002D4663" w:rsidRPr="00F9573F" w:rsidRDefault="002D4663" w:rsidP="00EC4213">
            <w:pPr>
              <w:pStyle w:val="TableT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294EB73E" w14:textId="77777777" w:rsidR="002D4663" w:rsidRPr="00F9573F" w:rsidRDefault="002D4663" w:rsidP="00EC4213">
            <w:pPr>
              <w:pStyle w:val="TableText"/>
              <w:jc w:val="right"/>
            </w:pPr>
            <w:r w:rsidRPr="00F9573F">
              <w:t>1,148</w:t>
            </w:r>
          </w:p>
        </w:tc>
        <w:tc>
          <w:tcPr>
            <w:tcW w:w="1817" w:type="dxa"/>
            <w:tcBorders>
              <w:top w:val="nil"/>
              <w:left w:val="nil"/>
              <w:bottom w:val="single" w:sz="8" w:space="0" w:color="FFFFFF"/>
              <w:right w:val="single" w:sz="8" w:space="0" w:color="FFFFFF"/>
            </w:tcBorders>
            <w:shd w:val="clear" w:color="000000" w:fill="CCEFFC"/>
            <w:vAlign w:val="center"/>
            <w:hideMark/>
          </w:tcPr>
          <w:p w14:paraId="4BD8A0A3" w14:textId="77777777" w:rsidR="002D4663" w:rsidRPr="00F9573F" w:rsidRDefault="002D4663" w:rsidP="00EC4213">
            <w:pPr>
              <w:pStyle w:val="TableText"/>
              <w:jc w:val="right"/>
            </w:pPr>
            <w:r w:rsidRPr="00F9573F">
              <w:t>1,241</w:t>
            </w:r>
          </w:p>
        </w:tc>
        <w:tc>
          <w:tcPr>
            <w:tcW w:w="1818" w:type="dxa"/>
            <w:tcBorders>
              <w:top w:val="nil"/>
              <w:left w:val="nil"/>
              <w:bottom w:val="single" w:sz="8" w:space="0" w:color="FFFFFF"/>
              <w:right w:val="single" w:sz="8" w:space="0" w:color="FFFFFF"/>
            </w:tcBorders>
            <w:shd w:val="clear" w:color="000000" w:fill="CCEFFC"/>
            <w:vAlign w:val="center"/>
            <w:hideMark/>
          </w:tcPr>
          <w:p w14:paraId="50976242" w14:textId="77777777" w:rsidR="002D4663" w:rsidRPr="00F9573F" w:rsidRDefault="002D4663" w:rsidP="00EC4213">
            <w:pPr>
              <w:pStyle w:val="TableText"/>
              <w:jc w:val="right"/>
            </w:pPr>
            <w:r w:rsidRPr="00F9573F">
              <w:t>1,241</w:t>
            </w:r>
          </w:p>
        </w:tc>
      </w:tr>
      <w:tr w:rsidR="002D4663" w:rsidRPr="00F9573F" w14:paraId="1E84225E"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7BA153DC" w14:textId="77777777" w:rsidR="002D4663" w:rsidRPr="00F9573F" w:rsidRDefault="002D4663" w:rsidP="00EC4213">
            <w:pPr>
              <w:pStyle w:val="TableT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771B21E5" w14:textId="77777777" w:rsidR="002D4663" w:rsidRPr="00F9573F" w:rsidRDefault="002D4663" w:rsidP="00EC4213">
            <w:pPr>
              <w:pStyle w:val="TableT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66F03B82" w14:textId="77777777" w:rsidR="002D4663" w:rsidRPr="00F9573F" w:rsidRDefault="002D4663" w:rsidP="00EC4213">
            <w:pPr>
              <w:pStyle w:val="TableText"/>
              <w:jc w:val="right"/>
            </w:pPr>
            <w:r w:rsidRPr="00F9573F">
              <w:t>89</w:t>
            </w:r>
          </w:p>
        </w:tc>
        <w:tc>
          <w:tcPr>
            <w:tcW w:w="1817" w:type="dxa"/>
            <w:tcBorders>
              <w:top w:val="nil"/>
              <w:left w:val="nil"/>
              <w:bottom w:val="single" w:sz="8" w:space="0" w:color="FFFFFF"/>
              <w:right w:val="single" w:sz="8" w:space="0" w:color="FFFFFF"/>
            </w:tcBorders>
            <w:shd w:val="clear" w:color="000000" w:fill="CCE0ED"/>
            <w:vAlign w:val="center"/>
            <w:hideMark/>
          </w:tcPr>
          <w:p w14:paraId="2927EB08" w14:textId="77777777" w:rsidR="002D4663" w:rsidRPr="00F9573F" w:rsidRDefault="002D4663" w:rsidP="00EC4213">
            <w:pPr>
              <w:pStyle w:val="TableText"/>
              <w:jc w:val="right"/>
            </w:pPr>
            <w:r w:rsidRPr="00F9573F">
              <w:t>102</w:t>
            </w:r>
          </w:p>
        </w:tc>
        <w:tc>
          <w:tcPr>
            <w:tcW w:w="1818" w:type="dxa"/>
            <w:tcBorders>
              <w:top w:val="nil"/>
              <w:left w:val="nil"/>
              <w:bottom w:val="single" w:sz="8" w:space="0" w:color="FFFFFF"/>
              <w:right w:val="single" w:sz="8" w:space="0" w:color="FFFFFF"/>
            </w:tcBorders>
            <w:shd w:val="clear" w:color="000000" w:fill="CCE0ED"/>
            <w:vAlign w:val="center"/>
            <w:hideMark/>
          </w:tcPr>
          <w:p w14:paraId="7B704E98" w14:textId="77777777" w:rsidR="002D4663" w:rsidRPr="00F9573F" w:rsidRDefault="002D4663" w:rsidP="00EC4213">
            <w:pPr>
              <w:pStyle w:val="TableText"/>
              <w:jc w:val="right"/>
            </w:pPr>
            <w:r w:rsidRPr="00F9573F">
              <w:t>102</w:t>
            </w:r>
          </w:p>
        </w:tc>
      </w:tr>
      <w:tr w:rsidR="002D4663" w:rsidRPr="00F9573F" w14:paraId="5B7D74F7"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4E274172" w14:textId="77777777" w:rsidR="002D4663" w:rsidRPr="00F9573F" w:rsidRDefault="002D4663" w:rsidP="00EC4213">
            <w:pPr>
              <w:pStyle w:val="TableT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53068F53" w14:textId="77777777" w:rsidR="002D4663" w:rsidRPr="00F9573F" w:rsidRDefault="002D4663" w:rsidP="00EC4213">
            <w:pPr>
              <w:pStyle w:val="TableT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3DB545FC" w14:textId="77777777" w:rsidR="002D4663" w:rsidRPr="00F9573F" w:rsidRDefault="002D4663" w:rsidP="00EC4213">
            <w:pPr>
              <w:pStyle w:val="TableText"/>
              <w:jc w:val="right"/>
            </w:pPr>
            <w:r w:rsidRPr="00F9573F">
              <w:t>137</w:t>
            </w:r>
          </w:p>
        </w:tc>
        <w:tc>
          <w:tcPr>
            <w:tcW w:w="1817" w:type="dxa"/>
            <w:tcBorders>
              <w:top w:val="nil"/>
              <w:left w:val="nil"/>
              <w:bottom w:val="single" w:sz="8" w:space="0" w:color="FFFFFF"/>
              <w:right w:val="single" w:sz="8" w:space="0" w:color="FFFFFF"/>
            </w:tcBorders>
            <w:shd w:val="clear" w:color="000000" w:fill="CCEFFC"/>
            <w:vAlign w:val="center"/>
            <w:hideMark/>
          </w:tcPr>
          <w:p w14:paraId="6E4A9E6C" w14:textId="77777777" w:rsidR="002D4663" w:rsidRPr="00F9573F" w:rsidRDefault="002D4663" w:rsidP="00EC4213">
            <w:pPr>
              <w:pStyle w:val="TableT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3FAC992F" w14:textId="77777777" w:rsidR="002D4663" w:rsidRPr="00F9573F" w:rsidRDefault="002D4663" w:rsidP="00EC4213">
            <w:pPr>
              <w:pStyle w:val="TableText"/>
              <w:jc w:val="right"/>
            </w:pPr>
            <w:r w:rsidRPr="00F9573F">
              <w:t>137</w:t>
            </w:r>
          </w:p>
        </w:tc>
      </w:tr>
      <w:tr w:rsidR="002D4663" w:rsidRPr="00F9573F" w14:paraId="24A6D61C"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76FD2036" w14:textId="77777777" w:rsidR="002D4663" w:rsidRPr="00F9573F" w:rsidRDefault="002D4663" w:rsidP="00EC4213">
            <w:pPr>
              <w:pStyle w:val="TableT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67C9BAD1" w14:textId="77777777" w:rsidR="002D4663" w:rsidRPr="00F9573F" w:rsidRDefault="002D4663" w:rsidP="00EC4213">
            <w:pPr>
              <w:pStyle w:val="TableT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4110BFDD" w14:textId="77777777" w:rsidR="002D4663" w:rsidRPr="00F9573F" w:rsidRDefault="002D4663" w:rsidP="00EC4213">
            <w:pPr>
              <w:pStyle w:val="TableText"/>
              <w:jc w:val="right"/>
            </w:pPr>
            <w:r w:rsidRPr="00F9573F">
              <w:t>179</w:t>
            </w:r>
          </w:p>
        </w:tc>
        <w:tc>
          <w:tcPr>
            <w:tcW w:w="1817" w:type="dxa"/>
            <w:tcBorders>
              <w:top w:val="nil"/>
              <w:left w:val="nil"/>
              <w:bottom w:val="single" w:sz="8" w:space="0" w:color="FFFFFF"/>
              <w:right w:val="single" w:sz="8" w:space="0" w:color="FFFFFF"/>
            </w:tcBorders>
            <w:shd w:val="clear" w:color="000000" w:fill="CCE0ED"/>
            <w:vAlign w:val="center"/>
            <w:hideMark/>
          </w:tcPr>
          <w:p w14:paraId="3A9D5641" w14:textId="77777777" w:rsidR="002D4663" w:rsidRPr="00F9573F" w:rsidRDefault="002D4663" w:rsidP="00EC4213">
            <w:pPr>
              <w:pStyle w:val="TableT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4102D4B4" w14:textId="77777777" w:rsidR="002D4663" w:rsidRPr="00F9573F" w:rsidRDefault="002D4663" w:rsidP="00EC4213">
            <w:pPr>
              <w:pStyle w:val="TableText"/>
              <w:jc w:val="right"/>
            </w:pPr>
            <w:r w:rsidRPr="00F9573F">
              <w:t>179</w:t>
            </w:r>
          </w:p>
        </w:tc>
      </w:tr>
      <w:tr w:rsidR="002D4663" w:rsidRPr="00F9573F" w14:paraId="6E6DBAB0"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2F70A60C" w14:textId="77777777" w:rsidR="002D4663" w:rsidRPr="00F9573F" w:rsidRDefault="002D4663" w:rsidP="00EC4213">
            <w:pPr>
              <w:pStyle w:val="TableT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0F9EE4D7" w14:textId="77777777" w:rsidR="002D4663" w:rsidRPr="00F9573F" w:rsidRDefault="002D4663" w:rsidP="00EC4213">
            <w:pPr>
              <w:pStyle w:val="TableText"/>
              <w:jc w:val="right"/>
            </w:pPr>
            <w:r w:rsidRPr="00F9573F">
              <w:t>5.45%</w:t>
            </w:r>
          </w:p>
        </w:tc>
        <w:tc>
          <w:tcPr>
            <w:tcW w:w="1818" w:type="dxa"/>
            <w:tcBorders>
              <w:top w:val="nil"/>
              <w:left w:val="nil"/>
              <w:bottom w:val="single" w:sz="8" w:space="0" w:color="FFFFFF"/>
              <w:right w:val="single" w:sz="8" w:space="0" w:color="FFFFFF"/>
            </w:tcBorders>
            <w:shd w:val="clear" w:color="000000" w:fill="CCEFFC"/>
            <w:vAlign w:val="center"/>
            <w:hideMark/>
          </w:tcPr>
          <w:p w14:paraId="5DBDD4B6" w14:textId="77777777" w:rsidR="002D4663" w:rsidRPr="00F9573F" w:rsidRDefault="002D4663" w:rsidP="00EC4213">
            <w:pPr>
              <w:pStyle w:val="TableText"/>
              <w:jc w:val="right"/>
            </w:pPr>
            <w:r w:rsidRPr="00F9573F">
              <w:t>3.65%</w:t>
            </w:r>
          </w:p>
        </w:tc>
        <w:tc>
          <w:tcPr>
            <w:tcW w:w="1817" w:type="dxa"/>
            <w:tcBorders>
              <w:top w:val="nil"/>
              <w:left w:val="nil"/>
              <w:bottom w:val="single" w:sz="8" w:space="0" w:color="FFFFFF"/>
              <w:right w:val="single" w:sz="8" w:space="0" w:color="FFFFFF"/>
            </w:tcBorders>
            <w:shd w:val="clear" w:color="000000" w:fill="CCEFFC"/>
            <w:vAlign w:val="center"/>
            <w:hideMark/>
          </w:tcPr>
          <w:p w14:paraId="56962454" w14:textId="77777777" w:rsidR="002D4663" w:rsidRPr="00F9573F" w:rsidRDefault="002D4663" w:rsidP="00EC4213">
            <w:pPr>
              <w:pStyle w:val="TableText"/>
              <w:jc w:val="right"/>
            </w:pPr>
            <w:r w:rsidRPr="00F9573F">
              <w:t>3.12%</w:t>
            </w:r>
          </w:p>
        </w:tc>
        <w:tc>
          <w:tcPr>
            <w:tcW w:w="1818" w:type="dxa"/>
            <w:tcBorders>
              <w:top w:val="nil"/>
              <w:left w:val="nil"/>
              <w:bottom w:val="single" w:sz="8" w:space="0" w:color="FFFFFF"/>
              <w:right w:val="single" w:sz="8" w:space="0" w:color="FFFFFF"/>
            </w:tcBorders>
            <w:shd w:val="clear" w:color="000000" w:fill="CCEFFC"/>
            <w:vAlign w:val="center"/>
            <w:hideMark/>
          </w:tcPr>
          <w:p w14:paraId="58FC9F07" w14:textId="77777777" w:rsidR="002D4663" w:rsidRPr="00F9573F" w:rsidRDefault="002D4663" w:rsidP="00EC4213">
            <w:pPr>
              <w:pStyle w:val="TableText"/>
              <w:jc w:val="right"/>
            </w:pPr>
            <w:r w:rsidRPr="00F9573F">
              <w:t>2.91%</w:t>
            </w:r>
          </w:p>
        </w:tc>
      </w:tr>
      <w:tr w:rsidR="002D4663" w:rsidRPr="00F9573F" w14:paraId="7ADD6A4B"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029FE867" w14:textId="77777777" w:rsidR="002D4663" w:rsidRPr="00F9573F" w:rsidRDefault="002D4663" w:rsidP="00EC4213">
            <w:pPr>
              <w:pStyle w:val="TableT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4BA371A3" w14:textId="77777777" w:rsidR="002D4663" w:rsidRPr="00F9573F" w:rsidRDefault="002D4663" w:rsidP="00EC4213">
            <w:pPr>
              <w:pStyle w:val="TableT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584B593A" w14:textId="77777777" w:rsidR="002D4663" w:rsidRPr="00F9573F" w:rsidRDefault="002D4663" w:rsidP="00EC4213">
            <w:pPr>
              <w:pStyle w:val="TableText"/>
              <w:jc w:val="right"/>
            </w:pPr>
            <w:r w:rsidRPr="00F9573F">
              <w:t>17,550</w:t>
            </w:r>
          </w:p>
        </w:tc>
        <w:tc>
          <w:tcPr>
            <w:tcW w:w="1817" w:type="dxa"/>
            <w:tcBorders>
              <w:top w:val="nil"/>
              <w:left w:val="nil"/>
              <w:bottom w:val="single" w:sz="8" w:space="0" w:color="FFFFFF"/>
              <w:right w:val="single" w:sz="8" w:space="0" w:color="FFFFFF"/>
            </w:tcBorders>
            <w:shd w:val="clear" w:color="000000" w:fill="CCE0ED"/>
            <w:vAlign w:val="center"/>
            <w:hideMark/>
          </w:tcPr>
          <w:p w14:paraId="5DAADCD6" w14:textId="77777777" w:rsidR="002D4663" w:rsidRPr="00F9573F" w:rsidRDefault="002D4663" w:rsidP="00EC4213">
            <w:pPr>
              <w:pStyle w:val="TableText"/>
              <w:jc w:val="right"/>
            </w:pPr>
            <w:r w:rsidRPr="00F9573F">
              <w:t>18,410</w:t>
            </w:r>
          </w:p>
        </w:tc>
        <w:tc>
          <w:tcPr>
            <w:tcW w:w="1818" w:type="dxa"/>
            <w:tcBorders>
              <w:top w:val="nil"/>
              <w:left w:val="nil"/>
              <w:bottom w:val="single" w:sz="8" w:space="0" w:color="FFFFFF"/>
              <w:right w:val="single" w:sz="8" w:space="0" w:color="FFFFFF"/>
            </w:tcBorders>
            <w:shd w:val="clear" w:color="000000" w:fill="CCE0ED"/>
            <w:vAlign w:val="center"/>
            <w:hideMark/>
          </w:tcPr>
          <w:p w14:paraId="7EE6E49D" w14:textId="77777777" w:rsidR="002D4663" w:rsidRPr="00F9573F" w:rsidRDefault="002D4663" w:rsidP="00EC4213">
            <w:pPr>
              <w:pStyle w:val="TableText"/>
              <w:jc w:val="right"/>
            </w:pPr>
            <w:r w:rsidRPr="00F9573F">
              <w:t>19,471</w:t>
            </w:r>
          </w:p>
        </w:tc>
      </w:tr>
      <w:tr w:rsidR="002D4663" w:rsidRPr="00F9573F" w14:paraId="322F379E" w14:textId="77777777" w:rsidTr="00E16FBF">
        <w:trPr>
          <w:cantSplit/>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1B43CAD7" w14:textId="77777777" w:rsidR="002D4663" w:rsidRPr="00F9573F" w:rsidRDefault="002D4663" w:rsidP="00EC4213">
            <w:pPr>
              <w:pStyle w:val="TableT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12C95CDF" w14:textId="77777777" w:rsidR="002D4663" w:rsidRPr="00F9573F" w:rsidRDefault="002D4663" w:rsidP="00EC4213">
            <w:pPr>
              <w:pStyle w:val="TableText"/>
              <w:jc w:val="right"/>
            </w:pPr>
            <w:r w:rsidRPr="00F9573F">
              <w:t>SP</w:t>
            </w:r>
          </w:p>
        </w:tc>
        <w:tc>
          <w:tcPr>
            <w:tcW w:w="1818" w:type="dxa"/>
            <w:tcBorders>
              <w:top w:val="nil"/>
              <w:left w:val="nil"/>
              <w:bottom w:val="single" w:sz="8" w:space="0" w:color="FFFFFF"/>
              <w:right w:val="single" w:sz="8" w:space="0" w:color="FFFFFF"/>
            </w:tcBorders>
            <w:shd w:val="clear" w:color="000000" w:fill="CCEFFC"/>
            <w:vAlign w:val="center"/>
            <w:hideMark/>
          </w:tcPr>
          <w:p w14:paraId="51FC846B" w14:textId="77777777" w:rsidR="002D4663" w:rsidRPr="00F9573F" w:rsidRDefault="002D4663" w:rsidP="00EC4213">
            <w:pPr>
              <w:pStyle w:val="TableText"/>
              <w:jc w:val="right"/>
            </w:pPr>
            <w:r w:rsidRPr="00F9573F">
              <w:t>1,730</w:t>
            </w:r>
          </w:p>
        </w:tc>
        <w:tc>
          <w:tcPr>
            <w:tcW w:w="1817" w:type="dxa"/>
            <w:tcBorders>
              <w:top w:val="nil"/>
              <w:left w:val="nil"/>
              <w:bottom w:val="single" w:sz="8" w:space="0" w:color="FFFFFF"/>
              <w:right w:val="single" w:sz="8" w:space="0" w:color="FFFFFF"/>
            </w:tcBorders>
            <w:shd w:val="clear" w:color="000000" w:fill="CCEFFC"/>
            <w:vAlign w:val="center"/>
            <w:hideMark/>
          </w:tcPr>
          <w:p w14:paraId="5F70D98E" w14:textId="77777777" w:rsidR="002D4663" w:rsidRPr="00F9573F" w:rsidRDefault="002D4663" w:rsidP="00EC4213">
            <w:pPr>
              <w:pStyle w:val="TableText"/>
              <w:jc w:val="right"/>
            </w:pPr>
            <w:r w:rsidRPr="00F9573F">
              <w:t>3,904</w:t>
            </w:r>
          </w:p>
        </w:tc>
        <w:tc>
          <w:tcPr>
            <w:tcW w:w="1818" w:type="dxa"/>
            <w:tcBorders>
              <w:top w:val="nil"/>
              <w:left w:val="nil"/>
              <w:bottom w:val="single" w:sz="8" w:space="0" w:color="FFFFFF"/>
              <w:right w:val="single" w:sz="8" w:space="0" w:color="FFFFFF"/>
            </w:tcBorders>
            <w:shd w:val="clear" w:color="000000" w:fill="CCEFFC"/>
            <w:vAlign w:val="center"/>
            <w:hideMark/>
          </w:tcPr>
          <w:p w14:paraId="075710E1" w14:textId="77777777" w:rsidR="002D4663" w:rsidRPr="00F9573F" w:rsidRDefault="002D4663" w:rsidP="00EC4213">
            <w:pPr>
              <w:pStyle w:val="TableText"/>
              <w:jc w:val="right"/>
            </w:pPr>
            <w:r w:rsidRPr="00F9573F">
              <w:t>6,669</w:t>
            </w:r>
          </w:p>
        </w:tc>
      </w:tr>
    </w:tbl>
    <w:p w14:paraId="19E716BD" w14:textId="77777777" w:rsidR="002D4663" w:rsidRPr="00F9573F" w:rsidRDefault="002D4663" w:rsidP="00EC4213">
      <w:pPr>
        <w:pStyle w:val="Tablenotes"/>
      </w:pPr>
      <w:r w:rsidRPr="00F9573F">
        <w:t>SP: starting point</w:t>
      </w:r>
    </w:p>
    <w:p w14:paraId="6B99860B" w14:textId="77777777" w:rsidR="002D4663" w:rsidRPr="00976D1C" w:rsidRDefault="002D4663" w:rsidP="00EC4213">
      <w:pPr>
        <w:pStyle w:val="Caption"/>
      </w:pPr>
      <w:bookmarkStart w:id="128" w:name="_Toc409532348"/>
      <w:r w:rsidRPr="00976D1C">
        <w:lastRenderedPageBreak/>
        <w:t xml:space="preserve">Table </w:t>
      </w:r>
      <w:fldSimple w:instr=" SEQ Table \* ARABIC ">
        <w:r w:rsidRPr="00976D1C">
          <w:rPr>
            <w:noProof/>
          </w:rPr>
          <w:t>10</w:t>
        </w:r>
      </w:fldSimple>
      <w:r w:rsidRPr="00976D1C">
        <w:t>: Oral health workforce, low demand scenario, selected years, headcount</w:t>
      </w:r>
      <w:bookmarkEnd w:id="128"/>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2D4663" w:rsidRPr="00F9573F" w14:paraId="54842856"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0C4DE32B" w14:textId="3F4057A0" w:rsidR="002D4663" w:rsidRPr="00F9573F" w:rsidRDefault="00F9573F" w:rsidP="00EC4213">
            <w:pPr>
              <w:pStyle w:val="TableHeader"/>
              <w:keepNext/>
            </w:pPr>
            <w:r w:rsidRPr="00F9573F">
              <w:t>Category</w:t>
            </w:r>
            <w:bookmarkStart w:id="129" w:name="ColumnTitle_10"/>
            <w:bookmarkEnd w:id="129"/>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2310ABFC" w14:textId="77777777" w:rsidR="002D4663" w:rsidRPr="00F9573F" w:rsidRDefault="002D4663" w:rsidP="00EC4213">
            <w:pPr>
              <w:pStyle w:val="TableHeader"/>
              <w:keepNext/>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51A2A156" w14:textId="77777777" w:rsidR="002D4663" w:rsidRPr="00F9573F" w:rsidRDefault="002D4663" w:rsidP="00EC4213">
            <w:pPr>
              <w:pStyle w:val="TableHeader"/>
              <w:keepNext/>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67144252" w14:textId="77777777" w:rsidR="002D4663" w:rsidRPr="00F9573F" w:rsidRDefault="002D4663" w:rsidP="00EC4213">
            <w:pPr>
              <w:pStyle w:val="TableHeader"/>
              <w:keepNext/>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0F413B14" w14:textId="77777777" w:rsidR="002D4663" w:rsidRPr="00F9573F" w:rsidRDefault="002D4663" w:rsidP="00EC4213">
            <w:pPr>
              <w:pStyle w:val="TableHeader"/>
              <w:keepNext/>
            </w:pPr>
            <w:r w:rsidRPr="00F9573F">
              <w:t>2025</w:t>
            </w:r>
          </w:p>
        </w:tc>
      </w:tr>
      <w:tr w:rsidR="002D4663" w:rsidRPr="00F9573F" w14:paraId="0A4911AC"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6D0C3C50" w14:textId="77777777" w:rsidR="002D4663" w:rsidRPr="00F9573F" w:rsidRDefault="002D4663" w:rsidP="00EC4213">
            <w:pPr>
              <w:pStyle w:val="TableText"/>
              <w:keepN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0972B76F" w14:textId="77777777" w:rsidR="002D4663" w:rsidRPr="00F9573F" w:rsidRDefault="002D4663"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10F3E63C" w14:textId="77777777" w:rsidR="002D4663" w:rsidRPr="00F9573F" w:rsidRDefault="002D4663" w:rsidP="00EC4213">
            <w:pPr>
              <w:pStyle w:val="TableText"/>
              <w:keepNext/>
              <w:jc w:val="right"/>
            </w:pPr>
            <w:r w:rsidRPr="00F9573F">
              <w:t>19,280</w:t>
            </w:r>
          </w:p>
        </w:tc>
        <w:tc>
          <w:tcPr>
            <w:tcW w:w="1817" w:type="dxa"/>
            <w:tcBorders>
              <w:top w:val="nil"/>
              <w:left w:val="nil"/>
              <w:bottom w:val="single" w:sz="8" w:space="0" w:color="FFFFFF"/>
              <w:right w:val="single" w:sz="8" w:space="0" w:color="FFFFFF"/>
            </w:tcBorders>
            <w:shd w:val="clear" w:color="000000" w:fill="CCE0ED"/>
            <w:vAlign w:val="center"/>
            <w:hideMark/>
          </w:tcPr>
          <w:p w14:paraId="77D43527" w14:textId="77777777" w:rsidR="002D4663" w:rsidRPr="00F9573F" w:rsidRDefault="002D4663" w:rsidP="00EC4213">
            <w:pPr>
              <w:pStyle w:val="TableText"/>
              <w:keepNext/>
              <w:jc w:val="right"/>
            </w:pPr>
            <w:r w:rsidRPr="00F9573F">
              <w:t>22,314</w:t>
            </w:r>
          </w:p>
        </w:tc>
        <w:tc>
          <w:tcPr>
            <w:tcW w:w="1818" w:type="dxa"/>
            <w:tcBorders>
              <w:top w:val="nil"/>
              <w:left w:val="nil"/>
              <w:bottom w:val="single" w:sz="8" w:space="0" w:color="FFFFFF"/>
              <w:right w:val="single" w:sz="8" w:space="0" w:color="FFFFFF"/>
            </w:tcBorders>
            <w:shd w:val="clear" w:color="000000" w:fill="CCE0ED"/>
            <w:vAlign w:val="center"/>
            <w:hideMark/>
          </w:tcPr>
          <w:p w14:paraId="23082390" w14:textId="77777777" w:rsidR="002D4663" w:rsidRPr="00F9573F" w:rsidRDefault="002D4663" w:rsidP="00EC4213">
            <w:pPr>
              <w:pStyle w:val="TableText"/>
              <w:keepNext/>
              <w:jc w:val="right"/>
            </w:pPr>
            <w:r w:rsidRPr="00F9573F">
              <w:t>26,140</w:t>
            </w:r>
          </w:p>
        </w:tc>
      </w:tr>
      <w:tr w:rsidR="002D4663" w:rsidRPr="00F9573F" w14:paraId="7B5730E4"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3037BC77" w14:textId="77777777" w:rsidR="002D4663" w:rsidRPr="00F9573F" w:rsidRDefault="002D4663" w:rsidP="00EC4213">
            <w:pPr>
              <w:pStyle w:val="TableText"/>
              <w:keepN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6545F7EC" w14:textId="77777777" w:rsidR="002D4663" w:rsidRPr="00F9573F" w:rsidRDefault="002D4663" w:rsidP="00EC4213">
            <w:pPr>
              <w:pStyle w:val="TableText"/>
              <w:keepN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4844F8A4" w14:textId="77777777" w:rsidR="002D4663" w:rsidRPr="00F9573F" w:rsidRDefault="002D4663" w:rsidP="00EC4213">
            <w:pPr>
              <w:pStyle w:val="TableText"/>
              <w:keepNext/>
              <w:jc w:val="right"/>
            </w:pPr>
            <w:r w:rsidRPr="00F9573F">
              <w:t>1,148</w:t>
            </w:r>
          </w:p>
        </w:tc>
        <w:tc>
          <w:tcPr>
            <w:tcW w:w="1817" w:type="dxa"/>
            <w:tcBorders>
              <w:top w:val="nil"/>
              <w:left w:val="nil"/>
              <w:bottom w:val="single" w:sz="8" w:space="0" w:color="FFFFFF"/>
              <w:right w:val="single" w:sz="8" w:space="0" w:color="FFFFFF"/>
            </w:tcBorders>
            <w:shd w:val="clear" w:color="000000" w:fill="CCEFFC"/>
            <w:vAlign w:val="center"/>
            <w:hideMark/>
          </w:tcPr>
          <w:p w14:paraId="1903989A" w14:textId="77777777" w:rsidR="002D4663" w:rsidRPr="00F9573F" w:rsidRDefault="002D4663" w:rsidP="00EC4213">
            <w:pPr>
              <w:pStyle w:val="TableText"/>
              <w:keepNext/>
              <w:jc w:val="right"/>
            </w:pPr>
            <w:r w:rsidRPr="00F9573F">
              <w:t>1,241</w:t>
            </w:r>
          </w:p>
        </w:tc>
        <w:tc>
          <w:tcPr>
            <w:tcW w:w="1818" w:type="dxa"/>
            <w:tcBorders>
              <w:top w:val="nil"/>
              <w:left w:val="nil"/>
              <w:bottom w:val="single" w:sz="8" w:space="0" w:color="FFFFFF"/>
              <w:right w:val="single" w:sz="8" w:space="0" w:color="FFFFFF"/>
            </w:tcBorders>
            <w:shd w:val="clear" w:color="000000" w:fill="CCEFFC"/>
            <w:vAlign w:val="center"/>
            <w:hideMark/>
          </w:tcPr>
          <w:p w14:paraId="3A020A70" w14:textId="77777777" w:rsidR="002D4663" w:rsidRPr="00F9573F" w:rsidRDefault="002D4663" w:rsidP="00EC4213">
            <w:pPr>
              <w:pStyle w:val="TableText"/>
              <w:keepNext/>
              <w:jc w:val="right"/>
            </w:pPr>
            <w:r w:rsidRPr="00F9573F">
              <w:t>1,241</w:t>
            </w:r>
          </w:p>
        </w:tc>
      </w:tr>
      <w:tr w:rsidR="002D4663" w:rsidRPr="00F9573F" w14:paraId="595F3942"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5AFBA299" w14:textId="77777777" w:rsidR="002D4663" w:rsidRPr="00F9573F" w:rsidRDefault="002D4663" w:rsidP="00EC4213">
            <w:pPr>
              <w:pStyle w:val="TableText"/>
              <w:keepN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0299A685" w14:textId="77777777" w:rsidR="002D4663" w:rsidRPr="00F9573F" w:rsidRDefault="002D4663" w:rsidP="00EC4213">
            <w:pPr>
              <w:pStyle w:val="TableText"/>
              <w:keepN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5B95F51C" w14:textId="77777777" w:rsidR="002D4663" w:rsidRPr="00F9573F" w:rsidRDefault="002D4663" w:rsidP="00EC4213">
            <w:pPr>
              <w:pStyle w:val="TableText"/>
              <w:keepNext/>
              <w:jc w:val="right"/>
            </w:pPr>
            <w:r w:rsidRPr="00F9573F">
              <w:t>89</w:t>
            </w:r>
          </w:p>
        </w:tc>
        <w:tc>
          <w:tcPr>
            <w:tcW w:w="1817" w:type="dxa"/>
            <w:tcBorders>
              <w:top w:val="nil"/>
              <w:left w:val="nil"/>
              <w:bottom w:val="single" w:sz="8" w:space="0" w:color="FFFFFF"/>
              <w:right w:val="single" w:sz="8" w:space="0" w:color="FFFFFF"/>
            </w:tcBorders>
            <w:shd w:val="clear" w:color="000000" w:fill="CCE0ED"/>
            <w:vAlign w:val="center"/>
            <w:hideMark/>
          </w:tcPr>
          <w:p w14:paraId="22E9273E" w14:textId="77777777" w:rsidR="002D4663" w:rsidRPr="00F9573F" w:rsidRDefault="002D4663" w:rsidP="00EC4213">
            <w:pPr>
              <w:pStyle w:val="TableText"/>
              <w:keepNext/>
              <w:jc w:val="right"/>
            </w:pPr>
            <w:r w:rsidRPr="00F9573F">
              <w:t>102</w:t>
            </w:r>
          </w:p>
        </w:tc>
        <w:tc>
          <w:tcPr>
            <w:tcW w:w="1818" w:type="dxa"/>
            <w:tcBorders>
              <w:top w:val="nil"/>
              <w:left w:val="nil"/>
              <w:bottom w:val="single" w:sz="8" w:space="0" w:color="FFFFFF"/>
              <w:right w:val="single" w:sz="8" w:space="0" w:color="FFFFFF"/>
            </w:tcBorders>
            <w:shd w:val="clear" w:color="000000" w:fill="CCE0ED"/>
            <w:vAlign w:val="center"/>
            <w:hideMark/>
          </w:tcPr>
          <w:p w14:paraId="65932780" w14:textId="77777777" w:rsidR="002D4663" w:rsidRPr="00F9573F" w:rsidRDefault="002D4663" w:rsidP="00EC4213">
            <w:pPr>
              <w:pStyle w:val="TableText"/>
              <w:keepNext/>
              <w:jc w:val="right"/>
            </w:pPr>
            <w:r w:rsidRPr="00F9573F">
              <w:t>102</w:t>
            </w:r>
          </w:p>
        </w:tc>
      </w:tr>
      <w:tr w:rsidR="002D4663" w:rsidRPr="00F9573F" w14:paraId="3B7007F2"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35247810" w14:textId="77777777" w:rsidR="002D4663" w:rsidRPr="00F9573F" w:rsidRDefault="002D4663" w:rsidP="00EC4213">
            <w:pPr>
              <w:pStyle w:val="TableText"/>
              <w:keepN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531EC48B" w14:textId="77777777" w:rsidR="002D4663" w:rsidRPr="00F9573F" w:rsidRDefault="002D4663"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5E66F451" w14:textId="77777777" w:rsidR="002D4663" w:rsidRPr="00F9573F" w:rsidRDefault="002D4663" w:rsidP="00EC4213">
            <w:pPr>
              <w:pStyle w:val="TableText"/>
              <w:keepNext/>
              <w:jc w:val="right"/>
            </w:pPr>
            <w:r w:rsidRPr="00F9573F">
              <w:t>137</w:t>
            </w:r>
          </w:p>
        </w:tc>
        <w:tc>
          <w:tcPr>
            <w:tcW w:w="1817" w:type="dxa"/>
            <w:tcBorders>
              <w:top w:val="nil"/>
              <w:left w:val="nil"/>
              <w:bottom w:val="single" w:sz="8" w:space="0" w:color="FFFFFF"/>
              <w:right w:val="single" w:sz="8" w:space="0" w:color="FFFFFF"/>
            </w:tcBorders>
            <w:shd w:val="clear" w:color="000000" w:fill="CCEFFC"/>
            <w:vAlign w:val="center"/>
            <w:hideMark/>
          </w:tcPr>
          <w:p w14:paraId="2EB7AFE1" w14:textId="77777777" w:rsidR="002D4663" w:rsidRPr="00F9573F" w:rsidRDefault="002D4663"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57E30628" w14:textId="77777777" w:rsidR="002D4663" w:rsidRPr="00F9573F" w:rsidRDefault="002D4663" w:rsidP="00EC4213">
            <w:pPr>
              <w:pStyle w:val="TableText"/>
              <w:keepNext/>
              <w:jc w:val="right"/>
            </w:pPr>
            <w:r w:rsidRPr="00F9573F">
              <w:t>137</w:t>
            </w:r>
          </w:p>
        </w:tc>
      </w:tr>
      <w:tr w:rsidR="002D4663" w:rsidRPr="00F9573F" w14:paraId="1AFF9AC5"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53ED9978" w14:textId="77777777" w:rsidR="002D4663" w:rsidRPr="00F9573F" w:rsidRDefault="002D4663" w:rsidP="00EC4213">
            <w:pPr>
              <w:pStyle w:val="TableText"/>
              <w:keepN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5D25602B" w14:textId="77777777" w:rsidR="002D4663" w:rsidRPr="00F9573F" w:rsidRDefault="002D4663"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7DE727B6" w14:textId="77777777" w:rsidR="002D4663" w:rsidRPr="00F9573F" w:rsidRDefault="002D4663" w:rsidP="00EC4213">
            <w:pPr>
              <w:pStyle w:val="TableText"/>
              <w:keepNext/>
              <w:jc w:val="right"/>
            </w:pPr>
            <w:r w:rsidRPr="00F9573F">
              <w:t>179</w:t>
            </w:r>
          </w:p>
        </w:tc>
        <w:tc>
          <w:tcPr>
            <w:tcW w:w="1817" w:type="dxa"/>
            <w:tcBorders>
              <w:top w:val="nil"/>
              <w:left w:val="nil"/>
              <w:bottom w:val="single" w:sz="8" w:space="0" w:color="FFFFFF"/>
              <w:right w:val="single" w:sz="8" w:space="0" w:color="FFFFFF"/>
            </w:tcBorders>
            <w:shd w:val="clear" w:color="000000" w:fill="CCE0ED"/>
            <w:vAlign w:val="center"/>
            <w:hideMark/>
          </w:tcPr>
          <w:p w14:paraId="27EB6602" w14:textId="77777777" w:rsidR="002D4663" w:rsidRPr="00F9573F" w:rsidRDefault="002D4663"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0CB51BFE" w14:textId="77777777" w:rsidR="002D4663" w:rsidRPr="00F9573F" w:rsidRDefault="002D4663" w:rsidP="00EC4213">
            <w:pPr>
              <w:pStyle w:val="TableText"/>
              <w:keepNext/>
              <w:jc w:val="right"/>
            </w:pPr>
            <w:r w:rsidRPr="00F9573F">
              <w:t>179</w:t>
            </w:r>
          </w:p>
        </w:tc>
      </w:tr>
      <w:tr w:rsidR="002D4663" w:rsidRPr="00F9573F" w14:paraId="2570AD99"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5AE13395" w14:textId="77777777" w:rsidR="002D4663" w:rsidRPr="00F9573F" w:rsidRDefault="002D4663" w:rsidP="00EC4213">
            <w:pPr>
              <w:pStyle w:val="TableText"/>
              <w:keepN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0C84C7EE" w14:textId="77777777" w:rsidR="002D4663" w:rsidRPr="00F9573F" w:rsidRDefault="002D4663" w:rsidP="00EC4213">
            <w:pPr>
              <w:pStyle w:val="TableText"/>
              <w:keepNext/>
              <w:jc w:val="right"/>
            </w:pPr>
            <w:r w:rsidRPr="00F9573F">
              <w:t>5.45%</w:t>
            </w:r>
          </w:p>
        </w:tc>
        <w:tc>
          <w:tcPr>
            <w:tcW w:w="1818" w:type="dxa"/>
            <w:tcBorders>
              <w:top w:val="nil"/>
              <w:left w:val="nil"/>
              <w:bottom w:val="single" w:sz="8" w:space="0" w:color="FFFFFF"/>
              <w:right w:val="single" w:sz="8" w:space="0" w:color="FFFFFF"/>
            </w:tcBorders>
            <w:shd w:val="clear" w:color="000000" w:fill="CCEFFC"/>
            <w:vAlign w:val="center"/>
            <w:hideMark/>
          </w:tcPr>
          <w:p w14:paraId="5CF69F0B" w14:textId="77777777" w:rsidR="002D4663" w:rsidRPr="00F9573F" w:rsidRDefault="002D4663" w:rsidP="00EC4213">
            <w:pPr>
              <w:pStyle w:val="TableText"/>
              <w:keepNext/>
              <w:jc w:val="right"/>
            </w:pPr>
            <w:r w:rsidRPr="00F9573F">
              <w:t>3.65%</w:t>
            </w:r>
          </w:p>
        </w:tc>
        <w:tc>
          <w:tcPr>
            <w:tcW w:w="1817" w:type="dxa"/>
            <w:tcBorders>
              <w:top w:val="nil"/>
              <w:left w:val="nil"/>
              <w:bottom w:val="single" w:sz="8" w:space="0" w:color="FFFFFF"/>
              <w:right w:val="single" w:sz="8" w:space="0" w:color="FFFFFF"/>
            </w:tcBorders>
            <w:shd w:val="clear" w:color="000000" w:fill="CCEFFC"/>
            <w:vAlign w:val="center"/>
            <w:hideMark/>
          </w:tcPr>
          <w:p w14:paraId="7C4061ED" w14:textId="77777777" w:rsidR="002D4663" w:rsidRPr="00F9573F" w:rsidRDefault="002D4663" w:rsidP="00EC4213">
            <w:pPr>
              <w:pStyle w:val="TableText"/>
              <w:keepNext/>
              <w:jc w:val="right"/>
            </w:pPr>
            <w:r w:rsidRPr="00F9573F">
              <w:t>3.12%</w:t>
            </w:r>
          </w:p>
        </w:tc>
        <w:tc>
          <w:tcPr>
            <w:tcW w:w="1818" w:type="dxa"/>
            <w:tcBorders>
              <w:top w:val="nil"/>
              <w:left w:val="nil"/>
              <w:bottom w:val="single" w:sz="8" w:space="0" w:color="FFFFFF"/>
              <w:right w:val="single" w:sz="8" w:space="0" w:color="FFFFFF"/>
            </w:tcBorders>
            <w:shd w:val="clear" w:color="000000" w:fill="CCEFFC"/>
            <w:vAlign w:val="center"/>
            <w:hideMark/>
          </w:tcPr>
          <w:p w14:paraId="4CF9C7BE" w14:textId="77777777" w:rsidR="002D4663" w:rsidRPr="00F9573F" w:rsidRDefault="002D4663" w:rsidP="00EC4213">
            <w:pPr>
              <w:pStyle w:val="TableText"/>
              <w:keepNext/>
              <w:jc w:val="right"/>
            </w:pPr>
            <w:r w:rsidRPr="00F9573F">
              <w:t>2.91%</w:t>
            </w:r>
          </w:p>
        </w:tc>
      </w:tr>
      <w:tr w:rsidR="002D4663" w:rsidRPr="00F9573F" w14:paraId="5C7F5D5B"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6EC09DCC" w14:textId="77777777" w:rsidR="002D4663" w:rsidRPr="00F9573F" w:rsidRDefault="002D4663" w:rsidP="00EC4213">
            <w:pPr>
              <w:pStyle w:val="TableText"/>
              <w:keepN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6E72856E" w14:textId="77777777" w:rsidR="002D4663" w:rsidRPr="00F9573F" w:rsidRDefault="002D4663"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3A75C393" w14:textId="77777777" w:rsidR="002D4663" w:rsidRPr="00F9573F" w:rsidRDefault="002D4663" w:rsidP="00EC4213">
            <w:pPr>
              <w:pStyle w:val="TableText"/>
              <w:keepNext/>
              <w:jc w:val="right"/>
            </w:pPr>
            <w:r w:rsidRPr="00F9573F">
              <w:t>17,386</w:t>
            </w:r>
          </w:p>
        </w:tc>
        <w:tc>
          <w:tcPr>
            <w:tcW w:w="1817" w:type="dxa"/>
            <w:tcBorders>
              <w:top w:val="nil"/>
              <w:left w:val="nil"/>
              <w:bottom w:val="single" w:sz="8" w:space="0" w:color="FFFFFF"/>
              <w:right w:val="single" w:sz="8" w:space="0" w:color="FFFFFF"/>
            </w:tcBorders>
            <w:shd w:val="clear" w:color="000000" w:fill="CCE0ED"/>
            <w:vAlign w:val="center"/>
            <w:hideMark/>
          </w:tcPr>
          <w:p w14:paraId="52DCA68F" w14:textId="77777777" w:rsidR="002D4663" w:rsidRPr="00F9573F" w:rsidRDefault="002D4663" w:rsidP="00EC4213">
            <w:pPr>
              <w:pStyle w:val="TableText"/>
              <w:keepNext/>
              <w:jc w:val="right"/>
            </w:pPr>
            <w:r w:rsidRPr="00F9573F">
              <w:t>18,054</w:t>
            </w:r>
          </w:p>
        </w:tc>
        <w:tc>
          <w:tcPr>
            <w:tcW w:w="1818" w:type="dxa"/>
            <w:tcBorders>
              <w:top w:val="nil"/>
              <w:left w:val="nil"/>
              <w:bottom w:val="single" w:sz="8" w:space="0" w:color="FFFFFF"/>
              <w:right w:val="single" w:sz="8" w:space="0" w:color="FFFFFF"/>
            </w:tcBorders>
            <w:shd w:val="clear" w:color="000000" w:fill="CCE0ED"/>
            <w:vAlign w:val="center"/>
            <w:hideMark/>
          </w:tcPr>
          <w:p w14:paraId="75EE92B7" w14:textId="77777777" w:rsidR="002D4663" w:rsidRPr="00F9573F" w:rsidRDefault="002D4663" w:rsidP="00EC4213">
            <w:pPr>
              <w:pStyle w:val="TableText"/>
              <w:keepNext/>
              <w:jc w:val="right"/>
            </w:pPr>
            <w:r w:rsidRPr="00F9573F">
              <w:t>18,919</w:t>
            </w:r>
          </w:p>
        </w:tc>
      </w:tr>
      <w:tr w:rsidR="002D4663" w:rsidRPr="00F9573F" w14:paraId="16E5C7EE"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1D2D5509" w14:textId="77777777" w:rsidR="002D4663" w:rsidRPr="00F9573F" w:rsidRDefault="002D4663" w:rsidP="00EC4213">
            <w:pPr>
              <w:pStyle w:val="TableText"/>
              <w:keepN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6F24001A" w14:textId="77777777" w:rsidR="002D4663" w:rsidRPr="00F9573F" w:rsidRDefault="002D4663" w:rsidP="00EC4213">
            <w:pPr>
              <w:pStyle w:val="TableText"/>
              <w:keepNext/>
              <w:jc w:val="right"/>
            </w:pPr>
            <w:r w:rsidRPr="00F9573F">
              <w:t>SP</w:t>
            </w:r>
          </w:p>
        </w:tc>
        <w:tc>
          <w:tcPr>
            <w:tcW w:w="1818" w:type="dxa"/>
            <w:tcBorders>
              <w:top w:val="nil"/>
              <w:left w:val="nil"/>
              <w:bottom w:val="single" w:sz="8" w:space="0" w:color="FFFFFF"/>
              <w:right w:val="single" w:sz="8" w:space="0" w:color="FFFFFF"/>
            </w:tcBorders>
            <w:shd w:val="clear" w:color="000000" w:fill="CCEFFC"/>
            <w:vAlign w:val="center"/>
            <w:hideMark/>
          </w:tcPr>
          <w:p w14:paraId="5324CA5F" w14:textId="77777777" w:rsidR="002D4663" w:rsidRPr="00F9573F" w:rsidRDefault="002D4663" w:rsidP="00EC4213">
            <w:pPr>
              <w:pStyle w:val="TableText"/>
              <w:keepNext/>
              <w:jc w:val="right"/>
            </w:pPr>
            <w:r w:rsidRPr="00F9573F">
              <w:t>1,894</w:t>
            </w:r>
          </w:p>
        </w:tc>
        <w:tc>
          <w:tcPr>
            <w:tcW w:w="1817" w:type="dxa"/>
            <w:tcBorders>
              <w:top w:val="nil"/>
              <w:left w:val="nil"/>
              <w:bottom w:val="single" w:sz="8" w:space="0" w:color="FFFFFF"/>
              <w:right w:val="single" w:sz="8" w:space="0" w:color="FFFFFF"/>
            </w:tcBorders>
            <w:shd w:val="clear" w:color="000000" w:fill="CCEFFC"/>
            <w:vAlign w:val="center"/>
            <w:hideMark/>
          </w:tcPr>
          <w:p w14:paraId="45749220" w14:textId="77777777" w:rsidR="002D4663" w:rsidRPr="00F9573F" w:rsidRDefault="002D4663" w:rsidP="00EC4213">
            <w:pPr>
              <w:pStyle w:val="TableText"/>
              <w:keepNext/>
              <w:jc w:val="right"/>
            </w:pPr>
            <w:r w:rsidRPr="00F9573F">
              <w:t>4,260</w:t>
            </w:r>
          </w:p>
        </w:tc>
        <w:tc>
          <w:tcPr>
            <w:tcW w:w="1818" w:type="dxa"/>
            <w:tcBorders>
              <w:top w:val="nil"/>
              <w:left w:val="nil"/>
              <w:bottom w:val="single" w:sz="8" w:space="0" w:color="FFFFFF"/>
              <w:right w:val="single" w:sz="8" w:space="0" w:color="FFFFFF"/>
            </w:tcBorders>
            <w:shd w:val="clear" w:color="000000" w:fill="CCEFFC"/>
            <w:vAlign w:val="center"/>
            <w:hideMark/>
          </w:tcPr>
          <w:p w14:paraId="2416B9E2" w14:textId="77777777" w:rsidR="002D4663" w:rsidRPr="00F9573F" w:rsidRDefault="002D4663" w:rsidP="00EC4213">
            <w:pPr>
              <w:pStyle w:val="TableText"/>
              <w:keepNext/>
              <w:jc w:val="right"/>
            </w:pPr>
            <w:r w:rsidRPr="00F9573F">
              <w:t>7,221</w:t>
            </w:r>
          </w:p>
        </w:tc>
      </w:tr>
    </w:tbl>
    <w:p w14:paraId="41382D1C" w14:textId="77777777" w:rsidR="002D4663" w:rsidRPr="00F9573F" w:rsidRDefault="002D4663" w:rsidP="00EC4213">
      <w:pPr>
        <w:pStyle w:val="Tablenotes"/>
      </w:pPr>
      <w:r w:rsidRPr="00F9573F">
        <w:t>SP: starting point</w:t>
      </w:r>
    </w:p>
    <w:p w14:paraId="7BB84C67" w14:textId="77777777" w:rsidR="002D4663" w:rsidRPr="00976D1C" w:rsidRDefault="002D4663" w:rsidP="00EC4213">
      <w:pPr>
        <w:pStyle w:val="Caption"/>
      </w:pPr>
      <w:bookmarkStart w:id="130" w:name="_Toc409532349"/>
      <w:r w:rsidRPr="00976D1C">
        <w:t xml:space="preserve">Table </w:t>
      </w:r>
      <w:fldSimple w:instr=" SEQ Table \* ARABIC ">
        <w:r w:rsidRPr="00976D1C">
          <w:rPr>
            <w:noProof/>
          </w:rPr>
          <w:t>11</w:t>
        </w:r>
      </w:fldSimple>
      <w:r w:rsidRPr="00976D1C">
        <w:t>: Oral health workforce, high demand scenario, selected years, headcount</w:t>
      </w:r>
      <w:bookmarkEnd w:id="130"/>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2D4663" w:rsidRPr="00F9573F" w14:paraId="17772F3A"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4441F238" w14:textId="029B0049" w:rsidR="002D4663" w:rsidRPr="00F9573F" w:rsidRDefault="00F9573F" w:rsidP="00EC4213">
            <w:pPr>
              <w:pStyle w:val="TableHeader"/>
            </w:pPr>
            <w:r w:rsidRPr="00F9573F">
              <w:t>Category</w:t>
            </w:r>
            <w:bookmarkStart w:id="131" w:name="ColumnTitle_11"/>
            <w:bookmarkEnd w:id="131"/>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30F62AE2" w14:textId="77777777" w:rsidR="002D4663" w:rsidRPr="00F9573F" w:rsidRDefault="002D4663" w:rsidP="00EC4213">
            <w:pPr>
              <w:pStyle w:val="TableHeader"/>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6ED7E016" w14:textId="77777777" w:rsidR="002D4663" w:rsidRPr="00F9573F" w:rsidRDefault="002D4663" w:rsidP="00EC4213">
            <w:pPr>
              <w:pStyle w:val="TableHeader"/>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6ABCB0D6" w14:textId="77777777" w:rsidR="002D4663" w:rsidRPr="00F9573F" w:rsidRDefault="002D4663" w:rsidP="00EC4213">
            <w:pPr>
              <w:pStyle w:val="TableHeader"/>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63D903E4" w14:textId="77777777" w:rsidR="002D4663" w:rsidRPr="00F9573F" w:rsidRDefault="002D4663" w:rsidP="00EC4213">
            <w:pPr>
              <w:pStyle w:val="TableHeader"/>
            </w:pPr>
            <w:r w:rsidRPr="00F9573F">
              <w:t>2025</w:t>
            </w:r>
          </w:p>
        </w:tc>
      </w:tr>
      <w:tr w:rsidR="002D4663" w:rsidRPr="00F9573F" w14:paraId="5CEE9442"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525B7F0A" w14:textId="77777777" w:rsidR="002D4663" w:rsidRPr="00F9573F" w:rsidRDefault="002D4663" w:rsidP="00EC4213">
            <w:pPr>
              <w:pStyle w:val="TableT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1B257A9A" w14:textId="77777777" w:rsidR="002D4663" w:rsidRPr="00F9573F" w:rsidRDefault="002D4663" w:rsidP="00EC4213">
            <w:pPr>
              <w:pStyle w:val="TableT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07DD22DE" w14:textId="77777777" w:rsidR="002D4663" w:rsidRPr="00F9573F" w:rsidRDefault="002D4663" w:rsidP="00EC4213">
            <w:pPr>
              <w:pStyle w:val="TableText"/>
              <w:jc w:val="right"/>
            </w:pPr>
            <w:r w:rsidRPr="00F9573F">
              <w:t>19,280</w:t>
            </w:r>
          </w:p>
        </w:tc>
        <w:tc>
          <w:tcPr>
            <w:tcW w:w="1817" w:type="dxa"/>
            <w:tcBorders>
              <w:top w:val="nil"/>
              <w:left w:val="nil"/>
              <w:bottom w:val="single" w:sz="8" w:space="0" w:color="FFFFFF"/>
              <w:right w:val="single" w:sz="8" w:space="0" w:color="FFFFFF"/>
            </w:tcBorders>
            <w:shd w:val="clear" w:color="000000" w:fill="CCE0ED"/>
            <w:vAlign w:val="center"/>
            <w:hideMark/>
          </w:tcPr>
          <w:p w14:paraId="498F459C" w14:textId="77777777" w:rsidR="002D4663" w:rsidRPr="00F9573F" w:rsidRDefault="002D4663" w:rsidP="00EC4213">
            <w:pPr>
              <w:pStyle w:val="TableText"/>
              <w:jc w:val="right"/>
            </w:pPr>
            <w:r w:rsidRPr="00F9573F">
              <w:t>22,314</w:t>
            </w:r>
          </w:p>
        </w:tc>
        <w:tc>
          <w:tcPr>
            <w:tcW w:w="1818" w:type="dxa"/>
            <w:tcBorders>
              <w:top w:val="nil"/>
              <w:left w:val="nil"/>
              <w:bottom w:val="single" w:sz="8" w:space="0" w:color="FFFFFF"/>
              <w:right w:val="single" w:sz="8" w:space="0" w:color="FFFFFF"/>
            </w:tcBorders>
            <w:shd w:val="clear" w:color="000000" w:fill="CCE0ED"/>
            <w:vAlign w:val="center"/>
            <w:hideMark/>
          </w:tcPr>
          <w:p w14:paraId="186E5CE6" w14:textId="77777777" w:rsidR="002D4663" w:rsidRPr="00F9573F" w:rsidRDefault="002D4663" w:rsidP="00EC4213">
            <w:pPr>
              <w:pStyle w:val="TableText"/>
              <w:jc w:val="right"/>
            </w:pPr>
            <w:r w:rsidRPr="00F9573F">
              <w:t>26,140</w:t>
            </w:r>
          </w:p>
        </w:tc>
      </w:tr>
      <w:tr w:rsidR="002D4663" w:rsidRPr="00F9573F" w14:paraId="2704420E"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47BA845D" w14:textId="77777777" w:rsidR="002D4663" w:rsidRPr="00F9573F" w:rsidRDefault="002D4663" w:rsidP="00EC4213">
            <w:pPr>
              <w:pStyle w:val="TableT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5974BC33" w14:textId="77777777" w:rsidR="002D4663" w:rsidRPr="00F9573F" w:rsidRDefault="002D4663" w:rsidP="00EC4213">
            <w:pPr>
              <w:pStyle w:val="TableT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6E64D740" w14:textId="77777777" w:rsidR="002D4663" w:rsidRPr="00F9573F" w:rsidRDefault="002D4663" w:rsidP="00EC4213">
            <w:pPr>
              <w:pStyle w:val="TableText"/>
              <w:jc w:val="right"/>
            </w:pPr>
            <w:r w:rsidRPr="00F9573F">
              <w:t>1,148</w:t>
            </w:r>
          </w:p>
        </w:tc>
        <w:tc>
          <w:tcPr>
            <w:tcW w:w="1817" w:type="dxa"/>
            <w:tcBorders>
              <w:top w:val="nil"/>
              <w:left w:val="nil"/>
              <w:bottom w:val="single" w:sz="8" w:space="0" w:color="FFFFFF"/>
              <w:right w:val="single" w:sz="8" w:space="0" w:color="FFFFFF"/>
            </w:tcBorders>
            <w:shd w:val="clear" w:color="000000" w:fill="CCEFFC"/>
            <w:vAlign w:val="center"/>
            <w:hideMark/>
          </w:tcPr>
          <w:p w14:paraId="2DA2B394" w14:textId="77777777" w:rsidR="002D4663" w:rsidRPr="00F9573F" w:rsidRDefault="002D4663" w:rsidP="00EC4213">
            <w:pPr>
              <w:pStyle w:val="TableText"/>
              <w:jc w:val="right"/>
            </w:pPr>
            <w:r w:rsidRPr="00F9573F">
              <w:t>1,241</w:t>
            </w:r>
          </w:p>
        </w:tc>
        <w:tc>
          <w:tcPr>
            <w:tcW w:w="1818" w:type="dxa"/>
            <w:tcBorders>
              <w:top w:val="nil"/>
              <w:left w:val="nil"/>
              <w:bottom w:val="single" w:sz="8" w:space="0" w:color="FFFFFF"/>
              <w:right w:val="single" w:sz="8" w:space="0" w:color="FFFFFF"/>
            </w:tcBorders>
            <w:shd w:val="clear" w:color="000000" w:fill="CCEFFC"/>
            <w:vAlign w:val="center"/>
            <w:hideMark/>
          </w:tcPr>
          <w:p w14:paraId="55CFFC05" w14:textId="77777777" w:rsidR="002D4663" w:rsidRPr="00F9573F" w:rsidRDefault="002D4663" w:rsidP="00EC4213">
            <w:pPr>
              <w:pStyle w:val="TableText"/>
              <w:jc w:val="right"/>
            </w:pPr>
            <w:r w:rsidRPr="00F9573F">
              <w:t>1,241</w:t>
            </w:r>
          </w:p>
        </w:tc>
      </w:tr>
      <w:tr w:rsidR="002D4663" w:rsidRPr="00F9573F" w14:paraId="01D3B032"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6966DEB0" w14:textId="77777777" w:rsidR="002D4663" w:rsidRPr="00F9573F" w:rsidRDefault="002D4663" w:rsidP="00EC4213">
            <w:pPr>
              <w:pStyle w:val="TableT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2A79EA58" w14:textId="77777777" w:rsidR="002D4663" w:rsidRPr="00F9573F" w:rsidRDefault="002D4663" w:rsidP="00EC4213">
            <w:pPr>
              <w:pStyle w:val="TableT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221FF4BB" w14:textId="77777777" w:rsidR="002D4663" w:rsidRPr="00F9573F" w:rsidRDefault="002D4663" w:rsidP="00EC4213">
            <w:pPr>
              <w:pStyle w:val="TableText"/>
              <w:jc w:val="right"/>
            </w:pPr>
            <w:r w:rsidRPr="00F9573F">
              <w:t>89</w:t>
            </w:r>
          </w:p>
        </w:tc>
        <w:tc>
          <w:tcPr>
            <w:tcW w:w="1817" w:type="dxa"/>
            <w:tcBorders>
              <w:top w:val="nil"/>
              <w:left w:val="nil"/>
              <w:bottom w:val="single" w:sz="8" w:space="0" w:color="FFFFFF"/>
              <w:right w:val="single" w:sz="8" w:space="0" w:color="FFFFFF"/>
            </w:tcBorders>
            <w:shd w:val="clear" w:color="000000" w:fill="CCE0ED"/>
            <w:vAlign w:val="center"/>
            <w:hideMark/>
          </w:tcPr>
          <w:p w14:paraId="3EFC7DB4" w14:textId="77777777" w:rsidR="002D4663" w:rsidRPr="00F9573F" w:rsidRDefault="002D4663" w:rsidP="00EC4213">
            <w:pPr>
              <w:pStyle w:val="TableText"/>
              <w:jc w:val="right"/>
            </w:pPr>
            <w:r w:rsidRPr="00F9573F">
              <w:t>102</w:t>
            </w:r>
          </w:p>
        </w:tc>
        <w:tc>
          <w:tcPr>
            <w:tcW w:w="1818" w:type="dxa"/>
            <w:tcBorders>
              <w:top w:val="nil"/>
              <w:left w:val="nil"/>
              <w:bottom w:val="single" w:sz="8" w:space="0" w:color="FFFFFF"/>
              <w:right w:val="single" w:sz="8" w:space="0" w:color="FFFFFF"/>
            </w:tcBorders>
            <w:shd w:val="clear" w:color="000000" w:fill="CCE0ED"/>
            <w:vAlign w:val="center"/>
            <w:hideMark/>
          </w:tcPr>
          <w:p w14:paraId="776F3F13" w14:textId="77777777" w:rsidR="002D4663" w:rsidRPr="00F9573F" w:rsidRDefault="002D4663" w:rsidP="00EC4213">
            <w:pPr>
              <w:pStyle w:val="TableText"/>
              <w:jc w:val="right"/>
            </w:pPr>
            <w:r w:rsidRPr="00F9573F">
              <w:t>102</w:t>
            </w:r>
          </w:p>
        </w:tc>
      </w:tr>
      <w:tr w:rsidR="002D4663" w:rsidRPr="00F9573F" w14:paraId="22FE2C93"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311B1E0B" w14:textId="77777777" w:rsidR="002D4663" w:rsidRPr="00F9573F" w:rsidRDefault="002D4663" w:rsidP="00EC4213">
            <w:pPr>
              <w:pStyle w:val="TableT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785C6875" w14:textId="77777777" w:rsidR="002D4663" w:rsidRPr="00F9573F" w:rsidRDefault="002D4663" w:rsidP="00EC4213">
            <w:pPr>
              <w:pStyle w:val="TableT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0C2046E5" w14:textId="77777777" w:rsidR="002D4663" w:rsidRPr="00F9573F" w:rsidRDefault="002D4663" w:rsidP="00EC4213">
            <w:pPr>
              <w:pStyle w:val="TableText"/>
              <w:jc w:val="right"/>
            </w:pPr>
            <w:r w:rsidRPr="00F9573F">
              <w:t>137</w:t>
            </w:r>
          </w:p>
        </w:tc>
        <w:tc>
          <w:tcPr>
            <w:tcW w:w="1817" w:type="dxa"/>
            <w:tcBorders>
              <w:top w:val="nil"/>
              <w:left w:val="nil"/>
              <w:bottom w:val="single" w:sz="8" w:space="0" w:color="FFFFFF"/>
              <w:right w:val="single" w:sz="8" w:space="0" w:color="FFFFFF"/>
            </w:tcBorders>
            <w:shd w:val="clear" w:color="000000" w:fill="CCEFFC"/>
            <w:vAlign w:val="center"/>
            <w:hideMark/>
          </w:tcPr>
          <w:p w14:paraId="4D4C725E" w14:textId="77777777" w:rsidR="002D4663" w:rsidRPr="00F9573F" w:rsidRDefault="002D4663" w:rsidP="00EC4213">
            <w:pPr>
              <w:pStyle w:val="TableT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08CC5C50" w14:textId="77777777" w:rsidR="002D4663" w:rsidRPr="00F9573F" w:rsidRDefault="002D4663" w:rsidP="00EC4213">
            <w:pPr>
              <w:pStyle w:val="TableText"/>
              <w:jc w:val="right"/>
            </w:pPr>
            <w:r w:rsidRPr="00F9573F">
              <w:t>137</w:t>
            </w:r>
          </w:p>
        </w:tc>
      </w:tr>
      <w:tr w:rsidR="002D4663" w:rsidRPr="00F9573F" w14:paraId="3CDE92C7"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0C00D022" w14:textId="77777777" w:rsidR="002D4663" w:rsidRPr="00F9573F" w:rsidRDefault="002D4663" w:rsidP="00EC4213">
            <w:pPr>
              <w:pStyle w:val="TableT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163D5BD5" w14:textId="77777777" w:rsidR="002D4663" w:rsidRPr="00F9573F" w:rsidRDefault="002D4663" w:rsidP="00EC4213">
            <w:pPr>
              <w:pStyle w:val="TableT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4AF8A5B0" w14:textId="77777777" w:rsidR="002D4663" w:rsidRPr="00F9573F" w:rsidRDefault="002D4663" w:rsidP="00EC4213">
            <w:pPr>
              <w:pStyle w:val="TableText"/>
              <w:jc w:val="right"/>
            </w:pPr>
            <w:r w:rsidRPr="00F9573F">
              <w:t>179</w:t>
            </w:r>
          </w:p>
        </w:tc>
        <w:tc>
          <w:tcPr>
            <w:tcW w:w="1817" w:type="dxa"/>
            <w:tcBorders>
              <w:top w:val="nil"/>
              <w:left w:val="nil"/>
              <w:bottom w:val="single" w:sz="8" w:space="0" w:color="FFFFFF"/>
              <w:right w:val="single" w:sz="8" w:space="0" w:color="FFFFFF"/>
            </w:tcBorders>
            <w:shd w:val="clear" w:color="000000" w:fill="CCE0ED"/>
            <w:vAlign w:val="center"/>
            <w:hideMark/>
          </w:tcPr>
          <w:p w14:paraId="3FF92A54" w14:textId="77777777" w:rsidR="002D4663" w:rsidRPr="00F9573F" w:rsidRDefault="002D4663" w:rsidP="00EC4213">
            <w:pPr>
              <w:pStyle w:val="TableT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54D9A6BD" w14:textId="77777777" w:rsidR="002D4663" w:rsidRPr="00F9573F" w:rsidRDefault="002D4663" w:rsidP="00EC4213">
            <w:pPr>
              <w:pStyle w:val="TableText"/>
              <w:jc w:val="right"/>
            </w:pPr>
            <w:r w:rsidRPr="00F9573F">
              <w:t>179</w:t>
            </w:r>
          </w:p>
        </w:tc>
      </w:tr>
      <w:tr w:rsidR="002D4663" w:rsidRPr="00F9573F" w14:paraId="4BDB10A9"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41B1A845" w14:textId="77777777" w:rsidR="002D4663" w:rsidRPr="00F9573F" w:rsidRDefault="002D4663" w:rsidP="00EC4213">
            <w:pPr>
              <w:pStyle w:val="TableT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57913FF3" w14:textId="77777777" w:rsidR="002D4663" w:rsidRPr="00F9573F" w:rsidRDefault="002D4663" w:rsidP="00EC4213">
            <w:pPr>
              <w:pStyle w:val="TableText"/>
              <w:jc w:val="right"/>
            </w:pPr>
            <w:r w:rsidRPr="00F9573F">
              <w:t>5.45%</w:t>
            </w:r>
          </w:p>
        </w:tc>
        <w:tc>
          <w:tcPr>
            <w:tcW w:w="1818" w:type="dxa"/>
            <w:tcBorders>
              <w:top w:val="nil"/>
              <w:left w:val="nil"/>
              <w:bottom w:val="single" w:sz="8" w:space="0" w:color="FFFFFF"/>
              <w:right w:val="single" w:sz="8" w:space="0" w:color="FFFFFF"/>
            </w:tcBorders>
            <w:shd w:val="clear" w:color="000000" w:fill="CCEFFC"/>
            <w:vAlign w:val="center"/>
            <w:hideMark/>
          </w:tcPr>
          <w:p w14:paraId="7A4F21CB" w14:textId="77777777" w:rsidR="002D4663" w:rsidRPr="00F9573F" w:rsidRDefault="002D4663" w:rsidP="00EC4213">
            <w:pPr>
              <w:pStyle w:val="TableText"/>
              <w:jc w:val="right"/>
            </w:pPr>
            <w:r w:rsidRPr="00F9573F">
              <w:t>3.65%</w:t>
            </w:r>
          </w:p>
        </w:tc>
        <w:tc>
          <w:tcPr>
            <w:tcW w:w="1817" w:type="dxa"/>
            <w:tcBorders>
              <w:top w:val="nil"/>
              <w:left w:val="nil"/>
              <w:bottom w:val="single" w:sz="8" w:space="0" w:color="FFFFFF"/>
              <w:right w:val="single" w:sz="8" w:space="0" w:color="FFFFFF"/>
            </w:tcBorders>
            <w:shd w:val="clear" w:color="000000" w:fill="CCEFFC"/>
            <w:vAlign w:val="center"/>
            <w:hideMark/>
          </w:tcPr>
          <w:p w14:paraId="48D064C1" w14:textId="77777777" w:rsidR="002D4663" w:rsidRPr="00F9573F" w:rsidRDefault="002D4663" w:rsidP="00EC4213">
            <w:pPr>
              <w:pStyle w:val="TableText"/>
              <w:jc w:val="right"/>
            </w:pPr>
            <w:r w:rsidRPr="00F9573F">
              <w:t>3.12%</w:t>
            </w:r>
          </w:p>
        </w:tc>
        <w:tc>
          <w:tcPr>
            <w:tcW w:w="1818" w:type="dxa"/>
            <w:tcBorders>
              <w:top w:val="nil"/>
              <w:left w:val="nil"/>
              <w:bottom w:val="single" w:sz="8" w:space="0" w:color="FFFFFF"/>
              <w:right w:val="single" w:sz="8" w:space="0" w:color="FFFFFF"/>
            </w:tcBorders>
            <w:shd w:val="clear" w:color="000000" w:fill="CCEFFC"/>
            <w:vAlign w:val="center"/>
            <w:hideMark/>
          </w:tcPr>
          <w:p w14:paraId="7DB60B43" w14:textId="77777777" w:rsidR="002D4663" w:rsidRPr="00F9573F" w:rsidRDefault="002D4663" w:rsidP="00EC4213">
            <w:pPr>
              <w:pStyle w:val="TableText"/>
              <w:jc w:val="right"/>
            </w:pPr>
            <w:r w:rsidRPr="00F9573F">
              <w:t>2.91%</w:t>
            </w:r>
          </w:p>
        </w:tc>
      </w:tr>
      <w:tr w:rsidR="002D4663" w:rsidRPr="00F9573F" w14:paraId="02AEBB4F"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2E1AFF09" w14:textId="77777777" w:rsidR="002D4663" w:rsidRPr="00F9573F" w:rsidRDefault="002D4663" w:rsidP="00EC4213">
            <w:pPr>
              <w:pStyle w:val="TableT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5CB6B55D" w14:textId="77777777" w:rsidR="002D4663" w:rsidRPr="00F9573F" w:rsidRDefault="002D4663" w:rsidP="00EC4213">
            <w:pPr>
              <w:pStyle w:val="TableT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68589A5B" w14:textId="77777777" w:rsidR="002D4663" w:rsidRPr="00F9573F" w:rsidRDefault="002D4663" w:rsidP="00EC4213">
            <w:pPr>
              <w:pStyle w:val="TableText"/>
              <w:jc w:val="right"/>
            </w:pPr>
            <w:r w:rsidRPr="00F9573F">
              <w:t>19,077</w:t>
            </w:r>
          </w:p>
        </w:tc>
        <w:tc>
          <w:tcPr>
            <w:tcW w:w="1817" w:type="dxa"/>
            <w:tcBorders>
              <w:top w:val="nil"/>
              <w:left w:val="nil"/>
              <w:bottom w:val="single" w:sz="8" w:space="0" w:color="FFFFFF"/>
              <w:right w:val="single" w:sz="8" w:space="0" w:color="FFFFFF"/>
            </w:tcBorders>
            <w:shd w:val="clear" w:color="000000" w:fill="CCE0ED"/>
            <w:vAlign w:val="center"/>
            <w:hideMark/>
          </w:tcPr>
          <w:p w14:paraId="2A2692A4" w14:textId="77777777" w:rsidR="002D4663" w:rsidRPr="00F9573F" w:rsidRDefault="002D4663" w:rsidP="00EC4213">
            <w:pPr>
              <w:pStyle w:val="TableText"/>
              <w:jc w:val="right"/>
            </w:pPr>
            <w:r w:rsidRPr="00F9573F">
              <w:t>21,442</w:t>
            </w:r>
          </w:p>
        </w:tc>
        <w:tc>
          <w:tcPr>
            <w:tcW w:w="1818" w:type="dxa"/>
            <w:tcBorders>
              <w:top w:val="nil"/>
              <w:left w:val="nil"/>
              <w:bottom w:val="single" w:sz="8" w:space="0" w:color="FFFFFF"/>
              <w:right w:val="single" w:sz="8" w:space="0" w:color="FFFFFF"/>
            </w:tcBorders>
            <w:shd w:val="clear" w:color="000000" w:fill="CCE0ED"/>
            <w:vAlign w:val="center"/>
            <w:hideMark/>
          </w:tcPr>
          <w:p w14:paraId="24D4618A" w14:textId="77777777" w:rsidR="002D4663" w:rsidRPr="00F9573F" w:rsidRDefault="002D4663" w:rsidP="00EC4213">
            <w:pPr>
              <w:pStyle w:val="TableText"/>
              <w:jc w:val="right"/>
            </w:pPr>
            <w:r w:rsidRPr="00F9573F">
              <w:t>24,443</w:t>
            </w:r>
          </w:p>
        </w:tc>
      </w:tr>
      <w:tr w:rsidR="002D4663" w:rsidRPr="00F9573F" w14:paraId="2596FD27"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045486D1" w14:textId="77777777" w:rsidR="002D4663" w:rsidRPr="00F9573F" w:rsidRDefault="002D4663" w:rsidP="00EC4213">
            <w:pPr>
              <w:pStyle w:val="TableT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39C4AD7C" w14:textId="77777777" w:rsidR="002D4663" w:rsidRPr="00F9573F" w:rsidRDefault="002D4663" w:rsidP="00EC4213">
            <w:pPr>
              <w:pStyle w:val="TableText"/>
              <w:jc w:val="right"/>
            </w:pPr>
            <w:r w:rsidRPr="00F9573F">
              <w:t>SP</w:t>
            </w:r>
          </w:p>
        </w:tc>
        <w:tc>
          <w:tcPr>
            <w:tcW w:w="1818" w:type="dxa"/>
            <w:tcBorders>
              <w:top w:val="nil"/>
              <w:left w:val="nil"/>
              <w:bottom w:val="single" w:sz="8" w:space="0" w:color="FFFFFF"/>
              <w:right w:val="single" w:sz="8" w:space="0" w:color="FFFFFF"/>
            </w:tcBorders>
            <w:shd w:val="clear" w:color="000000" w:fill="CCEFFC"/>
            <w:vAlign w:val="center"/>
            <w:hideMark/>
          </w:tcPr>
          <w:p w14:paraId="4940494D" w14:textId="77777777" w:rsidR="002D4663" w:rsidRPr="00F9573F" w:rsidRDefault="002D4663" w:rsidP="00EC4213">
            <w:pPr>
              <w:pStyle w:val="TableText"/>
              <w:jc w:val="right"/>
            </w:pPr>
            <w:r w:rsidRPr="00F9573F">
              <w:t>203</w:t>
            </w:r>
          </w:p>
        </w:tc>
        <w:tc>
          <w:tcPr>
            <w:tcW w:w="1817" w:type="dxa"/>
            <w:tcBorders>
              <w:top w:val="nil"/>
              <w:left w:val="nil"/>
              <w:bottom w:val="single" w:sz="8" w:space="0" w:color="FFFFFF"/>
              <w:right w:val="single" w:sz="8" w:space="0" w:color="FFFFFF"/>
            </w:tcBorders>
            <w:shd w:val="clear" w:color="000000" w:fill="CCEFFC"/>
            <w:vAlign w:val="center"/>
            <w:hideMark/>
          </w:tcPr>
          <w:p w14:paraId="4248E2AB" w14:textId="77777777" w:rsidR="002D4663" w:rsidRPr="00F9573F" w:rsidRDefault="002D4663" w:rsidP="00EC4213">
            <w:pPr>
              <w:pStyle w:val="TableText"/>
              <w:jc w:val="right"/>
            </w:pPr>
            <w:r w:rsidRPr="00F9573F">
              <w:t>872</w:t>
            </w:r>
          </w:p>
        </w:tc>
        <w:tc>
          <w:tcPr>
            <w:tcW w:w="1818" w:type="dxa"/>
            <w:tcBorders>
              <w:top w:val="nil"/>
              <w:left w:val="nil"/>
              <w:bottom w:val="single" w:sz="8" w:space="0" w:color="FFFFFF"/>
              <w:right w:val="single" w:sz="8" w:space="0" w:color="FFFFFF"/>
            </w:tcBorders>
            <w:shd w:val="clear" w:color="000000" w:fill="CCEFFC"/>
            <w:vAlign w:val="center"/>
            <w:hideMark/>
          </w:tcPr>
          <w:p w14:paraId="012C8FD8" w14:textId="77777777" w:rsidR="002D4663" w:rsidRPr="00F9573F" w:rsidRDefault="002D4663" w:rsidP="00EC4213">
            <w:pPr>
              <w:pStyle w:val="TableText"/>
              <w:jc w:val="right"/>
            </w:pPr>
            <w:r w:rsidRPr="00F9573F">
              <w:t>1,697</w:t>
            </w:r>
          </w:p>
        </w:tc>
      </w:tr>
    </w:tbl>
    <w:p w14:paraId="7B6251F0" w14:textId="77777777" w:rsidR="002D4663" w:rsidRPr="00F9573F" w:rsidRDefault="002D4663" w:rsidP="00EC4213">
      <w:pPr>
        <w:pStyle w:val="Tablenotes"/>
      </w:pPr>
      <w:r w:rsidRPr="00F9573F">
        <w:t>SP: starting point</w:t>
      </w:r>
    </w:p>
    <w:p w14:paraId="685807B9" w14:textId="77777777" w:rsidR="002D4663" w:rsidRPr="00976D1C" w:rsidRDefault="002D4663" w:rsidP="00EC4213">
      <w:pPr>
        <w:pStyle w:val="Caption"/>
      </w:pPr>
      <w:bookmarkStart w:id="132" w:name="_Toc409532350"/>
      <w:r w:rsidRPr="00976D1C">
        <w:lastRenderedPageBreak/>
        <w:t xml:space="preserve">Table </w:t>
      </w:r>
      <w:fldSimple w:instr=" SEQ Table \* ARABIC ">
        <w:r w:rsidRPr="00976D1C">
          <w:rPr>
            <w:noProof/>
          </w:rPr>
          <w:t>12</w:t>
        </w:r>
      </w:fldSimple>
      <w:r w:rsidRPr="00976D1C">
        <w:t>: Oral health workforce, undersupply scenario, selected years, headcount</w:t>
      </w:r>
      <w:bookmarkEnd w:id="132"/>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2D4663" w:rsidRPr="00F9573F" w14:paraId="1E69C27D"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444AB1E3" w14:textId="6E3E4FDD" w:rsidR="002D4663" w:rsidRPr="00F9573F" w:rsidRDefault="00F9573F" w:rsidP="00EC4213">
            <w:pPr>
              <w:pStyle w:val="TableHeader"/>
              <w:keepNext/>
            </w:pPr>
            <w:r w:rsidRPr="00F9573F">
              <w:t>Category</w:t>
            </w:r>
            <w:bookmarkStart w:id="133" w:name="ColumnTitle_12"/>
            <w:bookmarkEnd w:id="133"/>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00971AD3" w14:textId="77777777" w:rsidR="002D4663" w:rsidRPr="00F9573F" w:rsidRDefault="002D4663" w:rsidP="00EC4213">
            <w:pPr>
              <w:pStyle w:val="TableHeader"/>
              <w:keepNext/>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3FECBD76" w14:textId="77777777" w:rsidR="002D4663" w:rsidRPr="00F9573F" w:rsidRDefault="002D4663" w:rsidP="00EC4213">
            <w:pPr>
              <w:pStyle w:val="TableHeader"/>
              <w:keepNext/>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782D232B" w14:textId="77777777" w:rsidR="002D4663" w:rsidRPr="00F9573F" w:rsidRDefault="002D4663" w:rsidP="00EC4213">
            <w:pPr>
              <w:pStyle w:val="TableHeader"/>
              <w:keepNext/>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76AB22FA" w14:textId="77777777" w:rsidR="002D4663" w:rsidRPr="00F9573F" w:rsidRDefault="002D4663" w:rsidP="00EC4213">
            <w:pPr>
              <w:pStyle w:val="TableHeader"/>
              <w:keepNext/>
            </w:pPr>
            <w:r w:rsidRPr="00F9573F">
              <w:t>2025</w:t>
            </w:r>
          </w:p>
        </w:tc>
      </w:tr>
      <w:tr w:rsidR="002D4663" w:rsidRPr="00F9573F" w14:paraId="00C7F6C7"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5A56FE04" w14:textId="77777777" w:rsidR="002D4663" w:rsidRPr="00F9573F" w:rsidRDefault="002D4663" w:rsidP="00EC4213">
            <w:pPr>
              <w:pStyle w:val="TableText"/>
              <w:keepN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565BB9AA" w14:textId="77777777" w:rsidR="002D4663" w:rsidRPr="00F9573F" w:rsidRDefault="002D4663"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17EEA346" w14:textId="77777777" w:rsidR="002D4663" w:rsidRPr="00F9573F" w:rsidRDefault="002D4663" w:rsidP="00EC4213">
            <w:pPr>
              <w:pStyle w:val="TableText"/>
              <w:keepNext/>
              <w:jc w:val="right"/>
            </w:pPr>
            <w:r w:rsidRPr="00F9573F">
              <w:t>19,280</w:t>
            </w:r>
          </w:p>
        </w:tc>
        <w:tc>
          <w:tcPr>
            <w:tcW w:w="1817" w:type="dxa"/>
            <w:tcBorders>
              <w:top w:val="nil"/>
              <w:left w:val="nil"/>
              <w:bottom w:val="single" w:sz="8" w:space="0" w:color="FFFFFF"/>
              <w:right w:val="single" w:sz="8" w:space="0" w:color="FFFFFF"/>
            </w:tcBorders>
            <w:shd w:val="clear" w:color="000000" w:fill="CCE0ED"/>
            <w:vAlign w:val="center"/>
            <w:hideMark/>
          </w:tcPr>
          <w:p w14:paraId="38FA7937" w14:textId="77777777" w:rsidR="002D4663" w:rsidRPr="00F9573F" w:rsidRDefault="002D4663" w:rsidP="00EC4213">
            <w:pPr>
              <w:pStyle w:val="TableText"/>
              <w:keepNext/>
              <w:jc w:val="right"/>
            </w:pPr>
            <w:r w:rsidRPr="00F9573F">
              <w:t>22,314</w:t>
            </w:r>
          </w:p>
        </w:tc>
        <w:tc>
          <w:tcPr>
            <w:tcW w:w="1818" w:type="dxa"/>
            <w:tcBorders>
              <w:top w:val="nil"/>
              <w:left w:val="nil"/>
              <w:bottom w:val="single" w:sz="8" w:space="0" w:color="FFFFFF"/>
              <w:right w:val="single" w:sz="8" w:space="0" w:color="FFFFFF"/>
            </w:tcBorders>
            <w:shd w:val="clear" w:color="000000" w:fill="CCE0ED"/>
            <w:vAlign w:val="center"/>
            <w:hideMark/>
          </w:tcPr>
          <w:p w14:paraId="7C090313" w14:textId="77777777" w:rsidR="002D4663" w:rsidRPr="00F9573F" w:rsidRDefault="002D4663" w:rsidP="00EC4213">
            <w:pPr>
              <w:pStyle w:val="TableText"/>
              <w:keepNext/>
              <w:jc w:val="right"/>
            </w:pPr>
            <w:r w:rsidRPr="00F9573F">
              <w:t>26,140</w:t>
            </w:r>
          </w:p>
        </w:tc>
      </w:tr>
      <w:tr w:rsidR="002D4663" w:rsidRPr="00F9573F" w14:paraId="78EDDFD1"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1252E1F9" w14:textId="77777777" w:rsidR="002D4663" w:rsidRPr="00F9573F" w:rsidRDefault="002D4663" w:rsidP="00EC4213">
            <w:pPr>
              <w:pStyle w:val="TableText"/>
              <w:keepN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10B3D159" w14:textId="77777777" w:rsidR="002D4663" w:rsidRPr="00F9573F" w:rsidRDefault="002D4663" w:rsidP="00EC4213">
            <w:pPr>
              <w:pStyle w:val="TableText"/>
              <w:keepN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5D72F1AC" w14:textId="77777777" w:rsidR="002D4663" w:rsidRPr="00F9573F" w:rsidRDefault="002D4663" w:rsidP="00EC4213">
            <w:pPr>
              <w:pStyle w:val="TableText"/>
              <w:keepNext/>
              <w:jc w:val="right"/>
            </w:pPr>
            <w:r w:rsidRPr="00F9573F">
              <w:t>1,148</w:t>
            </w:r>
          </w:p>
        </w:tc>
        <w:tc>
          <w:tcPr>
            <w:tcW w:w="1817" w:type="dxa"/>
            <w:tcBorders>
              <w:top w:val="nil"/>
              <w:left w:val="nil"/>
              <w:bottom w:val="single" w:sz="8" w:space="0" w:color="FFFFFF"/>
              <w:right w:val="single" w:sz="8" w:space="0" w:color="FFFFFF"/>
            </w:tcBorders>
            <w:shd w:val="clear" w:color="000000" w:fill="CCEFFC"/>
            <w:vAlign w:val="center"/>
            <w:hideMark/>
          </w:tcPr>
          <w:p w14:paraId="1DAE4DBB" w14:textId="77777777" w:rsidR="002D4663" w:rsidRPr="00F9573F" w:rsidRDefault="002D4663" w:rsidP="00EC4213">
            <w:pPr>
              <w:pStyle w:val="TableText"/>
              <w:keepNext/>
              <w:jc w:val="right"/>
            </w:pPr>
            <w:r w:rsidRPr="00F9573F">
              <w:t>1,241</w:t>
            </w:r>
          </w:p>
        </w:tc>
        <w:tc>
          <w:tcPr>
            <w:tcW w:w="1818" w:type="dxa"/>
            <w:tcBorders>
              <w:top w:val="nil"/>
              <w:left w:val="nil"/>
              <w:bottom w:val="single" w:sz="8" w:space="0" w:color="FFFFFF"/>
              <w:right w:val="single" w:sz="8" w:space="0" w:color="FFFFFF"/>
            </w:tcBorders>
            <w:shd w:val="clear" w:color="000000" w:fill="CCEFFC"/>
            <w:vAlign w:val="center"/>
            <w:hideMark/>
          </w:tcPr>
          <w:p w14:paraId="42E8D2DA" w14:textId="77777777" w:rsidR="002D4663" w:rsidRPr="00F9573F" w:rsidRDefault="002D4663" w:rsidP="00EC4213">
            <w:pPr>
              <w:pStyle w:val="TableText"/>
              <w:keepNext/>
              <w:jc w:val="right"/>
            </w:pPr>
            <w:r w:rsidRPr="00F9573F">
              <w:t>1,241</w:t>
            </w:r>
          </w:p>
        </w:tc>
      </w:tr>
      <w:tr w:rsidR="002D4663" w:rsidRPr="00F9573F" w14:paraId="0AEA1531"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58B040F9" w14:textId="77777777" w:rsidR="002D4663" w:rsidRPr="00F9573F" w:rsidRDefault="002D4663" w:rsidP="00EC4213">
            <w:pPr>
              <w:pStyle w:val="TableText"/>
              <w:keepN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7CB96798" w14:textId="77777777" w:rsidR="002D4663" w:rsidRPr="00F9573F" w:rsidRDefault="002D4663" w:rsidP="00EC4213">
            <w:pPr>
              <w:pStyle w:val="TableText"/>
              <w:keepN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6FC83BEF" w14:textId="77777777" w:rsidR="002D4663" w:rsidRPr="00F9573F" w:rsidRDefault="002D4663" w:rsidP="00EC4213">
            <w:pPr>
              <w:pStyle w:val="TableText"/>
              <w:keepNext/>
              <w:jc w:val="right"/>
            </w:pPr>
            <w:r w:rsidRPr="00F9573F">
              <w:t>89</w:t>
            </w:r>
          </w:p>
        </w:tc>
        <w:tc>
          <w:tcPr>
            <w:tcW w:w="1817" w:type="dxa"/>
            <w:tcBorders>
              <w:top w:val="nil"/>
              <w:left w:val="nil"/>
              <w:bottom w:val="single" w:sz="8" w:space="0" w:color="FFFFFF"/>
              <w:right w:val="single" w:sz="8" w:space="0" w:color="FFFFFF"/>
            </w:tcBorders>
            <w:shd w:val="clear" w:color="000000" w:fill="CCE0ED"/>
            <w:vAlign w:val="center"/>
            <w:hideMark/>
          </w:tcPr>
          <w:p w14:paraId="6FB03AA1" w14:textId="77777777" w:rsidR="002D4663" w:rsidRPr="00F9573F" w:rsidRDefault="002D4663" w:rsidP="00EC4213">
            <w:pPr>
              <w:pStyle w:val="TableText"/>
              <w:keepNext/>
              <w:jc w:val="right"/>
            </w:pPr>
            <w:r w:rsidRPr="00F9573F">
              <w:t>102</w:t>
            </w:r>
          </w:p>
        </w:tc>
        <w:tc>
          <w:tcPr>
            <w:tcW w:w="1818" w:type="dxa"/>
            <w:tcBorders>
              <w:top w:val="nil"/>
              <w:left w:val="nil"/>
              <w:bottom w:val="single" w:sz="8" w:space="0" w:color="FFFFFF"/>
              <w:right w:val="single" w:sz="8" w:space="0" w:color="FFFFFF"/>
            </w:tcBorders>
            <w:shd w:val="clear" w:color="000000" w:fill="CCE0ED"/>
            <w:vAlign w:val="center"/>
            <w:hideMark/>
          </w:tcPr>
          <w:p w14:paraId="56C6279A" w14:textId="77777777" w:rsidR="002D4663" w:rsidRPr="00F9573F" w:rsidRDefault="002D4663" w:rsidP="00EC4213">
            <w:pPr>
              <w:pStyle w:val="TableText"/>
              <w:keepNext/>
              <w:jc w:val="right"/>
            </w:pPr>
            <w:r w:rsidRPr="00F9573F">
              <w:t>102</w:t>
            </w:r>
          </w:p>
        </w:tc>
      </w:tr>
      <w:tr w:rsidR="002D4663" w:rsidRPr="00F9573F" w14:paraId="695BBC75"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513BAEE6" w14:textId="77777777" w:rsidR="002D4663" w:rsidRPr="00F9573F" w:rsidRDefault="002D4663" w:rsidP="00EC4213">
            <w:pPr>
              <w:pStyle w:val="TableText"/>
              <w:keepN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79B18CEF" w14:textId="77777777" w:rsidR="002D4663" w:rsidRPr="00F9573F" w:rsidRDefault="002D4663"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2B78B5CB" w14:textId="77777777" w:rsidR="002D4663" w:rsidRPr="00F9573F" w:rsidRDefault="002D4663" w:rsidP="00EC4213">
            <w:pPr>
              <w:pStyle w:val="TableText"/>
              <w:keepNext/>
              <w:jc w:val="right"/>
            </w:pPr>
            <w:r w:rsidRPr="00F9573F">
              <w:t>137</w:t>
            </w:r>
          </w:p>
        </w:tc>
        <w:tc>
          <w:tcPr>
            <w:tcW w:w="1817" w:type="dxa"/>
            <w:tcBorders>
              <w:top w:val="nil"/>
              <w:left w:val="nil"/>
              <w:bottom w:val="single" w:sz="8" w:space="0" w:color="FFFFFF"/>
              <w:right w:val="single" w:sz="8" w:space="0" w:color="FFFFFF"/>
            </w:tcBorders>
            <w:shd w:val="clear" w:color="000000" w:fill="CCEFFC"/>
            <w:vAlign w:val="center"/>
            <w:hideMark/>
          </w:tcPr>
          <w:p w14:paraId="50E30815" w14:textId="77777777" w:rsidR="002D4663" w:rsidRPr="00F9573F" w:rsidRDefault="002D4663"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30B9F794" w14:textId="77777777" w:rsidR="002D4663" w:rsidRPr="00F9573F" w:rsidRDefault="002D4663" w:rsidP="00EC4213">
            <w:pPr>
              <w:pStyle w:val="TableText"/>
              <w:keepNext/>
              <w:jc w:val="right"/>
            </w:pPr>
            <w:r w:rsidRPr="00F9573F">
              <w:t>137</w:t>
            </w:r>
          </w:p>
        </w:tc>
      </w:tr>
      <w:tr w:rsidR="002D4663" w:rsidRPr="00F9573F" w14:paraId="3914BCEC"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7F59D095" w14:textId="77777777" w:rsidR="002D4663" w:rsidRPr="00F9573F" w:rsidRDefault="002D4663" w:rsidP="00EC4213">
            <w:pPr>
              <w:pStyle w:val="TableText"/>
              <w:keepN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33A3DC8A" w14:textId="77777777" w:rsidR="002D4663" w:rsidRPr="00F9573F" w:rsidRDefault="002D4663"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30507014" w14:textId="77777777" w:rsidR="002D4663" w:rsidRPr="00F9573F" w:rsidRDefault="002D4663" w:rsidP="00EC4213">
            <w:pPr>
              <w:pStyle w:val="TableText"/>
              <w:keepNext/>
              <w:jc w:val="right"/>
            </w:pPr>
            <w:r w:rsidRPr="00F9573F">
              <w:t>179</w:t>
            </w:r>
          </w:p>
        </w:tc>
        <w:tc>
          <w:tcPr>
            <w:tcW w:w="1817" w:type="dxa"/>
            <w:tcBorders>
              <w:top w:val="nil"/>
              <w:left w:val="nil"/>
              <w:bottom w:val="single" w:sz="8" w:space="0" w:color="FFFFFF"/>
              <w:right w:val="single" w:sz="8" w:space="0" w:color="FFFFFF"/>
            </w:tcBorders>
            <w:shd w:val="clear" w:color="000000" w:fill="CCE0ED"/>
            <w:vAlign w:val="center"/>
            <w:hideMark/>
          </w:tcPr>
          <w:p w14:paraId="18E86FDB" w14:textId="77777777" w:rsidR="002D4663" w:rsidRPr="00F9573F" w:rsidRDefault="002D4663"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2817EE11" w14:textId="77777777" w:rsidR="002D4663" w:rsidRPr="00F9573F" w:rsidRDefault="002D4663" w:rsidP="00EC4213">
            <w:pPr>
              <w:pStyle w:val="TableText"/>
              <w:keepNext/>
              <w:jc w:val="right"/>
            </w:pPr>
            <w:r w:rsidRPr="00F9573F">
              <w:t>179</w:t>
            </w:r>
          </w:p>
        </w:tc>
      </w:tr>
      <w:tr w:rsidR="002D4663" w:rsidRPr="00F9573F" w14:paraId="2FAEA4AF"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6BA06CCB" w14:textId="77777777" w:rsidR="002D4663" w:rsidRPr="00F9573F" w:rsidRDefault="002D4663" w:rsidP="00EC4213">
            <w:pPr>
              <w:pStyle w:val="TableText"/>
              <w:keepN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047A9765" w14:textId="77777777" w:rsidR="002D4663" w:rsidRPr="00F9573F" w:rsidRDefault="002D4663" w:rsidP="00EC4213">
            <w:pPr>
              <w:pStyle w:val="TableText"/>
              <w:keepNext/>
              <w:jc w:val="right"/>
            </w:pPr>
            <w:r w:rsidRPr="00F9573F">
              <w:t>5.45%</w:t>
            </w:r>
          </w:p>
        </w:tc>
        <w:tc>
          <w:tcPr>
            <w:tcW w:w="1818" w:type="dxa"/>
            <w:tcBorders>
              <w:top w:val="nil"/>
              <w:left w:val="nil"/>
              <w:bottom w:val="single" w:sz="8" w:space="0" w:color="FFFFFF"/>
              <w:right w:val="single" w:sz="8" w:space="0" w:color="FFFFFF"/>
            </w:tcBorders>
            <w:shd w:val="clear" w:color="000000" w:fill="CCEFFC"/>
            <w:vAlign w:val="center"/>
            <w:hideMark/>
          </w:tcPr>
          <w:p w14:paraId="6E0EA3AD" w14:textId="77777777" w:rsidR="002D4663" w:rsidRPr="00F9573F" w:rsidRDefault="002D4663" w:rsidP="00EC4213">
            <w:pPr>
              <w:pStyle w:val="TableText"/>
              <w:keepNext/>
              <w:jc w:val="right"/>
            </w:pPr>
            <w:r w:rsidRPr="00F9573F">
              <w:t>3.65%</w:t>
            </w:r>
          </w:p>
        </w:tc>
        <w:tc>
          <w:tcPr>
            <w:tcW w:w="1817" w:type="dxa"/>
            <w:tcBorders>
              <w:top w:val="nil"/>
              <w:left w:val="nil"/>
              <w:bottom w:val="single" w:sz="8" w:space="0" w:color="FFFFFF"/>
              <w:right w:val="single" w:sz="8" w:space="0" w:color="FFFFFF"/>
            </w:tcBorders>
            <w:shd w:val="clear" w:color="000000" w:fill="CCEFFC"/>
            <w:vAlign w:val="center"/>
            <w:hideMark/>
          </w:tcPr>
          <w:p w14:paraId="42AA2792" w14:textId="77777777" w:rsidR="002D4663" w:rsidRPr="00F9573F" w:rsidRDefault="002D4663" w:rsidP="00EC4213">
            <w:pPr>
              <w:pStyle w:val="TableText"/>
              <w:keepNext/>
              <w:jc w:val="right"/>
            </w:pPr>
            <w:r w:rsidRPr="00F9573F">
              <w:t>3.12%</w:t>
            </w:r>
          </w:p>
        </w:tc>
        <w:tc>
          <w:tcPr>
            <w:tcW w:w="1818" w:type="dxa"/>
            <w:tcBorders>
              <w:top w:val="nil"/>
              <w:left w:val="nil"/>
              <w:bottom w:val="single" w:sz="8" w:space="0" w:color="FFFFFF"/>
              <w:right w:val="single" w:sz="8" w:space="0" w:color="FFFFFF"/>
            </w:tcBorders>
            <w:shd w:val="clear" w:color="000000" w:fill="CCEFFC"/>
            <w:vAlign w:val="center"/>
            <w:hideMark/>
          </w:tcPr>
          <w:p w14:paraId="14BCF278" w14:textId="77777777" w:rsidR="002D4663" w:rsidRPr="00F9573F" w:rsidRDefault="002D4663" w:rsidP="00EC4213">
            <w:pPr>
              <w:pStyle w:val="TableText"/>
              <w:keepNext/>
              <w:jc w:val="right"/>
            </w:pPr>
            <w:r w:rsidRPr="00F9573F">
              <w:t>2.91%</w:t>
            </w:r>
          </w:p>
        </w:tc>
      </w:tr>
      <w:tr w:rsidR="002D4663" w:rsidRPr="00F9573F" w14:paraId="026F5CD7"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59F0A52A" w14:textId="77777777" w:rsidR="002D4663" w:rsidRPr="00F9573F" w:rsidRDefault="002D4663" w:rsidP="00EC4213">
            <w:pPr>
              <w:pStyle w:val="TableText"/>
              <w:keepN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7FFD230E" w14:textId="77777777" w:rsidR="002D4663" w:rsidRPr="00F9573F" w:rsidRDefault="002D4663" w:rsidP="00EC4213">
            <w:pPr>
              <w:pStyle w:val="TableText"/>
              <w:keepNext/>
              <w:jc w:val="right"/>
            </w:pPr>
            <w:r w:rsidRPr="00F9573F">
              <w:t>17,628</w:t>
            </w:r>
          </w:p>
        </w:tc>
        <w:tc>
          <w:tcPr>
            <w:tcW w:w="1818" w:type="dxa"/>
            <w:tcBorders>
              <w:top w:val="nil"/>
              <w:left w:val="nil"/>
              <w:bottom w:val="single" w:sz="8" w:space="0" w:color="FFFFFF"/>
              <w:right w:val="single" w:sz="8" w:space="0" w:color="FFFFFF"/>
            </w:tcBorders>
            <w:shd w:val="clear" w:color="000000" w:fill="CCE0ED"/>
            <w:vAlign w:val="center"/>
            <w:hideMark/>
          </w:tcPr>
          <w:p w14:paraId="2D36D862" w14:textId="77777777" w:rsidR="002D4663" w:rsidRPr="00F9573F" w:rsidRDefault="002D4663" w:rsidP="00EC4213">
            <w:pPr>
              <w:pStyle w:val="TableText"/>
              <w:keepNext/>
              <w:jc w:val="right"/>
            </w:pPr>
            <w:r w:rsidRPr="00F9573F">
              <w:t>18,720</w:t>
            </w:r>
          </w:p>
        </w:tc>
        <w:tc>
          <w:tcPr>
            <w:tcW w:w="1817" w:type="dxa"/>
            <w:tcBorders>
              <w:top w:val="nil"/>
              <w:left w:val="nil"/>
              <w:bottom w:val="single" w:sz="8" w:space="0" w:color="FFFFFF"/>
              <w:right w:val="single" w:sz="8" w:space="0" w:color="FFFFFF"/>
            </w:tcBorders>
            <w:shd w:val="clear" w:color="000000" w:fill="CCE0ED"/>
            <w:vAlign w:val="center"/>
            <w:hideMark/>
          </w:tcPr>
          <w:p w14:paraId="2C17EAAA" w14:textId="77777777" w:rsidR="002D4663" w:rsidRPr="00F9573F" w:rsidRDefault="002D4663" w:rsidP="00EC4213">
            <w:pPr>
              <w:pStyle w:val="TableText"/>
              <w:keepNext/>
              <w:jc w:val="right"/>
            </w:pPr>
            <w:r w:rsidRPr="00F9573F">
              <w:t>19,873</w:t>
            </w:r>
          </w:p>
        </w:tc>
        <w:tc>
          <w:tcPr>
            <w:tcW w:w="1818" w:type="dxa"/>
            <w:tcBorders>
              <w:top w:val="nil"/>
              <w:left w:val="nil"/>
              <w:bottom w:val="single" w:sz="8" w:space="0" w:color="FFFFFF"/>
              <w:right w:val="single" w:sz="8" w:space="0" w:color="FFFFFF"/>
            </w:tcBorders>
            <w:shd w:val="clear" w:color="000000" w:fill="CCE0ED"/>
            <w:vAlign w:val="center"/>
            <w:hideMark/>
          </w:tcPr>
          <w:p w14:paraId="2C92450A" w14:textId="77777777" w:rsidR="002D4663" w:rsidRPr="00F9573F" w:rsidRDefault="002D4663" w:rsidP="00EC4213">
            <w:pPr>
              <w:pStyle w:val="TableText"/>
              <w:keepNext/>
              <w:jc w:val="right"/>
            </w:pPr>
            <w:r w:rsidRPr="00F9573F">
              <w:t>21,351</w:t>
            </w:r>
          </w:p>
        </w:tc>
      </w:tr>
      <w:tr w:rsidR="002D4663" w:rsidRPr="00F9573F" w14:paraId="26137578"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05494D2C" w14:textId="77777777" w:rsidR="002D4663" w:rsidRPr="00F9573F" w:rsidRDefault="002D4663" w:rsidP="00EC4213">
            <w:pPr>
              <w:pStyle w:val="TableText"/>
              <w:keepN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682232C7" w14:textId="77777777" w:rsidR="002D4663" w:rsidRPr="00F9573F" w:rsidRDefault="002D4663" w:rsidP="00EC4213">
            <w:pPr>
              <w:pStyle w:val="TableText"/>
              <w:keepNext/>
              <w:jc w:val="right"/>
            </w:pPr>
            <w:r w:rsidRPr="00F9573F">
              <w:t>-852</w:t>
            </w:r>
          </w:p>
        </w:tc>
        <w:tc>
          <w:tcPr>
            <w:tcW w:w="1818" w:type="dxa"/>
            <w:tcBorders>
              <w:top w:val="nil"/>
              <w:left w:val="nil"/>
              <w:bottom w:val="single" w:sz="8" w:space="0" w:color="FFFFFF"/>
              <w:right w:val="single" w:sz="8" w:space="0" w:color="FFFFFF"/>
            </w:tcBorders>
            <w:shd w:val="clear" w:color="000000" w:fill="CCEFFC"/>
            <w:vAlign w:val="center"/>
            <w:hideMark/>
          </w:tcPr>
          <w:p w14:paraId="0302EA0F" w14:textId="77777777" w:rsidR="002D4663" w:rsidRPr="00F9573F" w:rsidRDefault="002D4663" w:rsidP="00EC4213">
            <w:pPr>
              <w:pStyle w:val="TableText"/>
              <w:keepNext/>
              <w:jc w:val="right"/>
            </w:pPr>
            <w:r w:rsidRPr="00F9573F">
              <w:t>560</w:t>
            </w:r>
          </w:p>
        </w:tc>
        <w:tc>
          <w:tcPr>
            <w:tcW w:w="1817" w:type="dxa"/>
            <w:tcBorders>
              <w:top w:val="nil"/>
              <w:left w:val="nil"/>
              <w:bottom w:val="single" w:sz="8" w:space="0" w:color="FFFFFF"/>
              <w:right w:val="single" w:sz="8" w:space="0" w:color="FFFFFF"/>
            </w:tcBorders>
            <w:shd w:val="clear" w:color="000000" w:fill="CCEFFC"/>
            <w:vAlign w:val="center"/>
            <w:hideMark/>
          </w:tcPr>
          <w:p w14:paraId="21D9E99D" w14:textId="77777777" w:rsidR="002D4663" w:rsidRPr="00F9573F" w:rsidRDefault="002D4663" w:rsidP="00EC4213">
            <w:pPr>
              <w:pStyle w:val="TableText"/>
              <w:keepNext/>
              <w:jc w:val="right"/>
            </w:pPr>
            <w:r w:rsidRPr="00F9573F">
              <w:t>2,441</w:t>
            </w:r>
          </w:p>
        </w:tc>
        <w:tc>
          <w:tcPr>
            <w:tcW w:w="1818" w:type="dxa"/>
            <w:tcBorders>
              <w:top w:val="nil"/>
              <w:left w:val="nil"/>
              <w:bottom w:val="single" w:sz="8" w:space="0" w:color="FFFFFF"/>
              <w:right w:val="single" w:sz="8" w:space="0" w:color="FFFFFF"/>
            </w:tcBorders>
            <w:shd w:val="clear" w:color="000000" w:fill="CCEFFC"/>
            <w:vAlign w:val="center"/>
            <w:hideMark/>
          </w:tcPr>
          <w:p w14:paraId="3FE3ED4D" w14:textId="77777777" w:rsidR="002D4663" w:rsidRPr="00F9573F" w:rsidRDefault="002D4663" w:rsidP="00EC4213">
            <w:pPr>
              <w:pStyle w:val="TableText"/>
              <w:keepNext/>
              <w:jc w:val="right"/>
            </w:pPr>
            <w:r w:rsidRPr="00F9573F">
              <w:t>4,789</w:t>
            </w:r>
          </w:p>
        </w:tc>
      </w:tr>
    </w:tbl>
    <w:p w14:paraId="242C0B64" w14:textId="77777777" w:rsidR="002D4663" w:rsidRPr="00F9573F" w:rsidRDefault="002D4663" w:rsidP="00EC4213">
      <w:pPr>
        <w:pStyle w:val="Tablenotes"/>
      </w:pPr>
      <w:r w:rsidRPr="00F9573F">
        <w:t>SP: starting point</w:t>
      </w:r>
    </w:p>
    <w:p w14:paraId="142D2B3D" w14:textId="77777777" w:rsidR="002D4663" w:rsidRPr="00976D1C" w:rsidRDefault="002D4663" w:rsidP="00EC4213">
      <w:pPr>
        <w:rPr>
          <w:b/>
          <w:bCs/>
          <w:szCs w:val="20"/>
        </w:rPr>
      </w:pPr>
      <w:bookmarkStart w:id="134" w:name="_Toc409532351"/>
      <w:r w:rsidRPr="00976D1C">
        <w:rPr>
          <w:b/>
          <w:bCs/>
          <w:szCs w:val="20"/>
        </w:rPr>
        <w:t xml:space="preserve">Table </w:t>
      </w:r>
      <w:r w:rsidRPr="00976D1C">
        <w:rPr>
          <w:b/>
          <w:bCs/>
          <w:szCs w:val="20"/>
        </w:rPr>
        <w:fldChar w:fldCharType="begin"/>
      </w:r>
      <w:r w:rsidRPr="00976D1C">
        <w:rPr>
          <w:b/>
          <w:bCs/>
          <w:szCs w:val="20"/>
        </w:rPr>
        <w:instrText xml:space="preserve"> SEQ Table \* ARABIC </w:instrText>
      </w:r>
      <w:r w:rsidRPr="00976D1C">
        <w:rPr>
          <w:b/>
          <w:bCs/>
          <w:szCs w:val="20"/>
        </w:rPr>
        <w:fldChar w:fldCharType="separate"/>
      </w:r>
      <w:r w:rsidRPr="00976D1C">
        <w:rPr>
          <w:b/>
          <w:bCs/>
          <w:szCs w:val="20"/>
        </w:rPr>
        <w:t>13</w:t>
      </w:r>
      <w:r w:rsidRPr="00976D1C">
        <w:rPr>
          <w:b/>
          <w:bCs/>
          <w:szCs w:val="20"/>
        </w:rPr>
        <w:fldChar w:fldCharType="end"/>
      </w:r>
      <w:r w:rsidRPr="00976D1C">
        <w:rPr>
          <w:b/>
          <w:bCs/>
          <w:szCs w:val="20"/>
        </w:rPr>
        <w:t>: Oral health workforce, oversupply scenario, selected years, headcount</w:t>
      </w:r>
      <w:bookmarkEnd w:id="134"/>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2D4663" w:rsidRPr="00F9573F" w14:paraId="1C31E4B8"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0A1A994C" w14:textId="4FC505EC" w:rsidR="002D4663" w:rsidRPr="00F9573F" w:rsidRDefault="00F9573F" w:rsidP="00EC4213">
            <w:pPr>
              <w:pStyle w:val="TableHeader"/>
            </w:pPr>
            <w:r w:rsidRPr="00F9573F">
              <w:t>Category</w:t>
            </w:r>
            <w:bookmarkStart w:id="135" w:name="ColumnTitle_13"/>
            <w:bookmarkEnd w:id="135"/>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3977C137" w14:textId="77777777" w:rsidR="002D4663" w:rsidRPr="00F9573F" w:rsidRDefault="002D4663" w:rsidP="00EC4213">
            <w:pPr>
              <w:pStyle w:val="TableHeader"/>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423C3532" w14:textId="77777777" w:rsidR="002D4663" w:rsidRPr="00F9573F" w:rsidRDefault="002D4663" w:rsidP="00EC4213">
            <w:pPr>
              <w:pStyle w:val="TableHeader"/>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1AD18D51" w14:textId="77777777" w:rsidR="002D4663" w:rsidRPr="00F9573F" w:rsidRDefault="002D4663" w:rsidP="00EC4213">
            <w:pPr>
              <w:pStyle w:val="TableHeader"/>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74272135" w14:textId="77777777" w:rsidR="002D4663" w:rsidRPr="00F9573F" w:rsidRDefault="002D4663" w:rsidP="00EC4213">
            <w:pPr>
              <w:pStyle w:val="TableHeader"/>
            </w:pPr>
            <w:r w:rsidRPr="00F9573F">
              <w:t>2025</w:t>
            </w:r>
          </w:p>
        </w:tc>
      </w:tr>
      <w:tr w:rsidR="002D4663" w:rsidRPr="00F9573F" w14:paraId="6518107F"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41202110" w14:textId="77777777" w:rsidR="002D4663" w:rsidRPr="00F9573F" w:rsidRDefault="002D4663" w:rsidP="00EC4213">
            <w:pPr>
              <w:pStyle w:val="TableT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08A141D3" w14:textId="77777777" w:rsidR="002D4663" w:rsidRPr="00F9573F" w:rsidRDefault="002D4663" w:rsidP="00EC4213">
            <w:pPr>
              <w:pStyle w:val="TableText"/>
              <w:jc w:val="right"/>
            </w:pPr>
            <w:r w:rsidRPr="00F9573F">
              <w:t>17,614</w:t>
            </w:r>
          </w:p>
        </w:tc>
        <w:tc>
          <w:tcPr>
            <w:tcW w:w="1818" w:type="dxa"/>
            <w:tcBorders>
              <w:top w:val="nil"/>
              <w:left w:val="nil"/>
              <w:bottom w:val="single" w:sz="8" w:space="0" w:color="FFFFFF"/>
              <w:right w:val="single" w:sz="8" w:space="0" w:color="FFFFFF"/>
            </w:tcBorders>
            <w:shd w:val="clear" w:color="000000" w:fill="CCE0ED"/>
            <w:vAlign w:val="center"/>
            <w:hideMark/>
          </w:tcPr>
          <w:p w14:paraId="2D66FB6B" w14:textId="77777777" w:rsidR="002D4663" w:rsidRPr="00F9573F" w:rsidRDefault="002D4663" w:rsidP="00EC4213">
            <w:pPr>
              <w:pStyle w:val="TableText"/>
              <w:jc w:val="right"/>
            </w:pPr>
            <w:r w:rsidRPr="00F9573F">
              <w:t>19,967</w:t>
            </w:r>
          </w:p>
        </w:tc>
        <w:tc>
          <w:tcPr>
            <w:tcW w:w="1817" w:type="dxa"/>
            <w:tcBorders>
              <w:top w:val="nil"/>
              <w:left w:val="nil"/>
              <w:bottom w:val="single" w:sz="8" w:space="0" w:color="FFFFFF"/>
              <w:right w:val="single" w:sz="8" w:space="0" w:color="FFFFFF"/>
            </w:tcBorders>
            <w:shd w:val="clear" w:color="000000" w:fill="CCE0ED"/>
            <w:vAlign w:val="center"/>
            <w:hideMark/>
          </w:tcPr>
          <w:p w14:paraId="62C80173" w14:textId="77777777" w:rsidR="002D4663" w:rsidRPr="00F9573F" w:rsidRDefault="002D4663" w:rsidP="00EC4213">
            <w:pPr>
              <w:pStyle w:val="TableText"/>
              <w:jc w:val="right"/>
            </w:pPr>
            <w:r w:rsidRPr="00F9573F">
              <w:t>22,946</w:t>
            </w:r>
          </w:p>
        </w:tc>
        <w:tc>
          <w:tcPr>
            <w:tcW w:w="1818" w:type="dxa"/>
            <w:tcBorders>
              <w:top w:val="nil"/>
              <w:left w:val="nil"/>
              <w:bottom w:val="single" w:sz="8" w:space="0" w:color="FFFFFF"/>
              <w:right w:val="single" w:sz="8" w:space="0" w:color="FFFFFF"/>
            </w:tcBorders>
            <w:shd w:val="clear" w:color="000000" w:fill="CCE0ED"/>
            <w:vAlign w:val="center"/>
            <w:hideMark/>
          </w:tcPr>
          <w:p w14:paraId="2DEC80DB" w14:textId="77777777" w:rsidR="002D4663" w:rsidRPr="00F9573F" w:rsidRDefault="002D4663" w:rsidP="00EC4213">
            <w:pPr>
              <w:pStyle w:val="TableText"/>
              <w:jc w:val="right"/>
            </w:pPr>
            <w:r w:rsidRPr="00F9573F">
              <w:t>26,638</w:t>
            </w:r>
          </w:p>
        </w:tc>
      </w:tr>
      <w:tr w:rsidR="002D4663" w:rsidRPr="00F9573F" w14:paraId="6856ADC1"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673DC827" w14:textId="77777777" w:rsidR="002D4663" w:rsidRPr="00F9573F" w:rsidRDefault="002D4663" w:rsidP="00EC4213">
            <w:pPr>
              <w:pStyle w:val="TableT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48346F36" w14:textId="77777777" w:rsidR="002D4663" w:rsidRPr="00F9573F" w:rsidRDefault="002D4663" w:rsidP="00EC4213">
            <w:pPr>
              <w:pStyle w:val="TableT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1E9B4BCD" w14:textId="77777777" w:rsidR="002D4663" w:rsidRPr="00F9573F" w:rsidRDefault="002D4663" w:rsidP="00EC4213">
            <w:pPr>
              <w:pStyle w:val="TableText"/>
              <w:jc w:val="right"/>
            </w:pPr>
            <w:r w:rsidRPr="00F9573F">
              <w:t>1,148</w:t>
            </w:r>
          </w:p>
        </w:tc>
        <w:tc>
          <w:tcPr>
            <w:tcW w:w="1817" w:type="dxa"/>
            <w:tcBorders>
              <w:top w:val="nil"/>
              <w:left w:val="nil"/>
              <w:bottom w:val="single" w:sz="8" w:space="0" w:color="FFFFFF"/>
              <w:right w:val="single" w:sz="8" w:space="0" w:color="FFFFFF"/>
            </w:tcBorders>
            <w:shd w:val="clear" w:color="000000" w:fill="CCEFFC"/>
            <w:vAlign w:val="center"/>
            <w:hideMark/>
          </w:tcPr>
          <w:p w14:paraId="46B7C180" w14:textId="77777777" w:rsidR="002D4663" w:rsidRPr="00F9573F" w:rsidRDefault="002D4663" w:rsidP="00EC4213">
            <w:pPr>
              <w:pStyle w:val="TableText"/>
              <w:jc w:val="right"/>
            </w:pPr>
            <w:r w:rsidRPr="00F9573F">
              <w:t>1,241</w:t>
            </w:r>
          </w:p>
        </w:tc>
        <w:tc>
          <w:tcPr>
            <w:tcW w:w="1818" w:type="dxa"/>
            <w:tcBorders>
              <w:top w:val="nil"/>
              <w:left w:val="nil"/>
              <w:bottom w:val="single" w:sz="8" w:space="0" w:color="FFFFFF"/>
              <w:right w:val="single" w:sz="8" w:space="0" w:color="FFFFFF"/>
            </w:tcBorders>
            <w:shd w:val="clear" w:color="000000" w:fill="CCEFFC"/>
            <w:vAlign w:val="center"/>
            <w:hideMark/>
          </w:tcPr>
          <w:p w14:paraId="12873706" w14:textId="77777777" w:rsidR="002D4663" w:rsidRPr="00F9573F" w:rsidRDefault="002D4663" w:rsidP="00EC4213">
            <w:pPr>
              <w:pStyle w:val="TableText"/>
              <w:jc w:val="right"/>
            </w:pPr>
            <w:r w:rsidRPr="00F9573F">
              <w:t>1,241</w:t>
            </w:r>
          </w:p>
        </w:tc>
      </w:tr>
      <w:tr w:rsidR="002D4663" w:rsidRPr="00F9573F" w14:paraId="607F8078"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6054B761" w14:textId="77777777" w:rsidR="002D4663" w:rsidRPr="00F9573F" w:rsidRDefault="002D4663" w:rsidP="00EC4213">
            <w:pPr>
              <w:pStyle w:val="TableT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2D0BDE27" w14:textId="77777777" w:rsidR="002D4663" w:rsidRPr="00F9573F" w:rsidRDefault="002D4663" w:rsidP="00EC4213">
            <w:pPr>
              <w:pStyle w:val="TableT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3B5656CF" w14:textId="77777777" w:rsidR="002D4663" w:rsidRPr="00F9573F" w:rsidRDefault="002D4663" w:rsidP="00EC4213">
            <w:pPr>
              <w:pStyle w:val="TableText"/>
              <w:jc w:val="right"/>
            </w:pPr>
            <w:r w:rsidRPr="00F9573F">
              <w:t>89</w:t>
            </w:r>
          </w:p>
        </w:tc>
        <w:tc>
          <w:tcPr>
            <w:tcW w:w="1817" w:type="dxa"/>
            <w:tcBorders>
              <w:top w:val="nil"/>
              <w:left w:val="nil"/>
              <w:bottom w:val="single" w:sz="8" w:space="0" w:color="FFFFFF"/>
              <w:right w:val="single" w:sz="8" w:space="0" w:color="FFFFFF"/>
            </w:tcBorders>
            <w:shd w:val="clear" w:color="000000" w:fill="CCE0ED"/>
            <w:vAlign w:val="center"/>
            <w:hideMark/>
          </w:tcPr>
          <w:p w14:paraId="7A4D1877" w14:textId="77777777" w:rsidR="002D4663" w:rsidRPr="00F9573F" w:rsidRDefault="002D4663" w:rsidP="00EC4213">
            <w:pPr>
              <w:pStyle w:val="TableText"/>
              <w:jc w:val="right"/>
            </w:pPr>
            <w:r w:rsidRPr="00F9573F">
              <w:t>102</w:t>
            </w:r>
          </w:p>
        </w:tc>
        <w:tc>
          <w:tcPr>
            <w:tcW w:w="1818" w:type="dxa"/>
            <w:tcBorders>
              <w:top w:val="nil"/>
              <w:left w:val="nil"/>
              <w:bottom w:val="single" w:sz="8" w:space="0" w:color="FFFFFF"/>
              <w:right w:val="single" w:sz="8" w:space="0" w:color="FFFFFF"/>
            </w:tcBorders>
            <w:shd w:val="clear" w:color="000000" w:fill="CCE0ED"/>
            <w:vAlign w:val="center"/>
            <w:hideMark/>
          </w:tcPr>
          <w:p w14:paraId="7AB08231" w14:textId="77777777" w:rsidR="002D4663" w:rsidRPr="00F9573F" w:rsidRDefault="002D4663" w:rsidP="00EC4213">
            <w:pPr>
              <w:pStyle w:val="TableText"/>
              <w:jc w:val="right"/>
            </w:pPr>
            <w:r w:rsidRPr="00F9573F">
              <w:t>102</w:t>
            </w:r>
          </w:p>
        </w:tc>
      </w:tr>
      <w:tr w:rsidR="002D4663" w:rsidRPr="00F9573F" w14:paraId="1B232300"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16706060" w14:textId="77777777" w:rsidR="002D4663" w:rsidRPr="00F9573F" w:rsidRDefault="002D4663" w:rsidP="00EC4213">
            <w:pPr>
              <w:pStyle w:val="TableT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702E021D" w14:textId="77777777" w:rsidR="002D4663" w:rsidRPr="00F9573F" w:rsidRDefault="002D4663" w:rsidP="00EC4213">
            <w:pPr>
              <w:pStyle w:val="TableT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3013F810" w14:textId="77777777" w:rsidR="002D4663" w:rsidRPr="00F9573F" w:rsidRDefault="002D4663" w:rsidP="00EC4213">
            <w:pPr>
              <w:pStyle w:val="TableText"/>
              <w:jc w:val="right"/>
            </w:pPr>
            <w:r w:rsidRPr="00F9573F">
              <w:t>137</w:t>
            </w:r>
          </w:p>
        </w:tc>
        <w:tc>
          <w:tcPr>
            <w:tcW w:w="1817" w:type="dxa"/>
            <w:tcBorders>
              <w:top w:val="nil"/>
              <w:left w:val="nil"/>
              <w:bottom w:val="single" w:sz="8" w:space="0" w:color="FFFFFF"/>
              <w:right w:val="single" w:sz="8" w:space="0" w:color="FFFFFF"/>
            </w:tcBorders>
            <w:shd w:val="clear" w:color="000000" w:fill="CCEFFC"/>
            <w:vAlign w:val="center"/>
            <w:hideMark/>
          </w:tcPr>
          <w:p w14:paraId="09205C73" w14:textId="77777777" w:rsidR="002D4663" w:rsidRPr="00F9573F" w:rsidRDefault="002D4663" w:rsidP="00EC4213">
            <w:pPr>
              <w:pStyle w:val="TableT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39876B10" w14:textId="77777777" w:rsidR="002D4663" w:rsidRPr="00F9573F" w:rsidRDefault="002D4663" w:rsidP="00EC4213">
            <w:pPr>
              <w:pStyle w:val="TableText"/>
              <w:jc w:val="right"/>
            </w:pPr>
            <w:r w:rsidRPr="00F9573F">
              <w:t>137</w:t>
            </w:r>
          </w:p>
        </w:tc>
      </w:tr>
      <w:tr w:rsidR="002D4663" w:rsidRPr="00F9573F" w14:paraId="3E9F3F83"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2E0276D7" w14:textId="77777777" w:rsidR="002D4663" w:rsidRPr="00F9573F" w:rsidRDefault="002D4663" w:rsidP="00EC4213">
            <w:pPr>
              <w:pStyle w:val="TableT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2F95E6A8" w14:textId="77777777" w:rsidR="002D4663" w:rsidRPr="00F9573F" w:rsidRDefault="002D4663" w:rsidP="00EC4213">
            <w:pPr>
              <w:pStyle w:val="TableT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24BE78A0" w14:textId="77777777" w:rsidR="002D4663" w:rsidRPr="00F9573F" w:rsidRDefault="002D4663" w:rsidP="00EC4213">
            <w:pPr>
              <w:pStyle w:val="TableText"/>
              <w:jc w:val="right"/>
            </w:pPr>
            <w:r w:rsidRPr="00F9573F">
              <w:t>179</w:t>
            </w:r>
          </w:p>
        </w:tc>
        <w:tc>
          <w:tcPr>
            <w:tcW w:w="1817" w:type="dxa"/>
            <w:tcBorders>
              <w:top w:val="nil"/>
              <w:left w:val="nil"/>
              <w:bottom w:val="single" w:sz="8" w:space="0" w:color="FFFFFF"/>
              <w:right w:val="single" w:sz="8" w:space="0" w:color="FFFFFF"/>
            </w:tcBorders>
            <w:shd w:val="clear" w:color="000000" w:fill="CCE0ED"/>
            <w:vAlign w:val="center"/>
            <w:hideMark/>
          </w:tcPr>
          <w:p w14:paraId="3A265171" w14:textId="77777777" w:rsidR="002D4663" w:rsidRPr="00F9573F" w:rsidRDefault="002D4663" w:rsidP="00EC4213">
            <w:pPr>
              <w:pStyle w:val="TableT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6B0F222E" w14:textId="77777777" w:rsidR="002D4663" w:rsidRPr="00F9573F" w:rsidRDefault="002D4663" w:rsidP="00EC4213">
            <w:pPr>
              <w:pStyle w:val="TableText"/>
              <w:jc w:val="right"/>
            </w:pPr>
            <w:r w:rsidRPr="00F9573F">
              <w:t>179</w:t>
            </w:r>
          </w:p>
        </w:tc>
      </w:tr>
      <w:tr w:rsidR="002D4663" w:rsidRPr="00F9573F" w14:paraId="7BB531A4"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7E5467B7" w14:textId="77777777" w:rsidR="002D4663" w:rsidRPr="00F9573F" w:rsidRDefault="002D4663" w:rsidP="00EC4213">
            <w:pPr>
              <w:pStyle w:val="TableT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071BE39A" w14:textId="77777777" w:rsidR="002D4663" w:rsidRPr="00F9573F" w:rsidRDefault="002D4663" w:rsidP="00EC4213">
            <w:pPr>
              <w:pStyle w:val="TableText"/>
              <w:jc w:val="right"/>
            </w:pPr>
            <w:r w:rsidRPr="00F9573F">
              <w:t>5.39%</w:t>
            </w:r>
          </w:p>
        </w:tc>
        <w:tc>
          <w:tcPr>
            <w:tcW w:w="1818" w:type="dxa"/>
            <w:tcBorders>
              <w:top w:val="nil"/>
              <w:left w:val="nil"/>
              <w:bottom w:val="single" w:sz="8" w:space="0" w:color="FFFFFF"/>
              <w:right w:val="single" w:sz="8" w:space="0" w:color="FFFFFF"/>
            </w:tcBorders>
            <w:shd w:val="clear" w:color="000000" w:fill="CCEFFC"/>
            <w:vAlign w:val="center"/>
            <w:hideMark/>
          </w:tcPr>
          <w:p w14:paraId="53F731D5" w14:textId="77777777" w:rsidR="002D4663" w:rsidRPr="00F9573F" w:rsidRDefault="002D4663" w:rsidP="00EC4213">
            <w:pPr>
              <w:pStyle w:val="TableText"/>
              <w:jc w:val="right"/>
            </w:pPr>
            <w:r w:rsidRPr="00F9573F">
              <w:t>3.59%</w:t>
            </w:r>
          </w:p>
        </w:tc>
        <w:tc>
          <w:tcPr>
            <w:tcW w:w="1817" w:type="dxa"/>
            <w:tcBorders>
              <w:top w:val="nil"/>
              <w:left w:val="nil"/>
              <w:bottom w:val="single" w:sz="8" w:space="0" w:color="FFFFFF"/>
              <w:right w:val="single" w:sz="8" w:space="0" w:color="FFFFFF"/>
            </w:tcBorders>
            <w:shd w:val="clear" w:color="000000" w:fill="CCEFFC"/>
            <w:vAlign w:val="center"/>
            <w:hideMark/>
          </w:tcPr>
          <w:p w14:paraId="4D3F9CA2" w14:textId="77777777" w:rsidR="002D4663" w:rsidRPr="00F9573F" w:rsidRDefault="002D4663" w:rsidP="00EC4213">
            <w:pPr>
              <w:pStyle w:val="TableText"/>
              <w:jc w:val="right"/>
            </w:pPr>
            <w:r w:rsidRPr="00F9573F">
              <w:t>3.08%</w:t>
            </w:r>
          </w:p>
        </w:tc>
        <w:tc>
          <w:tcPr>
            <w:tcW w:w="1818" w:type="dxa"/>
            <w:tcBorders>
              <w:top w:val="nil"/>
              <w:left w:val="nil"/>
              <w:bottom w:val="single" w:sz="8" w:space="0" w:color="FFFFFF"/>
              <w:right w:val="single" w:sz="8" w:space="0" w:color="FFFFFF"/>
            </w:tcBorders>
            <w:shd w:val="clear" w:color="000000" w:fill="CCEFFC"/>
            <w:vAlign w:val="center"/>
            <w:hideMark/>
          </w:tcPr>
          <w:p w14:paraId="1C68CE0B" w14:textId="77777777" w:rsidR="002D4663" w:rsidRPr="00F9573F" w:rsidRDefault="002D4663" w:rsidP="00EC4213">
            <w:pPr>
              <w:pStyle w:val="TableText"/>
              <w:jc w:val="right"/>
            </w:pPr>
            <w:r w:rsidRPr="00F9573F">
              <w:t>2.94%</w:t>
            </w:r>
          </w:p>
        </w:tc>
      </w:tr>
      <w:tr w:rsidR="002D4663" w:rsidRPr="00F9573F" w14:paraId="09F59333"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713E62E0" w14:textId="77777777" w:rsidR="002D4663" w:rsidRPr="00F9573F" w:rsidRDefault="002D4663" w:rsidP="00EC4213">
            <w:pPr>
              <w:pStyle w:val="TableT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016426C9" w14:textId="77777777" w:rsidR="002D4663" w:rsidRPr="00F9573F" w:rsidRDefault="002D4663" w:rsidP="00EC4213">
            <w:pPr>
              <w:pStyle w:val="TableT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7A30A6C9" w14:textId="77777777" w:rsidR="002D4663" w:rsidRPr="00F9573F" w:rsidRDefault="002D4663" w:rsidP="00EC4213">
            <w:pPr>
              <w:pStyle w:val="TableText"/>
              <w:jc w:val="right"/>
            </w:pPr>
            <w:r w:rsidRPr="00F9573F">
              <w:t>17,869</w:t>
            </w:r>
          </w:p>
        </w:tc>
        <w:tc>
          <w:tcPr>
            <w:tcW w:w="1817" w:type="dxa"/>
            <w:tcBorders>
              <w:top w:val="nil"/>
              <w:left w:val="nil"/>
              <w:bottom w:val="single" w:sz="8" w:space="0" w:color="FFFFFF"/>
              <w:right w:val="single" w:sz="8" w:space="0" w:color="FFFFFF"/>
            </w:tcBorders>
            <w:shd w:val="clear" w:color="000000" w:fill="CCE0ED"/>
            <w:vAlign w:val="center"/>
            <w:hideMark/>
          </w:tcPr>
          <w:p w14:paraId="377B6EF2" w14:textId="77777777" w:rsidR="002D4663" w:rsidRPr="00F9573F" w:rsidRDefault="002D4663" w:rsidP="00EC4213">
            <w:pPr>
              <w:pStyle w:val="TableText"/>
              <w:jc w:val="right"/>
            </w:pPr>
            <w:r w:rsidRPr="00F9573F">
              <w:t>19,021</w:t>
            </w:r>
          </w:p>
        </w:tc>
        <w:tc>
          <w:tcPr>
            <w:tcW w:w="1818" w:type="dxa"/>
            <w:tcBorders>
              <w:top w:val="nil"/>
              <w:left w:val="nil"/>
              <w:bottom w:val="single" w:sz="8" w:space="0" w:color="FFFFFF"/>
              <w:right w:val="single" w:sz="8" w:space="0" w:color="FFFFFF"/>
            </w:tcBorders>
            <w:shd w:val="clear" w:color="000000" w:fill="CCE0ED"/>
            <w:vAlign w:val="center"/>
            <w:hideMark/>
          </w:tcPr>
          <w:p w14:paraId="155C1DF2" w14:textId="77777777" w:rsidR="002D4663" w:rsidRPr="00F9573F" w:rsidRDefault="002D4663" w:rsidP="00EC4213">
            <w:pPr>
              <w:pStyle w:val="TableText"/>
              <w:jc w:val="right"/>
            </w:pPr>
            <w:r w:rsidRPr="00F9573F">
              <w:t>20,496</w:t>
            </w:r>
          </w:p>
        </w:tc>
      </w:tr>
      <w:tr w:rsidR="002D4663" w:rsidRPr="00F9573F" w14:paraId="2E6A38C8"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2D1CCD8A" w14:textId="77777777" w:rsidR="002D4663" w:rsidRPr="00F9573F" w:rsidRDefault="002D4663" w:rsidP="00EC4213">
            <w:pPr>
              <w:pStyle w:val="TableT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450601F2" w14:textId="77777777" w:rsidR="002D4663" w:rsidRPr="00F9573F" w:rsidRDefault="002D4663" w:rsidP="00EC4213">
            <w:pPr>
              <w:pStyle w:val="TableText"/>
              <w:jc w:val="right"/>
            </w:pPr>
            <w:r w:rsidRPr="00F9573F">
              <w:t>838</w:t>
            </w:r>
          </w:p>
        </w:tc>
        <w:tc>
          <w:tcPr>
            <w:tcW w:w="1818" w:type="dxa"/>
            <w:tcBorders>
              <w:top w:val="nil"/>
              <w:left w:val="nil"/>
              <w:bottom w:val="single" w:sz="8" w:space="0" w:color="FFFFFF"/>
              <w:right w:val="single" w:sz="8" w:space="0" w:color="FFFFFF"/>
            </w:tcBorders>
            <w:shd w:val="clear" w:color="000000" w:fill="CCEFFC"/>
            <w:vAlign w:val="center"/>
            <w:hideMark/>
          </w:tcPr>
          <w:p w14:paraId="12858073" w14:textId="77777777" w:rsidR="002D4663" w:rsidRPr="00F9573F" w:rsidRDefault="002D4663" w:rsidP="00EC4213">
            <w:pPr>
              <w:pStyle w:val="TableText"/>
              <w:jc w:val="right"/>
            </w:pPr>
            <w:r w:rsidRPr="00F9573F">
              <w:t>2,098</w:t>
            </w:r>
          </w:p>
        </w:tc>
        <w:tc>
          <w:tcPr>
            <w:tcW w:w="1817" w:type="dxa"/>
            <w:tcBorders>
              <w:top w:val="nil"/>
              <w:left w:val="nil"/>
              <w:bottom w:val="single" w:sz="8" w:space="0" w:color="FFFFFF"/>
              <w:right w:val="single" w:sz="8" w:space="0" w:color="FFFFFF"/>
            </w:tcBorders>
            <w:shd w:val="clear" w:color="000000" w:fill="CCEFFC"/>
            <w:vAlign w:val="center"/>
            <w:hideMark/>
          </w:tcPr>
          <w:p w14:paraId="269D85F5" w14:textId="77777777" w:rsidR="002D4663" w:rsidRPr="00F9573F" w:rsidRDefault="002D4663" w:rsidP="00EC4213">
            <w:pPr>
              <w:pStyle w:val="TableText"/>
              <w:jc w:val="right"/>
            </w:pPr>
            <w:r w:rsidRPr="00F9573F">
              <w:t>3,925</w:t>
            </w:r>
          </w:p>
        </w:tc>
        <w:tc>
          <w:tcPr>
            <w:tcW w:w="1818" w:type="dxa"/>
            <w:tcBorders>
              <w:top w:val="nil"/>
              <w:left w:val="nil"/>
              <w:bottom w:val="single" w:sz="8" w:space="0" w:color="FFFFFF"/>
              <w:right w:val="single" w:sz="8" w:space="0" w:color="FFFFFF"/>
            </w:tcBorders>
            <w:shd w:val="clear" w:color="000000" w:fill="CCEFFC"/>
            <w:vAlign w:val="center"/>
            <w:hideMark/>
          </w:tcPr>
          <w:p w14:paraId="0428DB1A" w14:textId="77777777" w:rsidR="002D4663" w:rsidRPr="00F9573F" w:rsidRDefault="002D4663" w:rsidP="00EC4213">
            <w:pPr>
              <w:pStyle w:val="TableText"/>
              <w:jc w:val="right"/>
            </w:pPr>
            <w:r w:rsidRPr="00F9573F">
              <w:t>6,142</w:t>
            </w:r>
          </w:p>
        </w:tc>
      </w:tr>
    </w:tbl>
    <w:p w14:paraId="2A4A77CB" w14:textId="77777777" w:rsidR="002D4663" w:rsidRPr="00F9573F" w:rsidRDefault="002D4663" w:rsidP="00EC4213">
      <w:pPr>
        <w:pStyle w:val="Tablenotes"/>
      </w:pPr>
      <w:r w:rsidRPr="00F9573F">
        <w:t>SP: starting point</w:t>
      </w:r>
    </w:p>
    <w:p w14:paraId="23E06D46" w14:textId="77777777" w:rsidR="002D4663" w:rsidRPr="00976D1C" w:rsidRDefault="002D4663" w:rsidP="00EC4213">
      <w:pPr>
        <w:pStyle w:val="Caption"/>
      </w:pPr>
      <w:bookmarkStart w:id="136" w:name="_Toc409532352"/>
      <w:r w:rsidRPr="00976D1C">
        <w:lastRenderedPageBreak/>
        <w:t xml:space="preserve">Table </w:t>
      </w:r>
      <w:fldSimple w:instr=" SEQ Table \* ARABIC ">
        <w:r w:rsidRPr="00976D1C">
          <w:rPr>
            <w:noProof/>
          </w:rPr>
          <w:t>14</w:t>
        </w:r>
      </w:fldSimple>
      <w:r w:rsidRPr="00976D1C">
        <w:t>: Oral health workforce, graduate reduction scenario, selected years, headcount</w:t>
      </w:r>
      <w:bookmarkEnd w:id="136"/>
    </w:p>
    <w:tbl>
      <w:tblPr>
        <w:tblW w:w="9087" w:type="dxa"/>
        <w:tblInd w:w="93" w:type="dxa"/>
        <w:tblLayout w:type="fixed"/>
        <w:tblLook w:val="04A0" w:firstRow="1" w:lastRow="0" w:firstColumn="1" w:lastColumn="0" w:noHBand="0" w:noVBand="1"/>
      </w:tblPr>
      <w:tblGrid>
        <w:gridCol w:w="2425"/>
        <w:gridCol w:w="1209"/>
        <w:gridCol w:w="1818"/>
        <w:gridCol w:w="1817"/>
        <w:gridCol w:w="1818"/>
      </w:tblGrid>
      <w:tr w:rsidR="002D4663" w:rsidRPr="00F9573F" w14:paraId="167254FB" w14:textId="77777777" w:rsidTr="00E16FBF">
        <w:trPr>
          <w:cantSplit/>
          <w:trHeight w:val="255"/>
          <w:tblHeader/>
        </w:trPr>
        <w:tc>
          <w:tcPr>
            <w:tcW w:w="2425" w:type="dxa"/>
            <w:tcBorders>
              <w:top w:val="single" w:sz="4" w:space="0" w:color="FFFFFF"/>
              <w:left w:val="nil"/>
              <w:bottom w:val="single" w:sz="4" w:space="0" w:color="FFFFFF"/>
              <w:right w:val="single" w:sz="4" w:space="0" w:color="FFFFFF"/>
            </w:tcBorders>
            <w:shd w:val="clear" w:color="000000" w:fill="0065A4"/>
            <w:noWrap/>
            <w:vAlign w:val="bottom"/>
            <w:hideMark/>
          </w:tcPr>
          <w:p w14:paraId="2993BE15" w14:textId="7785C64D" w:rsidR="002D4663" w:rsidRPr="00F9573F" w:rsidRDefault="00F9573F" w:rsidP="00EC4213">
            <w:pPr>
              <w:pStyle w:val="TableHeader"/>
              <w:keepNext/>
            </w:pPr>
            <w:r w:rsidRPr="00F9573F">
              <w:t>Category</w:t>
            </w:r>
            <w:bookmarkStart w:id="137" w:name="ColumnTitle_14"/>
            <w:bookmarkEnd w:id="137"/>
          </w:p>
        </w:tc>
        <w:tc>
          <w:tcPr>
            <w:tcW w:w="1209" w:type="dxa"/>
            <w:tcBorders>
              <w:top w:val="single" w:sz="4" w:space="0" w:color="FFFFFF"/>
              <w:left w:val="nil"/>
              <w:bottom w:val="single" w:sz="4" w:space="0" w:color="FFFFFF"/>
              <w:right w:val="single" w:sz="4" w:space="0" w:color="FFFFFF"/>
            </w:tcBorders>
            <w:shd w:val="clear" w:color="000000" w:fill="0065A4"/>
            <w:noWrap/>
            <w:vAlign w:val="bottom"/>
            <w:hideMark/>
          </w:tcPr>
          <w:p w14:paraId="23EFE267" w14:textId="77777777" w:rsidR="002D4663" w:rsidRPr="00F9573F" w:rsidRDefault="002D4663" w:rsidP="00EC4213">
            <w:pPr>
              <w:pStyle w:val="TableHeader"/>
              <w:keepNext/>
            </w:pPr>
            <w:r w:rsidRPr="00F9573F">
              <w:t>2012</w:t>
            </w:r>
          </w:p>
        </w:tc>
        <w:tc>
          <w:tcPr>
            <w:tcW w:w="1818" w:type="dxa"/>
            <w:tcBorders>
              <w:top w:val="single" w:sz="4" w:space="0" w:color="FFFFFF"/>
              <w:left w:val="nil"/>
              <w:bottom w:val="single" w:sz="4" w:space="0" w:color="FFFFFF"/>
              <w:right w:val="single" w:sz="4" w:space="0" w:color="FFFFFF"/>
            </w:tcBorders>
            <w:shd w:val="clear" w:color="000000" w:fill="0065A4"/>
            <w:noWrap/>
            <w:vAlign w:val="bottom"/>
            <w:hideMark/>
          </w:tcPr>
          <w:p w14:paraId="44CD5ACA" w14:textId="77777777" w:rsidR="002D4663" w:rsidRPr="00F9573F" w:rsidRDefault="002D4663" w:rsidP="00EC4213">
            <w:pPr>
              <w:pStyle w:val="TableHeader"/>
              <w:keepNext/>
            </w:pPr>
            <w:r w:rsidRPr="00F9573F">
              <w:t>2016</w:t>
            </w:r>
          </w:p>
        </w:tc>
        <w:tc>
          <w:tcPr>
            <w:tcW w:w="1817" w:type="dxa"/>
            <w:tcBorders>
              <w:top w:val="single" w:sz="4" w:space="0" w:color="FFFFFF"/>
              <w:left w:val="nil"/>
              <w:bottom w:val="single" w:sz="4" w:space="0" w:color="FFFFFF"/>
              <w:right w:val="single" w:sz="4" w:space="0" w:color="FFFFFF"/>
            </w:tcBorders>
            <w:shd w:val="clear" w:color="000000" w:fill="0065A4"/>
            <w:noWrap/>
            <w:vAlign w:val="bottom"/>
            <w:hideMark/>
          </w:tcPr>
          <w:p w14:paraId="1520DB44" w14:textId="77777777" w:rsidR="002D4663" w:rsidRPr="00F9573F" w:rsidRDefault="002D4663" w:rsidP="00EC4213">
            <w:pPr>
              <w:pStyle w:val="TableHeader"/>
              <w:keepNext/>
            </w:pPr>
            <w:r w:rsidRPr="00F9573F">
              <w:t>2020</w:t>
            </w:r>
          </w:p>
        </w:tc>
        <w:tc>
          <w:tcPr>
            <w:tcW w:w="1818" w:type="dxa"/>
            <w:tcBorders>
              <w:top w:val="single" w:sz="4" w:space="0" w:color="FFFFFF"/>
              <w:left w:val="nil"/>
              <w:bottom w:val="single" w:sz="4" w:space="0" w:color="FFFFFF"/>
              <w:right w:val="nil"/>
            </w:tcBorders>
            <w:shd w:val="clear" w:color="000000" w:fill="0065A4"/>
            <w:noWrap/>
            <w:vAlign w:val="bottom"/>
            <w:hideMark/>
          </w:tcPr>
          <w:p w14:paraId="2888780D" w14:textId="77777777" w:rsidR="002D4663" w:rsidRPr="00F9573F" w:rsidRDefault="002D4663" w:rsidP="00EC4213">
            <w:pPr>
              <w:pStyle w:val="TableHeader"/>
              <w:keepNext/>
            </w:pPr>
            <w:r w:rsidRPr="00F9573F">
              <w:t>2025</w:t>
            </w:r>
          </w:p>
        </w:tc>
      </w:tr>
      <w:tr w:rsidR="002D4663" w:rsidRPr="00F9573F" w14:paraId="4CA7BA55"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3B32D4E2" w14:textId="77777777" w:rsidR="002D4663" w:rsidRPr="00F9573F" w:rsidRDefault="002D4663" w:rsidP="00EC4213">
            <w:pPr>
              <w:pStyle w:val="TableText"/>
              <w:keepNext/>
            </w:pPr>
            <w:r w:rsidRPr="00F9573F">
              <w:t>Supply</w:t>
            </w:r>
          </w:p>
        </w:tc>
        <w:tc>
          <w:tcPr>
            <w:tcW w:w="1209" w:type="dxa"/>
            <w:tcBorders>
              <w:top w:val="nil"/>
              <w:left w:val="nil"/>
              <w:bottom w:val="single" w:sz="8" w:space="0" w:color="FFFFFF"/>
              <w:right w:val="single" w:sz="8" w:space="0" w:color="FFFFFF"/>
            </w:tcBorders>
            <w:shd w:val="clear" w:color="000000" w:fill="CCE0ED"/>
            <w:vAlign w:val="center"/>
            <w:hideMark/>
          </w:tcPr>
          <w:p w14:paraId="281DC8AE" w14:textId="77777777" w:rsidR="002D4663" w:rsidRPr="00F9573F" w:rsidRDefault="002D4663"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19A8883D" w14:textId="77777777" w:rsidR="002D4663" w:rsidRPr="00F9573F" w:rsidRDefault="002D4663" w:rsidP="00EC4213">
            <w:pPr>
              <w:pStyle w:val="TableText"/>
              <w:keepNext/>
              <w:jc w:val="right"/>
            </w:pPr>
            <w:r w:rsidRPr="00F9573F">
              <w:t>19,148</w:t>
            </w:r>
          </w:p>
        </w:tc>
        <w:tc>
          <w:tcPr>
            <w:tcW w:w="1817" w:type="dxa"/>
            <w:tcBorders>
              <w:top w:val="nil"/>
              <w:left w:val="nil"/>
              <w:bottom w:val="single" w:sz="8" w:space="0" w:color="FFFFFF"/>
              <w:right w:val="single" w:sz="8" w:space="0" w:color="FFFFFF"/>
            </w:tcBorders>
            <w:shd w:val="clear" w:color="000000" w:fill="CCE0ED"/>
            <w:vAlign w:val="center"/>
            <w:hideMark/>
          </w:tcPr>
          <w:p w14:paraId="717F5B82" w14:textId="77777777" w:rsidR="002D4663" w:rsidRPr="00F9573F" w:rsidRDefault="002D4663" w:rsidP="00EC4213">
            <w:pPr>
              <w:pStyle w:val="TableText"/>
              <w:keepNext/>
              <w:jc w:val="right"/>
            </w:pPr>
            <w:r w:rsidRPr="00F9573F">
              <w:t>21,677</w:t>
            </w:r>
          </w:p>
        </w:tc>
        <w:tc>
          <w:tcPr>
            <w:tcW w:w="1818" w:type="dxa"/>
            <w:tcBorders>
              <w:top w:val="nil"/>
              <w:left w:val="nil"/>
              <w:bottom w:val="single" w:sz="8" w:space="0" w:color="FFFFFF"/>
              <w:right w:val="single" w:sz="8" w:space="0" w:color="FFFFFF"/>
            </w:tcBorders>
            <w:shd w:val="clear" w:color="000000" w:fill="CCE0ED"/>
            <w:vAlign w:val="center"/>
            <w:hideMark/>
          </w:tcPr>
          <w:p w14:paraId="3DE671C7" w14:textId="77777777" w:rsidR="002D4663" w:rsidRPr="00F9573F" w:rsidRDefault="002D4663" w:rsidP="00EC4213">
            <w:pPr>
              <w:pStyle w:val="TableText"/>
              <w:keepNext/>
              <w:jc w:val="right"/>
            </w:pPr>
            <w:r w:rsidRPr="00F9573F">
              <w:t>24,903</w:t>
            </w:r>
          </w:p>
        </w:tc>
      </w:tr>
      <w:tr w:rsidR="002D4663" w:rsidRPr="00F9573F" w14:paraId="6695BF09"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59A41CF4" w14:textId="77777777" w:rsidR="002D4663" w:rsidRPr="00F9573F" w:rsidRDefault="002D4663" w:rsidP="00EC4213">
            <w:pPr>
              <w:pStyle w:val="TableText"/>
              <w:keepNext/>
            </w:pPr>
            <w:r w:rsidRPr="00F9573F">
              <w:t>Domestic Graduates</w:t>
            </w:r>
          </w:p>
        </w:tc>
        <w:tc>
          <w:tcPr>
            <w:tcW w:w="1209" w:type="dxa"/>
            <w:tcBorders>
              <w:top w:val="nil"/>
              <w:left w:val="nil"/>
              <w:bottom w:val="single" w:sz="8" w:space="0" w:color="FFFFFF"/>
              <w:right w:val="single" w:sz="8" w:space="0" w:color="FFFFFF"/>
            </w:tcBorders>
            <w:shd w:val="clear" w:color="000000" w:fill="CCEFFC"/>
            <w:vAlign w:val="center"/>
            <w:hideMark/>
          </w:tcPr>
          <w:p w14:paraId="07F7A0D3" w14:textId="77777777" w:rsidR="002D4663" w:rsidRPr="00F9573F" w:rsidRDefault="002D4663" w:rsidP="00EC4213">
            <w:pPr>
              <w:pStyle w:val="TableText"/>
              <w:keepNext/>
              <w:jc w:val="right"/>
            </w:pPr>
            <w:r w:rsidRPr="00F9573F">
              <w:t>804</w:t>
            </w:r>
          </w:p>
        </w:tc>
        <w:tc>
          <w:tcPr>
            <w:tcW w:w="1818" w:type="dxa"/>
            <w:tcBorders>
              <w:top w:val="nil"/>
              <w:left w:val="nil"/>
              <w:bottom w:val="single" w:sz="8" w:space="0" w:color="FFFFFF"/>
              <w:right w:val="single" w:sz="8" w:space="0" w:color="FFFFFF"/>
            </w:tcBorders>
            <w:shd w:val="clear" w:color="000000" w:fill="CCEFFC"/>
            <w:vAlign w:val="center"/>
            <w:hideMark/>
          </w:tcPr>
          <w:p w14:paraId="41E16C82" w14:textId="77777777" w:rsidR="002D4663" w:rsidRPr="00F9573F" w:rsidRDefault="002D4663" w:rsidP="00EC4213">
            <w:pPr>
              <w:pStyle w:val="TableText"/>
              <w:keepNext/>
              <w:jc w:val="right"/>
            </w:pPr>
            <w:r w:rsidRPr="00F9573F">
              <w:t>1,034</w:t>
            </w:r>
          </w:p>
        </w:tc>
        <w:tc>
          <w:tcPr>
            <w:tcW w:w="1817" w:type="dxa"/>
            <w:tcBorders>
              <w:top w:val="nil"/>
              <w:left w:val="nil"/>
              <w:bottom w:val="single" w:sz="8" w:space="0" w:color="FFFFFF"/>
              <w:right w:val="single" w:sz="8" w:space="0" w:color="FFFFFF"/>
            </w:tcBorders>
            <w:shd w:val="clear" w:color="000000" w:fill="CCEFFC"/>
            <w:vAlign w:val="center"/>
            <w:hideMark/>
          </w:tcPr>
          <w:p w14:paraId="000C975D" w14:textId="77777777" w:rsidR="002D4663" w:rsidRPr="00F9573F" w:rsidRDefault="002D4663" w:rsidP="00EC4213">
            <w:pPr>
              <w:pStyle w:val="TableText"/>
              <w:keepNext/>
              <w:jc w:val="right"/>
            </w:pPr>
            <w:r w:rsidRPr="00F9573F">
              <w:t>1,118</w:t>
            </w:r>
          </w:p>
        </w:tc>
        <w:tc>
          <w:tcPr>
            <w:tcW w:w="1818" w:type="dxa"/>
            <w:tcBorders>
              <w:top w:val="nil"/>
              <w:left w:val="nil"/>
              <w:bottom w:val="single" w:sz="8" w:space="0" w:color="FFFFFF"/>
              <w:right w:val="single" w:sz="8" w:space="0" w:color="FFFFFF"/>
            </w:tcBorders>
            <w:shd w:val="clear" w:color="000000" w:fill="CCEFFC"/>
            <w:vAlign w:val="center"/>
            <w:hideMark/>
          </w:tcPr>
          <w:p w14:paraId="7E177FFB" w14:textId="77777777" w:rsidR="002D4663" w:rsidRPr="00F9573F" w:rsidRDefault="002D4663" w:rsidP="00EC4213">
            <w:pPr>
              <w:pStyle w:val="TableText"/>
              <w:keepNext/>
              <w:jc w:val="right"/>
            </w:pPr>
            <w:r w:rsidRPr="00F9573F">
              <w:t>1,118</w:t>
            </w:r>
          </w:p>
        </w:tc>
      </w:tr>
      <w:tr w:rsidR="002D4663" w:rsidRPr="00F9573F" w14:paraId="4DD69303"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19CEB7AE" w14:textId="77777777" w:rsidR="002D4663" w:rsidRPr="00F9573F" w:rsidRDefault="002D4663" w:rsidP="00EC4213">
            <w:pPr>
              <w:pStyle w:val="TableText"/>
              <w:keepNext/>
            </w:pPr>
            <w:r w:rsidRPr="00F9573F">
              <w:t>International Graduates</w:t>
            </w:r>
          </w:p>
        </w:tc>
        <w:tc>
          <w:tcPr>
            <w:tcW w:w="1209" w:type="dxa"/>
            <w:tcBorders>
              <w:top w:val="nil"/>
              <w:left w:val="nil"/>
              <w:bottom w:val="single" w:sz="8" w:space="0" w:color="FFFFFF"/>
              <w:right w:val="single" w:sz="8" w:space="0" w:color="FFFFFF"/>
            </w:tcBorders>
            <w:shd w:val="clear" w:color="000000" w:fill="CCE0ED"/>
            <w:vAlign w:val="center"/>
            <w:hideMark/>
          </w:tcPr>
          <w:p w14:paraId="2A6947E8" w14:textId="77777777" w:rsidR="002D4663" w:rsidRPr="00F9573F" w:rsidRDefault="002D4663" w:rsidP="00EC4213">
            <w:pPr>
              <w:pStyle w:val="TableText"/>
              <w:keepNext/>
              <w:jc w:val="right"/>
            </w:pPr>
            <w:r w:rsidRPr="00F9573F">
              <w:t>123</w:t>
            </w:r>
          </w:p>
        </w:tc>
        <w:tc>
          <w:tcPr>
            <w:tcW w:w="1818" w:type="dxa"/>
            <w:tcBorders>
              <w:top w:val="nil"/>
              <w:left w:val="nil"/>
              <w:bottom w:val="single" w:sz="8" w:space="0" w:color="FFFFFF"/>
              <w:right w:val="single" w:sz="8" w:space="0" w:color="FFFFFF"/>
            </w:tcBorders>
            <w:shd w:val="clear" w:color="000000" w:fill="CCE0ED"/>
            <w:vAlign w:val="center"/>
            <w:hideMark/>
          </w:tcPr>
          <w:p w14:paraId="23F863E1" w14:textId="77777777" w:rsidR="002D4663" w:rsidRPr="00F9573F" w:rsidRDefault="002D4663" w:rsidP="00EC4213">
            <w:pPr>
              <w:pStyle w:val="TableText"/>
              <w:keepNext/>
              <w:jc w:val="right"/>
            </w:pPr>
            <w:r w:rsidRPr="00F9573F">
              <w:t>81</w:t>
            </w:r>
          </w:p>
        </w:tc>
        <w:tc>
          <w:tcPr>
            <w:tcW w:w="1817" w:type="dxa"/>
            <w:tcBorders>
              <w:top w:val="nil"/>
              <w:left w:val="nil"/>
              <w:bottom w:val="single" w:sz="8" w:space="0" w:color="FFFFFF"/>
              <w:right w:val="single" w:sz="8" w:space="0" w:color="FFFFFF"/>
            </w:tcBorders>
            <w:shd w:val="clear" w:color="000000" w:fill="CCE0ED"/>
            <w:vAlign w:val="center"/>
            <w:hideMark/>
          </w:tcPr>
          <w:p w14:paraId="0B1C64FD" w14:textId="77777777" w:rsidR="002D4663" w:rsidRPr="00F9573F" w:rsidRDefault="002D4663" w:rsidP="00EC4213">
            <w:pPr>
              <w:pStyle w:val="TableText"/>
              <w:keepNext/>
              <w:jc w:val="right"/>
            </w:pPr>
            <w:r w:rsidRPr="00F9573F">
              <w:t>92</w:t>
            </w:r>
          </w:p>
        </w:tc>
        <w:tc>
          <w:tcPr>
            <w:tcW w:w="1818" w:type="dxa"/>
            <w:tcBorders>
              <w:top w:val="nil"/>
              <w:left w:val="nil"/>
              <w:bottom w:val="single" w:sz="8" w:space="0" w:color="FFFFFF"/>
              <w:right w:val="single" w:sz="8" w:space="0" w:color="FFFFFF"/>
            </w:tcBorders>
            <w:shd w:val="clear" w:color="000000" w:fill="CCE0ED"/>
            <w:vAlign w:val="center"/>
            <w:hideMark/>
          </w:tcPr>
          <w:p w14:paraId="5B5B04DE" w14:textId="77777777" w:rsidR="002D4663" w:rsidRPr="00F9573F" w:rsidRDefault="002D4663" w:rsidP="00EC4213">
            <w:pPr>
              <w:pStyle w:val="TableText"/>
              <w:keepNext/>
              <w:jc w:val="right"/>
            </w:pPr>
            <w:r w:rsidRPr="00F9573F">
              <w:t>92</w:t>
            </w:r>
          </w:p>
        </w:tc>
      </w:tr>
      <w:tr w:rsidR="002D4663" w:rsidRPr="00F9573F" w14:paraId="314F279C"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3BD2B62D" w14:textId="77777777" w:rsidR="002D4663" w:rsidRPr="00F9573F" w:rsidRDefault="002D4663" w:rsidP="00EC4213">
            <w:pPr>
              <w:pStyle w:val="TableText"/>
              <w:keepNext/>
            </w:pPr>
            <w:r w:rsidRPr="00F9573F">
              <w:t>Skilled Migration</w:t>
            </w:r>
          </w:p>
        </w:tc>
        <w:tc>
          <w:tcPr>
            <w:tcW w:w="1209" w:type="dxa"/>
            <w:tcBorders>
              <w:top w:val="nil"/>
              <w:left w:val="nil"/>
              <w:bottom w:val="single" w:sz="8" w:space="0" w:color="FFFFFF"/>
              <w:right w:val="single" w:sz="8" w:space="0" w:color="FFFFFF"/>
            </w:tcBorders>
            <w:shd w:val="clear" w:color="000000" w:fill="CCEFFC"/>
            <w:vAlign w:val="center"/>
            <w:hideMark/>
          </w:tcPr>
          <w:p w14:paraId="1DA3BF41" w14:textId="77777777" w:rsidR="002D4663" w:rsidRPr="00F9573F" w:rsidRDefault="002D4663"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2DECF176" w14:textId="77777777" w:rsidR="002D4663" w:rsidRPr="00F9573F" w:rsidRDefault="002D4663" w:rsidP="00EC4213">
            <w:pPr>
              <w:pStyle w:val="TableText"/>
              <w:keepNext/>
              <w:jc w:val="right"/>
            </w:pPr>
            <w:r w:rsidRPr="00F9573F">
              <w:t>137</w:t>
            </w:r>
          </w:p>
        </w:tc>
        <w:tc>
          <w:tcPr>
            <w:tcW w:w="1817" w:type="dxa"/>
            <w:tcBorders>
              <w:top w:val="nil"/>
              <w:left w:val="nil"/>
              <w:bottom w:val="single" w:sz="8" w:space="0" w:color="FFFFFF"/>
              <w:right w:val="single" w:sz="8" w:space="0" w:color="FFFFFF"/>
            </w:tcBorders>
            <w:shd w:val="clear" w:color="000000" w:fill="CCEFFC"/>
            <w:vAlign w:val="center"/>
            <w:hideMark/>
          </w:tcPr>
          <w:p w14:paraId="75F81554" w14:textId="77777777" w:rsidR="002D4663" w:rsidRPr="00F9573F" w:rsidRDefault="002D4663" w:rsidP="00EC4213">
            <w:pPr>
              <w:pStyle w:val="TableText"/>
              <w:keepNext/>
              <w:jc w:val="right"/>
            </w:pPr>
            <w:r w:rsidRPr="00F9573F">
              <w:t>137</w:t>
            </w:r>
          </w:p>
        </w:tc>
        <w:tc>
          <w:tcPr>
            <w:tcW w:w="1818" w:type="dxa"/>
            <w:tcBorders>
              <w:top w:val="nil"/>
              <w:left w:val="nil"/>
              <w:bottom w:val="single" w:sz="8" w:space="0" w:color="FFFFFF"/>
              <w:right w:val="single" w:sz="8" w:space="0" w:color="FFFFFF"/>
            </w:tcBorders>
            <w:shd w:val="clear" w:color="000000" w:fill="CCEFFC"/>
            <w:vAlign w:val="center"/>
            <w:hideMark/>
          </w:tcPr>
          <w:p w14:paraId="49573312" w14:textId="77777777" w:rsidR="002D4663" w:rsidRPr="00F9573F" w:rsidRDefault="002D4663" w:rsidP="00EC4213">
            <w:pPr>
              <w:pStyle w:val="TableText"/>
              <w:keepNext/>
              <w:jc w:val="right"/>
            </w:pPr>
            <w:r w:rsidRPr="00F9573F">
              <w:t>137</w:t>
            </w:r>
          </w:p>
        </w:tc>
      </w:tr>
      <w:tr w:rsidR="002D4663" w:rsidRPr="00F9573F" w14:paraId="6992666B"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44AF5EFE" w14:textId="77777777" w:rsidR="002D4663" w:rsidRPr="00F9573F" w:rsidRDefault="002D4663" w:rsidP="00EC4213">
            <w:pPr>
              <w:pStyle w:val="TableText"/>
              <w:keepNext/>
            </w:pPr>
            <w:r w:rsidRPr="00F9573F">
              <w:t>Temporary Migration</w:t>
            </w:r>
          </w:p>
        </w:tc>
        <w:tc>
          <w:tcPr>
            <w:tcW w:w="1209" w:type="dxa"/>
            <w:tcBorders>
              <w:top w:val="nil"/>
              <w:left w:val="nil"/>
              <w:bottom w:val="single" w:sz="8" w:space="0" w:color="FFFFFF"/>
              <w:right w:val="single" w:sz="8" w:space="0" w:color="FFFFFF"/>
            </w:tcBorders>
            <w:shd w:val="clear" w:color="000000" w:fill="CCE0ED"/>
            <w:vAlign w:val="center"/>
            <w:hideMark/>
          </w:tcPr>
          <w:p w14:paraId="16DC0F84" w14:textId="77777777" w:rsidR="002D4663" w:rsidRPr="00F9573F" w:rsidRDefault="002D4663"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134BFB3F" w14:textId="77777777" w:rsidR="002D4663" w:rsidRPr="00F9573F" w:rsidRDefault="002D4663" w:rsidP="00EC4213">
            <w:pPr>
              <w:pStyle w:val="TableText"/>
              <w:keepNext/>
              <w:jc w:val="right"/>
            </w:pPr>
            <w:r w:rsidRPr="00F9573F">
              <w:t>179</w:t>
            </w:r>
          </w:p>
        </w:tc>
        <w:tc>
          <w:tcPr>
            <w:tcW w:w="1817" w:type="dxa"/>
            <w:tcBorders>
              <w:top w:val="nil"/>
              <w:left w:val="nil"/>
              <w:bottom w:val="single" w:sz="8" w:space="0" w:color="FFFFFF"/>
              <w:right w:val="single" w:sz="8" w:space="0" w:color="FFFFFF"/>
            </w:tcBorders>
            <w:shd w:val="clear" w:color="000000" w:fill="CCE0ED"/>
            <w:vAlign w:val="center"/>
            <w:hideMark/>
          </w:tcPr>
          <w:p w14:paraId="64F24D84" w14:textId="77777777" w:rsidR="002D4663" w:rsidRPr="00F9573F" w:rsidRDefault="002D4663" w:rsidP="00EC4213">
            <w:pPr>
              <w:pStyle w:val="TableText"/>
              <w:keepNext/>
              <w:jc w:val="right"/>
            </w:pPr>
            <w:r w:rsidRPr="00F9573F">
              <w:t>179</w:t>
            </w:r>
          </w:p>
        </w:tc>
        <w:tc>
          <w:tcPr>
            <w:tcW w:w="1818" w:type="dxa"/>
            <w:tcBorders>
              <w:top w:val="nil"/>
              <w:left w:val="nil"/>
              <w:bottom w:val="single" w:sz="8" w:space="0" w:color="FFFFFF"/>
              <w:right w:val="single" w:sz="8" w:space="0" w:color="FFFFFF"/>
            </w:tcBorders>
            <w:shd w:val="clear" w:color="000000" w:fill="CCE0ED"/>
            <w:vAlign w:val="center"/>
            <w:hideMark/>
          </w:tcPr>
          <w:p w14:paraId="3E94B28B" w14:textId="77777777" w:rsidR="002D4663" w:rsidRPr="00F9573F" w:rsidRDefault="002D4663" w:rsidP="00EC4213">
            <w:pPr>
              <w:pStyle w:val="TableText"/>
              <w:keepNext/>
              <w:jc w:val="right"/>
            </w:pPr>
            <w:r w:rsidRPr="00F9573F">
              <w:t>179</w:t>
            </w:r>
          </w:p>
        </w:tc>
      </w:tr>
      <w:tr w:rsidR="002D4663" w:rsidRPr="00F9573F" w14:paraId="32D1858E"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3070149A" w14:textId="77777777" w:rsidR="002D4663" w:rsidRPr="00F9573F" w:rsidRDefault="002D4663" w:rsidP="00EC4213">
            <w:pPr>
              <w:pStyle w:val="TableText"/>
              <w:keepNext/>
            </w:pPr>
            <w:r w:rsidRPr="00F9573F">
              <w:t>Exits (%)</w:t>
            </w:r>
          </w:p>
        </w:tc>
        <w:tc>
          <w:tcPr>
            <w:tcW w:w="1209" w:type="dxa"/>
            <w:tcBorders>
              <w:top w:val="nil"/>
              <w:left w:val="nil"/>
              <w:bottom w:val="single" w:sz="8" w:space="0" w:color="FFFFFF"/>
              <w:right w:val="single" w:sz="8" w:space="0" w:color="FFFFFF"/>
            </w:tcBorders>
            <w:shd w:val="clear" w:color="000000" w:fill="CCEFFC"/>
            <w:vAlign w:val="center"/>
            <w:hideMark/>
          </w:tcPr>
          <w:p w14:paraId="56D329D7" w14:textId="77777777" w:rsidR="002D4663" w:rsidRPr="00F9573F" w:rsidRDefault="002D4663" w:rsidP="00EC4213">
            <w:pPr>
              <w:pStyle w:val="TableText"/>
              <w:keepNext/>
              <w:jc w:val="right"/>
            </w:pPr>
            <w:r w:rsidRPr="00F9573F">
              <w:t>5.45%</w:t>
            </w:r>
          </w:p>
        </w:tc>
        <w:tc>
          <w:tcPr>
            <w:tcW w:w="1818" w:type="dxa"/>
            <w:tcBorders>
              <w:top w:val="nil"/>
              <w:left w:val="nil"/>
              <w:bottom w:val="single" w:sz="8" w:space="0" w:color="FFFFFF"/>
              <w:right w:val="single" w:sz="8" w:space="0" w:color="FFFFFF"/>
            </w:tcBorders>
            <w:shd w:val="clear" w:color="000000" w:fill="CCEFFC"/>
            <w:vAlign w:val="center"/>
            <w:hideMark/>
          </w:tcPr>
          <w:p w14:paraId="7DF90B65" w14:textId="77777777" w:rsidR="002D4663" w:rsidRPr="00F9573F" w:rsidRDefault="002D4663" w:rsidP="00EC4213">
            <w:pPr>
              <w:pStyle w:val="TableText"/>
              <w:keepNext/>
              <w:jc w:val="right"/>
            </w:pPr>
            <w:r w:rsidRPr="00F9573F">
              <w:t>3.67%</w:t>
            </w:r>
          </w:p>
        </w:tc>
        <w:tc>
          <w:tcPr>
            <w:tcW w:w="1817" w:type="dxa"/>
            <w:tcBorders>
              <w:top w:val="nil"/>
              <w:left w:val="nil"/>
              <w:bottom w:val="single" w:sz="8" w:space="0" w:color="FFFFFF"/>
              <w:right w:val="single" w:sz="8" w:space="0" w:color="FFFFFF"/>
            </w:tcBorders>
            <w:shd w:val="clear" w:color="000000" w:fill="CCEFFC"/>
            <w:vAlign w:val="center"/>
            <w:hideMark/>
          </w:tcPr>
          <w:p w14:paraId="56373047" w14:textId="77777777" w:rsidR="002D4663" w:rsidRPr="00F9573F" w:rsidRDefault="002D4663" w:rsidP="00EC4213">
            <w:pPr>
              <w:pStyle w:val="TableText"/>
              <w:keepNext/>
              <w:jc w:val="right"/>
            </w:pPr>
            <w:r w:rsidRPr="00F9573F">
              <w:t>3.17%</w:t>
            </w:r>
          </w:p>
        </w:tc>
        <w:tc>
          <w:tcPr>
            <w:tcW w:w="1818" w:type="dxa"/>
            <w:tcBorders>
              <w:top w:val="nil"/>
              <w:left w:val="nil"/>
              <w:bottom w:val="single" w:sz="8" w:space="0" w:color="FFFFFF"/>
              <w:right w:val="single" w:sz="8" w:space="0" w:color="FFFFFF"/>
            </w:tcBorders>
            <w:shd w:val="clear" w:color="000000" w:fill="CCEFFC"/>
            <w:vAlign w:val="center"/>
            <w:hideMark/>
          </w:tcPr>
          <w:p w14:paraId="1E44071C" w14:textId="77777777" w:rsidR="002D4663" w:rsidRPr="00F9573F" w:rsidRDefault="002D4663" w:rsidP="00EC4213">
            <w:pPr>
              <w:pStyle w:val="TableText"/>
              <w:keepNext/>
              <w:jc w:val="right"/>
            </w:pPr>
            <w:r w:rsidRPr="00F9573F">
              <w:t>2.97%</w:t>
            </w:r>
          </w:p>
        </w:tc>
      </w:tr>
      <w:tr w:rsidR="002D4663" w:rsidRPr="00F9573F" w14:paraId="3FA9538D"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0ED"/>
            <w:vAlign w:val="center"/>
            <w:hideMark/>
          </w:tcPr>
          <w:p w14:paraId="2AFD5DE5" w14:textId="77777777" w:rsidR="002D4663" w:rsidRPr="00F9573F" w:rsidRDefault="002D4663" w:rsidP="00EC4213">
            <w:pPr>
              <w:pStyle w:val="TableText"/>
              <w:keepNext/>
            </w:pPr>
            <w:r w:rsidRPr="00F9573F">
              <w:t>Demand</w:t>
            </w:r>
          </w:p>
        </w:tc>
        <w:tc>
          <w:tcPr>
            <w:tcW w:w="1209" w:type="dxa"/>
            <w:tcBorders>
              <w:top w:val="nil"/>
              <w:left w:val="nil"/>
              <w:bottom w:val="single" w:sz="8" w:space="0" w:color="FFFFFF"/>
              <w:right w:val="single" w:sz="8" w:space="0" w:color="FFFFFF"/>
            </w:tcBorders>
            <w:shd w:val="clear" w:color="000000" w:fill="CCE0ED"/>
            <w:vAlign w:val="center"/>
            <w:hideMark/>
          </w:tcPr>
          <w:p w14:paraId="5507F4B4" w14:textId="77777777" w:rsidR="002D4663" w:rsidRPr="00F9573F" w:rsidRDefault="002D4663" w:rsidP="00EC4213">
            <w:pPr>
              <w:pStyle w:val="TableText"/>
              <w:keepNext/>
              <w:jc w:val="right"/>
            </w:pPr>
            <w:r w:rsidRPr="00F9573F">
              <w:t>16,776</w:t>
            </w:r>
          </w:p>
        </w:tc>
        <w:tc>
          <w:tcPr>
            <w:tcW w:w="1818" w:type="dxa"/>
            <w:tcBorders>
              <w:top w:val="nil"/>
              <w:left w:val="nil"/>
              <w:bottom w:val="single" w:sz="8" w:space="0" w:color="FFFFFF"/>
              <w:right w:val="single" w:sz="8" w:space="0" w:color="FFFFFF"/>
            </w:tcBorders>
            <w:shd w:val="clear" w:color="000000" w:fill="CCE0ED"/>
            <w:vAlign w:val="center"/>
            <w:hideMark/>
          </w:tcPr>
          <w:p w14:paraId="2D43876A" w14:textId="77777777" w:rsidR="002D4663" w:rsidRPr="00F9573F" w:rsidRDefault="002D4663" w:rsidP="00EC4213">
            <w:pPr>
              <w:pStyle w:val="TableText"/>
              <w:keepNext/>
              <w:jc w:val="right"/>
            </w:pPr>
            <w:r w:rsidRPr="00F9573F">
              <w:t>17,871</w:t>
            </w:r>
          </w:p>
        </w:tc>
        <w:tc>
          <w:tcPr>
            <w:tcW w:w="1817" w:type="dxa"/>
            <w:tcBorders>
              <w:top w:val="nil"/>
              <w:left w:val="nil"/>
              <w:bottom w:val="single" w:sz="8" w:space="0" w:color="FFFFFF"/>
              <w:right w:val="single" w:sz="8" w:space="0" w:color="FFFFFF"/>
            </w:tcBorders>
            <w:shd w:val="clear" w:color="000000" w:fill="CCE0ED"/>
            <w:vAlign w:val="center"/>
            <w:hideMark/>
          </w:tcPr>
          <w:p w14:paraId="12AEC82D" w14:textId="77777777" w:rsidR="002D4663" w:rsidRPr="00F9573F" w:rsidRDefault="002D4663" w:rsidP="00EC4213">
            <w:pPr>
              <w:pStyle w:val="TableText"/>
              <w:keepNext/>
              <w:jc w:val="right"/>
            </w:pPr>
            <w:r w:rsidRPr="00F9573F">
              <w:t>19,040</w:t>
            </w:r>
          </w:p>
        </w:tc>
        <w:tc>
          <w:tcPr>
            <w:tcW w:w="1818" w:type="dxa"/>
            <w:tcBorders>
              <w:top w:val="nil"/>
              <w:left w:val="nil"/>
              <w:bottom w:val="single" w:sz="8" w:space="0" w:color="FFFFFF"/>
              <w:right w:val="single" w:sz="8" w:space="0" w:color="FFFFFF"/>
            </w:tcBorders>
            <w:shd w:val="clear" w:color="000000" w:fill="CCE0ED"/>
            <w:vAlign w:val="center"/>
            <w:hideMark/>
          </w:tcPr>
          <w:p w14:paraId="56421195" w14:textId="77777777" w:rsidR="002D4663" w:rsidRPr="00F9573F" w:rsidRDefault="002D4663" w:rsidP="00EC4213">
            <w:pPr>
              <w:pStyle w:val="TableText"/>
              <w:keepNext/>
              <w:jc w:val="right"/>
            </w:pPr>
            <w:r w:rsidRPr="00F9573F">
              <w:t>20,529</w:t>
            </w:r>
          </w:p>
        </w:tc>
      </w:tr>
      <w:tr w:rsidR="002D4663" w:rsidRPr="00F9573F" w14:paraId="355E8511" w14:textId="77777777" w:rsidTr="00E16FBF">
        <w:trPr>
          <w:trHeight w:val="255"/>
        </w:trPr>
        <w:tc>
          <w:tcPr>
            <w:tcW w:w="2425" w:type="dxa"/>
            <w:tcBorders>
              <w:top w:val="nil"/>
              <w:left w:val="single" w:sz="8" w:space="0" w:color="FFFFFF"/>
              <w:bottom w:val="single" w:sz="8" w:space="0" w:color="FFFFFF"/>
              <w:right w:val="single" w:sz="8" w:space="0" w:color="FFFFFF"/>
            </w:tcBorders>
            <w:shd w:val="clear" w:color="000000" w:fill="CCEFFC"/>
            <w:vAlign w:val="center"/>
            <w:hideMark/>
          </w:tcPr>
          <w:p w14:paraId="5DF71A91" w14:textId="77777777" w:rsidR="002D4663" w:rsidRPr="00F9573F" w:rsidRDefault="002D4663" w:rsidP="00EC4213">
            <w:pPr>
              <w:pStyle w:val="TableText"/>
              <w:keepNext/>
            </w:pPr>
            <w:r w:rsidRPr="00F9573F">
              <w:t>Excess/Shortfall</w:t>
            </w:r>
          </w:p>
        </w:tc>
        <w:tc>
          <w:tcPr>
            <w:tcW w:w="1209" w:type="dxa"/>
            <w:tcBorders>
              <w:top w:val="nil"/>
              <w:left w:val="nil"/>
              <w:bottom w:val="single" w:sz="8" w:space="0" w:color="FFFFFF"/>
              <w:right w:val="single" w:sz="8" w:space="0" w:color="FFFFFF"/>
            </w:tcBorders>
            <w:shd w:val="clear" w:color="000000" w:fill="CCEFFC"/>
            <w:vAlign w:val="center"/>
            <w:hideMark/>
          </w:tcPr>
          <w:p w14:paraId="6BC31E6A" w14:textId="77777777" w:rsidR="002D4663" w:rsidRPr="00F9573F" w:rsidRDefault="002D4663" w:rsidP="00EC4213">
            <w:pPr>
              <w:pStyle w:val="TableText"/>
              <w:keepNext/>
              <w:jc w:val="right"/>
            </w:pPr>
            <w:r w:rsidRPr="00F9573F">
              <w:t>SP</w:t>
            </w:r>
          </w:p>
        </w:tc>
        <w:tc>
          <w:tcPr>
            <w:tcW w:w="1818" w:type="dxa"/>
            <w:tcBorders>
              <w:top w:val="nil"/>
              <w:left w:val="nil"/>
              <w:bottom w:val="single" w:sz="8" w:space="0" w:color="FFFFFF"/>
              <w:right w:val="single" w:sz="8" w:space="0" w:color="FFFFFF"/>
            </w:tcBorders>
            <w:shd w:val="clear" w:color="000000" w:fill="CCEFFC"/>
            <w:vAlign w:val="center"/>
            <w:hideMark/>
          </w:tcPr>
          <w:p w14:paraId="3772BE5F" w14:textId="77777777" w:rsidR="002D4663" w:rsidRPr="00F9573F" w:rsidRDefault="002D4663" w:rsidP="00EC4213">
            <w:pPr>
              <w:pStyle w:val="TableText"/>
              <w:keepNext/>
              <w:jc w:val="right"/>
            </w:pPr>
            <w:r w:rsidRPr="00F9573F">
              <w:t>1,277</w:t>
            </w:r>
          </w:p>
        </w:tc>
        <w:tc>
          <w:tcPr>
            <w:tcW w:w="1817" w:type="dxa"/>
            <w:tcBorders>
              <w:top w:val="nil"/>
              <w:left w:val="nil"/>
              <w:bottom w:val="single" w:sz="8" w:space="0" w:color="FFFFFF"/>
              <w:right w:val="single" w:sz="8" w:space="0" w:color="FFFFFF"/>
            </w:tcBorders>
            <w:shd w:val="clear" w:color="000000" w:fill="CCEFFC"/>
            <w:vAlign w:val="center"/>
            <w:hideMark/>
          </w:tcPr>
          <w:p w14:paraId="47FE11B6" w14:textId="77777777" w:rsidR="002D4663" w:rsidRPr="00F9573F" w:rsidRDefault="002D4663" w:rsidP="00EC4213">
            <w:pPr>
              <w:pStyle w:val="TableText"/>
              <w:keepNext/>
              <w:jc w:val="right"/>
            </w:pPr>
            <w:r w:rsidRPr="00F9573F">
              <w:t>2,637</w:t>
            </w:r>
          </w:p>
        </w:tc>
        <w:tc>
          <w:tcPr>
            <w:tcW w:w="1818" w:type="dxa"/>
            <w:tcBorders>
              <w:top w:val="nil"/>
              <w:left w:val="nil"/>
              <w:bottom w:val="single" w:sz="8" w:space="0" w:color="FFFFFF"/>
              <w:right w:val="single" w:sz="8" w:space="0" w:color="FFFFFF"/>
            </w:tcBorders>
            <w:shd w:val="clear" w:color="000000" w:fill="CCEFFC"/>
            <w:vAlign w:val="center"/>
            <w:hideMark/>
          </w:tcPr>
          <w:p w14:paraId="78FA4CBA" w14:textId="77777777" w:rsidR="002D4663" w:rsidRPr="00F9573F" w:rsidRDefault="002D4663" w:rsidP="00EC4213">
            <w:pPr>
              <w:pStyle w:val="TableText"/>
              <w:keepNext/>
              <w:jc w:val="right"/>
            </w:pPr>
            <w:r w:rsidRPr="00F9573F">
              <w:t>4,374</w:t>
            </w:r>
          </w:p>
        </w:tc>
      </w:tr>
    </w:tbl>
    <w:p w14:paraId="779E3291" w14:textId="77777777" w:rsidR="002D4663" w:rsidRPr="00F9573F" w:rsidRDefault="002D4663" w:rsidP="00EC4213">
      <w:pPr>
        <w:pStyle w:val="Tablenotes"/>
      </w:pPr>
      <w:r w:rsidRPr="00F9573F">
        <w:t>SP: starting point</w:t>
      </w:r>
    </w:p>
    <w:p w14:paraId="7545C086" w14:textId="77777777" w:rsidR="00E241F0" w:rsidRPr="00976D1C" w:rsidRDefault="00E241F0" w:rsidP="00EC4213">
      <w:pPr>
        <w:pStyle w:val="Heading1"/>
      </w:pPr>
      <w:bookmarkStart w:id="138" w:name="_Toc407634442"/>
      <w:r w:rsidRPr="00976D1C">
        <w:lastRenderedPageBreak/>
        <w:t>Glossary</w:t>
      </w:r>
      <w:bookmarkEnd w:id="138"/>
    </w:p>
    <w:p w14:paraId="0FF7C1B4" w14:textId="77777777" w:rsidR="00E241F0" w:rsidRPr="00976D1C" w:rsidRDefault="00E241F0" w:rsidP="00EC4213">
      <w:r w:rsidRPr="00976D1C">
        <w:rPr>
          <w:b/>
        </w:rPr>
        <w:t>Clinician</w:t>
      </w:r>
      <w:r w:rsidRPr="00976D1C">
        <w:t xml:space="preserve"> – A person who spends the majority of their time working in the area of clinical practice, that is, the diagnosis, care and treatment (including recommended preventative action) of patients or clients. Clinical practice may involve direct client contact or may be practiced indirectly through individual case material (for example, a dental technician). </w:t>
      </w:r>
    </w:p>
    <w:p w14:paraId="2ECED4F5" w14:textId="77777777" w:rsidR="00E241F0" w:rsidRPr="00976D1C" w:rsidRDefault="00E241F0" w:rsidP="00EC4213">
      <w:r w:rsidRPr="00976D1C">
        <w:rPr>
          <w:b/>
        </w:rPr>
        <w:t>Comparison scenario</w:t>
      </w:r>
      <w:r w:rsidRPr="00976D1C">
        <w:t xml:space="preserve"> – A scenario where current trends are assumed to continue into the future. This is compared with a range of alternative scenarios. </w:t>
      </w:r>
    </w:p>
    <w:p w14:paraId="4FCC882E" w14:textId="77777777" w:rsidR="00E241F0" w:rsidRPr="00976D1C" w:rsidRDefault="00E241F0" w:rsidP="00EC4213">
      <w:r w:rsidRPr="00976D1C">
        <w:rPr>
          <w:b/>
        </w:rPr>
        <w:t>Employed</w:t>
      </w:r>
      <w:r w:rsidRPr="00976D1C">
        <w:t xml:space="preserve"> – a practitioner who reported working in their profession in the week before the survey. In this report, data on employed practitioners include those who:</w:t>
      </w:r>
    </w:p>
    <w:p w14:paraId="749129FE" w14:textId="77777777" w:rsidR="00E241F0" w:rsidRPr="00976D1C" w:rsidRDefault="00E241F0" w:rsidP="00EC4213">
      <w:pPr>
        <w:pStyle w:val="ListParagraph"/>
        <w:numPr>
          <w:ilvl w:val="0"/>
          <w:numId w:val="23"/>
        </w:numPr>
      </w:pPr>
      <w:r w:rsidRPr="00976D1C">
        <w:t xml:space="preserve">Worked for a total of one hour or more in the week before the survey in a job or business (including own business) for pay, commission, payment in kind or profit. </w:t>
      </w:r>
    </w:p>
    <w:p w14:paraId="0004FAF3" w14:textId="0E4CD05F" w:rsidR="00E241F0" w:rsidRPr="00976D1C" w:rsidRDefault="00E241F0" w:rsidP="00EC4213">
      <w:pPr>
        <w:pStyle w:val="ListParagraph"/>
        <w:numPr>
          <w:ilvl w:val="0"/>
          <w:numId w:val="23"/>
        </w:numPr>
      </w:pPr>
      <w:r w:rsidRPr="00976D1C">
        <w:t>Usually worked, but were on leave for less than three months, on strike or locked out, or rostered off</w:t>
      </w:r>
      <w:r w:rsidR="00804E00" w:rsidRPr="00976D1C">
        <w:t>.</w:t>
      </w:r>
    </w:p>
    <w:p w14:paraId="5A1BF18D" w14:textId="77777777" w:rsidR="00E241F0" w:rsidRPr="00976D1C" w:rsidRDefault="00E241F0" w:rsidP="00EC4213">
      <w:r w:rsidRPr="00976D1C">
        <w:rPr>
          <w:b/>
        </w:rPr>
        <w:t>Full-time equivalent (FTE)</w:t>
      </w:r>
      <w:r w:rsidRPr="00976D1C">
        <w:t xml:space="preserve"> – The model calculates FTE on a per role basis based on the initial headcount in these workforces, multiplied by their reported hours worked. This is then divided by a standardized assumption about what constitutes a single FTE across the workforces modelled (38 hours per week) to generate the FTE quantity. </w:t>
      </w:r>
    </w:p>
    <w:p w14:paraId="6555FF75" w14:textId="77777777" w:rsidR="00E241F0" w:rsidRPr="00976D1C" w:rsidRDefault="00E241F0" w:rsidP="00EC4213">
      <w:r w:rsidRPr="00976D1C">
        <w:rPr>
          <w:b/>
        </w:rPr>
        <w:t>International dental graduate (IDG)</w:t>
      </w:r>
      <w:r w:rsidRPr="00976D1C">
        <w:t xml:space="preserve"> – Dentists whose basic dental qualifications were acquired in a country other than Australia</w:t>
      </w:r>
    </w:p>
    <w:p w14:paraId="2F3628A3" w14:textId="77777777" w:rsidR="00E241F0" w:rsidRPr="00976D1C" w:rsidRDefault="00E241F0" w:rsidP="00EC4213">
      <w:r w:rsidRPr="00976D1C">
        <w:rPr>
          <w:b/>
        </w:rPr>
        <w:t>International students</w:t>
      </w:r>
      <w:r w:rsidRPr="00976D1C">
        <w:t xml:space="preserve"> – Private or sponsored students in an Australian university who are not Australian citizens or permanent residents. </w:t>
      </w:r>
    </w:p>
    <w:p w14:paraId="7513EF1E" w14:textId="20BAB83C" w:rsidR="00F22EFF" w:rsidRPr="00976D1C" w:rsidRDefault="00E241F0" w:rsidP="00EC4213">
      <w:pPr>
        <w:rPr>
          <w:lang w:eastAsia="x-none"/>
        </w:rPr>
      </w:pPr>
      <w:r w:rsidRPr="00976D1C">
        <w:rPr>
          <w:b/>
        </w:rPr>
        <w:t>Registered workforce</w:t>
      </w:r>
      <w:r w:rsidRPr="00976D1C">
        <w:t xml:space="preserve"> – Those dental professions which are regulated under the National Registration and Accreditation Scheme – dentists, dental specialists, oral health therapists, dental hygienists, and dental therapists.</w:t>
      </w:r>
      <w:r w:rsidR="00825130" w:rsidRPr="00976D1C">
        <w:rPr>
          <w:lang w:eastAsia="x-none"/>
        </w:rPr>
        <w:t xml:space="preserve"> </w:t>
      </w:r>
    </w:p>
    <w:p w14:paraId="18C9401F" w14:textId="77777777" w:rsidR="00C56506" w:rsidRPr="00976D1C" w:rsidRDefault="00C56506" w:rsidP="00EC4213">
      <w:pPr>
        <w:rPr>
          <w:lang w:eastAsia="x-none"/>
        </w:rPr>
        <w:sectPr w:rsidR="00C56506" w:rsidRPr="00976D1C" w:rsidSect="00915581">
          <w:type w:val="continuous"/>
          <w:pgSz w:w="11906" w:h="16838"/>
          <w:pgMar w:top="1440" w:right="1440" w:bottom="1440" w:left="1440" w:header="708" w:footer="708" w:gutter="0"/>
          <w:pgBorders w:offsetFrom="page">
            <w:right w:val="single" w:sz="4" w:space="24" w:color="FFFFFF" w:themeColor="background1"/>
          </w:pgBorders>
          <w:cols w:space="708"/>
          <w:docGrid w:linePitch="360"/>
        </w:sectPr>
      </w:pPr>
    </w:p>
    <w:p w14:paraId="7BADA03A" w14:textId="524D63E4" w:rsidR="00C63501" w:rsidRPr="00976D1C" w:rsidRDefault="00C63501" w:rsidP="00EC4213">
      <w:pPr>
        <w:pStyle w:val="Heading1"/>
      </w:pPr>
      <w:bookmarkStart w:id="139" w:name="_Toc377045988"/>
      <w:bookmarkStart w:id="140" w:name="_Toc407634443"/>
      <w:r w:rsidRPr="00976D1C">
        <w:lastRenderedPageBreak/>
        <w:t>References</w:t>
      </w:r>
      <w:bookmarkEnd w:id="139"/>
      <w:bookmarkEnd w:id="140"/>
    </w:p>
    <w:sectPr w:rsidR="00C63501" w:rsidRPr="00976D1C" w:rsidSect="00F22EFF">
      <w:pgSz w:w="11906" w:h="16838"/>
      <w:pgMar w:top="1440" w:right="1440" w:bottom="1440" w:left="1440" w:header="708" w:footer="708" w:gutter="0"/>
      <w:pgBorders w:offsetFrom="page">
        <w:right w:val="single" w:sz="4" w:space="24" w:color="FFFFFF" w:themeColor="background1"/>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ECA8E7" w14:textId="77777777" w:rsidR="00406A2C" w:rsidRDefault="00406A2C" w:rsidP="00963AD0">
      <w:pPr>
        <w:spacing w:after="0" w:line="240" w:lineRule="auto"/>
      </w:pPr>
      <w:r>
        <w:separator/>
      </w:r>
    </w:p>
  </w:endnote>
  <w:endnote w:type="continuationSeparator" w:id="0">
    <w:p w14:paraId="5A5A4D9D" w14:textId="77777777" w:rsidR="00406A2C" w:rsidRDefault="00406A2C" w:rsidP="00963AD0">
      <w:pPr>
        <w:spacing w:after="0" w:line="240" w:lineRule="auto"/>
      </w:pPr>
      <w:r>
        <w:continuationSeparator/>
      </w:r>
    </w:p>
  </w:endnote>
  <w:endnote w:id="1">
    <w:p w14:paraId="66E7A87C" w14:textId="77777777" w:rsidR="00406A2C" w:rsidRPr="00222858" w:rsidRDefault="00406A2C" w:rsidP="0069184E">
      <w:pPr>
        <w:pStyle w:val="EndnoteText"/>
        <w:spacing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National Advisory Committee on Oral Health for the Australian Health Ministers’ Conference 2004. </w:t>
      </w:r>
      <w:r w:rsidRPr="00222858">
        <w:rPr>
          <w:rFonts w:ascii="Avenir LT Std 35 Light" w:hAnsi="Avenir LT Std 35 Light"/>
          <w:i/>
          <w:lang w:val="en-US"/>
        </w:rPr>
        <w:t>Healthy Mouths Healthy Lives: Australia’s National Oral Health Plan 2004-2013</w:t>
      </w:r>
      <w:r w:rsidRPr="00222858">
        <w:rPr>
          <w:rFonts w:ascii="Avenir LT Std 35 Light" w:hAnsi="Avenir LT Std 35 Light"/>
          <w:lang w:val="en-US"/>
        </w:rPr>
        <w:t>. Adelaide: South Australian Department of Health.</w:t>
      </w:r>
    </w:p>
  </w:endnote>
  <w:endnote w:id="2">
    <w:p w14:paraId="49FFA5AD" w14:textId="3A9A360E" w:rsidR="00406A2C" w:rsidRDefault="00406A2C">
      <w:pPr>
        <w:pStyle w:val="EndnoteText"/>
      </w:pPr>
      <w:r>
        <w:rPr>
          <w:rStyle w:val="EndnoteReference"/>
        </w:rPr>
        <w:endnoteRef/>
      </w:r>
      <w:r>
        <w:t xml:space="preserve"> </w:t>
      </w:r>
      <w:r w:rsidRPr="00222858">
        <w:rPr>
          <w:rFonts w:ascii="Avenir LT Std 35 Light" w:hAnsi="Avenir LT Std 35 Light"/>
        </w:rPr>
        <w:t xml:space="preserve">Chrisopoulos S &amp; Harford JE 2013. </w:t>
      </w:r>
      <w:r w:rsidRPr="00222858">
        <w:rPr>
          <w:rFonts w:ascii="Avenir LT Std 35 Light" w:hAnsi="Avenir LT Std 35 Light"/>
          <w:i/>
        </w:rPr>
        <w:t>Oral health and dental care in Australia: key facts and figures 2012</w:t>
      </w:r>
      <w:r w:rsidRPr="00222858">
        <w:rPr>
          <w:rFonts w:ascii="Avenir LT Std 35 Light" w:hAnsi="Avenir LT Std 35 Light"/>
        </w:rPr>
        <w:t>. Cat. No. DEN 224. Canberra: AIHW.</w:t>
      </w:r>
    </w:p>
  </w:endnote>
  <w:endnote w:id="3">
    <w:p w14:paraId="090B9A67" w14:textId="532694D0" w:rsidR="00406A2C" w:rsidRDefault="00406A2C">
      <w:pPr>
        <w:pStyle w:val="EndnoteText"/>
      </w:pPr>
      <w:r>
        <w:rPr>
          <w:rStyle w:val="EndnoteReference"/>
        </w:rPr>
        <w:endnoteRef/>
      </w:r>
      <w:r>
        <w:t xml:space="preserve"> Ibid</w:t>
      </w:r>
    </w:p>
  </w:endnote>
  <w:endnote w:id="4">
    <w:p w14:paraId="34C4F650" w14:textId="02D2C86F" w:rsidR="00406A2C" w:rsidRDefault="00406A2C">
      <w:pPr>
        <w:pStyle w:val="EndnoteText"/>
      </w:pPr>
      <w:r>
        <w:rPr>
          <w:rStyle w:val="EndnoteReference"/>
        </w:rPr>
        <w:endnoteRef/>
      </w:r>
      <w:r>
        <w:t xml:space="preserve"> </w:t>
      </w:r>
      <w:r w:rsidRPr="00222858">
        <w:rPr>
          <w:rFonts w:ascii="Avenir LT Std 35 Light" w:hAnsi="Avenir LT Std 35 Light" w:cs="Times"/>
          <w:lang w:val="en-US" w:eastAsia="en-AU"/>
        </w:rPr>
        <w:t>Australian Institute of Health and Welfare 20</w:t>
      </w:r>
      <w:r>
        <w:rPr>
          <w:rFonts w:ascii="Avenir LT Std 35 Light" w:hAnsi="Avenir LT Std 35 Light" w:cs="Times"/>
          <w:lang w:val="en-US" w:eastAsia="en-AU"/>
        </w:rPr>
        <w:t>14</w:t>
      </w:r>
      <w:r w:rsidRPr="00222858">
        <w:rPr>
          <w:rFonts w:ascii="Avenir LT Std 35 Light" w:hAnsi="Avenir LT Std 35 Light" w:cs="Times"/>
          <w:lang w:val="en-US" w:eastAsia="en-AU"/>
        </w:rPr>
        <w:t xml:space="preserve">. </w:t>
      </w:r>
      <w:r>
        <w:rPr>
          <w:rFonts w:ascii="Avenir LT Std 35 Light" w:hAnsi="Avenir LT Std 35 Light" w:cs="Times"/>
          <w:i/>
          <w:lang w:val="en-US" w:eastAsia="en-AU"/>
        </w:rPr>
        <w:t>Dental workforce 2012</w:t>
      </w:r>
      <w:r w:rsidRPr="00222858">
        <w:rPr>
          <w:rFonts w:ascii="Avenir LT Std 35 Light" w:hAnsi="Avenir LT Std 35 Light" w:cs="Times"/>
          <w:lang w:val="en-US" w:eastAsia="en-AU"/>
        </w:rPr>
        <w:t xml:space="preserve">. </w:t>
      </w:r>
      <w:r>
        <w:rPr>
          <w:rFonts w:ascii="Avenir LT Std 35 Light" w:hAnsi="Avenir LT Std 35 Light" w:cs="Times"/>
          <w:lang w:val="en-US" w:eastAsia="en-AU"/>
        </w:rPr>
        <w:t>National</w:t>
      </w:r>
      <w:r w:rsidRPr="00222858">
        <w:rPr>
          <w:rFonts w:ascii="Avenir LT Std 35 Light" w:hAnsi="Avenir LT Std 35 Light" w:cs="Times"/>
          <w:lang w:val="en-US" w:eastAsia="en-AU"/>
        </w:rPr>
        <w:t xml:space="preserve"> health</w:t>
      </w:r>
      <w:r>
        <w:rPr>
          <w:rFonts w:ascii="Avenir LT Std 35 Light" w:hAnsi="Avenir LT Std 35 Light" w:cs="Times"/>
          <w:lang w:val="en-US" w:eastAsia="en-AU"/>
        </w:rPr>
        <w:t xml:space="preserve"> workforce</w:t>
      </w:r>
      <w:r w:rsidRPr="00222858">
        <w:rPr>
          <w:rFonts w:ascii="Avenir LT Std 35 Light" w:hAnsi="Avenir LT Std 35 Light" w:cs="Times"/>
          <w:lang w:val="en-US" w:eastAsia="en-AU"/>
        </w:rPr>
        <w:t xml:space="preserve"> series no.</w:t>
      </w:r>
      <w:r>
        <w:rPr>
          <w:rFonts w:ascii="Avenir LT Std 35 Light" w:hAnsi="Avenir LT Std 35 Light" w:cs="Times"/>
          <w:lang w:val="en-US" w:eastAsia="en-AU"/>
        </w:rPr>
        <w:t>7</w:t>
      </w:r>
      <w:r w:rsidRPr="00222858">
        <w:rPr>
          <w:rFonts w:ascii="Avenir LT Std 35 Light" w:hAnsi="Avenir LT Std 35 Light" w:cs="Times"/>
          <w:lang w:val="en-US" w:eastAsia="en-AU"/>
        </w:rPr>
        <w:t xml:space="preserve">. Cat. no. </w:t>
      </w:r>
      <w:r>
        <w:rPr>
          <w:rFonts w:ascii="Avenir LT Std 35 Light" w:hAnsi="Avenir LT Std 35 Light" w:cs="Times"/>
          <w:lang w:val="en-US" w:eastAsia="en-AU"/>
        </w:rPr>
        <w:t>HWL</w:t>
      </w:r>
      <w:r w:rsidRPr="00222858">
        <w:rPr>
          <w:rFonts w:ascii="Avenir LT Std 35 Light" w:hAnsi="Avenir LT Std 35 Light" w:cs="Times"/>
          <w:lang w:val="en-US" w:eastAsia="en-AU"/>
        </w:rPr>
        <w:t xml:space="preserve"> </w:t>
      </w:r>
      <w:r>
        <w:rPr>
          <w:rFonts w:ascii="Avenir LT Std 35 Light" w:hAnsi="Avenir LT Std 35 Light" w:cs="Times"/>
          <w:lang w:val="en-US" w:eastAsia="en-AU"/>
        </w:rPr>
        <w:t>53</w:t>
      </w:r>
      <w:r w:rsidRPr="00222858">
        <w:rPr>
          <w:rFonts w:ascii="Avenir LT Std 35 Light" w:hAnsi="Avenir LT Std 35 Light" w:cs="Times"/>
          <w:lang w:val="en-US" w:eastAsia="en-AU"/>
        </w:rPr>
        <w:t>. Canberra: AIHW</w:t>
      </w:r>
    </w:p>
  </w:endnote>
  <w:endnote w:id="5">
    <w:p w14:paraId="47798676" w14:textId="7A74FDB6" w:rsidR="00406A2C" w:rsidRPr="00222858" w:rsidRDefault="00406A2C" w:rsidP="00222858">
      <w:pPr>
        <w:widowControl w:val="0"/>
        <w:autoSpaceDE w:val="0"/>
        <w:autoSpaceDN w:val="0"/>
        <w:adjustRightInd w:val="0"/>
        <w:spacing w:before="0" w:after="120"/>
        <w:rPr>
          <w:rFonts w:ascii="Avenir LT Std 35 Light" w:hAnsi="Avenir LT Std 35 Light" w:cs="Times"/>
          <w:szCs w:val="20"/>
          <w:lang w:val="en-US" w:eastAsia="en-AU"/>
        </w:rPr>
      </w:pPr>
      <w:r w:rsidRPr="00222858">
        <w:rPr>
          <w:rStyle w:val="EndnoteReference"/>
          <w:rFonts w:ascii="Avenir LT Std 35 Light" w:hAnsi="Avenir LT Std 35 Light"/>
          <w:szCs w:val="20"/>
        </w:rPr>
        <w:endnoteRef/>
      </w:r>
      <w:r w:rsidRPr="00222858">
        <w:rPr>
          <w:rFonts w:ascii="Avenir LT Std 35 Light" w:hAnsi="Avenir LT Std 35 Light"/>
          <w:szCs w:val="20"/>
        </w:rPr>
        <w:t xml:space="preserve"> </w:t>
      </w:r>
      <w:r w:rsidRPr="00222858">
        <w:rPr>
          <w:rFonts w:ascii="Avenir LT Std 35 Light" w:hAnsi="Avenir LT Std 35 Light" w:cs="Times"/>
          <w:szCs w:val="20"/>
          <w:lang w:val="en-US" w:eastAsia="en-AU"/>
        </w:rPr>
        <w:t xml:space="preserve">Australian Institute of Health and Welfare 2012. </w:t>
      </w:r>
      <w:r w:rsidRPr="00222858">
        <w:rPr>
          <w:rFonts w:ascii="Avenir LT Std 35 Light" w:hAnsi="Avenir LT Std 35 Light" w:cs="Times"/>
          <w:i/>
          <w:szCs w:val="20"/>
          <w:lang w:val="en-US" w:eastAsia="en-AU"/>
        </w:rPr>
        <w:t>Australia’s health 2012</w:t>
      </w:r>
      <w:r w:rsidRPr="00222858">
        <w:rPr>
          <w:rFonts w:ascii="Avenir LT Std 35 Light" w:hAnsi="Avenir LT Std 35 Light" w:cs="Times"/>
          <w:szCs w:val="20"/>
          <w:lang w:val="en-US" w:eastAsia="en-AU"/>
        </w:rPr>
        <w:t>. Australia’s health series no.13. Cat. no. AUS 156. Canberra: AIHW.</w:t>
      </w:r>
    </w:p>
  </w:endnote>
  <w:endnote w:id="6">
    <w:p w14:paraId="1E80AF6E" w14:textId="74CC86F5"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National Advisory Committee on Oral Health for the Australian Health Ministers’ Conference 2004. </w:t>
      </w:r>
      <w:r w:rsidRPr="00222858">
        <w:rPr>
          <w:rFonts w:ascii="Avenir LT Std 35 Light" w:hAnsi="Avenir LT Std 35 Light"/>
          <w:i/>
          <w:lang w:val="en-US"/>
        </w:rPr>
        <w:t>Healthy Mouths Healthy Lives: Australia’s National Oral Health Plan 2004-2013</w:t>
      </w:r>
      <w:r w:rsidRPr="00222858">
        <w:rPr>
          <w:rFonts w:ascii="Avenir LT Std 35 Light" w:hAnsi="Avenir LT Std 35 Light"/>
          <w:lang w:val="en-US"/>
        </w:rPr>
        <w:t>. Adelaide: South Australian Department of Health.</w:t>
      </w:r>
    </w:p>
  </w:endnote>
  <w:endnote w:id="7">
    <w:p w14:paraId="5936978D" w14:textId="1C138768" w:rsidR="00406A2C" w:rsidRPr="00222858" w:rsidRDefault="00406A2C" w:rsidP="00222858">
      <w:pPr>
        <w:widowControl w:val="0"/>
        <w:autoSpaceDE w:val="0"/>
        <w:autoSpaceDN w:val="0"/>
        <w:adjustRightInd w:val="0"/>
        <w:spacing w:before="0" w:after="120"/>
        <w:rPr>
          <w:rFonts w:ascii="Avenir LT Std 35 Light" w:hAnsi="Avenir LT Std 35 Light" w:cs="Times"/>
          <w:szCs w:val="20"/>
          <w:lang w:val="en-US" w:eastAsia="en-AU"/>
        </w:rPr>
      </w:pPr>
      <w:r w:rsidRPr="00222858">
        <w:rPr>
          <w:rStyle w:val="EndnoteReference"/>
          <w:rFonts w:ascii="Avenir LT Std 35 Light" w:hAnsi="Avenir LT Std 35 Light"/>
          <w:szCs w:val="20"/>
        </w:rPr>
        <w:endnoteRef/>
      </w:r>
      <w:r w:rsidRPr="00222858">
        <w:rPr>
          <w:rFonts w:ascii="Avenir LT Std 35 Light" w:hAnsi="Avenir LT Std 35 Light"/>
          <w:szCs w:val="20"/>
        </w:rPr>
        <w:t xml:space="preserve"> </w:t>
      </w:r>
      <w:r w:rsidRPr="00222858">
        <w:rPr>
          <w:rFonts w:ascii="Avenir LT Std 35 Light" w:hAnsi="Avenir LT Std 35 Light" w:cs="Arial"/>
          <w:szCs w:val="20"/>
          <w:lang w:val="en-US" w:eastAsia="en-AU"/>
        </w:rPr>
        <w:t xml:space="preserve">Australian Institute of Health and Welfare 2013. </w:t>
      </w:r>
      <w:r w:rsidRPr="00222858">
        <w:rPr>
          <w:rFonts w:ascii="Avenir LT Std 35 Light" w:hAnsi="Avenir LT Std 35 Light" w:cs="Arial"/>
          <w:i/>
          <w:szCs w:val="20"/>
          <w:lang w:val="en-US" w:eastAsia="en-AU"/>
        </w:rPr>
        <w:t>Health expenditure Australia 2011–12</w:t>
      </w:r>
      <w:r w:rsidRPr="00222858">
        <w:rPr>
          <w:rFonts w:ascii="Avenir LT Std 35 Light" w:hAnsi="Avenir LT Std 35 Light" w:cs="Arial"/>
          <w:szCs w:val="20"/>
          <w:lang w:val="en-US" w:eastAsia="en-AU"/>
        </w:rPr>
        <w:t>. Health and welfare expenditure series no. 50. Cat. no. HWE 59. Canberra: AIHW.</w:t>
      </w:r>
    </w:p>
  </w:endnote>
  <w:endnote w:id="8">
    <w:p w14:paraId="4F5C8E6F" w14:textId="17C57D75"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Department of Health 2012. </w:t>
      </w:r>
      <w:hyperlink r:id="rId1" w:history="1">
        <w:r w:rsidRPr="00B2456E">
          <w:rPr>
            <w:rStyle w:val="Hyperlink"/>
            <w:rFonts w:ascii="Avenir LT Std 35 Light" w:hAnsi="Avenir LT Std 35 Light"/>
            <w:i/>
            <w:lang w:val="en-US"/>
          </w:rPr>
          <w:t>Report of the National Advisory Council on Dental Health</w:t>
        </w:r>
      </w:hyperlink>
      <w:r w:rsidRPr="00222858">
        <w:rPr>
          <w:rFonts w:ascii="Avenir LT Std 35 Light" w:hAnsi="Avenir LT Std 35 Light"/>
          <w:lang w:val="en-US"/>
        </w:rPr>
        <w:t>. Accessed 15 January 2014.</w:t>
      </w:r>
    </w:p>
  </w:endnote>
  <w:endnote w:id="9">
    <w:p w14:paraId="6301DB13" w14:textId="03620E23"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Ibid</w:t>
      </w:r>
    </w:p>
  </w:endnote>
  <w:endnote w:id="10">
    <w:p w14:paraId="77CCE8D1" w14:textId="44C85CA3"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hyperlink r:id="rId2" w:history="1">
        <w:r w:rsidRPr="00B2456E">
          <w:rPr>
            <w:rStyle w:val="Hyperlink"/>
            <w:rFonts w:ascii="Avenir LT Std 35 Light" w:hAnsi="Avenir LT Std 35 Light"/>
          </w:rPr>
          <w:t>Department of Health website</w:t>
        </w:r>
      </w:hyperlink>
      <w:r w:rsidRPr="00222858">
        <w:rPr>
          <w:rFonts w:ascii="Avenir LT Std 35 Light" w:hAnsi="Avenir LT Std 35 Light"/>
        </w:rPr>
        <w:t>.</w:t>
      </w:r>
      <w:r>
        <w:rPr>
          <w:rFonts w:ascii="Avenir LT Std 35 Light" w:hAnsi="Avenir LT Std 35 Light"/>
        </w:rPr>
        <w:t xml:space="preserve"> </w:t>
      </w:r>
      <w:r w:rsidRPr="00222858">
        <w:rPr>
          <w:rFonts w:ascii="Avenir LT Std 35 Light" w:hAnsi="Avenir LT Std 35 Light"/>
        </w:rPr>
        <w:t>Accessed 15 April 2014.</w:t>
      </w:r>
    </w:p>
  </w:endnote>
  <w:endnote w:id="11">
    <w:p w14:paraId="09C7E086" w14:textId="7653BF3D" w:rsidR="00406A2C" w:rsidRPr="00222858" w:rsidRDefault="00406A2C" w:rsidP="00213D50">
      <w:pPr>
        <w:pStyle w:val="EndnoteText"/>
        <w:spacing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Ibid</w:t>
      </w:r>
    </w:p>
  </w:endnote>
  <w:endnote w:id="12">
    <w:p w14:paraId="1CA2D867" w14:textId="1DD30DE2" w:rsidR="00406A2C" w:rsidRPr="00222858" w:rsidRDefault="00406A2C" w:rsidP="00213D50">
      <w:pPr>
        <w:pStyle w:val="EndnoteText"/>
        <w:spacing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Haas M &amp; Anderson R 2005. ‘</w:t>
      </w:r>
      <w:hyperlink r:id="rId3" w:history="1">
        <w:r>
          <w:rPr>
            <w:rStyle w:val="Hyperlink"/>
            <w:rFonts w:ascii="Avenir LT Std 35 Light" w:hAnsi="Avenir LT Std 35 Light"/>
          </w:rPr>
          <w:t>Access to dental care in Australia’ [PDF, 125 KB]</w:t>
        </w:r>
      </w:hyperlink>
      <w:r w:rsidRPr="00222858">
        <w:rPr>
          <w:rFonts w:ascii="Avenir LT Std 35 Light" w:hAnsi="Avenir LT Std 35 Light" w:cs="Verdana"/>
          <w:color w:val="262626"/>
          <w:lang w:val="en-US" w:eastAsia="en-AU"/>
        </w:rPr>
        <w:t xml:space="preserve">. </w:t>
      </w:r>
      <w:r w:rsidRPr="00222858">
        <w:rPr>
          <w:rFonts w:ascii="Avenir LT Std 35 Light" w:hAnsi="Avenir LT Std 35 Light" w:cs="Verdana"/>
          <w:i/>
          <w:iCs/>
          <w:color w:val="262626"/>
          <w:lang w:val="en-US" w:eastAsia="en-AU"/>
        </w:rPr>
        <w:t>Health Policy Monitor</w:t>
      </w:r>
      <w:r w:rsidRPr="00222858">
        <w:rPr>
          <w:rFonts w:ascii="Avenir LT Std 35 Light" w:hAnsi="Avenir LT Std 35 Light" w:cs="Verdana"/>
          <w:color w:val="262626"/>
          <w:lang w:val="en-US" w:eastAsia="en-AU"/>
        </w:rPr>
        <w:t>. Accessed 18 March 2014.</w:t>
      </w:r>
    </w:p>
  </w:endnote>
  <w:endnote w:id="13">
    <w:p w14:paraId="2692C945" w14:textId="51975919" w:rsidR="00406A2C" w:rsidRPr="00213D50" w:rsidRDefault="00406A2C" w:rsidP="00213D50">
      <w:pPr>
        <w:pStyle w:val="EndnoteText"/>
        <w:spacing w:after="120" w:line="276" w:lineRule="auto"/>
        <w:rPr>
          <w:rFonts w:ascii="Avenir LT Std 35 Light" w:hAnsi="Avenir LT Std 35 Light"/>
          <w:lang w:val="en-US"/>
        </w:rPr>
      </w:pPr>
      <w:r>
        <w:rPr>
          <w:rStyle w:val="EndnoteReference"/>
        </w:rPr>
        <w:endnoteRef/>
      </w:r>
      <w:r>
        <w:t xml:space="preserve"> </w:t>
      </w:r>
      <w:r w:rsidRPr="00213D50">
        <w:rPr>
          <w:rFonts w:ascii="Avenir LT Std 35 Light" w:hAnsi="Avenir LT Std 35 Light"/>
          <w:lang w:eastAsia="en-AU"/>
        </w:rPr>
        <w:t xml:space="preserve">Health Workforce Australia 2013: </w:t>
      </w:r>
      <w:r w:rsidRPr="00213D50">
        <w:rPr>
          <w:rFonts w:ascii="Avenir LT Std 35 Light" w:hAnsi="Avenir LT Std 35 Light"/>
          <w:i/>
          <w:lang w:eastAsia="en-AU"/>
        </w:rPr>
        <w:t>HW 2025 - Oral Health, Supply and Demand Methodology</w:t>
      </w:r>
      <w:r w:rsidRPr="00213D50">
        <w:rPr>
          <w:rFonts w:ascii="Avenir LT Std 35 Light" w:hAnsi="Avenir LT Std 35 Light"/>
          <w:lang w:eastAsia="en-AU"/>
        </w:rPr>
        <w:t xml:space="preserve">. </w:t>
      </w:r>
      <w:r w:rsidRPr="00213D50">
        <w:rPr>
          <w:rFonts w:ascii="Avenir LT Std 35 Light" w:hAnsi="Avenir LT Std 35 Light" w:cs="Verdana"/>
        </w:rPr>
        <w:t>Adelaide: HWA.</w:t>
      </w:r>
    </w:p>
  </w:endnote>
  <w:endnote w:id="14">
    <w:p w14:paraId="34F78F7F" w14:textId="50BDD64C" w:rsidR="00406A2C" w:rsidRPr="00222858" w:rsidRDefault="00406A2C" w:rsidP="00213D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rPr>
          <w:rFonts w:ascii="Avenir LT Std 35 Light" w:hAnsi="Avenir LT Std 35 Light" w:cs="ArialMT"/>
          <w:bCs/>
          <w:color w:val="000000"/>
          <w:szCs w:val="20"/>
          <w:lang w:eastAsia="en-AU"/>
        </w:rPr>
      </w:pPr>
      <w:r w:rsidRPr="00222858">
        <w:rPr>
          <w:rStyle w:val="EndnoteReference"/>
          <w:rFonts w:ascii="Avenir LT Std 35 Light" w:hAnsi="Avenir LT Std 35 Light"/>
          <w:szCs w:val="20"/>
        </w:rPr>
        <w:endnoteRef/>
      </w:r>
      <w:r w:rsidRPr="00222858">
        <w:rPr>
          <w:rFonts w:ascii="Avenir LT Std 35 Light" w:hAnsi="Avenir LT Std 35 Light"/>
          <w:szCs w:val="20"/>
        </w:rPr>
        <w:t xml:space="preserve"> </w:t>
      </w:r>
      <w:r w:rsidRPr="00222858">
        <w:rPr>
          <w:rFonts w:ascii="Avenir LT Std 35 Light" w:hAnsi="Avenir LT Std 35 Light" w:cs="ArialMT"/>
          <w:bCs/>
          <w:color w:val="000000"/>
          <w:szCs w:val="20"/>
          <w:lang w:eastAsia="en-AU"/>
        </w:rPr>
        <w:t xml:space="preserve">AIHW Dental Statistics and Research Unit 2003. </w:t>
      </w:r>
      <w:hyperlink r:id="rId4" w:history="1">
        <w:r w:rsidRPr="00B2456E">
          <w:rPr>
            <w:rStyle w:val="Hyperlink"/>
            <w:rFonts w:ascii="Avenir LT Std 35 Light" w:hAnsi="Avenir LT Std 35 Light" w:cs="ArialMT"/>
            <w:bCs/>
            <w:szCs w:val="20"/>
            <w:lang w:eastAsia="en-AU"/>
          </w:rPr>
          <w:t>Demand for Dental Care [PDF, 750 KB]</w:t>
        </w:r>
      </w:hyperlink>
      <w:r w:rsidRPr="00222858">
        <w:rPr>
          <w:rFonts w:ascii="Avenir LT Std 35 Light" w:hAnsi="Avenir LT Std 35 Light" w:cs="ArialMT"/>
          <w:bCs/>
          <w:color w:val="000000"/>
          <w:szCs w:val="20"/>
          <w:lang w:eastAsia="en-AU"/>
        </w:rPr>
        <w:t>. Accessed 18 March 20</w:t>
      </w:r>
      <w:r>
        <w:rPr>
          <w:rFonts w:ascii="Avenir LT Std 35 Light" w:hAnsi="Avenir LT Std 35 Light" w:cs="ArialMT"/>
          <w:bCs/>
          <w:color w:val="000000"/>
          <w:szCs w:val="20"/>
          <w:lang w:eastAsia="en-AU"/>
        </w:rPr>
        <w:t>1</w:t>
      </w:r>
      <w:r w:rsidRPr="00222858">
        <w:rPr>
          <w:rFonts w:ascii="Avenir LT Std 35 Light" w:hAnsi="Avenir LT Std 35 Light" w:cs="ArialMT"/>
          <w:bCs/>
          <w:color w:val="000000"/>
          <w:szCs w:val="20"/>
          <w:lang w:eastAsia="en-AU"/>
        </w:rPr>
        <w:t>4.</w:t>
      </w:r>
    </w:p>
  </w:endnote>
  <w:endnote w:id="15">
    <w:p w14:paraId="66288967" w14:textId="5BB05D39"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National Advisory Committee on Oral Health for the Australian Health Ministers’ Conference 2004. </w:t>
      </w:r>
      <w:r w:rsidRPr="00222858">
        <w:rPr>
          <w:rFonts w:ascii="Avenir LT Std 35 Light" w:hAnsi="Avenir LT Std 35 Light"/>
          <w:i/>
          <w:lang w:val="en-US"/>
        </w:rPr>
        <w:t>Healthy Mouths Healthy Lives: Australia’s National Oral Health Plan 2004-2013</w:t>
      </w:r>
      <w:r w:rsidRPr="00222858">
        <w:rPr>
          <w:rFonts w:ascii="Avenir LT Std 35 Light" w:hAnsi="Avenir LT Std 35 Light"/>
          <w:lang w:val="en-US"/>
        </w:rPr>
        <w:t>. Adelaide: South Australian Department of Health.</w:t>
      </w:r>
    </w:p>
  </w:endnote>
  <w:endnote w:id="16">
    <w:p w14:paraId="73E163F9" w14:textId="44DBDA41" w:rsidR="00406A2C" w:rsidRPr="00222858" w:rsidRDefault="00406A2C" w:rsidP="0022285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120"/>
        <w:rPr>
          <w:rFonts w:ascii="Avenir LT Std 35 Light" w:hAnsi="Avenir LT Std 35 Light"/>
          <w:szCs w:val="20"/>
          <w:lang w:val="en-US"/>
        </w:rPr>
      </w:pPr>
      <w:r w:rsidRPr="00222858">
        <w:rPr>
          <w:rStyle w:val="EndnoteReference"/>
          <w:rFonts w:ascii="Avenir LT Std 35 Light" w:hAnsi="Avenir LT Std 35 Light"/>
          <w:szCs w:val="20"/>
        </w:rPr>
        <w:endnoteRef/>
      </w:r>
      <w:r w:rsidRPr="00222858">
        <w:rPr>
          <w:rFonts w:ascii="Avenir LT Std 35 Light" w:hAnsi="Avenir LT Std 35 Light"/>
          <w:szCs w:val="20"/>
        </w:rPr>
        <w:t xml:space="preserve"> Insight Economics 2013. </w:t>
      </w:r>
      <w:hyperlink r:id="rId5" w:history="1">
        <w:r w:rsidRPr="00B2456E">
          <w:rPr>
            <w:rStyle w:val="Hyperlink"/>
            <w:rFonts w:ascii="Avenir LT Std 35 Light" w:hAnsi="Avenir LT Std 35 Light"/>
            <w:szCs w:val="20"/>
          </w:rPr>
          <w:t>Demand for Dental Services in Australia [PDF, 750 KB]</w:t>
        </w:r>
      </w:hyperlink>
      <w:r w:rsidRPr="00222858">
        <w:rPr>
          <w:rFonts w:ascii="Avenir LT Std 35 Light" w:hAnsi="Avenir LT Std 35 Light"/>
          <w:szCs w:val="20"/>
        </w:rPr>
        <w:t>. Accessed 18 March 20</w:t>
      </w:r>
      <w:r>
        <w:rPr>
          <w:rFonts w:ascii="Avenir LT Std 35 Light" w:hAnsi="Avenir LT Std 35 Light"/>
          <w:szCs w:val="20"/>
        </w:rPr>
        <w:t>1</w:t>
      </w:r>
      <w:r w:rsidRPr="00222858">
        <w:rPr>
          <w:rFonts w:ascii="Avenir LT Std 35 Light" w:hAnsi="Avenir LT Std 35 Light"/>
          <w:szCs w:val="20"/>
        </w:rPr>
        <w:t>4.</w:t>
      </w:r>
    </w:p>
  </w:endnote>
  <w:endnote w:id="17">
    <w:p w14:paraId="41E5AC73" w14:textId="7D068892" w:rsidR="00406A2C" w:rsidRPr="00222858" w:rsidRDefault="00406A2C" w:rsidP="00222858">
      <w:pPr>
        <w:pStyle w:val="EndnoteText"/>
        <w:spacing w:before="0" w:after="120" w:line="276" w:lineRule="auto"/>
        <w:rPr>
          <w:rFonts w:ascii="Avenir LT Std 35 Light" w:hAnsi="Avenir LT Std 35 Light"/>
        </w:rPr>
      </w:pPr>
      <w:r w:rsidRPr="00222858">
        <w:rPr>
          <w:rStyle w:val="EndnoteReference"/>
          <w:rFonts w:ascii="Avenir LT Std 35 Light" w:hAnsi="Avenir LT Std 35 Light"/>
        </w:rPr>
        <w:endnoteRef/>
      </w:r>
      <w:r w:rsidRPr="00222858">
        <w:rPr>
          <w:rFonts w:ascii="Avenir LT Std 35 Light" w:hAnsi="Avenir LT Std 35 Light"/>
        </w:rPr>
        <w:t xml:space="preserve"> </w:t>
      </w:r>
      <w:r>
        <w:rPr>
          <w:rFonts w:ascii="Avenir LT Std 35 Light" w:hAnsi="Avenir LT Std 35 Light"/>
        </w:rPr>
        <w:t>Ibid</w:t>
      </w:r>
      <w:r w:rsidRPr="00222858">
        <w:rPr>
          <w:rFonts w:ascii="Avenir LT Std 35 Light" w:hAnsi="Avenir LT Std 35 Light"/>
        </w:rPr>
        <w:t>.</w:t>
      </w:r>
    </w:p>
  </w:endnote>
  <w:endnote w:id="18">
    <w:p w14:paraId="5AE6C9A1" w14:textId="43DF642F" w:rsidR="00406A2C" w:rsidRPr="00222858" w:rsidRDefault="00406A2C" w:rsidP="0022285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120"/>
        <w:rPr>
          <w:rFonts w:ascii="Avenir LT Std 35 Light" w:hAnsi="Avenir LT Std 35 Light" w:cs="ArialMT"/>
          <w:color w:val="000000"/>
          <w:szCs w:val="20"/>
          <w:lang w:eastAsia="en-AU"/>
        </w:rPr>
      </w:pPr>
      <w:r w:rsidRPr="00222858">
        <w:rPr>
          <w:rStyle w:val="EndnoteReference"/>
          <w:rFonts w:ascii="Avenir LT Std 35 Light" w:hAnsi="Avenir LT Std 35 Light"/>
          <w:szCs w:val="20"/>
        </w:rPr>
        <w:endnoteRef/>
      </w:r>
      <w:r w:rsidRPr="00222858">
        <w:rPr>
          <w:rFonts w:ascii="Avenir LT Std 35 Light" w:hAnsi="Avenir LT Std 35 Light"/>
          <w:szCs w:val="20"/>
        </w:rPr>
        <w:t xml:space="preserve"> </w:t>
      </w:r>
      <w:r w:rsidRPr="00222858">
        <w:rPr>
          <w:rFonts w:ascii="Avenir LT Std 35 Light" w:hAnsi="Avenir LT Std 35 Light" w:cs="ArialMT"/>
          <w:color w:val="000000"/>
          <w:szCs w:val="20"/>
          <w:lang w:eastAsia="en-AU"/>
        </w:rPr>
        <w:t xml:space="preserve">Harford JE, Ellershaw AC &amp; Spencer AJ 2011. </w:t>
      </w:r>
      <w:r w:rsidRPr="00222858">
        <w:rPr>
          <w:rFonts w:ascii="Avenir LT Std 35 Light" w:hAnsi="Avenir LT Std 35 Light" w:cs="ArialMT"/>
          <w:i/>
          <w:color w:val="000000"/>
          <w:szCs w:val="20"/>
          <w:lang w:eastAsia="en-AU"/>
        </w:rPr>
        <w:t>Trends in access to dental care among Australian adults 1994–2008</w:t>
      </w:r>
      <w:r w:rsidRPr="00222858">
        <w:rPr>
          <w:rFonts w:ascii="Avenir LT Std 35 Light" w:hAnsi="Avenir LT Std 35 Light" w:cs="ArialMT"/>
          <w:color w:val="000000"/>
          <w:szCs w:val="20"/>
          <w:lang w:eastAsia="en-AU"/>
        </w:rPr>
        <w:t>. Dental statistics and research series no. 55. Cat. no. DEN 204. Canberra: AIHW.</w:t>
      </w:r>
    </w:p>
  </w:endnote>
  <w:endnote w:id="19">
    <w:p w14:paraId="0E20BDB3" w14:textId="398002E7" w:rsidR="00406A2C" w:rsidRPr="00222858" w:rsidRDefault="00406A2C" w:rsidP="00222858">
      <w:pPr>
        <w:autoSpaceDE w:val="0"/>
        <w:autoSpaceDN w:val="0"/>
        <w:adjustRightInd w:val="0"/>
        <w:spacing w:before="0" w:after="120"/>
        <w:rPr>
          <w:rFonts w:ascii="Avenir LT Std 35 Light" w:hAnsi="Avenir LT Std 35 Light"/>
          <w:szCs w:val="20"/>
          <w:lang w:eastAsia="en-AU"/>
        </w:rPr>
      </w:pPr>
      <w:r w:rsidRPr="00222858">
        <w:rPr>
          <w:rStyle w:val="EndnoteReference"/>
          <w:rFonts w:ascii="Avenir LT Std 35 Light" w:hAnsi="Avenir LT Std 35 Light"/>
          <w:szCs w:val="20"/>
        </w:rPr>
        <w:endnoteRef/>
      </w:r>
      <w:r w:rsidRPr="00222858">
        <w:rPr>
          <w:rFonts w:ascii="Avenir LT Std 35 Light" w:hAnsi="Avenir LT Std 35 Light"/>
          <w:szCs w:val="20"/>
        </w:rPr>
        <w:t xml:space="preserve"> </w:t>
      </w:r>
      <w:r w:rsidRPr="00222858">
        <w:rPr>
          <w:rFonts w:ascii="Avenir LT Std 35 Light" w:hAnsi="Avenir LT Std 35 Light"/>
          <w:szCs w:val="20"/>
          <w:lang w:eastAsia="en-AU"/>
        </w:rPr>
        <w:t xml:space="preserve">Crocombe LA, Broadbent JM, Thomson WM, Brennan DS &amp; Poulton R 2012. ‘Impact of dental visiting trajectory patterns on clinical oral health and oral health-related quality of life’. </w:t>
      </w:r>
      <w:r w:rsidRPr="00222858">
        <w:rPr>
          <w:rFonts w:ascii="Avenir LT Std 35 Light" w:hAnsi="Avenir LT Std 35 Light"/>
          <w:i/>
          <w:szCs w:val="20"/>
          <w:lang w:eastAsia="en-AU"/>
        </w:rPr>
        <w:t>Journal of Public Health Dentistry,</w:t>
      </w:r>
      <w:r w:rsidRPr="00222858">
        <w:rPr>
          <w:rFonts w:ascii="Avenir LT Std 35 Light" w:hAnsi="Avenir LT Std 35 Light"/>
          <w:szCs w:val="20"/>
          <w:lang w:eastAsia="en-AU"/>
        </w:rPr>
        <w:t xml:space="preserve"> 72(1):36–44.</w:t>
      </w:r>
    </w:p>
  </w:endnote>
  <w:endnote w:id="20">
    <w:p w14:paraId="08696655" w14:textId="7EFC3054"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McGrath C &amp; Bedi R 2001. ‘Can dental attendance improve quality of life?’ </w:t>
      </w:r>
      <w:r w:rsidRPr="00222858">
        <w:rPr>
          <w:rFonts w:ascii="Avenir LT Std 35 Light" w:hAnsi="Avenir LT Std 35 Light"/>
          <w:i/>
          <w:lang w:val="en-US"/>
        </w:rPr>
        <w:t>British Dental Journal,</w:t>
      </w:r>
      <w:r w:rsidRPr="00222858">
        <w:rPr>
          <w:rFonts w:ascii="Avenir LT Std 35 Light" w:hAnsi="Avenir LT Std 35 Light"/>
          <w:lang w:val="en-US"/>
        </w:rPr>
        <w:t xml:space="preserve"> 190(5):262–265.</w:t>
      </w:r>
    </w:p>
  </w:endnote>
  <w:endnote w:id="21">
    <w:p w14:paraId="54C26111" w14:textId="58F79654"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AIHW, Harford JE &amp; Islam S 2013. </w:t>
      </w:r>
      <w:r w:rsidRPr="00222858">
        <w:rPr>
          <w:rFonts w:ascii="Avenir LT Std 35 Light" w:hAnsi="Avenir LT Std 35 Light"/>
          <w:i/>
        </w:rPr>
        <w:t xml:space="preserve">Adult oral health and dental visiting in Australia: results from the National Dental Telephone Interview Survey 2010. </w:t>
      </w:r>
      <w:r w:rsidRPr="00222858">
        <w:rPr>
          <w:rFonts w:ascii="Avenir LT Std 35 Light" w:hAnsi="Avenir LT Std 35 Light"/>
        </w:rPr>
        <w:t xml:space="preserve">Dental statistics and research series 65. Cat. No. DEN227. Canberra: AIHW. </w:t>
      </w:r>
    </w:p>
  </w:endnote>
  <w:endnote w:id="22">
    <w:p w14:paraId="45AE26DF" w14:textId="7511F3F2"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eastAsia="en-AU"/>
        </w:rPr>
        <w:t xml:space="preserve">Crocombe LA, Broadbent JM, Thomson WM, Brennan DS &amp; Poulton R 2012. ‘Impact of dental visiting trajectory patterns on clinical oral health and oral health-related quality of life’. </w:t>
      </w:r>
      <w:r w:rsidRPr="00222858">
        <w:rPr>
          <w:rFonts w:ascii="Avenir LT Std 35 Light" w:hAnsi="Avenir LT Std 35 Light"/>
          <w:i/>
          <w:lang w:eastAsia="en-AU"/>
        </w:rPr>
        <w:t>Journal of Public Health Dentistry,</w:t>
      </w:r>
      <w:r w:rsidRPr="00222858">
        <w:rPr>
          <w:rFonts w:ascii="Avenir LT Std 35 Light" w:hAnsi="Avenir LT Std 35 Light"/>
          <w:lang w:eastAsia="en-AU"/>
        </w:rPr>
        <w:t xml:space="preserve"> 72(1):36–44.</w:t>
      </w:r>
    </w:p>
  </w:endnote>
  <w:endnote w:id="23">
    <w:p w14:paraId="60922379" w14:textId="2A407A9C"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S</w:t>
      </w:r>
      <w:r w:rsidRPr="00222858">
        <w:rPr>
          <w:rFonts w:ascii="Avenir LT Std 35 Light" w:hAnsi="Avenir LT Std 35 Light"/>
          <w:lang w:val="en-US"/>
        </w:rPr>
        <w:t xml:space="preserve">pencer AJ 2001. </w:t>
      </w:r>
      <w:r w:rsidRPr="00222858">
        <w:rPr>
          <w:rFonts w:ascii="Avenir LT Std 35 Light" w:hAnsi="Avenir LT Std 35 Light"/>
          <w:i/>
          <w:lang w:val="en-US"/>
        </w:rPr>
        <w:t>What options do we have for organizing, providing and funding better public dental care?</w:t>
      </w:r>
      <w:r w:rsidRPr="00222858">
        <w:rPr>
          <w:rFonts w:ascii="Avenir LT Std 35 Light" w:hAnsi="Avenir LT Std 35 Light"/>
          <w:lang w:val="en-US"/>
        </w:rPr>
        <w:t xml:space="preserve"> Sydney: The Australian Health Policy Institute.  </w:t>
      </w:r>
    </w:p>
  </w:endnote>
  <w:endnote w:id="24">
    <w:p w14:paraId="104FF570" w14:textId="6A5656B5"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Ha D 2011. </w:t>
      </w:r>
      <w:r w:rsidRPr="00222858">
        <w:rPr>
          <w:rFonts w:ascii="Avenir LT Std 35 Light" w:hAnsi="Avenir LT Std 35 Light"/>
          <w:i/>
        </w:rPr>
        <w:t>Dental decay among Australian children</w:t>
      </w:r>
      <w:r w:rsidRPr="00222858">
        <w:rPr>
          <w:rFonts w:ascii="Avenir LT Std 35 Light" w:hAnsi="Avenir LT Std 35 Light"/>
        </w:rPr>
        <w:t xml:space="preserve">. AIHW Dental statistics and research unit research report no. 53. Cat. No. DEN210. Canberra: AIHW. </w:t>
      </w:r>
    </w:p>
  </w:endnote>
  <w:endnote w:id="25">
    <w:p w14:paraId="4465F31B" w14:textId="3014C32A"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Pr>
          <w:rFonts w:ascii="Avenir LT Std 35 Light" w:hAnsi="Avenir LT Std 35 Light"/>
        </w:rPr>
        <w:t>Ibid.</w:t>
      </w:r>
    </w:p>
  </w:endnote>
  <w:endnote w:id="26">
    <w:p w14:paraId="28A3B4DC" w14:textId="347F3A9D"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Pr>
          <w:rFonts w:ascii="Avenir LT Std 35 Light" w:hAnsi="Avenir LT Std 35 Light"/>
        </w:rPr>
        <w:t>Ibid.</w:t>
      </w:r>
    </w:p>
  </w:endnote>
  <w:endnote w:id="27">
    <w:p w14:paraId="07C1EDFB" w14:textId="54608097" w:rsidR="00406A2C" w:rsidRPr="00AD1276" w:rsidRDefault="00406A2C" w:rsidP="00AD1276">
      <w:pPr>
        <w:autoSpaceDE w:val="0"/>
        <w:autoSpaceDN w:val="0"/>
        <w:adjustRightInd w:val="0"/>
        <w:spacing w:after="120"/>
        <w:rPr>
          <w:rFonts w:ascii="Avenir LT Std 35 Light" w:hAnsi="Avenir LT Std 35 Light"/>
          <w:szCs w:val="20"/>
          <w:lang w:eastAsia="en-AU"/>
        </w:rPr>
      </w:pPr>
      <w:r w:rsidRPr="00222858">
        <w:rPr>
          <w:rStyle w:val="EndnoteReference"/>
          <w:rFonts w:ascii="Avenir LT Std 35 Light" w:hAnsi="Avenir LT Std 35 Light"/>
          <w:szCs w:val="20"/>
        </w:rPr>
        <w:endnoteRef/>
      </w:r>
      <w:r w:rsidRPr="00222858">
        <w:rPr>
          <w:rFonts w:ascii="Avenir LT Std 35 Light" w:hAnsi="Avenir LT Std 35 Light"/>
          <w:szCs w:val="20"/>
        </w:rPr>
        <w:t xml:space="preserve"> </w:t>
      </w:r>
      <w:r w:rsidRPr="00222858">
        <w:rPr>
          <w:rFonts w:ascii="Avenir LT Std 35 Light" w:hAnsi="Avenir LT Std 35 Light"/>
          <w:szCs w:val="20"/>
          <w:lang w:eastAsia="en-AU"/>
        </w:rPr>
        <w:t xml:space="preserve">Harford JE &amp; Luzzi L 2013. </w:t>
      </w:r>
      <w:r w:rsidRPr="00222858">
        <w:rPr>
          <w:rFonts w:ascii="Avenir LT Std 35 Light" w:hAnsi="Avenir LT Std 35 Light"/>
          <w:i/>
          <w:szCs w:val="20"/>
          <w:lang w:eastAsia="en-AU"/>
        </w:rPr>
        <w:t>Child and teenager oral health and dental visiting: Results from the National Dental Telephone Interview Survey 2010</w:t>
      </w:r>
      <w:r w:rsidRPr="00222858">
        <w:rPr>
          <w:rFonts w:ascii="Avenir LT Std 35 Light" w:hAnsi="Avenir LT Std 35 Light"/>
          <w:szCs w:val="20"/>
          <w:lang w:eastAsia="en-AU"/>
        </w:rPr>
        <w:t>. Dental statistics and research series no. 64. Cat. no DEN 226. Canberra: AIHW.</w:t>
      </w:r>
    </w:p>
  </w:endnote>
  <w:endnote w:id="28">
    <w:p w14:paraId="5282B4F7" w14:textId="77777777" w:rsidR="00406A2C" w:rsidRPr="00AD1276" w:rsidRDefault="00406A2C" w:rsidP="00AD1276">
      <w:pPr>
        <w:autoSpaceDE w:val="0"/>
        <w:autoSpaceDN w:val="0"/>
        <w:adjustRightInd w:val="0"/>
        <w:spacing w:after="120"/>
        <w:rPr>
          <w:rFonts w:ascii="Avenir LT Std 35 Light" w:hAnsi="Avenir LT Std 35 Light"/>
          <w:szCs w:val="20"/>
          <w:lang w:eastAsia="en-AU"/>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szCs w:val="20"/>
          <w:lang w:eastAsia="en-AU"/>
        </w:rPr>
        <w:t>Chrisopoulos S &amp; Harford JE 2013. Oral health and dental care in Australia: key facts and figures</w:t>
      </w:r>
    </w:p>
    <w:p w14:paraId="698B5900" w14:textId="7B654DB5" w:rsidR="00406A2C" w:rsidRPr="00AD1276" w:rsidRDefault="00406A2C" w:rsidP="00AD1276">
      <w:pPr>
        <w:pStyle w:val="EndnoteText"/>
        <w:spacing w:after="120" w:line="276" w:lineRule="auto"/>
        <w:rPr>
          <w:rFonts w:ascii="Avenir LT Std 35 Light" w:hAnsi="Avenir LT Std 35 Light"/>
          <w:lang w:val="en-US"/>
        </w:rPr>
      </w:pPr>
      <w:r w:rsidRPr="00AD1276">
        <w:rPr>
          <w:rFonts w:ascii="Avenir LT Std 35 Light" w:hAnsi="Avenir LT Std 35 Light"/>
          <w:lang w:eastAsia="en-AU"/>
        </w:rPr>
        <w:t>2012. Cat. no. DEN 224. Canberra: AIHW.</w:t>
      </w:r>
    </w:p>
  </w:endnote>
  <w:endnote w:id="29">
    <w:p w14:paraId="4C4F939E" w14:textId="1599E164" w:rsidR="00406A2C" w:rsidRPr="00AD1276" w:rsidRDefault="00406A2C" w:rsidP="00AD1276">
      <w:pPr>
        <w:pStyle w:val="EndnoteText"/>
        <w:spacing w:after="120" w:line="276" w:lineRule="auto"/>
        <w:rPr>
          <w:rFonts w:ascii="Avenir LT Std 35 Light" w:hAnsi="Avenir LT Std 35 Light"/>
          <w:lang w:val="en-US"/>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lang w:val="en-US"/>
        </w:rPr>
        <w:t>Ibid.</w:t>
      </w:r>
    </w:p>
  </w:endnote>
  <w:endnote w:id="30">
    <w:p w14:paraId="7F6AF4C8" w14:textId="5CE90D22" w:rsidR="00406A2C" w:rsidRPr="00AD1276" w:rsidRDefault="00406A2C" w:rsidP="00AD1276">
      <w:pPr>
        <w:pStyle w:val="EndnoteText"/>
        <w:spacing w:after="120" w:line="276" w:lineRule="auto"/>
        <w:rPr>
          <w:rFonts w:ascii="Avenir LT Std 35 Light" w:hAnsi="Avenir LT Std 35 Light"/>
          <w:lang w:val="en-US"/>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lang w:val="en-US"/>
        </w:rPr>
        <w:t>Ibid.</w:t>
      </w:r>
    </w:p>
  </w:endnote>
  <w:endnote w:id="31">
    <w:p w14:paraId="0EE513C2" w14:textId="08CE0414"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Haas M &amp; Anderson R 2005. . ‘</w:t>
      </w:r>
      <w:hyperlink r:id="rId6" w:history="1">
        <w:r>
          <w:rPr>
            <w:rStyle w:val="Hyperlink"/>
            <w:rFonts w:ascii="Avenir LT Std 35 Light" w:hAnsi="Avenir LT Std 35 Light"/>
          </w:rPr>
          <w:t>Access to dental care in Australia’ [PDF, 125 KB]</w:t>
        </w:r>
      </w:hyperlink>
      <w:r w:rsidRPr="00222858">
        <w:rPr>
          <w:rFonts w:ascii="Avenir LT Std 35 Light" w:hAnsi="Avenir LT Std 35 Light" w:cs="Verdana"/>
          <w:color w:val="262626"/>
          <w:lang w:val="en-US" w:eastAsia="en-AU"/>
        </w:rPr>
        <w:t xml:space="preserve">.. </w:t>
      </w:r>
      <w:r w:rsidRPr="00222858">
        <w:rPr>
          <w:rFonts w:ascii="Avenir LT Std 35 Light" w:hAnsi="Avenir LT Std 35 Light" w:cs="Verdana"/>
          <w:i/>
          <w:iCs/>
          <w:color w:val="262626"/>
          <w:lang w:val="en-US" w:eastAsia="en-AU"/>
        </w:rPr>
        <w:t>Health Policy Monitor</w:t>
      </w:r>
      <w:r w:rsidRPr="00222858">
        <w:rPr>
          <w:rFonts w:ascii="Avenir LT Std 35 Light" w:hAnsi="Avenir LT Std 35 Light" w:cs="Verdana"/>
          <w:color w:val="262626"/>
          <w:lang w:val="en-US" w:eastAsia="en-AU"/>
        </w:rPr>
        <w:t>. Accessed 18 March 2014.</w:t>
      </w:r>
    </w:p>
  </w:endnote>
  <w:endnote w:id="32">
    <w:p w14:paraId="3C862F32" w14:textId="77777777" w:rsidR="00406A2C" w:rsidRPr="00AD1276" w:rsidRDefault="00406A2C" w:rsidP="00AD1276">
      <w:pPr>
        <w:autoSpaceDE w:val="0"/>
        <w:autoSpaceDN w:val="0"/>
        <w:adjustRightInd w:val="0"/>
        <w:spacing w:after="120"/>
        <w:rPr>
          <w:rFonts w:ascii="Avenir LT Std 35 Light" w:hAnsi="Avenir LT Std 35 Light"/>
          <w:szCs w:val="20"/>
          <w:lang w:eastAsia="en-AU"/>
        </w:rPr>
      </w:pPr>
      <w:r w:rsidRPr="00AD1276">
        <w:rPr>
          <w:rStyle w:val="EndnoteReference"/>
          <w:rFonts w:ascii="Avenir LT Std 35 Light" w:hAnsi="Avenir LT Std 35 Light"/>
        </w:rPr>
        <w:endnoteRef/>
      </w:r>
      <w:r w:rsidRPr="00AD1276">
        <w:rPr>
          <w:rFonts w:ascii="Avenir LT Std 35 Light" w:hAnsi="Avenir LT Std 35 Light"/>
          <w:szCs w:val="20"/>
          <w:lang w:eastAsia="en-AU"/>
        </w:rPr>
        <w:t>Chrisopoulos S &amp; Harford JE 2013. Oral health and dental care in Australia: key facts and figures</w:t>
      </w:r>
    </w:p>
    <w:p w14:paraId="6ACA48BE" w14:textId="02CD63D0" w:rsidR="00406A2C" w:rsidRPr="00AD1276" w:rsidRDefault="00406A2C" w:rsidP="00AD1276">
      <w:pPr>
        <w:pStyle w:val="EndnoteText"/>
        <w:spacing w:after="120" w:line="276" w:lineRule="auto"/>
        <w:rPr>
          <w:rFonts w:ascii="Avenir LT Std 35 Light" w:hAnsi="Avenir LT Std 35 Light"/>
          <w:lang w:val="en-US"/>
        </w:rPr>
      </w:pPr>
      <w:r w:rsidRPr="00AD1276">
        <w:rPr>
          <w:rFonts w:ascii="Avenir LT Std 35 Light" w:hAnsi="Avenir LT Std 35 Light"/>
          <w:lang w:eastAsia="en-AU"/>
        </w:rPr>
        <w:t>2012. Cat. no. DEN 224. Canberra: AIHW.</w:t>
      </w:r>
      <w:r w:rsidRPr="00AD1276">
        <w:rPr>
          <w:rFonts w:ascii="Avenir LT Std 35 Light" w:hAnsi="Avenir LT Std 35 Light"/>
        </w:rPr>
        <w:t xml:space="preserve"> </w:t>
      </w:r>
    </w:p>
  </w:endnote>
  <w:endnote w:id="33">
    <w:p w14:paraId="31749829" w14:textId="63E2A658" w:rsidR="00406A2C" w:rsidRPr="00AD1276" w:rsidRDefault="00406A2C" w:rsidP="00AD1276">
      <w:pPr>
        <w:pStyle w:val="EndnoteText"/>
        <w:spacing w:after="120" w:line="276" w:lineRule="auto"/>
        <w:rPr>
          <w:rFonts w:ascii="Avenir LT Std 35 Light" w:hAnsi="Avenir LT Std 35 Light"/>
          <w:lang w:val="en-US"/>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lang w:val="en-US"/>
        </w:rPr>
        <w:t>Ibid.</w:t>
      </w:r>
    </w:p>
  </w:endnote>
  <w:endnote w:id="34">
    <w:p w14:paraId="6F50B126" w14:textId="0F9EDFCB" w:rsidR="00406A2C" w:rsidRPr="00AD1276" w:rsidRDefault="00406A2C" w:rsidP="00AD1276">
      <w:pPr>
        <w:pStyle w:val="EndnoteText"/>
        <w:spacing w:after="120" w:line="276" w:lineRule="auto"/>
        <w:rPr>
          <w:rFonts w:ascii="Avenir LT Std 35 Light" w:hAnsi="Avenir LT Std 35 Light"/>
          <w:lang w:val="en-US"/>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lang w:val="en-US"/>
        </w:rPr>
        <w:t>Ibid.</w:t>
      </w:r>
    </w:p>
  </w:endnote>
  <w:endnote w:id="35">
    <w:p w14:paraId="52CD52F1" w14:textId="4FB7B156" w:rsidR="00406A2C" w:rsidRPr="00AD1276" w:rsidRDefault="00406A2C" w:rsidP="00AD1276">
      <w:pPr>
        <w:pStyle w:val="EndnoteText"/>
        <w:spacing w:after="120" w:line="276" w:lineRule="auto"/>
        <w:rPr>
          <w:rFonts w:ascii="Avenir LT Std 35 Light" w:hAnsi="Avenir LT Std 35 Light"/>
          <w:lang w:val="en-US"/>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lang w:val="en-US"/>
        </w:rPr>
        <w:t>Ibid.</w:t>
      </w:r>
    </w:p>
  </w:endnote>
  <w:endnote w:id="36">
    <w:p w14:paraId="0F13E5A7" w14:textId="365F48D2"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National Advisory Committee on Oral Health for the Australian Health Ministers’ Conference 2004. </w:t>
      </w:r>
      <w:r w:rsidRPr="00222858">
        <w:rPr>
          <w:rFonts w:ascii="Avenir LT Std 35 Light" w:hAnsi="Avenir LT Std 35 Light"/>
          <w:i/>
          <w:lang w:val="en-US"/>
        </w:rPr>
        <w:t>Healthy Mouths Healthy Lives: Australia’s National Oral Health Plan 2004-2013</w:t>
      </w:r>
      <w:r w:rsidRPr="00222858">
        <w:rPr>
          <w:rFonts w:ascii="Avenir LT Std 35 Light" w:hAnsi="Avenir LT Std 35 Light"/>
          <w:lang w:val="en-US"/>
        </w:rPr>
        <w:t>. Adelaide: South Australian Department of Health.</w:t>
      </w:r>
    </w:p>
  </w:endnote>
  <w:endnote w:id="37">
    <w:p w14:paraId="4C6936F2" w14:textId="70E7E0A3"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eastAsia="en-AU"/>
        </w:rPr>
        <w:t xml:space="preserve">Australian Institute of Health and Welfare 2012. </w:t>
      </w:r>
      <w:r w:rsidRPr="00222858">
        <w:rPr>
          <w:rFonts w:ascii="Avenir LT Std 35 Light" w:hAnsi="Avenir LT Std 35 Light"/>
          <w:i/>
          <w:lang w:eastAsia="en-AU"/>
        </w:rPr>
        <w:t>Chronic conditions and oral health</w:t>
      </w:r>
      <w:r w:rsidRPr="00222858">
        <w:rPr>
          <w:rFonts w:ascii="Avenir LT Std 35 Light" w:hAnsi="Avenir LT Std 35 Light"/>
          <w:lang w:eastAsia="en-AU"/>
        </w:rPr>
        <w:t xml:space="preserve">. Dental statistics and research unit research report no. 56. Cat. No. DEN 221. Canberra: AIHW. </w:t>
      </w:r>
    </w:p>
  </w:endnote>
  <w:endnote w:id="38">
    <w:p w14:paraId="2F1AED3C" w14:textId="3AEF1138"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Australian Dental Association 2007. </w:t>
      </w:r>
      <w:hyperlink r:id="rId7" w:history="1">
        <w:r w:rsidRPr="00B2456E">
          <w:rPr>
            <w:rStyle w:val="Hyperlink"/>
            <w:rFonts w:ascii="Avenir LT Std 35 Light" w:hAnsi="Avenir LT Std 35 Light"/>
            <w:lang w:val="en-US"/>
          </w:rPr>
          <w:t>Oral health and people with special needs [PDF, 750 KB]</w:t>
        </w:r>
      </w:hyperlink>
      <w:r w:rsidRPr="00222858">
        <w:rPr>
          <w:rFonts w:ascii="Avenir LT Std 35 Light" w:hAnsi="Avenir LT Std 35 Light"/>
          <w:lang w:val="en-US"/>
        </w:rPr>
        <w:t xml:space="preserve">. Accessed 18 March 2014. </w:t>
      </w:r>
    </w:p>
  </w:endnote>
  <w:endnote w:id="39">
    <w:p w14:paraId="5CBBFE4C" w14:textId="77777777" w:rsidR="00406A2C" w:rsidRPr="00AD1276" w:rsidRDefault="00406A2C" w:rsidP="00AD1276">
      <w:pPr>
        <w:autoSpaceDE w:val="0"/>
        <w:autoSpaceDN w:val="0"/>
        <w:adjustRightInd w:val="0"/>
        <w:spacing w:after="120"/>
        <w:rPr>
          <w:rFonts w:ascii="Avenir LT Std 35 Light" w:hAnsi="Avenir LT Std 35 Light"/>
          <w:szCs w:val="20"/>
          <w:lang w:eastAsia="en-AU"/>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szCs w:val="20"/>
          <w:lang w:eastAsia="en-AU"/>
        </w:rPr>
        <w:t>Chrisopoulos S &amp; Harford JE 2013. Oral health and dental care in Australia: key facts and figures</w:t>
      </w:r>
    </w:p>
    <w:p w14:paraId="7F00BCC4" w14:textId="331797C1" w:rsidR="00406A2C" w:rsidRPr="00AD1276" w:rsidRDefault="00406A2C" w:rsidP="00AD1276">
      <w:pPr>
        <w:pStyle w:val="EndnoteText"/>
        <w:spacing w:after="120" w:line="276" w:lineRule="auto"/>
        <w:rPr>
          <w:rFonts w:ascii="Avenir LT Std 35 Light" w:hAnsi="Avenir LT Std 35 Light"/>
          <w:lang w:val="en-US"/>
        </w:rPr>
      </w:pPr>
      <w:r w:rsidRPr="00AD1276">
        <w:rPr>
          <w:rFonts w:ascii="Avenir LT Std 35 Light" w:hAnsi="Avenir LT Std 35 Light"/>
          <w:lang w:eastAsia="en-AU"/>
        </w:rPr>
        <w:t>2012. Cat. no. DEN 224. Canberra: AIHW.</w:t>
      </w:r>
    </w:p>
  </w:endnote>
  <w:endnote w:id="40">
    <w:p w14:paraId="5DADC189" w14:textId="1E13EE44" w:rsidR="00406A2C" w:rsidRPr="00AD1276" w:rsidRDefault="00406A2C" w:rsidP="00AD1276">
      <w:pPr>
        <w:pStyle w:val="EndnoteText"/>
        <w:spacing w:after="120" w:line="276" w:lineRule="auto"/>
        <w:rPr>
          <w:rFonts w:ascii="Avenir LT Std 35 Light" w:hAnsi="Avenir LT Std 35 Light"/>
          <w:lang w:val="en-US"/>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lang w:val="en-US"/>
        </w:rPr>
        <w:t>Ibid.</w:t>
      </w:r>
    </w:p>
  </w:endnote>
  <w:endnote w:id="41">
    <w:p w14:paraId="431354C8" w14:textId="62C4865F" w:rsidR="00406A2C" w:rsidRPr="00AD1276" w:rsidRDefault="00406A2C" w:rsidP="00AD1276">
      <w:pPr>
        <w:pStyle w:val="EndnoteText"/>
        <w:spacing w:after="120" w:line="276" w:lineRule="auto"/>
        <w:rPr>
          <w:rFonts w:ascii="Avenir LT Std 35 Light" w:hAnsi="Avenir LT Std 35 Light"/>
          <w:lang w:val="en-US"/>
        </w:rPr>
      </w:pPr>
      <w:r w:rsidRPr="00AD1276">
        <w:rPr>
          <w:rStyle w:val="EndnoteReference"/>
          <w:rFonts w:ascii="Avenir LT Std 35 Light" w:hAnsi="Avenir LT Std 35 Light"/>
        </w:rPr>
        <w:endnoteRef/>
      </w:r>
      <w:r w:rsidRPr="00AD1276">
        <w:rPr>
          <w:rFonts w:ascii="Avenir LT Std 35 Light" w:hAnsi="Avenir LT Std 35 Light"/>
        </w:rPr>
        <w:t xml:space="preserve"> </w:t>
      </w:r>
      <w:r w:rsidRPr="00AD1276">
        <w:rPr>
          <w:rFonts w:ascii="Avenir LT Std 35 Light" w:hAnsi="Avenir LT Std 35 Light"/>
          <w:lang w:val="en-US"/>
        </w:rPr>
        <w:t>Ibid.</w:t>
      </w:r>
    </w:p>
  </w:endnote>
  <w:endnote w:id="42">
    <w:p w14:paraId="11D228FD" w14:textId="47C337A8"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Spencer AJ &amp; Harford J 2008. </w:t>
      </w:r>
      <w:hyperlink r:id="rId8" w:history="1">
        <w:r w:rsidRPr="00B2456E">
          <w:rPr>
            <w:rStyle w:val="Hyperlink"/>
            <w:rFonts w:ascii="Avenir LT Std 35 Light" w:hAnsi="Avenir LT Std 35 Light"/>
            <w:lang w:val="en-US"/>
          </w:rPr>
          <w:t>Improving oral health and dental care for Australians [PDF, 750 KB]</w:t>
        </w:r>
      </w:hyperlink>
      <w:r w:rsidRPr="00222858">
        <w:rPr>
          <w:rFonts w:ascii="Avenir LT Std 35 Light" w:hAnsi="Avenir LT Std 35 Light"/>
          <w:lang w:val="en-US"/>
        </w:rPr>
        <w:t xml:space="preserve">. Accessed 18 March 2014. </w:t>
      </w:r>
    </w:p>
  </w:endnote>
  <w:endnote w:id="43">
    <w:p w14:paraId="17A7780B" w14:textId="77777777" w:rsidR="00406A2C" w:rsidRPr="00222858" w:rsidRDefault="00406A2C" w:rsidP="00520B93">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lang w:val="en-US"/>
        </w:rPr>
        <w:t xml:space="preserve">McGrath C &amp; Bedi R 2001. ‘Can dental attendance improve quality of life?’ </w:t>
      </w:r>
      <w:r w:rsidRPr="00222858">
        <w:rPr>
          <w:rFonts w:ascii="Avenir LT Std 35 Light" w:hAnsi="Avenir LT Std 35 Light"/>
          <w:i/>
          <w:lang w:val="en-US"/>
        </w:rPr>
        <w:t>British Dental Journal,</w:t>
      </w:r>
      <w:r w:rsidRPr="00222858">
        <w:rPr>
          <w:rFonts w:ascii="Avenir LT Std 35 Light" w:hAnsi="Avenir LT Std 35 Light"/>
          <w:lang w:val="en-US"/>
        </w:rPr>
        <w:t xml:space="preserve"> 190(5):262–265.</w:t>
      </w:r>
    </w:p>
  </w:endnote>
  <w:endnote w:id="44">
    <w:p w14:paraId="360A499F" w14:textId="77777777" w:rsidR="00406A2C" w:rsidRPr="00222858" w:rsidRDefault="00406A2C" w:rsidP="00520B93">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AIHW, Harford JE &amp; Islam S 2013. </w:t>
      </w:r>
      <w:r w:rsidRPr="00222858">
        <w:rPr>
          <w:rFonts w:ascii="Avenir LT Std 35 Light" w:hAnsi="Avenir LT Std 35 Light"/>
          <w:i/>
        </w:rPr>
        <w:t xml:space="preserve">Adult oral health and dental visiting in Australia: results from the National Dental Telephone Interview Survey 2010. </w:t>
      </w:r>
      <w:r w:rsidRPr="00222858">
        <w:rPr>
          <w:rFonts w:ascii="Avenir LT Std 35 Light" w:hAnsi="Avenir LT Std 35 Light"/>
        </w:rPr>
        <w:t xml:space="preserve">Dental statistics and research series 65. Cat. No. DEN227. Canberra: AIHW. </w:t>
      </w:r>
    </w:p>
  </w:endnote>
  <w:endnote w:id="45">
    <w:p w14:paraId="03B6556B" w14:textId="7476CCC1"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cs="Verdana"/>
        </w:rPr>
        <w:t xml:space="preserve">Health Workforce Australia 2012. </w:t>
      </w:r>
      <w:r w:rsidRPr="00222858">
        <w:rPr>
          <w:rFonts w:ascii="Avenir LT Std 35 Light" w:hAnsi="Avenir LT Std 35 Light" w:cs="Verdana"/>
          <w:i/>
          <w:iCs/>
        </w:rPr>
        <w:t>Health Workforce 2025 - Doctors, Nurses and Midwives – Volume 1</w:t>
      </w:r>
      <w:r w:rsidRPr="00222858">
        <w:rPr>
          <w:rFonts w:ascii="Avenir LT Std 35 Light" w:hAnsi="Avenir LT Std 35 Light" w:cs="Verdana"/>
        </w:rPr>
        <w:t>. Adelaide: HWA.</w:t>
      </w:r>
    </w:p>
  </w:endnote>
  <w:endnote w:id="46">
    <w:p w14:paraId="78E3299B" w14:textId="5C8B6387"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hAnsi="Avenir LT Std 35 Light" w:cs="Verdana"/>
        </w:rPr>
        <w:t xml:space="preserve">Health Workforce Australia 2012. </w:t>
      </w:r>
      <w:r w:rsidRPr="00222858">
        <w:rPr>
          <w:rFonts w:ascii="Avenir LT Std 35 Light" w:hAnsi="Avenir LT Std 35 Light" w:cs="Verdana"/>
          <w:i/>
          <w:iCs/>
        </w:rPr>
        <w:t>Health Workforce 2025 – Doctors, Nurses and Midwives – Volume 2</w:t>
      </w:r>
      <w:r w:rsidRPr="00222858">
        <w:rPr>
          <w:rFonts w:ascii="Avenir LT Std 35 Light" w:hAnsi="Avenir LT Std 35 Light" w:cs="Verdana"/>
        </w:rPr>
        <w:t>. Adelaide: HWA.</w:t>
      </w:r>
    </w:p>
  </w:endnote>
  <w:endnote w:id="47">
    <w:p w14:paraId="0CBF49C0" w14:textId="5CFA714C" w:rsidR="00406A2C" w:rsidRPr="00222858" w:rsidRDefault="00406A2C" w:rsidP="00222858">
      <w:pPr>
        <w:pStyle w:val="EndnoteText"/>
        <w:spacing w:before="0" w:after="120" w:line="276" w:lineRule="auto"/>
        <w:rPr>
          <w:rFonts w:ascii="Avenir LT Std 35 Light" w:hAnsi="Avenir LT Std 35 Light"/>
          <w:lang w:val="en-US"/>
        </w:rPr>
      </w:pPr>
      <w:r w:rsidRPr="00222858">
        <w:rPr>
          <w:rStyle w:val="EndnoteReference"/>
          <w:rFonts w:ascii="Avenir LT Std 35 Light" w:hAnsi="Avenir LT Std 35 Light"/>
        </w:rPr>
        <w:endnoteRef/>
      </w:r>
      <w:r w:rsidRPr="00222858">
        <w:rPr>
          <w:rFonts w:ascii="Avenir LT Std 35 Light" w:hAnsi="Avenir LT Std 35 Light"/>
        </w:rPr>
        <w:t xml:space="preserve"> </w:t>
      </w:r>
      <w:r w:rsidRPr="00222858">
        <w:rPr>
          <w:rFonts w:ascii="Avenir LT Std 35 Light" w:eastAsia="Calibri" w:hAnsi="Avenir LT Std 35 Light" w:cs="Verdana"/>
        </w:rPr>
        <w:t xml:space="preserve">Health Workforce Australia 2012. </w:t>
      </w:r>
      <w:r w:rsidRPr="00222858">
        <w:rPr>
          <w:rFonts w:ascii="Avenir LT Std 35 Light" w:eastAsia="Calibri" w:hAnsi="Avenir LT Std 35 Light" w:cs="Verdana"/>
          <w:i/>
          <w:iCs/>
        </w:rPr>
        <w:t>Health Workforce 2025 - Medical Specialties – Volume 3</w:t>
      </w:r>
      <w:r w:rsidRPr="00222858">
        <w:rPr>
          <w:rFonts w:ascii="Avenir LT Std 35 Light" w:eastAsia="Calibri" w:hAnsi="Avenir LT Std 35 Light" w:cs="Verdana"/>
        </w:rPr>
        <w:t>. Adelaide: HWA.</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ourier">
    <w:panose1 w:val="02070409020205020404"/>
    <w:charset w:val="00"/>
    <w:family w:val="modern"/>
    <w:notTrueType/>
    <w:pitch w:val="fixed"/>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venir LT Std 35 Light">
    <w:altName w:val="Century Gothic"/>
    <w:panose1 w:val="00000000000000000000"/>
    <w:charset w:val="00"/>
    <w:family w:val="swiss"/>
    <w:notTrueType/>
    <w:pitch w:val="variable"/>
    <w:sig w:usb0="00000003" w:usb1="4000204A" w:usb2="00000000" w:usb3="00000000" w:csb0="00000001" w:csb1="00000000"/>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Myriad Pro Cond">
    <w:panose1 w:val="00000000000000000000"/>
    <w:charset w:val="00"/>
    <w:family w:val="swiss"/>
    <w:notTrueType/>
    <w:pitch w:val="variable"/>
    <w:sig w:usb0="20000287" w:usb1="00000001" w:usb2="00000000" w:usb3="00000000" w:csb0="0000019F" w:csb1="00000000"/>
  </w:font>
  <w:font w:name="Í`_¯ ë">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1B2CAB" w14:textId="3E3877B3" w:rsidR="00406A2C" w:rsidRPr="005F1C0A" w:rsidRDefault="00406A2C">
    <w:pPr>
      <w:pStyle w:val="Footer"/>
      <w:rPr>
        <w:lang w:val="en-US"/>
      </w:rPr>
    </w:pPr>
    <w:r>
      <w:rPr>
        <w:lang w:val="en-US"/>
      </w:rPr>
      <w:tab/>
    </w:r>
    <w:r>
      <w:rPr>
        <w:lang w:val="en-US"/>
      </w:rPr>
      <w:tab/>
      <w:t xml:space="preserve">Page </w:t>
    </w:r>
    <w:r w:rsidRPr="005F1C0A">
      <w:rPr>
        <w:rStyle w:val="PageNumber"/>
        <w:lang w:val="en-US"/>
      </w:rPr>
      <w:fldChar w:fldCharType="begin"/>
    </w:r>
    <w:r w:rsidRPr="005F1C0A">
      <w:rPr>
        <w:rStyle w:val="PageNumber"/>
        <w:lang w:val="en-US"/>
      </w:rPr>
      <w:instrText xml:space="preserve"> PAGE   \* MERGEFORMAT </w:instrText>
    </w:r>
    <w:r w:rsidRPr="005F1C0A">
      <w:rPr>
        <w:rStyle w:val="PageNumber"/>
        <w:lang w:val="en-US"/>
      </w:rPr>
      <w:fldChar w:fldCharType="separate"/>
    </w:r>
    <w:r w:rsidRPr="00D01168">
      <w:rPr>
        <w:rStyle w:val="PageNumber"/>
        <w:noProof/>
        <w:lang w:val="en-AU"/>
      </w:rPr>
      <w:t>2</w:t>
    </w:r>
    <w:r w:rsidRPr="005F1C0A">
      <w:rPr>
        <w:rStyle w:val="PageNumber"/>
        <w:lang w:val="en-U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4D0945" w14:textId="60AEE8AD" w:rsidR="00406A2C" w:rsidRPr="005F1C0A" w:rsidRDefault="00406A2C">
    <w:pPr>
      <w:pStyle w:val="Footer"/>
      <w:rPr>
        <w:lang w:val="en-US"/>
      </w:rPr>
    </w:pPr>
    <w:r w:rsidRPr="001856EB">
      <w:rPr>
        <w:rFonts w:ascii="Avenir LT Std 35 Light" w:hAnsi="Avenir LT Std 35 Light"/>
        <w:lang w:val="en-US"/>
      </w:rPr>
      <w:t>Australia’s Future Health Workforce – Oral Health</w:t>
    </w:r>
    <w:r>
      <w:rPr>
        <w:rFonts w:ascii="Avenir LT Std 35 Light" w:hAnsi="Avenir LT Std 35 Light"/>
        <w:lang w:val="en-US"/>
      </w:rPr>
      <w:t xml:space="preserve"> – Overview</w:t>
    </w:r>
    <w:r>
      <w:rPr>
        <w:lang w:val="en-US"/>
      </w:rPr>
      <w:t xml:space="preserve"> </w:t>
    </w:r>
    <w:r>
      <w:rPr>
        <w:lang w:val="en-US"/>
      </w:rPr>
      <w:tab/>
      <w:t xml:space="preserve">Page </w:t>
    </w:r>
    <w:r w:rsidRPr="00DC366A">
      <w:rPr>
        <w:rStyle w:val="PageNumber"/>
        <w:color w:val="auto"/>
        <w:sz w:val="16"/>
        <w:lang w:val="en-US"/>
      </w:rPr>
      <w:fldChar w:fldCharType="begin"/>
    </w:r>
    <w:r w:rsidRPr="00DC366A">
      <w:rPr>
        <w:rStyle w:val="PageNumber"/>
        <w:color w:val="auto"/>
        <w:sz w:val="16"/>
        <w:lang w:val="en-US"/>
      </w:rPr>
      <w:instrText xml:space="preserve"> PAGE   \* MERGEFORMAT </w:instrText>
    </w:r>
    <w:r w:rsidRPr="00DC366A">
      <w:rPr>
        <w:rStyle w:val="PageNumber"/>
        <w:color w:val="auto"/>
        <w:sz w:val="16"/>
        <w:lang w:val="en-US"/>
      </w:rPr>
      <w:fldChar w:fldCharType="separate"/>
    </w:r>
    <w:r w:rsidR="00166736" w:rsidRPr="00166736">
      <w:rPr>
        <w:rStyle w:val="PageNumber"/>
        <w:noProof/>
        <w:color w:val="auto"/>
        <w:sz w:val="16"/>
        <w:lang w:val="en-AU"/>
      </w:rPr>
      <w:t>68</w:t>
    </w:r>
    <w:r w:rsidRPr="00DC366A">
      <w:rPr>
        <w:rStyle w:val="PageNumber"/>
        <w:color w:val="auto"/>
        <w:sz w:val="16"/>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1417DC" w14:textId="77777777" w:rsidR="00406A2C" w:rsidRDefault="00406A2C" w:rsidP="00963AD0">
      <w:pPr>
        <w:spacing w:after="0" w:line="240" w:lineRule="auto"/>
      </w:pPr>
      <w:r>
        <w:separator/>
      </w:r>
    </w:p>
  </w:footnote>
  <w:footnote w:type="continuationSeparator" w:id="0">
    <w:p w14:paraId="4CC6B8CD" w14:textId="77777777" w:rsidR="00406A2C" w:rsidRDefault="00406A2C" w:rsidP="00963AD0">
      <w:pPr>
        <w:spacing w:after="0" w:line="240" w:lineRule="auto"/>
      </w:pPr>
      <w:r>
        <w:continuationSeparator/>
      </w:r>
    </w:p>
  </w:footnote>
  <w:footnote w:id="1">
    <w:p w14:paraId="2D2F0332" w14:textId="12FDB3FC" w:rsidR="00406A2C" w:rsidRPr="00222858" w:rsidRDefault="00406A2C" w:rsidP="00687D37">
      <w:pPr>
        <w:spacing w:before="0" w:after="200"/>
        <w:rPr>
          <w:rFonts w:ascii="Avenir LT Std 35 Light" w:hAnsi="Avenir LT Std 35 Light"/>
          <w:lang w:val="en-US"/>
        </w:rPr>
      </w:pPr>
      <w:r w:rsidRPr="00687D37">
        <w:rPr>
          <w:sz w:val="14"/>
          <w:szCs w:val="14"/>
        </w:rPr>
        <w:footnoteRef/>
      </w:r>
      <w:r w:rsidRPr="00687D37">
        <w:rPr>
          <w:rFonts w:ascii="Avenir LT Std 35 Light" w:hAnsi="Avenir LT Std 35 Light"/>
          <w:sz w:val="14"/>
          <w:szCs w:val="14"/>
        </w:rPr>
        <w:t xml:space="preserve"> On 1 July 2010 the National Registration and Accreditation Scheme commenced, which saw a number of health professions become national regulated by a corresponding Board. The Dental Board of Australia registers dentists, students, dental specialists, dental therapists, dental hygienists, oral health therapists and dental prosthetists.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0A5EFE" w14:textId="7A2CB0E0" w:rsidR="00406A2C" w:rsidRDefault="00406A2C" w:rsidP="00963AD0">
    <w:pPr>
      <w:pStyle w:val="Header"/>
    </w:pPr>
  </w:p>
  <w:p w14:paraId="09965596" w14:textId="1754E1BA" w:rsidR="00406A2C" w:rsidRDefault="00406A2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B2665C" w14:textId="1D7A9508" w:rsidR="00406A2C" w:rsidRDefault="00406A2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6A4B51" w14:textId="02B4207D" w:rsidR="00406A2C" w:rsidRDefault="00406A2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50F834" w14:textId="1F8A736B" w:rsidR="00406A2C" w:rsidRDefault="00406A2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8B54C9" w14:textId="18E44432" w:rsidR="00406A2C" w:rsidRDefault="00406A2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E859B2" w14:textId="083E374B" w:rsidR="00406A2C" w:rsidRPr="00825130" w:rsidRDefault="00406A2C" w:rsidP="0082513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C8127A" w14:textId="534F00F3" w:rsidR="00406A2C" w:rsidRDefault="00406A2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23C4BE" w14:textId="76514CD2" w:rsidR="00406A2C" w:rsidRDefault="00406A2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203A68" w14:textId="25D5B1E0" w:rsidR="00406A2C" w:rsidRPr="00825130" w:rsidRDefault="00406A2C" w:rsidP="0082513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1AEF18" w14:textId="4173109E" w:rsidR="00406A2C" w:rsidRDefault="00406A2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322A0C" w14:textId="2AC5EB7B" w:rsidR="00406A2C" w:rsidRDefault="00406A2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E99115" w14:textId="77777777" w:rsidR="00406A2C" w:rsidRDefault="00406A2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3659DF" w14:textId="3061960B" w:rsidR="00406A2C" w:rsidRDefault="00406A2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C4B74"/>
    <w:multiLevelType w:val="hybridMultilevel"/>
    <w:tmpl w:val="BBA8A7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7ED4118"/>
    <w:multiLevelType w:val="multilevel"/>
    <w:tmpl w:val="3418E0F8"/>
    <w:styleLink w:val="Listbulleted2"/>
    <w:lvl w:ilvl="0">
      <w:start w:val="1"/>
      <w:numFmt w:val="bullet"/>
      <w:lvlText w:val=""/>
      <w:lvlJc w:val="left"/>
      <w:pPr>
        <w:ind w:left="720" w:hanging="363"/>
      </w:pPr>
      <w:rPr>
        <w:rFonts w:ascii="Wingdings" w:hAnsi="Wingdings" w:hint="default"/>
        <w:color w:val="0079C1"/>
        <w:sz w:val="18"/>
      </w:rPr>
    </w:lvl>
    <w:lvl w:ilvl="1">
      <w:start w:val="1"/>
      <w:numFmt w:val="bullet"/>
      <w:lvlText w:val=""/>
      <w:lvlJc w:val="left"/>
      <w:pPr>
        <w:ind w:left="1077" w:hanging="357"/>
      </w:pPr>
      <w:rPr>
        <w:rFonts w:ascii="Symbol" w:hAnsi="Symbol" w:hint="default"/>
        <w:color w:val="0079C1"/>
        <w:sz w:val="18"/>
      </w:rPr>
    </w:lvl>
    <w:lvl w:ilvl="2">
      <w:start w:val="1"/>
      <w:numFmt w:val="bullet"/>
      <w:lvlText w:val=""/>
      <w:lvlJc w:val="left"/>
      <w:pPr>
        <w:ind w:left="1435" w:hanging="358"/>
      </w:pPr>
      <w:rPr>
        <w:rFonts w:ascii="Wingdings" w:hAnsi="Wingdings" w:hint="default"/>
        <w:color w:val="0079C1"/>
      </w:rPr>
    </w:lvl>
    <w:lvl w:ilvl="3">
      <w:start w:val="1"/>
      <w:numFmt w:val="none"/>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0ABA39EF"/>
    <w:multiLevelType w:val="hybridMultilevel"/>
    <w:tmpl w:val="B010F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C4734D2"/>
    <w:multiLevelType w:val="hybridMultilevel"/>
    <w:tmpl w:val="37783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E770F8C"/>
    <w:multiLevelType w:val="hybridMultilevel"/>
    <w:tmpl w:val="49300DA2"/>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1F34451"/>
    <w:multiLevelType w:val="hybridMultilevel"/>
    <w:tmpl w:val="4F7CB8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8FA5639"/>
    <w:multiLevelType w:val="hybridMultilevel"/>
    <w:tmpl w:val="DF86C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9F45833"/>
    <w:multiLevelType w:val="hybridMultilevel"/>
    <w:tmpl w:val="EC620B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AEB4D80"/>
    <w:multiLevelType w:val="hybridMultilevel"/>
    <w:tmpl w:val="FDC8A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C6E6AEB"/>
    <w:multiLevelType w:val="hybridMultilevel"/>
    <w:tmpl w:val="515459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1C9B0AF0"/>
    <w:multiLevelType w:val="hybridMultilevel"/>
    <w:tmpl w:val="6F72DD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D5E4997"/>
    <w:multiLevelType w:val="hybridMultilevel"/>
    <w:tmpl w:val="CE8C5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DC30BB8"/>
    <w:multiLevelType w:val="hybridMultilevel"/>
    <w:tmpl w:val="9440F6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E0442AE"/>
    <w:multiLevelType w:val="hybridMultilevel"/>
    <w:tmpl w:val="64F0C3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E525D9F"/>
    <w:multiLevelType w:val="hybridMultilevel"/>
    <w:tmpl w:val="F2D0B1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244179F8"/>
    <w:multiLevelType w:val="hybridMultilevel"/>
    <w:tmpl w:val="DF0A03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5FB35FF"/>
    <w:multiLevelType w:val="hybridMultilevel"/>
    <w:tmpl w:val="4A343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6F53118"/>
    <w:multiLevelType w:val="hybridMultilevel"/>
    <w:tmpl w:val="2E5CCD8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7A80AFA"/>
    <w:multiLevelType w:val="hybridMultilevel"/>
    <w:tmpl w:val="AD9A9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80F7232"/>
    <w:multiLevelType w:val="hybridMultilevel"/>
    <w:tmpl w:val="15C211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8575B17"/>
    <w:multiLevelType w:val="hybridMultilevel"/>
    <w:tmpl w:val="76A8A6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2A716F0B"/>
    <w:multiLevelType w:val="hybridMultilevel"/>
    <w:tmpl w:val="98404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2B7E48A1"/>
    <w:multiLevelType w:val="hybridMultilevel"/>
    <w:tmpl w:val="25EE7D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2B824F62"/>
    <w:multiLevelType w:val="hybridMultilevel"/>
    <w:tmpl w:val="645EC0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2F8076D3"/>
    <w:multiLevelType w:val="hybridMultilevel"/>
    <w:tmpl w:val="A956B4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39D55A4F"/>
    <w:multiLevelType w:val="hybridMultilevel"/>
    <w:tmpl w:val="A3D0D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3D9F4C90"/>
    <w:multiLevelType w:val="hybridMultilevel"/>
    <w:tmpl w:val="37201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F5E40F1"/>
    <w:multiLevelType w:val="hybridMultilevel"/>
    <w:tmpl w:val="18802B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42016C53"/>
    <w:multiLevelType w:val="hybridMultilevel"/>
    <w:tmpl w:val="053298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37A5E9D"/>
    <w:multiLevelType w:val="hybridMultilevel"/>
    <w:tmpl w:val="00B6C2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69A5767"/>
    <w:multiLevelType w:val="hybridMultilevel"/>
    <w:tmpl w:val="82A6BC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A5C6718"/>
    <w:multiLevelType w:val="hybridMultilevel"/>
    <w:tmpl w:val="7DFCC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4B6770A7"/>
    <w:multiLevelType w:val="hybridMultilevel"/>
    <w:tmpl w:val="1DB4D7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C9C5249"/>
    <w:multiLevelType w:val="hybridMultilevel"/>
    <w:tmpl w:val="58BEEC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4D197F1C"/>
    <w:multiLevelType w:val="hybridMultilevel"/>
    <w:tmpl w:val="3B3CC4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4ECD494F"/>
    <w:multiLevelType w:val="hybridMultilevel"/>
    <w:tmpl w:val="527495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543C5B88"/>
    <w:multiLevelType w:val="hybridMultilevel"/>
    <w:tmpl w:val="5C800A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559753AF"/>
    <w:multiLevelType w:val="hybridMultilevel"/>
    <w:tmpl w:val="E9D8B2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559C02A3"/>
    <w:multiLevelType w:val="multilevel"/>
    <w:tmpl w:val="B9186086"/>
    <w:styleLink w:val="TabledListnumbered22"/>
    <w:lvl w:ilvl="0">
      <w:start w:val="1"/>
      <w:numFmt w:val="decimal"/>
      <w:lvlText w:val="%1."/>
      <w:lvlJc w:val="left"/>
      <w:pPr>
        <w:tabs>
          <w:tab w:val="num" w:pos="567"/>
        </w:tabs>
        <w:ind w:left="567" w:hanging="283"/>
      </w:pPr>
      <w:rPr>
        <w:rFonts w:ascii="Century Gothic" w:hAnsi="Century Gothic" w:hint="default"/>
        <w:b w:val="0"/>
        <w:i w:val="0"/>
        <w:color w:val="0079C1"/>
        <w:sz w:val="18"/>
      </w:rPr>
    </w:lvl>
    <w:lvl w:ilvl="1">
      <w:start w:val="1"/>
      <w:numFmt w:val="lowerRoman"/>
      <w:lvlText w:val="%2)"/>
      <w:lvlJc w:val="left"/>
      <w:pPr>
        <w:tabs>
          <w:tab w:val="num" w:pos="851"/>
        </w:tabs>
        <w:ind w:left="851" w:hanging="284"/>
      </w:pPr>
      <w:rPr>
        <w:rFonts w:ascii="Century Gothic" w:hAnsi="Century Gothic" w:hint="default"/>
        <w:b w:val="0"/>
        <w:i w:val="0"/>
        <w:color w:val="0079C1"/>
        <w:sz w:val="18"/>
      </w:rPr>
    </w:lvl>
    <w:lvl w:ilvl="2">
      <w:start w:val="1"/>
      <w:numFmt w:val="lowerLetter"/>
      <w:lvlText w:val="%3)"/>
      <w:lvlJc w:val="left"/>
      <w:pPr>
        <w:ind w:left="1134" w:hanging="283"/>
      </w:pPr>
      <w:rPr>
        <w:rFonts w:ascii="Arial" w:hAnsi="Arial" w:hint="default"/>
        <w:b w:val="0"/>
        <w:i w:val="0"/>
        <w:color w:val="0079C1"/>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nsid w:val="56E14984"/>
    <w:multiLevelType w:val="multilevel"/>
    <w:tmpl w:val="86DE5726"/>
    <w:styleLink w:val="Listnumbered21"/>
    <w:lvl w:ilvl="0">
      <w:start w:val="1"/>
      <w:numFmt w:val="decimal"/>
      <w:lvlText w:val="%1."/>
      <w:lvlJc w:val="left"/>
      <w:pPr>
        <w:ind w:left="720" w:hanging="363"/>
      </w:pPr>
      <w:rPr>
        <w:rFonts w:ascii="Century Gothic" w:hAnsi="Century Gothic" w:hint="default"/>
        <w:b w:val="0"/>
        <w:i w:val="0"/>
        <w:color w:val="0079C1"/>
        <w:sz w:val="20"/>
      </w:rPr>
    </w:lvl>
    <w:lvl w:ilvl="1">
      <w:start w:val="1"/>
      <w:numFmt w:val="lowerRoman"/>
      <w:lvlText w:val="%2."/>
      <w:lvlJc w:val="left"/>
      <w:pPr>
        <w:tabs>
          <w:tab w:val="num" w:pos="1080"/>
        </w:tabs>
        <w:ind w:left="1077" w:hanging="357"/>
      </w:pPr>
      <w:rPr>
        <w:rFonts w:ascii="Century Gothic" w:hAnsi="Century Gothic" w:hint="default"/>
        <w:b w:val="0"/>
        <w:i w:val="0"/>
        <w:color w:val="0079C1"/>
        <w:sz w:val="20"/>
      </w:rPr>
    </w:lvl>
    <w:lvl w:ilvl="2">
      <w:start w:val="1"/>
      <w:numFmt w:val="lowerLetter"/>
      <w:lvlText w:val="%3)"/>
      <w:lvlJc w:val="left"/>
      <w:pPr>
        <w:ind w:left="1435" w:hanging="358"/>
      </w:pPr>
      <w:rPr>
        <w:rFonts w:ascii="Arial" w:hAnsi="Arial" w:hint="default"/>
        <w:b w:val="0"/>
        <w:i w:val="0"/>
        <w:color w:val="0079C1"/>
        <w:sz w:val="22"/>
      </w:rPr>
    </w:lvl>
    <w:lvl w:ilvl="3">
      <w:start w:val="1"/>
      <w:numFmt w:val="none"/>
      <w:lvlText w:val="(%4)"/>
      <w:lvlJc w:val="left"/>
      <w:pPr>
        <w:ind w:left="1139" w:hanging="360"/>
      </w:pPr>
      <w:rPr>
        <w:rFonts w:hint="default"/>
      </w:rPr>
    </w:lvl>
    <w:lvl w:ilvl="4">
      <w:start w:val="1"/>
      <w:numFmt w:val="lowerLetter"/>
      <w:lvlText w:val="(%5)"/>
      <w:lvlJc w:val="left"/>
      <w:pPr>
        <w:ind w:left="1499" w:hanging="360"/>
      </w:pPr>
      <w:rPr>
        <w:rFonts w:hint="default"/>
      </w:rPr>
    </w:lvl>
    <w:lvl w:ilvl="5">
      <w:start w:val="1"/>
      <w:numFmt w:val="lowerRoman"/>
      <w:lvlText w:val="(%6)"/>
      <w:lvlJc w:val="left"/>
      <w:pPr>
        <w:ind w:left="1859" w:hanging="360"/>
      </w:pPr>
      <w:rPr>
        <w:rFonts w:hint="default"/>
      </w:rPr>
    </w:lvl>
    <w:lvl w:ilvl="6">
      <w:start w:val="1"/>
      <w:numFmt w:val="decimal"/>
      <w:lvlText w:val="%7."/>
      <w:lvlJc w:val="left"/>
      <w:pPr>
        <w:ind w:left="2219" w:hanging="360"/>
      </w:pPr>
      <w:rPr>
        <w:rFonts w:hint="default"/>
      </w:rPr>
    </w:lvl>
    <w:lvl w:ilvl="7">
      <w:start w:val="1"/>
      <w:numFmt w:val="lowerLetter"/>
      <w:lvlText w:val="%8."/>
      <w:lvlJc w:val="left"/>
      <w:pPr>
        <w:ind w:left="2579" w:hanging="360"/>
      </w:pPr>
      <w:rPr>
        <w:rFonts w:hint="default"/>
      </w:rPr>
    </w:lvl>
    <w:lvl w:ilvl="8">
      <w:start w:val="1"/>
      <w:numFmt w:val="lowerRoman"/>
      <w:lvlText w:val="%9."/>
      <w:lvlJc w:val="left"/>
      <w:pPr>
        <w:ind w:left="2939" w:hanging="360"/>
      </w:pPr>
      <w:rPr>
        <w:rFonts w:hint="default"/>
      </w:rPr>
    </w:lvl>
  </w:abstractNum>
  <w:abstractNum w:abstractNumId="40">
    <w:nsid w:val="599F6EE3"/>
    <w:multiLevelType w:val="hybridMultilevel"/>
    <w:tmpl w:val="6DF00D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nsid w:val="5A58235A"/>
    <w:multiLevelType w:val="hybridMultilevel"/>
    <w:tmpl w:val="EB884F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5A5F2AF0"/>
    <w:multiLevelType w:val="hybridMultilevel"/>
    <w:tmpl w:val="31E69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5C8805B7"/>
    <w:multiLevelType w:val="hybridMultilevel"/>
    <w:tmpl w:val="E34453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5CDF2251"/>
    <w:multiLevelType w:val="hybridMultilevel"/>
    <w:tmpl w:val="611017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67766382"/>
    <w:multiLevelType w:val="multilevel"/>
    <w:tmpl w:val="F404F67C"/>
    <w:styleLink w:val="TableListbulleted2"/>
    <w:lvl w:ilvl="0">
      <w:start w:val="1"/>
      <w:numFmt w:val="bullet"/>
      <w:lvlText w:val=""/>
      <w:lvlJc w:val="left"/>
      <w:pPr>
        <w:tabs>
          <w:tab w:val="num" w:pos="567"/>
        </w:tabs>
        <w:ind w:left="567" w:hanging="283"/>
      </w:pPr>
      <w:rPr>
        <w:rFonts w:ascii="Wingdings" w:hAnsi="Wingdings" w:hint="default"/>
        <w:color w:val="0079C1"/>
        <w:sz w:val="20"/>
      </w:rPr>
    </w:lvl>
    <w:lvl w:ilvl="1">
      <w:start w:val="1"/>
      <w:numFmt w:val="bullet"/>
      <w:lvlText w:val=""/>
      <w:lvlJc w:val="left"/>
      <w:pPr>
        <w:tabs>
          <w:tab w:val="num" w:pos="851"/>
        </w:tabs>
        <w:ind w:left="851" w:hanging="284"/>
      </w:pPr>
      <w:rPr>
        <w:rFonts w:ascii="Symbol" w:hAnsi="Symbol" w:hint="default"/>
        <w:color w:val="0079C1"/>
        <w:sz w:val="18"/>
      </w:rPr>
    </w:lvl>
    <w:lvl w:ilvl="2">
      <w:start w:val="1"/>
      <w:numFmt w:val="lowerLetter"/>
      <w:lvlText w:val="%3)"/>
      <w:lvlJc w:val="left"/>
      <w:pPr>
        <w:ind w:left="1435" w:hanging="358"/>
      </w:pPr>
      <w:rPr>
        <w:rFonts w:ascii="Arial" w:hAnsi="Arial" w:hint="default"/>
        <w:b w:val="0"/>
        <w:i w:val="0"/>
        <w:color w:val="0079C1"/>
        <w:sz w:val="20"/>
      </w:rPr>
    </w:lvl>
    <w:lvl w:ilvl="3">
      <w:start w:val="1"/>
      <w:numFmt w:val="none"/>
      <w:lvlText w:val="(%4)"/>
      <w:lvlJc w:val="left"/>
      <w:pPr>
        <w:ind w:left="1139" w:hanging="360"/>
      </w:pPr>
      <w:rPr>
        <w:rFonts w:hint="default"/>
      </w:rPr>
    </w:lvl>
    <w:lvl w:ilvl="4">
      <w:start w:val="1"/>
      <w:numFmt w:val="lowerLetter"/>
      <w:lvlText w:val="(%5)"/>
      <w:lvlJc w:val="left"/>
      <w:pPr>
        <w:ind w:left="1499" w:hanging="360"/>
      </w:pPr>
      <w:rPr>
        <w:rFonts w:hint="default"/>
      </w:rPr>
    </w:lvl>
    <w:lvl w:ilvl="5">
      <w:start w:val="1"/>
      <w:numFmt w:val="lowerRoman"/>
      <w:lvlText w:val="(%6)"/>
      <w:lvlJc w:val="left"/>
      <w:pPr>
        <w:ind w:left="1859" w:hanging="360"/>
      </w:pPr>
      <w:rPr>
        <w:rFonts w:hint="default"/>
      </w:rPr>
    </w:lvl>
    <w:lvl w:ilvl="6">
      <w:start w:val="1"/>
      <w:numFmt w:val="decimal"/>
      <w:lvlText w:val="%7."/>
      <w:lvlJc w:val="left"/>
      <w:pPr>
        <w:ind w:left="2219" w:hanging="360"/>
      </w:pPr>
      <w:rPr>
        <w:rFonts w:hint="default"/>
      </w:rPr>
    </w:lvl>
    <w:lvl w:ilvl="7">
      <w:start w:val="1"/>
      <w:numFmt w:val="lowerLetter"/>
      <w:lvlText w:val="%8."/>
      <w:lvlJc w:val="left"/>
      <w:pPr>
        <w:ind w:left="2579" w:hanging="360"/>
      </w:pPr>
      <w:rPr>
        <w:rFonts w:hint="default"/>
      </w:rPr>
    </w:lvl>
    <w:lvl w:ilvl="8">
      <w:start w:val="1"/>
      <w:numFmt w:val="lowerRoman"/>
      <w:lvlText w:val="%9."/>
      <w:lvlJc w:val="left"/>
      <w:pPr>
        <w:ind w:left="2939" w:hanging="360"/>
      </w:pPr>
      <w:rPr>
        <w:rFonts w:hint="default"/>
      </w:rPr>
    </w:lvl>
  </w:abstractNum>
  <w:abstractNum w:abstractNumId="46">
    <w:nsid w:val="680F64BE"/>
    <w:multiLevelType w:val="hybridMultilevel"/>
    <w:tmpl w:val="4E7C61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6942561B"/>
    <w:multiLevelType w:val="hybridMultilevel"/>
    <w:tmpl w:val="496627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nsid w:val="7814716A"/>
    <w:multiLevelType w:val="hybridMultilevel"/>
    <w:tmpl w:val="97B8D2D0"/>
    <w:lvl w:ilvl="0" w:tplc="EB6AD258">
      <w:start w:val="1"/>
      <w:numFmt w:val="bullet"/>
      <w:pStyle w:val="Table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nsid w:val="7C9C2EDC"/>
    <w:multiLevelType w:val="hybridMultilevel"/>
    <w:tmpl w:val="BBDC6D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39"/>
  </w:num>
  <w:num w:numId="3">
    <w:abstractNumId w:val="45"/>
  </w:num>
  <w:num w:numId="4">
    <w:abstractNumId w:val="38"/>
  </w:num>
  <w:num w:numId="5">
    <w:abstractNumId w:val="27"/>
  </w:num>
  <w:num w:numId="6">
    <w:abstractNumId w:val="6"/>
  </w:num>
  <w:num w:numId="7">
    <w:abstractNumId w:val="37"/>
  </w:num>
  <w:num w:numId="8">
    <w:abstractNumId w:val="25"/>
  </w:num>
  <w:num w:numId="9">
    <w:abstractNumId w:val="33"/>
  </w:num>
  <w:num w:numId="10">
    <w:abstractNumId w:val="9"/>
  </w:num>
  <w:num w:numId="11">
    <w:abstractNumId w:val="32"/>
  </w:num>
  <w:num w:numId="12">
    <w:abstractNumId w:val="20"/>
  </w:num>
  <w:num w:numId="13">
    <w:abstractNumId w:val="22"/>
  </w:num>
  <w:num w:numId="14">
    <w:abstractNumId w:val="34"/>
  </w:num>
  <w:num w:numId="15">
    <w:abstractNumId w:val="15"/>
  </w:num>
  <w:num w:numId="16">
    <w:abstractNumId w:val="8"/>
  </w:num>
  <w:num w:numId="17">
    <w:abstractNumId w:val="7"/>
  </w:num>
  <w:num w:numId="18">
    <w:abstractNumId w:val="2"/>
  </w:num>
  <w:num w:numId="19">
    <w:abstractNumId w:val="3"/>
  </w:num>
  <w:num w:numId="20">
    <w:abstractNumId w:val="29"/>
  </w:num>
  <w:num w:numId="21">
    <w:abstractNumId w:val="16"/>
  </w:num>
  <w:num w:numId="22">
    <w:abstractNumId w:val="47"/>
  </w:num>
  <w:num w:numId="23">
    <w:abstractNumId w:val="26"/>
  </w:num>
  <w:num w:numId="24">
    <w:abstractNumId w:val="0"/>
  </w:num>
  <w:num w:numId="25">
    <w:abstractNumId w:val="41"/>
  </w:num>
  <w:num w:numId="26">
    <w:abstractNumId w:val="10"/>
  </w:num>
  <w:num w:numId="27">
    <w:abstractNumId w:val="4"/>
  </w:num>
  <w:num w:numId="28">
    <w:abstractNumId w:val="44"/>
  </w:num>
  <w:num w:numId="29">
    <w:abstractNumId w:val="43"/>
  </w:num>
  <w:num w:numId="30">
    <w:abstractNumId w:val="12"/>
  </w:num>
  <w:num w:numId="31">
    <w:abstractNumId w:val="31"/>
  </w:num>
  <w:num w:numId="32">
    <w:abstractNumId w:val="40"/>
  </w:num>
  <w:num w:numId="33">
    <w:abstractNumId w:val="11"/>
  </w:num>
  <w:num w:numId="34">
    <w:abstractNumId w:val="17"/>
  </w:num>
  <w:num w:numId="35">
    <w:abstractNumId w:val="5"/>
  </w:num>
  <w:num w:numId="36">
    <w:abstractNumId w:val="14"/>
  </w:num>
  <w:num w:numId="37">
    <w:abstractNumId w:val="18"/>
  </w:num>
  <w:num w:numId="38">
    <w:abstractNumId w:val="21"/>
  </w:num>
  <w:num w:numId="39">
    <w:abstractNumId w:val="49"/>
  </w:num>
  <w:num w:numId="40">
    <w:abstractNumId w:val="42"/>
  </w:num>
  <w:num w:numId="41">
    <w:abstractNumId w:val="13"/>
  </w:num>
  <w:num w:numId="42">
    <w:abstractNumId w:val="24"/>
  </w:num>
  <w:num w:numId="43">
    <w:abstractNumId w:val="35"/>
  </w:num>
  <w:num w:numId="44">
    <w:abstractNumId w:val="30"/>
  </w:num>
  <w:num w:numId="45">
    <w:abstractNumId w:val="36"/>
  </w:num>
  <w:num w:numId="46">
    <w:abstractNumId w:val="23"/>
  </w:num>
  <w:num w:numId="47">
    <w:abstractNumId w:val="28"/>
  </w:num>
  <w:num w:numId="48">
    <w:abstractNumId w:val="19"/>
  </w:num>
  <w:num w:numId="49">
    <w:abstractNumId w:val="46"/>
  </w:num>
  <w:num w:numId="50">
    <w:abstractNumId w:val="4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Royal Society of Chemistry&lt;/Style&gt;&lt;LeftDelim&gt;{&lt;/LeftDelim&gt;&lt;RightDelim&gt;}&lt;/RightDelim&gt;&lt;FontName&gt;Century Gothic&lt;/FontName&gt;&lt;FontSize&gt;10&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Libraries&gt;"/>
  </w:docVars>
  <w:rsids>
    <w:rsidRoot w:val="00F71431"/>
    <w:rsid w:val="00000AB2"/>
    <w:rsid w:val="00002DB4"/>
    <w:rsid w:val="00003E7E"/>
    <w:rsid w:val="000045A8"/>
    <w:rsid w:val="000050C2"/>
    <w:rsid w:val="0000528B"/>
    <w:rsid w:val="00005355"/>
    <w:rsid w:val="00006A87"/>
    <w:rsid w:val="000113C4"/>
    <w:rsid w:val="000118FB"/>
    <w:rsid w:val="0001247F"/>
    <w:rsid w:val="00012C81"/>
    <w:rsid w:val="000148F5"/>
    <w:rsid w:val="00014D9A"/>
    <w:rsid w:val="000161D1"/>
    <w:rsid w:val="000165BF"/>
    <w:rsid w:val="00016D71"/>
    <w:rsid w:val="00017468"/>
    <w:rsid w:val="00017841"/>
    <w:rsid w:val="00020019"/>
    <w:rsid w:val="0002072B"/>
    <w:rsid w:val="00022DB0"/>
    <w:rsid w:val="00022F3B"/>
    <w:rsid w:val="00023745"/>
    <w:rsid w:val="00023D9F"/>
    <w:rsid w:val="00024239"/>
    <w:rsid w:val="000255BE"/>
    <w:rsid w:val="000258A0"/>
    <w:rsid w:val="00026033"/>
    <w:rsid w:val="00026559"/>
    <w:rsid w:val="00026864"/>
    <w:rsid w:val="00026A57"/>
    <w:rsid w:val="00027384"/>
    <w:rsid w:val="000315E5"/>
    <w:rsid w:val="00031642"/>
    <w:rsid w:val="00031BDF"/>
    <w:rsid w:val="00031FD4"/>
    <w:rsid w:val="00032007"/>
    <w:rsid w:val="000324E9"/>
    <w:rsid w:val="000327EE"/>
    <w:rsid w:val="00032D21"/>
    <w:rsid w:val="00035089"/>
    <w:rsid w:val="00035666"/>
    <w:rsid w:val="00035C77"/>
    <w:rsid w:val="00036345"/>
    <w:rsid w:val="000364DB"/>
    <w:rsid w:val="00036B0E"/>
    <w:rsid w:val="000375B4"/>
    <w:rsid w:val="00037BA6"/>
    <w:rsid w:val="00040854"/>
    <w:rsid w:val="00040E1C"/>
    <w:rsid w:val="00040EC4"/>
    <w:rsid w:val="0004203A"/>
    <w:rsid w:val="00043B5E"/>
    <w:rsid w:val="00044E6B"/>
    <w:rsid w:val="00045759"/>
    <w:rsid w:val="00045E00"/>
    <w:rsid w:val="000461CB"/>
    <w:rsid w:val="00046822"/>
    <w:rsid w:val="00046A98"/>
    <w:rsid w:val="000479A4"/>
    <w:rsid w:val="000514B0"/>
    <w:rsid w:val="0005329A"/>
    <w:rsid w:val="00053D48"/>
    <w:rsid w:val="00053ECE"/>
    <w:rsid w:val="00054B8A"/>
    <w:rsid w:val="00055F66"/>
    <w:rsid w:val="00056045"/>
    <w:rsid w:val="00056F98"/>
    <w:rsid w:val="000604A8"/>
    <w:rsid w:val="00060C7D"/>
    <w:rsid w:val="00060ECD"/>
    <w:rsid w:val="00061454"/>
    <w:rsid w:val="00063925"/>
    <w:rsid w:val="00063B06"/>
    <w:rsid w:val="000646B2"/>
    <w:rsid w:val="00065F02"/>
    <w:rsid w:val="00070FF7"/>
    <w:rsid w:val="0007234D"/>
    <w:rsid w:val="000726A2"/>
    <w:rsid w:val="00074099"/>
    <w:rsid w:val="00074284"/>
    <w:rsid w:val="00075988"/>
    <w:rsid w:val="00076641"/>
    <w:rsid w:val="00077270"/>
    <w:rsid w:val="00080253"/>
    <w:rsid w:val="000803BB"/>
    <w:rsid w:val="00081B31"/>
    <w:rsid w:val="00083012"/>
    <w:rsid w:val="00083221"/>
    <w:rsid w:val="00084198"/>
    <w:rsid w:val="00085EEA"/>
    <w:rsid w:val="0008600C"/>
    <w:rsid w:val="00086C02"/>
    <w:rsid w:val="00090D57"/>
    <w:rsid w:val="00091960"/>
    <w:rsid w:val="00091BB7"/>
    <w:rsid w:val="00092FFF"/>
    <w:rsid w:val="00093154"/>
    <w:rsid w:val="000934F4"/>
    <w:rsid w:val="000938BD"/>
    <w:rsid w:val="00093D40"/>
    <w:rsid w:val="00097C30"/>
    <w:rsid w:val="000A0405"/>
    <w:rsid w:val="000A0900"/>
    <w:rsid w:val="000A148E"/>
    <w:rsid w:val="000A1A0A"/>
    <w:rsid w:val="000A24A0"/>
    <w:rsid w:val="000A3012"/>
    <w:rsid w:val="000A3831"/>
    <w:rsid w:val="000A3CAF"/>
    <w:rsid w:val="000A3E28"/>
    <w:rsid w:val="000A4820"/>
    <w:rsid w:val="000A4A3F"/>
    <w:rsid w:val="000A4F51"/>
    <w:rsid w:val="000A4F66"/>
    <w:rsid w:val="000A51CF"/>
    <w:rsid w:val="000A57F1"/>
    <w:rsid w:val="000A60DF"/>
    <w:rsid w:val="000A645B"/>
    <w:rsid w:val="000A6DC9"/>
    <w:rsid w:val="000A7E95"/>
    <w:rsid w:val="000B156E"/>
    <w:rsid w:val="000B1E1B"/>
    <w:rsid w:val="000B2023"/>
    <w:rsid w:val="000B2197"/>
    <w:rsid w:val="000B278D"/>
    <w:rsid w:val="000B28E5"/>
    <w:rsid w:val="000B44F1"/>
    <w:rsid w:val="000B4F2D"/>
    <w:rsid w:val="000B5248"/>
    <w:rsid w:val="000B59E8"/>
    <w:rsid w:val="000B5D73"/>
    <w:rsid w:val="000B72F7"/>
    <w:rsid w:val="000B7344"/>
    <w:rsid w:val="000B7D35"/>
    <w:rsid w:val="000C0CDC"/>
    <w:rsid w:val="000C2B71"/>
    <w:rsid w:val="000C3E0C"/>
    <w:rsid w:val="000C4A18"/>
    <w:rsid w:val="000C4A88"/>
    <w:rsid w:val="000C5591"/>
    <w:rsid w:val="000C5BF1"/>
    <w:rsid w:val="000C6518"/>
    <w:rsid w:val="000C6987"/>
    <w:rsid w:val="000D0F09"/>
    <w:rsid w:val="000D1142"/>
    <w:rsid w:val="000D1186"/>
    <w:rsid w:val="000D1F43"/>
    <w:rsid w:val="000D275F"/>
    <w:rsid w:val="000D2C40"/>
    <w:rsid w:val="000D399D"/>
    <w:rsid w:val="000D3EB2"/>
    <w:rsid w:val="000D5385"/>
    <w:rsid w:val="000D5621"/>
    <w:rsid w:val="000D7ACA"/>
    <w:rsid w:val="000E1301"/>
    <w:rsid w:val="000E1B31"/>
    <w:rsid w:val="000E272A"/>
    <w:rsid w:val="000E310D"/>
    <w:rsid w:val="000E375F"/>
    <w:rsid w:val="000E3F9E"/>
    <w:rsid w:val="000E4157"/>
    <w:rsid w:val="000E535D"/>
    <w:rsid w:val="000E5D12"/>
    <w:rsid w:val="000E6002"/>
    <w:rsid w:val="000E617A"/>
    <w:rsid w:val="000E65F5"/>
    <w:rsid w:val="000E6B2F"/>
    <w:rsid w:val="000E6EF6"/>
    <w:rsid w:val="000F03C4"/>
    <w:rsid w:val="000F242A"/>
    <w:rsid w:val="000F41D2"/>
    <w:rsid w:val="000F470E"/>
    <w:rsid w:val="000F5185"/>
    <w:rsid w:val="000F73D9"/>
    <w:rsid w:val="00100257"/>
    <w:rsid w:val="0010237B"/>
    <w:rsid w:val="001028A7"/>
    <w:rsid w:val="00102D26"/>
    <w:rsid w:val="00103BA2"/>
    <w:rsid w:val="00103DCF"/>
    <w:rsid w:val="00103E92"/>
    <w:rsid w:val="00103EF3"/>
    <w:rsid w:val="0010478D"/>
    <w:rsid w:val="001067C4"/>
    <w:rsid w:val="00107839"/>
    <w:rsid w:val="00107F9C"/>
    <w:rsid w:val="00110FB7"/>
    <w:rsid w:val="001119C5"/>
    <w:rsid w:val="0011282E"/>
    <w:rsid w:val="0011293D"/>
    <w:rsid w:val="00112C13"/>
    <w:rsid w:val="001136BF"/>
    <w:rsid w:val="001158C2"/>
    <w:rsid w:val="001202FF"/>
    <w:rsid w:val="001206A0"/>
    <w:rsid w:val="00120750"/>
    <w:rsid w:val="001208F1"/>
    <w:rsid w:val="00121191"/>
    <w:rsid w:val="00121CE0"/>
    <w:rsid w:val="00123428"/>
    <w:rsid w:val="00125198"/>
    <w:rsid w:val="00125AC0"/>
    <w:rsid w:val="00127DDB"/>
    <w:rsid w:val="00130BFE"/>
    <w:rsid w:val="00130D71"/>
    <w:rsid w:val="001312BB"/>
    <w:rsid w:val="0013149E"/>
    <w:rsid w:val="00131A7C"/>
    <w:rsid w:val="00131DDD"/>
    <w:rsid w:val="00133067"/>
    <w:rsid w:val="001331C4"/>
    <w:rsid w:val="00133AFB"/>
    <w:rsid w:val="00134947"/>
    <w:rsid w:val="00135470"/>
    <w:rsid w:val="00136474"/>
    <w:rsid w:val="0013771B"/>
    <w:rsid w:val="0014037F"/>
    <w:rsid w:val="00140D61"/>
    <w:rsid w:val="00141A8B"/>
    <w:rsid w:val="001451AD"/>
    <w:rsid w:val="00145469"/>
    <w:rsid w:val="001456E6"/>
    <w:rsid w:val="00145E93"/>
    <w:rsid w:val="00147BA2"/>
    <w:rsid w:val="001501D5"/>
    <w:rsid w:val="00151F31"/>
    <w:rsid w:val="00154502"/>
    <w:rsid w:val="001554FB"/>
    <w:rsid w:val="0015591F"/>
    <w:rsid w:val="00156101"/>
    <w:rsid w:val="00157D16"/>
    <w:rsid w:val="00160F53"/>
    <w:rsid w:val="00161877"/>
    <w:rsid w:val="00161C86"/>
    <w:rsid w:val="001621F9"/>
    <w:rsid w:val="00164102"/>
    <w:rsid w:val="00164279"/>
    <w:rsid w:val="001646F7"/>
    <w:rsid w:val="001657DC"/>
    <w:rsid w:val="00165ACB"/>
    <w:rsid w:val="00165D71"/>
    <w:rsid w:val="00165EBE"/>
    <w:rsid w:val="00166736"/>
    <w:rsid w:val="001673CF"/>
    <w:rsid w:val="0017012A"/>
    <w:rsid w:val="00170953"/>
    <w:rsid w:val="0017123C"/>
    <w:rsid w:val="0017257C"/>
    <w:rsid w:val="00173C1F"/>
    <w:rsid w:val="00174426"/>
    <w:rsid w:val="001752D9"/>
    <w:rsid w:val="0017581C"/>
    <w:rsid w:val="00176820"/>
    <w:rsid w:val="00176C6D"/>
    <w:rsid w:val="001773D8"/>
    <w:rsid w:val="00177A58"/>
    <w:rsid w:val="00180339"/>
    <w:rsid w:val="00180995"/>
    <w:rsid w:val="0018277C"/>
    <w:rsid w:val="00183834"/>
    <w:rsid w:val="001847EA"/>
    <w:rsid w:val="001848B7"/>
    <w:rsid w:val="00184A1C"/>
    <w:rsid w:val="00184B07"/>
    <w:rsid w:val="00185006"/>
    <w:rsid w:val="001852FD"/>
    <w:rsid w:val="001856EB"/>
    <w:rsid w:val="00185C93"/>
    <w:rsid w:val="00186E0E"/>
    <w:rsid w:val="00187412"/>
    <w:rsid w:val="001876B1"/>
    <w:rsid w:val="00191B80"/>
    <w:rsid w:val="00191B99"/>
    <w:rsid w:val="0019290D"/>
    <w:rsid w:val="00192A0F"/>
    <w:rsid w:val="0019304B"/>
    <w:rsid w:val="00193814"/>
    <w:rsid w:val="00193AFC"/>
    <w:rsid w:val="00193FE6"/>
    <w:rsid w:val="0019414B"/>
    <w:rsid w:val="0019419F"/>
    <w:rsid w:val="001956C3"/>
    <w:rsid w:val="00197446"/>
    <w:rsid w:val="001A0216"/>
    <w:rsid w:val="001A03FF"/>
    <w:rsid w:val="001A04A4"/>
    <w:rsid w:val="001A107E"/>
    <w:rsid w:val="001A1CA1"/>
    <w:rsid w:val="001A228A"/>
    <w:rsid w:val="001A35FA"/>
    <w:rsid w:val="001A42F6"/>
    <w:rsid w:val="001A4EA5"/>
    <w:rsid w:val="001A50F3"/>
    <w:rsid w:val="001A596D"/>
    <w:rsid w:val="001A5D97"/>
    <w:rsid w:val="001A6213"/>
    <w:rsid w:val="001A6594"/>
    <w:rsid w:val="001A6E31"/>
    <w:rsid w:val="001A71FF"/>
    <w:rsid w:val="001A745F"/>
    <w:rsid w:val="001A7EB6"/>
    <w:rsid w:val="001B00BE"/>
    <w:rsid w:val="001B0C9C"/>
    <w:rsid w:val="001B11CA"/>
    <w:rsid w:val="001B50F2"/>
    <w:rsid w:val="001B521A"/>
    <w:rsid w:val="001B63D4"/>
    <w:rsid w:val="001B749A"/>
    <w:rsid w:val="001C02C9"/>
    <w:rsid w:val="001C0663"/>
    <w:rsid w:val="001C0D29"/>
    <w:rsid w:val="001C1CD7"/>
    <w:rsid w:val="001C1EAA"/>
    <w:rsid w:val="001C1F36"/>
    <w:rsid w:val="001C3B6D"/>
    <w:rsid w:val="001C5DF0"/>
    <w:rsid w:val="001C7041"/>
    <w:rsid w:val="001C78B3"/>
    <w:rsid w:val="001D0233"/>
    <w:rsid w:val="001D0A29"/>
    <w:rsid w:val="001D14DC"/>
    <w:rsid w:val="001D1589"/>
    <w:rsid w:val="001D24E8"/>
    <w:rsid w:val="001D28D1"/>
    <w:rsid w:val="001D3D2B"/>
    <w:rsid w:val="001D3E5C"/>
    <w:rsid w:val="001D45A6"/>
    <w:rsid w:val="001D477E"/>
    <w:rsid w:val="001D5478"/>
    <w:rsid w:val="001D5507"/>
    <w:rsid w:val="001D7430"/>
    <w:rsid w:val="001D7BFC"/>
    <w:rsid w:val="001D7C45"/>
    <w:rsid w:val="001D7F2A"/>
    <w:rsid w:val="001E088C"/>
    <w:rsid w:val="001E13A5"/>
    <w:rsid w:val="001E1A3A"/>
    <w:rsid w:val="001E46B9"/>
    <w:rsid w:val="001E47A7"/>
    <w:rsid w:val="001E47BA"/>
    <w:rsid w:val="001E4AC1"/>
    <w:rsid w:val="001E510D"/>
    <w:rsid w:val="001E51DD"/>
    <w:rsid w:val="001E5621"/>
    <w:rsid w:val="001E634D"/>
    <w:rsid w:val="001E660E"/>
    <w:rsid w:val="001F04FA"/>
    <w:rsid w:val="001F0860"/>
    <w:rsid w:val="001F0DE5"/>
    <w:rsid w:val="001F0F8C"/>
    <w:rsid w:val="001F1B1F"/>
    <w:rsid w:val="001F2340"/>
    <w:rsid w:val="001F2D9B"/>
    <w:rsid w:val="001F2E15"/>
    <w:rsid w:val="001F3012"/>
    <w:rsid w:val="001F4032"/>
    <w:rsid w:val="001F5D54"/>
    <w:rsid w:val="001F768B"/>
    <w:rsid w:val="001F79A1"/>
    <w:rsid w:val="001F7D12"/>
    <w:rsid w:val="00200682"/>
    <w:rsid w:val="002024BE"/>
    <w:rsid w:val="0020255B"/>
    <w:rsid w:val="002049A8"/>
    <w:rsid w:val="00204E31"/>
    <w:rsid w:val="0020580E"/>
    <w:rsid w:val="00205F7D"/>
    <w:rsid w:val="002060C0"/>
    <w:rsid w:val="002073CC"/>
    <w:rsid w:val="00210DDB"/>
    <w:rsid w:val="00212A7A"/>
    <w:rsid w:val="00213D50"/>
    <w:rsid w:val="0021427D"/>
    <w:rsid w:val="002154D1"/>
    <w:rsid w:val="0021622E"/>
    <w:rsid w:val="00216CD8"/>
    <w:rsid w:val="0021742B"/>
    <w:rsid w:val="00217704"/>
    <w:rsid w:val="00217FBB"/>
    <w:rsid w:val="0022030D"/>
    <w:rsid w:val="00220D92"/>
    <w:rsid w:val="00220FC6"/>
    <w:rsid w:val="002211FF"/>
    <w:rsid w:val="00221936"/>
    <w:rsid w:val="00222858"/>
    <w:rsid w:val="00222B10"/>
    <w:rsid w:val="002234BC"/>
    <w:rsid w:val="00223535"/>
    <w:rsid w:val="00223697"/>
    <w:rsid w:val="00223A4B"/>
    <w:rsid w:val="00223F1D"/>
    <w:rsid w:val="002248B3"/>
    <w:rsid w:val="0022623F"/>
    <w:rsid w:val="00226D57"/>
    <w:rsid w:val="00227979"/>
    <w:rsid w:val="002303B7"/>
    <w:rsid w:val="00230B4E"/>
    <w:rsid w:val="00231954"/>
    <w:rsid w:val="00231EBB"/>
    <w:rsid w:val="00232910"/>
    <w:rsid w:val="002329DA"/>
    <w:rsid w:val="0023400A"/>
    <w:rsid w:val="002340B5"/>
    <w:rsid w:val="002346B1"/>
    <w:rsid w:val="002367E9"/>
    <w:rsid w:val="0023722D"/>
    <w:rsid w:val="002376EB"/>
    <w:rsid w:val="0024277E"/>
    <w:rsid w:val="00242A37"/>
    <w:rsid w:val="00242B7F"/>
    <w:rsid w:val="00244AA6"/>
    <w:rsid w:val="0024507E"/>
    <w:rsid w:val="002457C8"/>
    <w:rsid w:val="002469C6"/>
    <w:rsid w:val="00250894"/>
    <w:rsid w:val="00250959"/>
    <w:rsid w:val="00253AD5"/>
    <w:rsid w:val="00253CAE"/>
    <w:rsid w:val="002566D7"/>
    <w:rsid w:val="0025727C"/>
    <w:rsid w:val="00257C5F"/>
    <w:rsid w:val="002601EB"/>
    <w:rsid w:val="0026214A"/>
    <w:rsid w:val="00262158"/>
    <w:rsid w:val="002640D9"/>
    <w:rsid w:val="00264C71"/>
    <w:rsid w:val="00266412"/>
    <w:rsid w:val="00267491"/>
    <w:rsid w:val="00267849"/>
    <w:rsid w:val="00267CB2"/>
    <w:rsid w:val="00270D48"/>
    <w:rsid w:val="00271581"/>
    <w:rsid w:val="00272308"/>
    <w:rsid w:val="00272AE0"/>
    <w:rsid w:val="00272DC5"/>
    <w:rsid w:val="00273433"/>
    <w:rsid w:val="0027374D"/>
    <w:rsid w:val="00275E82"/>
    <w:rsid w:val="00276B3B"/>
    <w:rsid w:val="002776A2"/>
    <w:rsid w:val="00281225"/>
    <w:rsid w:val="00281643"/>
    <w:rsid w:val="00281EA4"/>
    <w:rsid w:val="0028200E"/>
    <w:rsid w:val="0028218F"/>
    <w:rsid w:val="00282659"/>
    <w:rsid w:val="00282827"/>
    <w:rsid w:val="0028283E"/>
    <w:rsid w:val="00282C62"/>
    <w:rsid w:val="00285810"/>
    <w:rsid w:val="00285952"/>
    <w:rsid w:val="00287B49"/>
    <w:rsid w:val="00290287"/>
    <w:rsid w:val="00290A48"/>
    <w:rsid w:val="00291154"/>
    <w:rsid w:val="00291322"/>
    <w:rsid w:val="00292356"/>
    <w:rsid w:val="002946AA"/>
    <w:rsid w:val="0029474F"/>
    <w:rsid w:val="0029514D"/>
    <w:rsid w:val="002958CB"/>
    <w:rsid w:val="0029758A"/>
    <w:rsid w:val="00297F0C"/>
    <w:rsid w:val="002A02DB"/>
    <w:rsid w:val="002A0C10"/>
    <w:rsid w:val="002A19D5"/>
    <w:rsid w:val="002A20ED"/>
    <w:rsid w:val="002A3D7E"/>
    <w:rsid w:val="002A4907"/>
    <w:rsid w:val="002A5C7F"/>
    <w:rsid w:val="002A712B"/>
    <w:rsid w:val="002B008D"/>
    <w:rsid w:val="002B076B"/>
    <w:rsid w:val="002B1DFC"/>
    <w:rsid w:val="002B1E17"/>
    <w:rsid w:val="002B499C"/>
    <w:rsid w:val="002B5DE9"/>
    <w:rsid w:val="002B5FB7"/>
    <w:rsid w:val="002B64FD"/>
    <w:rsid w:val="002B650A"/>
    <w:rsid w:val="002B6EF6"/>
    <w:rsid w:val="002B779A"/>
    <w:rsid w:val="002C02C5"/>
    <w:rsid w:val="002C04B5"/>
    <w:rsid w:val="002C1D22"/>
    <w:rsid w:val="002C20B4"/>
    <w:rsid w:val="002C48C8"/>
    <w:rsid w:val="002C4D85"/>
    <w:rsid w:val="002C54F1"/>
    <w:rsid w:val="002C5C5A"/>
    <w:rsid w:val="002C64EF"/>
    <w:rsid w:val="002C64F5"/>
    <w:rsid w:val="002D0DDD"/>
    <w:rsid w:val="002D0DF3"/>
    <w:rsid w:val="002D0E49"/>
    <w:rsid w:val="002D1792"/>
    <w:rsid w:val="002D2EAA"/>
    <w:rsid w:val="002D4663"/>
    <w:rsid w:val="002D4C8D"/>
    <w:rsid w:val="002D5A5A"/>
    <w:rsid w:val="002D5A77"/>
    <w:rsid w:val="002D6089"/>
    <w:rsid w:val="002D7F16"/>
    <w:rsid w:val="002E00C8"/>
    <w:rsid w:val="002E20E1"/>
    <w:rsid w:val="002E41DC"/>
    <w:rsid w:val="002E45A9"/>
    <w:rsid w:val="002E53EA"/>
    <w:rsid w:val="002E59F5"/>
    <w:rsid w:val="002F0E44"/>
    <w:rsid w:val="002F1B24"/>
    <w:rsid w:val="002F1D75"/>
    <w:rsid w:val="002F2C6D"/>
    <w:rsid w:val="002F34A0"/>
    <w:rsid w:val="002F4A1B"/>
    <w:rsid w:val="002F55F2"/>
    <w:rsid w:val="002F6610"/>
    <w:rsid w:val="002F6967"/>
    <w:rsid w:val="0030169A"/>
    <w:rsid w:val="003031AC"/>
    <w:rsid w:val="00303497"/>
    <w:rsid w:val="00303736"/>
    <w:rsid w:val="00304248"/>
    <w:rsid w:val="00305B1E"/>
    <w:rsid w:val="00306334"/>
    <w:rsid w:val="00307706"/>
    <w:rsid w:val="003127EE"/>
    <w:rsid w:val="00313354"/>
    <w:rsid w:val="00313B7E"/>
    <w:rsid w:val="00313D48"/>
    <w:rsid w:val="003145D5"/>
    <w:rsid w:val="003153C6"/>
    <w:rsid w:val="00315725"/>
    <w:rsid w:val="0031684A"/>
    <w:rsid w:val="0031710F"/>
    <w:rsid w:val="003206DF"/>
    <w:rsid w:val="00320849"/>
    <w:rsid w:val="00320F27"/>
    <w:rsid w:val="003211AA"/>
    <w:rsid w:val="00322B90"/>
    <w:rsid w:val="00324AD9"/>
    <w:rsid w:val="003251D6"/>
    <w:rsid w:val="003260D4"/>
    <w:rsid w:val="00327138"/>
    <w:rsid w:val="003271A6"/>
    <w:rsid w:val="003300A0"/>
    <w:rsid w:val="00331522"/>
    <w:rsid w:val="003316EE"/>
    <w:rsid w:val="003319E7"/>
    <w:rsid w:val="0033276C"/>
    <w:rsid w:val="00332E26"/>
    <w:rsid w:val="00334E85"/>
    <w:rsid w:val="00335048"/>
    <w:rsid w:val="00335BA9"/>
    <w:rsid w:val="003361A4"/>
    <w:rsid w:val="00336BDE"/>
    <w:rsid w:val="003373AF"/>
    <w:rsid w:val="00337BDC"/>
    <w:rsid w:val="003410C7"/>
    <w:rsid w:val="00342780"/>
    <w:rsid w:val="00342AD6"/>
    <w:rsid w:val="00343165"/>
    <w:rsid w:val="00344091"/>
    <w:rsid w:val="003442B0"/>
    <w:rsid w:val="00344570"/>
    <w:rsid w:val="0034574C"/>
    <w:rsid w:val="00345FA8"/>
    <w:rsid w:val="003472A8"/>
    <w:rsid w:val="0034771F"/>
    <w:rsid w:val="003478AB"/>
    <w:rsid w:val="00347D5D"/>
    <w:rsid w:val="00350C22"/>
    <w:rsid w:val="00351987"/>
    <w:rsid w:val="00353E5F"/>
    <w:rsid w:val="00354F46"/>
    <w:rsid w:val="00360693"/>
    <w:rsid w:val="00360BBD"/>
    <w:rsid w:val="00361CE0"/>
    <w:rsid w:val="00361FB9"/>
    <w:rsid w:val="00362FFF"/>
    <w:rsid w:val="00365764"/>
    <w:rsid w:val="0036585B"/>
    <w:rsid w:val="00365F24"/>
    <w:rsid w:val="00366DBF"/>
    <w:rsid w:val="00367427"/>
    <w:rsid w:val="00367E35"/>
    <w:rsid w:val="00370357"/>
    <w:rsid w:val="00371303"/>
    <w:rsid w:val="0037214D"/>
    <w:rsid w:val="00372851"/>
    <w:rsid w:val="00372C4D"/>
    <w:rsid w:val="003745C8"/>
    <w:rsid w:val="00374D8F"/>
    <w:rsid w:val="00375B5B"/>
    <w:rsid w:val="00377178"/>
    <w:rsid w:val="003772D1"/>
    <w:rsid w:val="003812D6"/>
    <w:rsid w:val="00381496"/>
    <w:rsid w:val="00381F17"/>
    <w:rsid w:val="00382642"/>
    <w:rsid w:val="003834F9"/>
    <w:rsid w:val="003844D7"/>
    <w:rsid w:val="003863AE"/>
    <w:rsid w:val="003879D7"/>
    <w:rsid w:val="00390F0B"/>
    <w:rsid w:val="0039175F"/>
    <w:rsid w:val="003921E8"/>
    <w:rsid w:val="00392617"/>
    <w:rsid w:val="0039272D"/>
    <w:rsid w:val="00393588"/>
    <w:rsid w:val="00393BE8"/>
    <w:rsid w:val="00393CE1"/>
    <w:rsid w:val="00393D68"/>
    <w:rsid w:val="0039559D"/>
    <w:rsid w:val="00396382"/>
    <w:rsid w:val="003973C2"/>
    <w:rsid w:val="00397A70"/>
    <w:rsid w:val="00397E41"/>
    <w:rsid w:val="003A258C"/>
    <w:rsid w:val="003A2C68"/>
    <w:rsid w:val="003A52C1"/>
    <w:rsid w:val="003A5F2C"/>
    <w:rsid w:val="003A6DF9"/>
    <w:rsid w:val="003B1EC8"/>
    <w:rsid w:val="003B2E4D"/>
    <w:rsid w:val="003B313F"/>
    <w:rsid w:val="003B37BB"/>
    <w:rsid w:val="003B3C62"/>
    <w:rsid w:val="003B4EBB"/>
    <w:rsid w:val="003B5E53"/>
    <w:rsid w:val="003B6111"/>
    <w:rsid w:val="003B6205"/>
    <w:rsid w:val="003C1828"/>
    <w:rsid w:val="003C35EF"/>
    <w:rsid w:val="003C3944"/>
    <w:rsid w:val="003C3B8D"/>
    <w:rsid w:val="003C49C0"/>
    <w:rsid w:val="003C5A81"/>
    <w:rsid w:val="003C5BFC"/>
    <w:rsid w:val="003C6406"/>
    <w:rsid w:val="003C66EE"/>
    <w:rsid w:val="003D1E90"/>
    <w:rsid w:val="003D2610"/>
    <w:rsid w:val="003D301F"/>
    <w:rsid w:val="003D54C2"/>
    <w:rsid w:val="003D54E6"/>
    <w:rsid w:val="003D5CB6"/>
    <w:rsid w:val="003D5E15"/>
    <w:rsid w:val="003D67D8"/>
    <w:rsid w:val="003D6CA9"/>
    <w:rsid w:val="003D7644"/>
    <w:rsid w:val="003D7DE1"/>
    <w:rsid w:val="003E01F5"/>
    <w:rsid w:val="003E130E"/>
    <w:rsid w:val="003E197E"/>
    <w:rsid w:val="003E1E3B"/>
    <w:rsid w:val="003E4384"/>
    <w:rsid w:val="003E49FE"/>
    <w:rsid w:val="003E5418"/>
    <w:rsid w:val="003E68FB"/>
    <w:rsid w:val="003E7067"/>
    <w:rsid w:val="003E7761"/>
    <w:rsid w:val="003E7F9A"/>
    <w:rsid w:val="003F0804"/>
    <w:rsid w:val="003F0999"/>
    <w:rsid w:val="003F0B62"/>
    <w:rsid w:val="003F139B"/>
    <w:rsid w:val="003F2220"/>
    <w:rsid w:val="003F3CF1"/>
    <w:rsid w:val="003F4ECE"/>
    <w:rsid w:val="003F5935"/>
    <w:rsid w:val="003F629B"/>
    <w:rsid w:val="003F6AA6"/>
    <w:rsid w:val="003F6D53"/>
    <w:rsid w:val="003F7FA3"/>
    <w:rsid w:val="004025D3"/>
    <w:rsid w:val="00404FAD"/>
    <w:rsid w:val="004059A3"/>
    <w:rsid w:val="00405C00"/>
    <w:rsid w:val="00406392"/>
    <w:rsid w:val="00406A2C"/>
    <w:rsid w:val="00410974"/>
    <w:rsid w:val="00411849"/>
    <w:rsid w:val="00412DFD"/>
    <w:rsid w:val="00413E05"/>
    <w:rsid w:val="00414BFD"/>
    <w:rsid w:val="004160D5"/>
    <w:rsid w:val="00420510"/>
    <w:rsid w:val="00420714"/>
    <w:rsid w:val="00422120"/>
    <w:rsid w:val="00422644"/>
    <w:rsid w:val="0042287D"/>
    <w:rsid w:val="00422BD0"/>
    <w:rsid w:val="00423A0E"/>
    <w:rsid w:val="00423C4B"/>
    <w:rsid w:val="004243E0"/>
    <w:rsid w:val="00424CFF"/>
    <w:rsid w:val="00424DCB"/>
    <w:rsid w:val="004250DA"/>
    <w:rsid w:val="00425EB0"/>
    <w:rsid w:val="00425F23"/>
    <w:rsid w:val="00426600"/>
    <w:rsid w:val="004269F9"/>
    <w:rsid w:val="0042709B"/>
    <w:rsid w:val="00427F04"/>
    <w:rsid w:val="00430B9E"/>
    <w:rsid w:val="00430EA8"/>
    <w:rsid w:val="004312B8"/>
    <w:rsid w:val="00431F37"/>
    <w:rsid w:val="0043219E"/>
    <w:rsid w:val="00436B11"/>
    <w:rsid w:val="00437752"/>
    <w:rsid w:val="00437A4F"/>
    <w:rsid w:val="00437A67"/>
    <w:rsid w:val="00440486"/>
    <w:rsid w:val="0044116B"/>
    <w:rsid w:val="00441846"/>
    <w:rsid w:val="00442455"/>
    <w:rsid w:val="00442567"/>
    <w:rsid w:val="00444C79"/>
    <w:rsid w:val="00445D76"/>
    <w:rsid w:val="00446DD7"/>
    <w:rsid w:val="00446E30"/>
    <w:rsid w:val="00447A46"/>
    <w:rsid w:val="00447CE4"/>
    <w:rsid w:val="0045026E"/>
    <w:rsid w:val="00450665"/>
    <w:rsid w:val="00450B73"/>
    <w:rsid w:val="00451609"/>
    <w:rsid w:val="004521D5"/>
    <w:rsid w:val="004523EE"/>
    <w:rsid w:val="00452A10"/>
    <w:rsid w:val="00452B6B"/>
    <w:rsid w:val="004530A4"/>
    <w:rsid w:val="0045478A"/>
    <w:rsid w:val="00455650"/>
    <w:rsid w:val="00455D61"/>
    <w:rsid w:val="0045615A"/>
    <w:rsid w:val="0046107D"/>
    <w:rsid w:val="00461439"/>
    <w:rsid w:val="00461651"/>
    <w:rsid w:val="00461732"/>
    <w:rsid w:val="00462555"/>
    <w:rsid w:val="00462C98"/>
    <w:rsid w:val="0046366B"/>
    <w:rsid w:val="0046664C"/>
    <w:rsid w:val="00466B65"/>
    <w:rsid w:val="0046721B"/>
    <w:rsid w:val="004672C9"/>
    <w:rsid w:val="00467B85"/>
    <w:rsid w:val="00471B4D"/>
    <w:rsid w:val="00473388"/>
    <w:rsid w:val="004733DD"/>
    <w:rsid w:val="00474340"/>
    <w:rsid w:val="0047512B"/>
    <w:rsid w:val="00477194"/>
    <w:rsid w:val="004771F6"/>
    <w:rsid w:val="00477E12"/>
    <w:rsid w:val="00480AE4"/>
    <w:rsid w:val="00481026"/>
    <w:rsid w:val="004826D2"/>
    <w:rsid w:val="0048480B"/>
    <w:rsid w:val="0048506C"/>
    <w:rsid w:val="00485A19"/>
    <w:rsid w:val="00485C6B"/>
    <w:rsid w:val="004867C5"/>
    <w:rsid w:val="00486ECF"/>
    <w:rsid w:val="004876E3"/>
    <w:rsid w:val="00487BB7"/>
    <w:rsid w:val="004913D2"/>
    <w:rsid w:val="0049140C"/>
    <w:rsid w:val="004931EE"/>
    <w:rsid w:val="0049335E"/>
    <w:rsid w:val="00493A2D"/>
    <w:rsid w:val="00495034"/>
    <w:rsid w:val="00495E92"/>
    <w:rsid w:val="00495FBF"/>
    <w:rsid w:val="00496730"/>
    <w:rsid w:val="00496C01"/>
    <w:rsid w:val="00496D7D"/>
    <w:rsid w:val="0049784C"/>
    <w:rsid w:val="00497E2A"/>
    <w:rsid w:val="004A30C6"/>
    <w:rsid w:val="004A4D4B"/>
    <w:rsid w:val="004A5176"/>
    <w:rsid w:val="004A5460"/>
    <w:rsid w:val="004A5C6A"/>
    <w:rsid w:val="004A7DE5"/>
    <w:rsid w:val="004B003B"/>
    <w:rsid w:val="004B0DD8"/>
    <w:rsid w:val="004B1CC6"/>
    <w:rsid w:val="004B2FDD"/>
    <w:rsid w:val="004B4B97"/>
    <w:rsid w:val="004B4D11"/>
    <w:rsid w:val="004B7556"/>
    <w:rsid w:val="004B7ED2"/>
    <w:rsid w:val="004C0AD1"/>
    <w:rsid w:val="004C1910"/>
    <w:rsid w:val="004C1C20"/>
    <w:rsid w:val="004C25CF"/>
    <w:rsid w:val="004C3DA4"/>
    <w:rsid w:val="004C4035"/>
    <w:rsid w:val="004C7C86"/>
    <w:rsid w:val="004C7FC0"/>
    <w:rsid w:val="004D02D1"/>
    <w:rsid w:val="004D0892"/>
    <w:rsid w:val="004D1AC6"/>
    <w:rsid w:val="004D3465"/>
    <w:rsid w:val="004D4E21"/>
    <w:rsid w:val="004D553D"/>
    <w:rsid w:val="004D5853"/>
    <w:rsid w:val="004D58E9"/>
    <w:rsid w:val="004D65D1"/>
    <w:rsid w:val="004D67DC"/>
    <w:rsid w:val="004D6B2C"/>
    <w:rsid w:val="004E0F10"/>
    <w:rsid w:val="004E1216"/>
    <w:rsid w:val="004E1479"/>
    <w:rsid w:val="004E211C"/>
    <w:rsid w:val="004E23B8"/>
    <w:rsid w:val="004E2841"/>
    <w:rsid w:val="004E2BD0"/>
    <w:rsid w:val="004E454D"/>
    <w:rsid w:val="004E4DA6"/>
    <w:rsid w:val="004E554B"/>
    <w:rsid w:val="004E655D"/>
    <w:rsid w:val="004E66FE"/>
    <w:rsid w:val="004E694E"/>
    <w:rsid w:val="004E6C4F"/>
    <w:rsid w:val="004E7327"/>
    <w:rsid w:val="004E735D"/>
    <w:rsid w:val="004F0B08"/>
    <w:rsid w:val="004F0EAE"/>
    <w:rsid w:val="004F149F"/>
    <w:rsid w:val="004F17CF"/>
    <w:rsid w:val="004F181F"/>
    <w:rsid w:val="004F23BD"/>
    <w:rsid w:val="004F2B74"/>
    <w:rsid w:val="004F2FE3"/>
    <w:rsid w:val="004F433C"/>
    <w:rsid w:val="004F4F35"/>
    <w:rsid w:val="004F5DA6"/>
    <w:rsid w:val="004F5FE6"/>
    <w:rsid w:val="004F6807"/>
    <w:rsid w:val="004F6919"/>
    <w:rsid w:val="004F6F9E"/>
    <w:rsid w:val="004F7D1B"/>
    <w:rsid w:val="005009C8"/>
    <w:rsid w:val="00500D4F"/>
    <w:rsid w:val="00501DF1"/>
    <w:rsid w:val="005037B5"/>
    <w:rsid w:val="00503EF0"/>
    <w:rsid w:val="00504C5D"/>
    <w:rsid w:val="0050645F"/>
    <w:rsid w:val="00506763"/>
    <w:rsid w:val="00507C32"/>
    <w:rsid w:val="00507CE5"/>
    <w:rsid w:val="00510C0B"/>
    <w:rsid w:val="00511593"/>
    <w:rsid w:val="00511CCD"/>
    <w:rsid w:val="00512959"/>
    <w:rsid w:val="00512E53"/>
    <w:rsid w:val="00513049"/>
    <w:rsid w:val="0051494C"/>
    <w:rsid w:val="00515BA9"/>
    <w:rsid w:val="00516A23"/>
    <w:rsid w:val="0051797D"/>
    <w:rsid w:val="00520B93"/>
    <w:rsid w:val="005222C7"/>
    <w:rsid w:val="005229CC"/>
    <w:rsid w:val="00522E5C"/>
    <w:rsid w:val="00522E61"/>
    <w:rsid w:val="00522EBB"/>
    <w:rsid w:val="0052396E"/>
    <w:rsid w:val="00524A34"/>
    <w:rsid w:val="00525BFA"/>
    <w:rsid w:val="00526EF5"/>
    <w:rsid w:val="00526F6C"/>
    <w:rsid w:val="00530947"/>
    <w:rsid w:val="00530E13"/>
    <w:rsid w:val="00532304"/>
    <w:rsid w:val="00532BBF"/>
    <w:rsid w:val="0053429A"/>
    <w:rsid w:val="00535522"/>
    <w:rsid w:val="00535BD2"/>
    <w:rsid w:val="00535D4B"/>
    <w:rsid w:val="00536DFA"/>
    <w:rsid w:val="005374BF"/>
    <w:rsid w:val="00542A56"/>
    <w:rsid w:val="00542F6E"/>
    <w:rsid w:val="00546814"/>
    <w:rsid w:val="005468F2"/>
    <w:rsid w:val="00550100"/>
    <w:rsid w:val="00550A2F"/>
    <w:rsid w:val="00550BC1"/>
    <w:rsid w:val="00550D29"/>
    <w:rsid w:val="00552554"/>
    <w:rsid w:val="0055375B"/>
    <w:rsid w:val="0055433B"/>
    <w:rsid w:val="0055446E"/>
    <w:rsid w:val="005556AC"/>
    <w:rsid w:val="00555ABE"/>
    <w:rsid w:val="005566C0"/>
    <w:rsid w:val="00556C96"/>
    <w:rsid w:val="00557A14"/>
    <w:rsid w:val="00560263"/>
    <w:rsid w:val="00560549"/>
    <w:rsid w:val="00560B07"/>
    <w:rsid w:val="00560BE4"/>
    <w:rsid w:val="00560F12"/>
    <w:rsid w:val="00561523"/>
    <w:rsid w:val="00562486"/>
    <w:rsid w:val="00562520"/>
    <w:rsid w:val="005626AC"/>
    <w:rsid w:val="00563063"/>
    <w:rsid w:val="0056371B"/>
    <w:rsid w:val="00563C30"/>
    <w:rsid w:val="00563D35"/>
    <w:rsid w:val="00563D41"/>
    <w:rsid w:val="0056446F"/>
    <w:rsid w:val="00564C65"/>
    <w:rsid w:val="00565485"/>
    <w:rsid w:val="0056752F"/>
    <w:rsid w:val="005704B8"/>
    <w:rsid w:val="00570D72"/>
    <w:rsid w:val="00572030"/>
    <w:rsid w:val="00572328"/>
    <w:rsid w:val="005724A8"/>
    <w:rsid w:val="00573779"/>
    <w:rsid w:val="0057403F"/>
    <w:rsid w:val="005749A2"/>
    <w:rsid w:val="0057516B"/>
    <w:rsid w:val="005758F3"/>
    <w:rsid w:val="005777FC"/>
    <w:rsid w:val="00577A2B"/>
    <w:rsid w:val="005805A3"/>
    <w:rsid w:val="0058066B"/>
    <w:rsid w:val="00580B8D"/>
    <w:rsid w:val="005821E3"/>
    <w:rsid w:val="005822D0"/>
    <w:rsid w:val="0058542B"/>
    <w:rsid w:val="00585766"/>
    <w:rsid w:val="005865BD"/>
    <w:rsid w:val="00586843"/>
    <w:rsid w:val="00587C9F"/>
    <w:rsid w:val="00587F52"/>
    <w:rsid w:val="00590054"/>
    <w:rsid w:val="00590D6D"/>
    <w:rsid w:val="00591B20"/>
    <w:rsid w:val="005959E4"/>
    <w:rsid w:val="005A08E2"/>
    <w:rsid w:val="005A0F68"/>
    <w:rsid w:val="005A173F"/>
    <w:rsid w:val="005A1DC4"/>
    <w:rsid w:val="005A1FA4"/>
    <w:rsid w:val="005A26C8"/>
    <w:rsid w:val="005A4224"/>
    <w:rsid w:val="005A4953"/>
    <w:rsid w:val="005A4F70"/>
    <w:rsid w:val="005A5041"/>
    <w:rsid w:val="005A5DF6"/>
    <w:rsid w:val="005A7538"/>
    <w:rsid w:val="005B1F66"/>
    <w:rsid w:val="005B3845"/>
    <w:rsid w:val="005B3F67"/>
    <w:rsid w:val="005B5E8D"/>
    <w:rsid w:val="005B6643"/>
    <w:rsid w:val="005B6CF1"/>
    <w:rsid w:val="005B6F27"/>
    <w:rsid w:val="005C161A"/>
    <w:rsid w:val="005C1A78"/>
    <w:rsid w:val="005C1DC4"/>
    <w:rsid w:val="005C2435"/>
    <w:rsid w:val="005C33A5"/>
    <w:rsid w:val="005C391D"/>
    <w:rsid w:val="005C6892"/>
    <w:rsid w:val="005C72D4"/>
    <w:rsid w:val="005C7835"/>
    <w:rsid w:val="005D04FC"/>
    <w:rsid w:val="005D0CC1"/>
    <w:rsid w:val="005D1A44"/>
    <w:rsid w:val="005D2026"/>
    <w:rsid w:val="005D23BA"/>
    <w:rsid w:val="005D2E26"/>
    <w:rsid w:val="005D2F08"/>
    <w:rsid w:val="005D2F29"/>
    <w:rsid w:val="005D31A1"/>
    <w:rsid w:val="005D3394"/>
    <w:rsid w:val="005D4B14"/>
    <w:rsid w:val="005D5303"/>
    <w:rsid w:val="005D5768"/>
    <w:rsid w:val="005D5F15"/>
    <w:rsid w:val="005D6CCF"/>
    <w:rsid w:val="005D6D17"/>
    <w:rsid w:val="005D7C58"/>
    <w:rsid w:val="005E0143"/>
    <w:rsid w:val="005E0482"/>
    <w:rsid w:val="005E1263"/>
    <w:rsid w:val="005E1AD0"/>
    <w:rsid w:val="005E25F0"/>
    <w:rsid w:val="005E2FD2"/>
    <w:rsid w:val="005E45A5"/>
    <w:rsid w:val="005E4699"/>
    <w:rsid w:val="005E49A7"/>
    <w:rsid w:val="005E525B"/>
    <w:rsid w:val="005E5711"/>
    <w:rsid w:val="005E6E29"/>
    <w:rsid w:val="005E7854"/>
    <w:rsid w:val="005E7D8D"/>
    <w:rsid w:val="005F1026"/>
    <w:rsid w:val="005F1A12"/>
    <w:rsid w:val="005F296B"/>
    <w:rsid w:val="005F338C"/>
    <w:rsid w:val="005F38C6"/>
    <w:rsid w:val="005F3FD0"/>
    <w:rsid w:val="005F5A4F"/>
    <w:rsid w:val="005F642A"/>
    <w:rsid w:val="005F6745"/>
    <w:rsid w:val="005F6AEE"/>
    <w:rsid w:val="005F7097"/>
    <w:rsid w:val="006005EF"/>
    <w:rsid w:val="00601AA8"/>
    <w:rsid w:val="006023C7"/>
    <w:rsid w:val="006051A9"/>
    <w:rsid w:val="00606128"/>
    <w:rsid w:val="00606795"/>
    <w:rsid w:val="0060722B"/>
    <w:rsid w:val="00610A4B"/>
    <w:rsid w:val="00610B7E"/>
    <w:rsid w:val="00611042"/>
    <w:rsid w:val="00611B24"/>
    <w:rsid w:val="00611F4D"/>
    <w:rsid w:val="00613414"/>
    <w:rsid w:val="00613DB4"/>
    <w:rsid w:val="00613E2F"/>
    <w:rsid w:val="00614616"/>
    <w:rsid w:val="00614E79"/>
    <w:rsid w:val="00615CCD"/>
    <w:rsid w:val="00615FB2"/>
    <w:rsid w:val="00616681"/>
    <w:rsid w:val="00617076"/>
    <w:rsid w:val="0061771D"/>
    <w:rsid w:val="00617D09"/>
    <w:rsid w:val="0062070C"/>
    <w:rsid w:val="006212D5"/>
    <w:rsid w:val="00621738"/>
    <w:rsid w:val="00621976"/>
    <w:rsid w:val="00622176"/>
    <w:rsid w:val="0062235A"/>
    <w:rsid w:val="006223DC"/>
    <w:rsid w:val="00623666"/>
    <w:rsid w:val="006254DF"/>
    <w:rsid w:val="00625BB4"/>
    <w:rsid w:val="00625FFF"/>
    <w:rsid w:val="0062787E"/>
    <w:rsid w:val="00630945"/>
    <w:rsid w:val="006311E6"/>
    <w:rsid w:val="00631C1F"/>
    <w:rsid w:val="00632725"/>
    <w:rsid w:val="00632B1B"/>
    <w:rsid w:val="00632B82"/>
    <w:rsid w:val="006336A6"/>
    <w:rsid w:val="00633BFD"/>
    <w:rsid w:val="0063431D"/>
    <w:rsid w:val="00634C48"/>
    <w:rsid w:val="00635382"/>
    <w:rsid w:val="00636625"/>
    <w:rsid w:val="00637056"/>
    <w:rsid w:val="00637495"/>
    <w:rsid w:val="00637685"/>
    <w:rsid w:val="006379F1"/>
    <w:rsid w:val="00640830"/>
    <w:rsid w:val="006413B5"/>
    <w:rsid w:val="00641A77"/>
    <w:rsid w:val="006426A4"/>
    <w:rsid w:val="00642B8D"/>
    <w:rsid w:val="00644DD8"/>
    <w:rsid w:val="00645CD2"/>
    <w:rsid w:val="00646000"/>
    <w:rsid w:val="0064672F"/>
    <w:rsid w:val="00646990"/>
    <w:rsid w:val="00646C9D"/>
    <w:rsid w:val="006520A0"/>
    <w:rsid w:val="0065300D"/>
    <w:rsid w:val="00653042"/>
    <w:rsid w:val="006548F0"/>
    <w:rsid w:val="00657762"/>
    <w:rsid w:val="00660F1D"/>
    <w:rsid w:val="006620A3"/>
    <w:rsid w:val="0066375C"/>
    <w:rsid w:val="00664072"/>
    <w:rsid w:val="006656C8"/>
    <w:rsid w:val="00665827"/>
    <w:rsid w:val="00666053"/>
    <w:rsid w:val="0066611E"/>
    <w:rsid w:val="00666877"/>
    <w:rsid w:val="00666B96"/>
    <w:rsid w:val="00666C28"/>
    <w:rsid w:val="00667BF6"/>
    <w:rsid w:val="00667DDE"/>
    <w:rsid w:val="00670E95"/>
    <w:rsid w:val="00673C58"/>
    <w:rsid w:val="00675772"/>
    <w:rsid w:val="0067797C"/>
    <w:rsid w:val="006801F4"/>
    <w:rsid w:val="00680447"/>
    <w:rsid w:val="00680561"/>
    <w:rsid w:val="0068227A"/>
    <w:rsid w:val="00682A42"/>
    <w:rsid w:val="006846C3"/>
    <w:rsid w:val="006859B5"/>
    <w:rsid w:val="00685F92"/>
    <w:rsid w:val="00686C94"/>
    <w:rsid w:val="00686CC2"/>
    <w:rsid w:val="00686F7F"/>
    <w:rsid w:val="006878EC"/>
    <w:rsid w:val="00687D37"/>
    <w:rsid w:val="00687D73"/>
    <w:rsid w:val="006902B1"/>
    <w:rsid w:val="006904AB"/>
    <w:rsid w:val="0069077D"/>
    <w:rsid w:val="0069184E"/>
    <w:rsid w:val="00691D97"/>
    <w:rsid w:val="006928C4"/>
    <w:rsid w:val="0069292E"/>
    <w:rsid w:val="00692AA0"/>
    <w:rsid w:val="00693FE0"/>
    <w:rsid w:val="00694CC9"/>
    <w:rsid w:val="0069551E"/>
    <w:rsid w:val="006964B6"/>
    <w:rsid w:val="00697095"/>
    <w:rsid w:val="006972A6"/>
    <w:rsid w:val="006A015B"/>
    <w:rsid w:val="006A02E1"/>
    <w:rsid w:val="006A03A4"/>
    <w:rsid w:val="006A0E27"/>
    <w:rsid w:val="006A1A40"/>
    <w:rsid w:val="006A20A9"/>
    <w:rsid w:val="006A2A83"/>
    <w:rsid w:val="006A321B"/>
    <w:rsid w:val="006A4707"/>
    <w:rsid w:val="006A52E3"/>
    <w:rsid w:val="006A5EB1"/>
    <w:rsid w:val="006A7F57"/>
    <w:rsid w:val="006A7FA4"/>
    <w:rsid w:val="006B075C"/>
    <w:rsid w:val="006B0934"/>
    <w:rsid w:val="006B0C8E"/>
    <w:rsid w:val="006B39A7"/>
    <w:rsid w:val="006B4039"/>
    <w:rsid w:val="006B4330"/>
    <w:rsid w:val="006B49B6"/>
    <w:rsid w:val="006B53C8"/>
    <w:rsid w:val="006B6C59"/>
    <w:rsid w:val="006B7221"/>
    <w:rsid w:val="006B7546"/>
    <w:rsid w:val="006B79F3"/>
    <w:rsid w:val="006C0297"/>
    <w:rsid w:val="006C04AC"/>
    <w:rsid w:val="006C055A"/>
    <w:rsid w:val="006C07CA"/>
    <w:rsid w:val="006C26E5"/>
    <w:rsid w:val="006C2DAE"/>
    <w:rsid w:val="006C38D4"/>
    <w:rsid w:val="006C3BE6"/>
    <w:rsid w:val="006C708F"/>
    <w:rsid w:val="006C7511"/>
    <w:rsid w:val="006C755C"/>
    <w:rsid w:val="006C7964"/>
    <w:rsid w:val="006C7ACB"/>
    <w:rsid w:val="006D0A86"/>
    <w:rsid w:val="006D1038"/>
    <w:rsid w:val="006D1B25"/>
    <w:rsid w:val="006D1FDF"/>
    <w:rsid w:val="006D2735"/>
    <w:rsid w:val="006D4962"/>
    <w:rsid w:val="006D4BF8"/>
    <w:rsid w:val="006D601F"/>
    <w:rsid w:val="006D6B14"/>
    <w:rsid w:val="006D7AFD"/>
    <w:rsid w:val="006E1646"/>
    <w:rsid w:val="006E1690"/>
    <w:rsid w:val="006E1802"/>
    <w:rsid w:val="006E1C72"/>
    <w:rsid w:val="006E30D8"/>
    <w:rsid w:val="006E3AF5"/>
    <w:rsid w:val="006E4DA9"/>
    <w:rsid w:val="006E6D8C"/>
    <w:rsid w:val="006E7BAF"/>
    <w:rsid w:val="006E7E0E"/>
    <w:rsid w:val="006F00E9"/>
    <w:rsid w:val="006F02EE"/>
    <w:rsid w:val="006F0CC4"/>
    <w:rsid w:val="006F13D2"/>
    <w:rsid w:val="006F1B93"/>
    <w:rsid w:val="006F1C60"/>
    <w:rsid w:val="006F2EDE"/>
    <w:rsid w:val="006F3AC2"/>
    <w:rsid w:val="006F3D06"/>
    <w:rsid w:val="006F3D88"/>
    <w:rsid w:val="006F53BF"/>
    <w:rsid w:val="006F57A6"/>
    <w:rsid w:val="006F57C9"/>
    <w:rsid w:val="006F6623"/>
    <w:rsid w:val="006F6688"/>
    <w:rsid w:val="006F6BE0"/>
    <w:rsid w:val="006F6FD5"/>
    <w:rsid w:val="006F783F"/>
    <w:rsid w:val="0070050C"/>
    <w:rsid w:val="00701568"/>
    <w:rsid w:val="0070288B"/>
    <w:rsid w:val="00703B5F"/>
    <w:rsid w:val="00704817"/>
    <w:rsid w:val="00707606"/>
    <w:rsid w:val="00711068"/>
    <w:rsid w:val="00712549"/>
    <w:rsid w:val="00713BE1"/>
    <w:rsid w:val="00713E06"/>
    <w:rsid w:val="00714607"/>
    <w:rsid w:val="00714806"/>
    <w:rsid w:val="007148C6"/>
    <w:rsid w:val="007151DA"/>
    <w:rsid w:val="00715560"/>
    <w:rsid w:val="00715606"/>
    <w:rsid w:val="00715938"/>
    <w:rsid w:val="00715D6F"/>
    <w:rsid w:val="00715EFA"/>
    <w:rsid w:val="00716C3E"/>
    <w:rsid w:val="00716DAF"/>
    <w:rsid w:val="007178F6"/>
    <w:rsid w:val="00720FED"/>
    <w:rsid w:val="00721560"/>
    <w:rsid w:val="00721614"/>
    <w:rsid w:val="0072272A"/>
    <w:rsid w:val="00723179"/>
    <w:rsid w:val="007263B2"/>
    <w:rsid w:val="00727090"/>
    <w:rsid w:val="00727993"/>
    <w:rsid w:val="00730483"/>
    <w:rsid w:val="00731B8B"/>
    <w:rsid w:val="0073239F"/>
    <w:rsid w:val="00732DA6"/>
    <w:rsid w:val="00733EBF"/>
    <w:rsid w:val="00735250"/>
    <w:rsid w:val="0073572E"/>
    <w:rsid w:val="007361CB"/>
    <w:rsid w:val="0073632A"/>
    <w:rsid w:val="00736735"/>
    <w:rsid w:val="00737C07"/>
    <w:rsid w:val="00737FB3"/>
    <w:rsid w:val="0074032E"/>
    <w:rsid w:val="007403CC"/>
    <w:rsid w:val="00741377"/>
    <w:rsid w:val="0074176E"/>
    <w:rsid w:val="007421AD"/>
    <w:rsid w:val="007437AF"/>
    <w:rsid w:val="007438E3"/>
    <w:rsid w:val="00744347"/>
    <w:rsid w:val="007446FF"/>
    <w:rsid w:val="00744B47"/>
    <w:rsid w:val="00744C5F"/>
    <w:rsid w:val="00745030"/>
    <w:rsid w:val="0074581D"/>
    <w:rsid w:val="0074587C"/>
    <w:rsid w:val="007463A4"/>
    <w:rsid w:val="00746C22"/>
    <w:rsid w:val="00746CCE"/>
    <w:rsid w:val="007479F9"/>
    <w:rsid w:val="00747D9D"/>
    <w:rsid w:val="007502CA"/>
    <w:rsid w:val="00750E88"/>
    <w:rsid w:val="0075106E"/>
    <w:rsid w:val="00752202"/>
    <w:rsid w:val="00755304"/>
    <w:rsid w:val="00755EC5"/>
    <w:rsid w:val="00761BD9"/>
    <w:rsid w:val="007626AB"/>
    <w:rsid w:val="00763D81"/>
    <w:rsid w:val="007657A4"/>
    <w:rsid w:val="00766FB2"/>
    <w:rsid w:val="007670BE"/>
    <w:rsid w:val="0076781B"/>
    <w:rsid w:val="0077045C"/>
    <w:rsid w:val="00770BF8"/>
    <w:rsid w:val="007712A3"/>
    <w:rsid w:val="0077297F"/>
    <w:rsid w:val="007744F3"/>
    <w:rsid w:val="00774C37"/>
    <w:rsid w:val="00775093"/>
    <w:rsid w:val="007750DC"/>
    <w:rsid w:val="007758B9"/>
    <w:rsid w:val="0077690E"/>
    <w:rsid w:val="007771B5"/>
    <w:rsid w:val="0077727C"/>
    <w:rsid w:val="00777391"/>
    <w:rsid w:val="00780A3B"/>
    <w:rsid w:val="00780DE7"/>
    <w:rsid w:val="00781399"/>
    <w:rsid w:val="007816AA"/>
    <w:rsid w:val="00781F84"/>
    <w:rsid w:val="00783098"/>
    <w:rsid w:val="007832F1"/>
    <w:rsid w:val="00783BE6"/>
    <w:rsid w:val="00784454"/>
    <w:rsid w:val="00785338"/>
    <w:rsid w:val="00785924"/>
    <w:rsid w:val="00786912"/>
    <w:rsid w:val="00787B5C"/>
    <w:rsid w:val="00787D8A"/>
    <w:rsid w:val="00787FD9"/>
    <w:rsid w:val="0079037E"/>
    <w:rsid w:val="007904C1"/>
    <w:rsid w:val="00791584"/>
    <w:rsid w:val="00794FD5"/>
    <w:rsid w:val="007960F9"/>
    <w:rsid w:val="0079631B"/>
    <w:rsid w:val="007964C3"/>
    <w:rsid w:val="00796EDD"/>
    <w:rsid w:val="0079735B"/>
    <w:rsid w:val="00797946"/>
    <w:rsid w:val="007A08FE"/>
    <w:rsid w:val="007A1CE9"/>
    <w:rsid w:val="007A23E5"/>
    <w:rsid w:val="007A4FA3"/>
    <w:rsid w:val="007A5BCD"/>
    <w:rsid w:val="007A5CE3"/>
    <w:rsid w:val="007A778C"/>
    <w:rsid w:val="007B04D5"/>
    <w:rsid w:val="007B1123"/>
    <w:rsid w:val="007B18A9"/>
    <w:rsid w:val="007B365A"/>
    <w:rsid w:val="007B375B"/>
    <w:rsid w:val="007B3A2B"/>
    <w:rsid w:val="007B4195"/>
    <w:rsid w:val="007B42CB"/>
    <w:rsid w:val="007B5F2F"/>
    <w:rsid w:val="007B5FE6"/>
    <w:rsid w:val="007B66B1"/>
    <w:rsid w:val="007C0592"/>
    <w:rsid w:val="007C0744"/>
    <w:rsid w:val="007C1282"/>
    <w:rsid w:val="007C179C"/>
    <w:rsid w:val="007C357F"/>
    <w:rsid w:val="007C38A1"/>
    <w:rsid w:val="007C461C"/>
    <w:rsid w:val="007C50C8"/>
    <w:rsid w:val="007D0420"/>
    <w:rsid w:val="007D0532"/>
    <w:rsid w:val="007D18E8"/>
    <w:rsid w:val="007D1E7E"/>
    <w:rsid w:val="007D2337"/>
    <w:rsid w:val="007D44C6"/>
    <w:rsid w:val="007D44FD"/>
    <w:rsid w:val="007D49B7"/>
    <w:rsid w:val="007D4B89"/>
    <w:rsid w:val="007D4FE5"/>
    <w:rsid w:val="007D6E38"/>
    <w:rsid w:val="007D7D7C"/>
    <w:rsid w:val="007E0953"/>
    <w:rsid w:val="007E2E21"/>
    <w:rsid w:val="007E54C3"/>
    <w:rsid w:val="007E61A8"/>
    <w:rsid w:val="007E61F3"/>
    <w:rsid w:val="007E6485"/>
    <w:rsid w:val="007E6C1A"/>
    <w:rsid w:val="007E701E"/>
    <w:rsid w:val="007E7451"/>
    <w:rsid w:val="007F039B"/>
    <w:rsid w:val="007F0BB6"/>
    <w:rsid w:val="007F235B"/>
    <w:rsid w:val="007F25DE"/>
    <w:rsid w:val="007F2730"/>
    <w:rsid w:val="007F37E6"/>
    <w:rsid w:val="007F3988"/>
    <w:rsid w:val="007F39E8"/>
    <w:rsid w:val="007F4347"/>
    <w:rsid w:val="007F4419"/>
    <w:rsid w:val="007F49D2"/>
    <w:rsid w:val="007F4AE4"/>
    <w:rsid w:val="007F4CED"/>
    <w:rsid w:val="007F4E1E"/>
    <w:rsid w:val="007F50C0"/>
    <w:rsid w:val="007F52F2"/>
    <w:rsid w:val="007F653D"/>
    <w:rsid w:val="007F6647"/>
    <w:rsid w:val="007F706C"/>
    <w:rsid w:val="007F7A84"/>
    <w:rsid w:val="00800200"/>
    <w:rsid w:val="0080087D"/>
    <w:rsid w:val="0080101B"/>
    <w:rsid w:val="008016A0"/>
    <w:rsid w:val="008018E1"/>
    <w:rsid w:val="00802AA8"/>
    <w:rsid w:val="00803588"/>
    <w:rsid w:val="008037A5"/>
    <w:rsid w:val="00803CF4"/>
    <w:rsid w:val="00803DF7"/>
    <w:rsid w:val="00804085"/>
    <w:rsid w:val="00804216"/>
    <w:rsid w:val="00804E00"/>
    <w:rsid w:val="00806E24"/>
    <w:rsid w:val="00807272"/>
    <w:rsid w:val="00810119"/>
    <w:rsid w:val="00810ECB"/>
    <w:rsid w:val="00813945"/>
    <w:rsid w:val="00814C3D"/>
    <w:rsid w:val="00815B41"/>
    <w:rsid w:val="0081624B"/>
    <w:rsid w:val="0081708F"/>
    <w:rsid w:val="0082108A"/>
    <w:rsid w:val="00821C9C"/>
    <w:rsid w:val="0082331B"/>
    <w:rsid w:val="008238E1"/>
    <w:rsid w:val="00824E6F"/>
    <w:rsid w:val="00825130"/>
    <w:rsid w:val="0082676B"/>
    <w:rsid w:val="00826892"/>
    <w:rsid w:val="00826D4D"/>
    <w:rsid w:val="0082745C"/>
    <w:rsid w:val="00831376"/>
    <w:rsid w:val="00832064"/>
    <w:rsid w:val="0083284C"/>
    <w:rsid w:val="00832A60"/>
    <w:rsid w:val="00833D5B"/>
    <w:rsid w:val="00834724"/>
    <w:rsid w:val="00834A3E"/>
    <w:rsid w:val="00836CA9"/>
    <w:rsid w:val="008378B0"/>
    <w:rsid w:val="00837DD0"/>
    <w:rsid w:val="00841945"/>
    <w:rsid w:val="00842929"/>
    <w:rsid w:val="00845264"/>
    <w:rsid w:val="00845968"/>
    <w:rsid w:val="00847948"/>
    <w:rsid w:val="0085000A"/>
    <w:rsid w:val="008502D2"/>
    <w:rsid w:val="008503DB"/>
    <w:rsid w:val="0085118A"/>
    <w:rsid w:val="00851DA6"/>
    <w:rsid w:val="00852BD5"/>
    <w:rsid w:val="00853155"/>
    <w:rsid w:val="008535E5"/>
    <w:rsid w:val="00853F06"/>
    <w:rsid w:val="008540AD"/>
    <w:rsid w:val="008547A9"/>
    <w:rsid w:val="00854B55"/>
    <w:rsid w:val="00855A25"/>
    <w:rsid w:val="00857128"/>
    <w:rsid w:val="008579C4"/>
    <w:rsid w:val="00857A05"/>
    <w:rsid w:val="00857C1B"/>
    <w:rsid w:val="00857EA1"/>
    <w:rsid w:val="0086077F"/>
    <w:rsid w:val="00862391"/>
    <w:rsid w:val="00862EFC"/>
    <w:rsid w:val="008638A0"/>
    <w:rsid w:val="00866968"/>
    <w:rsid w:val="00870E40"/>
    <w:rsid w:val="00870FE4"/>
    <w:rsid w:val="008720B0"/>
    <w:rsid w:val="008721A6"/>
    <w:rsid w:val="00872D01"/>
    <w:rsid w:val="00875949"/>
    <w:rsid w:val="00876223"/>
    <w:rsid w:val="008775AA"/>
    <w:rsid w:val="008804CC"/>
    <w:rsid w:val="008812F2"/>
    <w:rsid w:val="00881672"/>
    <w:rsid w:val="008820AB"/>
    <w:rsid w:val="00882610"/>
    <w:rsid w:val="00882770"/>
    <w:rsid w:val="008858EA"/>
    <w:rsid w:val="00887BA8"/>
    <w:rsid w:val="00890957"/>
    <w:rsid w:val="00890A3D"/>
    <w:rsid w:val="00891397"/>
    <w:rsid w:val="00892576"/>
    <w:rsid w:val="00892C9C"/>
    <w:rsid w:val="00892CDD"/>
    <w:rsid w:val="0089347A"/>
    <w:rsid w:val="00893D48"/>
    <w:rsid w:val="00894467"/>
    <w:rsid w:val="0089566B"/>
    <w:rsid w:val="00895F0F"/>
    <w:rsid w:val="00896B7D"/>
    <w:rsid w:val="00897567"/>
    <w:rsid w:val="0089786B"/>
    <w:rsid w:val="00897AE9"/>
    <w:rsid w:val="008A0558"/>
    <w:rsid w:val="008A0962"/>
    <w:rsid w:val="008A0E46"/>
    <w:rsid w:val="008A2C19"/>
    <w:rsid w:val="008A2F02"/>
    <w:rsid w:val="008A3312"/>
    <w:rsid w:val="008A3D5C"/>
    <w:rsid w:val="008A544E"/>
    <w:rsid w:val="008A54D1"/>
    <w:rsid w:val="008A5FDA"/>
    <w:rsid w:val="008A6F17"/>
    <w:rsid w:val="008A7257"/>
    <w:rsid w:val="008A79F6"/>
    <w:rsid w:val="008B0925"/>
    <w:rsid w:val="008B0AE1"/>
    <w:rsid w:val="008B2935"/>
    <w:rsid w:val="008B3D6F"/>
    <w:rsid w:val="008B3F2B"/>
    <w:rsid w:val="008B5D5B"/>
    <w:rsid w:val="008B5FBC"/>
    <w:rsid w:val="008B6DDD"/>
    <w:rsid w:val="008C03BB"/>
    <w:rsid w:val="008C04D5"/>
    <w:rsid w:val="008C1223"/>
    <w:rsid w:val="008C1889"/>
    <w:rsid w:val="008C2F13"/>
    <w:rsid w:val="008C376C"/>
    <w:rsid w:val="008C3E4B"/>
    <w:rsid w:val="008C5528"/>
    <w:rsid w:val="008C5A76"/>
    <w:rsid w:val="008C5D01"/>
    <w:rsid w:val="008C60B3"/>
    <w:rsid w:val="008D0734"/>
    <w:rsid w:val="008D0A9B"/>
    <w:rsid w:val="008D0E38"/>
    <w:rsid w:val="008D2046"/>
    <w:rsid w:val="008D23F4"/>
    <w:rsid w:val="008D458A"/>
    <w:rsid w:val="008D7984"/>
    <w:rsid w:val="008D7D4B"/>
    <w:rsid w:val="008E1B65"/>
    <w:rsid w:val="008E2E5C"/>
    <w:rsid w:val="008E3069"/>
    <w:rsid w:val="008E51DF"/>
    <w:rsid w:val="008E59A9"/>
    <w:rsid w:val="008E66BD"/>
    <w:rsid w:val="008E6CD7"/>
    <w:rsid w:val="008E6D4B"/>
    <w:rsid w:val="008E6DCB"/>
    <w:rsid w:val="008E6E96"/>
    <w:rsid w:val="008E7664"/>
    <w:rsid w:val="008E7BC0"/>
    <w:rsid w:val="008F072B"/>
    <w:rsid w:val="008F0B80"/>
    <w:rsid w:val="008F13C0"/>
    <w:rsid w:val="008F2C35"/>
    <w:rsid w:val="008F2F6E"/>
    <w:rsid w:val="008F381E"/>
    <w:rsid w:val="008F4297"/>
    <w:rsid w:val="008F513E"/>
    <w:rsid w:val="008F5D3A"/>
    <w:rsid w:val="008F73AE"/>
    <w:rsid w:val="008F7551"/>
    <w:rsid w:val="008F7D9F"/>
    <w:rsid w:val="00900BB3"/>
    <w:rsid w:val="00904AB0"/>
    <w:rsid w:val="009050C7"/>
    <w:rsid w:val="00905548"/>
    <w:rsid w:val="00905816"/>
    <w:rsid w:val="009062CB"/>
    <w:rsid w:val="009063BE"/>
    <w:rsid w:val="00910251"/>
    <w:rsid w:val="00910492"/>
    <w:rsid w:val="00910D41"/>
    <w:rsid w:val="009138E1"/>
    <w:rsid w:val="00914652"/>
    <w:rsid w:val="00915581"/>
    <w:rsid w:val="00915B80"/>
    <w:rsid w:val="00915DDC"/>
    <w:rsid w:val="00916160"/>
    <w:rsid w:val="0091726E"/>
    <w:rsid w:val="0091760C"/>
    <w:rsid w:val="00917AE0"/>
    <w:rsid w:val="00922F71"/>
    <w:rsid w:val="009242E5"/>
    <w:rsid w:val="00926A2C"/>
    <w:rsid w:val="00926C7A"/>
    <w:rsid w:val="00930C8E"/>
    <w:rsid w:val="00933290"/>
    <w:rsid w:val="009335CB"/>
    <w:rsid w:val="00935236"/>
    <w:rsid w:val="00935B25"/>
    <w:rsid w:val="0093761A"/>
    <w:rsid w:val="00937CA1"/>
    <w:rsid w:val="009416C0"/>
    <w:rsid w:val="0094350D"/>
    <w:rsid w:val="00943882"/>
    <w:rsid w:val="00945B08"/>
    <w:rsid w:val="00947BF7"/>
    <w:rsid w:val="00947C49"/>
    <w:rsid w:val="00950191"/>
    <w:rsid w:val="00950346"/>
    <w:rsid w:val="009516D2"/>
    <w:rsid w:val="00952947"/>
    <w:rsid w:val="00955C25"/>
    <w:rsid w:val="00955D4C"/>
    <w:rsid w:val="0095780B"/>
    <w:rsid w:val="00957FA5"/>
    <w:rsid w:val="00960E47"/>
    <w:rsid w:val="009613E2"/>
    <w:rsid w:val="00963AD0"/>
    <w:rsid w:val="0096454A"/>
    <w:rsid w:val="00964ADC"/>
    <w:rsid w:val="0096503D"/>
    <w:rsid w:val="009651AA"/>
    <w:rsid w:val="0096588D"/>
    <w:rsid w:val="0097191C"/>
    <w:rsid w:val="00971BF8"/>
    <w:rsid w:val="009722BF"/>
    <w:rsid w:val="00974263"/>
    <w:rsid w:val="009751A3"/>
    <w:rsid w:val="009756F5"/>
    <w:rsid w:val="0097661D"/>
    <w:rsid w:val="00976D1C"/>
    <w:rsid w:val="00977317"/>
    <w:rsid w:val="00977926"/>
    <w:rsid w:val="00977C3B"/>
    <w:rsid w:val="00980B6E"/>
    <w:rsid w:val="00981AC8"/>
    <w:rsid w:val="00982707"/>
    <w:rsid w:val="0098373B"/>
    <w:rsid w:val="00984DAC"/>
    <w:rsid w:val="00986ADF"/>
    <w:rsid w:val="00987D6D"/>
    <w:rsid w:val="00991A06"/>
    <w:rsid w:val="00991CF1"/>
    <w:rsid w:val="00991F40"/>
    <w:rsid w:val="009920C8"/>
    <w:rsid w:val="009927D4"/>
    <w:rsid w:val="00992BAA"/>
    <w:rsid w:val="009936D4"/>
    <w:rsid w:val="009936F6"/>
    <w:rsid w:val="00994251"/>
    <w:rsid w:val="00994E36"/>
    <w:rsid w:val="00995F6A"/>
    <w:rsid w:val="009970F9"/>
    <w:rsid w:val="009A11DB"/>
    <w:rsid w:val="009A1BA3"/>
    <w:rsid w:val="009A1F29"/>
    <w:rsid w:val="009A2478"/>
    <w:rsid w:val="009A3AB2"/>
    <w:rsid w:val="009A46D7"/>
    <w:rsid w:val="009A4AC4"/>
    <w:rsid w:val="009A61DE"/>
    <w:rsid w:val="009A68E5"/>
    <w:rsid w:val="009B2745"/>
    <w:rsid w:val="009B31DC"/>
    <w:rsid w:val="009B60BD"/>
    <w:rsid w:val="009B71CF"/>
    <w:rsid w:val="009B77A7"/>
    <w:rsid w:val="009B7AC4"/>
    <w:rsid w:val="009C09F0"/>
    <w:rsid w:val="009C0B6A"/>
    <w:rsid w:val="009C0F32"/>
    <w:rsid w:val="009C13DD"/>
    <w:rsid w:val="009C25C3"/>
    <w:rsid w:val="009C320F"/>
    <w:rsid w:val="009C6131"/>
    <w:rsid w:val="009C6AFE"/>
    <w:rsid w:val="009C73C1"/>
    <w:rsid w:val="009C78A5"/>
    <w:rsid w:val="009C7F77"/>
    <w:rsid w:val="009D21C8"/>
    <w:rsid w:val="009D22F6"/>
    <w:rsid w:val="009D289E"/>
    <w:rsid w:val="009D2918"/>
    <w:rsid w:val="009D33FB"/>
    <w:rsid w:val="009D4FC7"/>
    <w:rsid w:val="009D5ECC"/>
    <w:rsid w:val="009D6C81"/>
    <w:rsid w:val="009D6FBA"/>
    <w:rsid w:val="009E0BB0"/>
    <w:rsid w:val="009E0DC0"/>
    <w:rsid w:val="009E0E20"/>
    <w:rsid w:val="009E12A4"/>
    <w:rsid w:val="009E3AA2"/>
    <w:rsid w:val="009E480D"/>
    <w:rsid w:val="009E50AB"/>
    <w:rsid w:val="009E5BF9"/>
    <w:rsid w:val="009E6503"/>
    <w:rsid w:val="009E7125"/>
    <w:rsid w:val="009E7A20"/>
    <w:rsid w:val="009E7EFD"/>
    <w:rsid w:val="009F0154"/>
    <w:rsid w:val="009F086D"/>
    <w:rsid w:val="009F0F22"/>
    <w:rsid w:val="009F143E"/>
    <w:rsid w:val="009F14FE"/>
    <w:rsid w:val="009F1729"/>
    <w:rsid w:val="009F2572"/>
    <w:rsid w:val="009F2D62"/>
    <w:rsid w:val="009F38CF"/>
    <w:rsid w:val="009F3EFD"/>
    <w:rsid w:val="009F4066"/>
    <w:rsid w:val="009F5C0C"/>
    <w:rsid w:val="009F5CA0"/>
    <w:rsid w:val="009F5FF0"/>
    <w:rsid w:val="009F72A9"/>
    <w:rsid w:val="009F73D6"/>
    <w:rsid w:val="009F7BB0"/>
    <w:rsid w:val="00A02773"/>
    <w:rsid w:val="00A03441"/>
    <w:rsid w:val="00A04AD9"/>
    <w:rsid w:val="00A06400"/>
    <w:rsid w:val="00A06450"/>
    <w:rsid w:val="00A0686B"/>
    <w:rsid w:val="00A07414"/>
    <w:rsid w:val="00A10488"/>
    <w:rsid w:val="00A10631"/>
    <w:rsid w:val="00A10A90"/>
    <w:rsid w:val="00A10ADF"/>
    <w:rsid w:val="00A110E7"/>
    <w:rsid w:val="00A13B66"/>
    <w:rsid w:val="00A1419B"/>
    <w:rsid w:val="00A1540D"/>
    <w:rsid w:val="00A15802"/>
    <w:rsid w:val="00A170D6"/>
    <w:rsid w:val="00A17987"/>
    <w:rsid w:val="00A20991"/>
    <w:rsid w:val="00A20CE7"/>
    <w:rsid w:val="00A217E6"/>
    <w:rsid w:val="00A22709"/>
    <w:rsid w:val="00A22AAF"/>
    <w:rsid w:val="00A24BA5"/>
    <w:rsid w:val="00A25248"/>
    <w:rsid w:val="00A26084"/>
    <w:rsid w:val="00A260CE"/>
    <w:rsid w:val="00A26B74"/>
    <w:rsid w:val="00A26F83"/>
    <w:rsid w:val="00A27CB2"/>
    <w:rsid w:val="00A3003A"/>
    <w:rsid w:val="00A317E4"/>
    <w:rsid w:val="00A31FF0"/>
    <w:rsid w:val="00A3210C"/>
    <w:rsid w:val="00A32239"/>
    <w:rsid w:val="00A322A7"/>
    <w:rsid w:val="00A33070"/>
    <w:rsid w:val="00A33F06"/>
    <w:rsid w:val="00A34613"/>
    <w:rsid w:val="00A34766"/>
    <w:rsid w:val="00A35D3B"/>
    <w:rsid w:val="00A41B77"/>
    <w:rsid w:val="00A430F4"/>
    <w:rsid w:val="00A435F7"/>
    <w:rsid w:val="00A455E3"/>
    <w:rsid w:val="00A45C54"/>
    <w:rsid w:val="00A46EDC"/>
    <w:rsid w:val="00A5153A"/>
    <w:rsid w:val="00A54E84"/>
    <w:rsid w:val="00A56223"/>
    <w:rsid w:val="00A5658C"/>
    <w:rsid w:val="00A60099"/>
    <w:rsid w:val="00A60117"/>
    <w:rsid w:val="00A60498"/>
    <w:rsid w:val="00A60E49"/>
    <w:rsid w:val="00A61C1A"/>
    <w:rsid w:val="00A61F72"/>
    <w:rsid w:val="00A6303B"/>
    <w:rsid w:val="00A63DCE"/>
    <w:rsid w:val="00A644C7"/>
    <w:rsid w:val="00A64C7F"/>
    <w:rsid w:val="00A65CB8"/>
    <w:rsid w:val="00A66FF9"/>
    <w:rsid w:val="00A70366"/>
    <w:rsid w:val="00A71052"/>
    <w:rsid w:val="00A7161C"/>
    <w:rsid w:val="00A72648"/>
    <w:rsid w:val="00A74497"/>
    <w:rsid w:val="00A75272"/>
    <w:rsid w:val="00A75401"/>
    <w:rsid w:val="00A75D03"/>
    <w:rsid w:val="00A760CB"/>
    <w:rsid w:val="00A771B7"/>
    <w:rsid w:val="00A80030"/>
    <w:rsid w:val="00A80C98"/>
    <w:rsid w:val="00A81524"/>
    <w:rsid w:val="00A8239F"/>
    <w:rsid w:val="00A82F84"/>
    <w:rsid w:val="00A877DA"/>
    <w:rsid w:val="00A878E8"/>
    <w:rsid w:val="00A87B75"/>
    <w:rsid w:val="00A90656"/>
    <w:rsid w:val="00A91547"/>
    <w:rsid w:val="00A91BC3"/>
    <w:rsid w:val="00A920C6"/>
    <w:rsid w:val="00A92116"/>
    <w:rsid w:val="00A921A5"/>
    <w:rsid w:val="00A92483"/>
    <w:rsid w:val="00A925EF"/>
    <w:rsid w:val="00A92CE0"/>
    <w:rsid w:val="00A93480"/>
    <w:rsid w:val="00A94D21"/>
    <w:rsid w:val="00A95F5F"/>
    <w:rsid w:val="00A9674D"/>
    <w:rsid w:val="00A96804"/>
    <w:rsid w:val="00A97831"/>
    <w:rsid w:val="00AA1C49"/>
    <w:rsid w:val="00AA3992"/>
    <w:rsid w:val="00AA4093"/>
    <w:rsid w:val="00AA4CF3"/>
    <w:rsid w:val="00AA4D29"/>
    <w:rsid w:val="00AA6927"/>
    <w:rsid w:val="00AA7F4B"/>
    <w:rsid w:val="00AB03C4"/>
    <w:rsid w:val="00AB0E39"/>
    <w:rsid w:val="00AB1050"/>
    <w:rsid w:val="00AB2BAE"/>
    <w:rsid w:val="00AB37F6"/>
    <w:rsid w:val="00AB4186"/>
    <w:rsid w:val="00AB6198"/>
    <w:rsid w:val="00AB64DC"/>
    <w:rsid w:val="00AB651A"/>
    <w:rsid w:val="00AC008D"/>
    <w:rsid w:val="00AC114E"/>
    <w:rsid w:val="00AC1D4B"/>
    <w:rsid w:val="00AC64BD"/>
    <w:rsid w:val="00AC720C"/>
    <w:rsid w:val="00AC7E9B"/>
    <w:rsid w:val="00AD0BA2"/>
    <w:rsid w:val="00AD1276"/>
    <w:rsid w:val="00AD293A"/>
    <w:rsid w:val="00AD3B8A"/>
    <w:rsid w:val="00AD4555"/>
    <w:rsid w:val="00AD57DD"/>
    <w:rsid w:val="00AD60ED"/>
    <w:rsid w:val="00AD7252"/>
    <w:rsid w:val="00AE10AF"/>
    <w:rsid w:val="00AE2C53"/>
    <w:rsid w:val="00AE3F52"/>
    <w:rsid w:val="00AE5D3F"/>
    <w:rsid w:val="00AE6140"/>
    <w:rsid w:val="00AE793B"/>
    <w:rsid w:val="00AE79C3"/>
    <w:rsid w:val="00AE7A0F"/>
    <w:rsid w:val="00AF0D32"/>
    <w:rsid w:val="00AF0D6E"/>
    <w:rsid w:val="00AF1523"/>
    <w:rsid w:val="00AF1A20"/>
    <w:rsid w:val="00AF1D84"/>
    <w:rsid w:val="00AF20CA"/>
    <w:rsid w:val="00AF2D7B"/>
    <w:rsid w:val="00AF4048"/>
    <w:rsid w:val="00AF40C3"/>
    <w:rsid w:val="00AF4288"/>
    <w:rsid w:val="00AF45BD"/>
    <w:rsid w:val="00AF483B"/>
    <w:rsid w:val="00AF5DF7"/>
    <w:rsid w:val="00AF7CDF"/>
    <w:rsid w:val="00B00B80"/>
    <w:rsid w:val="00B02604"/>
    <w:rsid w:val="00B03FAA"/>
    <w:rsid w:val="00B04A67"/>
    <w:rsid w:val="00B0507F"/>
    <w:rsid w:val="00B05C85"/>
    <w:rsid w:val="00B06C2E"/>
    <w:rsid w:val="00B073F7"/>
    <w:rsid w:val="00B07835"/>
    <w:rsid w:val="00B07B69"/>
    <w:rsid w:val="00B10E4D"/>
    <w:rsid w:val="00B11D40"/>
    <w:rsid w:val="00B1319B"/>
    <w:rsid w:val="00B13826"/>
    <w:rsid w:val="00B139B5"/>
    <w:rsid w:val="00B13FEE"/>
    <w:rsid w:val="00B1440C"/>
    <w:rsid w:val="00B15439"/>
    <w:rsid w:val="00B16246"/>
    <w:rsid w:val="00B1628A"/>
    <w:rsid w:val="00B168B6"/>
    <w:rsid w:val="00B16F81"/>
    <w:rsid w:val="00B1733D"/>
    <w:rsid w:val="00B1796C"/>
    <w:rsid w:val="00B20C46"/>
    <w:rsid w:val="00B20F77"/>
    <w:rsid w:val="00B2297E"/>
    <w:rsid w:val="00B2456E"/>
    <w:rsid w:val="00B24BB3"/>
    <w:rsid w:val="00B25656"/>
    <w:rsid w:val="00B25AC8"/>
    <w:rsid w:val="00B25B21"/>
    <w:rsid w:val="00B25C3F"/>
    <w:rsid w:val="00B25D18"/>
    <w:rsid w:val="00B26A28"/>
    <w:rsid w:val="00B26CAD"/>
    <w:rsid w:val="00B26DD7"/>
    <w:rsid w:val="00B27B23"/>
    <w:rsid w:val="00B27CD3"/>
    <w:rsid w:val="00B30E1F"/>
    <w:rsid w:val="00B315D9"/>
    <w:rsid w:val="00B31918"/>
    <w:rsid w:val="00B31DFF"/>
    <w:rsid w:val="00B31E59"/>
    <w:rsid w:val="00B32581"/>
    <w:rsid w:val="00B32EA9"/>
    <w:rsid w:val="00B34407"/>
    <w:rsid w:val="00B351C5"/>
    <w:rsid w:val="00B35BC8"/>
    <w:rsid w:val="00B35C8D"/>
    <w:rsid w:val="00B36284"/>
    <w:rsid w:val="00B37139"/>
    <w:rsid w:val="00B40535"/>
    <w:rsid w:val="00B40A6E"/>
    <w:rsid w:val="00B42757"/>
    <w:rsid w:val="00B432B6"/>
    <w:rsid w:val="00B4629A"/>
    <w:rsid w:val="00B46C03"/>
    <w:rsid w:val="00B46F23"/>
    <w:rsid w:val="00B508E4"/>
    <w:rsid w:val="00B509E6"/>
    <w:rsid w:val="00B53EC3"/>
    <w:rsid w:val="00B549C7"/>
    <w:rsid w:val="00B54A74"/>
    <w:rsid w:val="00B5641F"/>
    <w:rsid w:val="00B56439"/>
    <w:rsid w:val="00B56468"/>
    <w:rsid w:val="00B57271"/>
    <w:rsid w:val="00B612C4"/>
    <w:rsid w:val="00B624DB"/>
    <w:rsid w:val="00B641E4"/>
    <w:rsid w:val="00B64582"/>
    <w:rsid w:val="00B64D5A"/>
    <w:rsid w:val="00B65632"/>
    <w:rsid w:val="00B6710E"/>
    <w:rsid w:val="00B67549"/>
    <w:rsid w:val="00B67C1E"/>
    <w:rsid w:val="00B703E9"/>
    <w:rsid w:val="00B70B44"/>
    <w:rsid w:val="00B70CAF"/>
    <w:rsid w:val="00B70D00"/>
    <w:rsid w:val="00B72254"/>
    <w:rsid w:val="00B7357F"/>
    <w:rsid w:val="00B73AEB"/>
    <w:rsid w:val="00B74331"/>
    <w:rsid w:val="00B7497E"/>
    <w:rsid w:val="00B75072"/>
    <w:rsid w:val="00B75ACC"/>
    <w:rsid w:val="00B75FE4"/>
    <w:rsid w:val="00B76DBC"/>
    <w:rsid w:val="00B8074B"/>
    <w:rsid w:val="00B810FC"/>
    <w:rsid w:val="00B833B6"/>
    <w:rsid w:val="00B83CC1"/>
    <w:rsid w:val="00B85C09"/>
    <w:rsid w:val="00B86C0B"/>
    <w:rsid w:val="00B9180D"/>
    <w:rsid w:val="00B91A6D"/>
    <w:rsid w:val="00B91FC1"/>
    <w:rsid w:val="00B9212F"/>
    <w:rsid w:val="00B92CBE"/>
    <w:rsid w:val="00B92DC6"/>
    <w:rsid w:val="00B940F9"/>
    <w:rsid w:val="00B96260"/>
    <w:rsid w:val="00BA10AB"/>
    <w:rsid w:val="00BA1A1F"/>
    <w:rsid w:val="00BA2235"/>
    <w:rsid w:val="00BA25C9"/>
    <w:rsid w:val="00BA2DB7"/>
    <w:rsid w:val="00BA4439"/>
    <w:rsid w:val="00BA4DC9"/>
    <w:rsid w:val="00BA5A2E"/>
    <w:rsid w:val="00BA63DD"/>
    <w:rsid w:val="00BA75E2"/>
    <w:rsid w:val="00BA77B5"/>
    <w:rsid w:val="00BA77D0"/>
    <w:rsid w:val="00BB1B1F"/>
    <w:rsid w:val="00BB2245"/>
    <w:rsid w:val="00BB295E"/>
    <w:rsid w:val="00BB346B"/>
    <w:rsid w:val="00BB57B8"/>
    <w:rsid w:val="00BB7477"/>
    <w:rsid w:val="00BB789B"/>
    <w:rsid w:val="00BB7A24"/>
    <w:rsid w:val="00BC129F"/>
    <w:rsid w:val="00BC2E03"/>
    <w:rsid w:val="00BC42E5"/>
    <w:rsid w:val="00BC6080"/>
    <w:rsid w:val="00BC6412"/>
    <w:rsid w:val="00BC6EBF"/>
    <w:rsid w:val="00BC7896"/>
    <w:rsid w:val="00BD032B"/>
    <w:rsid w:val="00BD05A1"/>
    <w:rsid w:val="00BD0C03"/>
    <w:rsid w:val="00BD188F"/>
    <w:rsid w:val="00BD288F"/>
    <w:rsid w:val="00BD3035"/>
    <w:rsid w:val="00BD3284"/>
    <w:rsid w:val="00BD3B8D"/>
    <w:rsid w:val="00BD411B"/>
    <w:rsid w:val="00BD504F"/>
    <w:rsid w:val="00BD5508"/>
    <w:rsid w:val="00BD6670"/>
    <w:rsid w:val="00BD7072"/>
    <w:rsid w:val="00BD72FD"/>
    <w:rsid w:val="00BE00D6"/>
    <w:rsid w:val="00BE059C"/>
    <w:rsid w:val="00BE2DEF"/>
    <w:rsid w:val="00BE428E"/>
    <w:rsid w:val="00BE46BC"/>
    <w:rsid w:val="00BE4C28"/>
    <w:rsid w:val="00BE4D96"/>
    <w:rsid w:val="00BE52FE"/>
    <w:rsid w:val="00BE57EA"/>
    <w:rsid w:val="00BE5B2A"/>
    <w:rsid w:val="00BE5B90"/>
    <w:rsid w:val="00BE7759"/>
    <w:rsid w:val="00BF02C5"/>
    <w:rsid w:val="00BF0336"/>
    <w:rsid w:val="00BF114E"/>
    <w:rsid w:val="00BF18F6"/>
    <w:rsid w:val="00BF20B6"/>
    <w:rsid w:val="00BF390D"/>
    <w:rsid w:val="00BF3BEC"/>
    <w:rsid w:val="00BF55A5"/>
    <w:rsid w:val="00BF63BA"/>
    <w:rsid w:val="00BF6CA7"/>
    <w:rsid w:val="00BF7238"/>
    <w:rsid w:val="00C01134"/>
    <w:rsid w:val="00C01215"/>
    <w:rsid w:val="00C01425"/>
    <w:rsid w:val="00C019FF"/>
    <w:rsid w:val="00C02628"/>
    <w:rsid w:val="00C03030"/>
    <w:rsid w:val="00C0420A"/>
    <w:rsid w:val="00C05FD8"/>
    <w:rsid w:val="00C06AB0"/>
    <w:rsid w:val="00C07545"/>
    <w:rsid w:val="00C07B5D"/>
    <w:rsid w:val="00C101CF"/>
    <w:rsid w:val="00C1192A"/>
    <w:rsid w:val="00C124C0"/>
    <w:rsid w:val="00C12F9F"/>
    <w:rsid w:val="00C14044"/>
    <w:rsid w:val="00C144EE"/>
    <w:rsid w:val="00C15887"/>
    <w:rsid w:val="00C1637C"/>
    <w:rsid w:val="00C16D19"/>
    <w:rsid w:val="00C20DF5"/>
    <w:rsid w:val="00C21BD4"/>
    <w:rsid w:val="00C228E9"/>
    <w:rsid w:val="00C22C8D"/>
    <w:rsid w:val="00C23F7E"/>
    <w:rsid w:val="00C241D4"/>
    <w:rsid w:val="00C243FC"/>
    <w:rsid w:val="00C24C7F"/>
    <w:rsid w:val="00C25B10"/>
    <w:rsid w:val="00C3064E"/>
    <w:rsid w:val="00C30AB3"/>
    <w:rsid w:val="00C34CEA"/>
    <w:rsid w:val="00C35015"/>
    <w:rsid w:val="00C35035"/>
    <w:rsid w:val="00C354D0"/>
    <w:rsid w:val="00C36577"/>
    <w:rsid w:val="00C368E0"/>
    <w:rsid w:val="00C369EE"/>
    <w:rsid w:val="00C371C1"/>
    <w:rsid w:val="00C40C0E"/>
    <w:rsid w:val="00C40D67"/>
    <w:rsid w:val="00C40E15"/>
    <w:rsid w:val="00C419BC"/>
    <w:rsid w:val="00C41DD4"/>
    <w:rsid w:val="00C42EB5"/>
    <w:rsid w:val="00C432C1"/>
    <w:rsid w:val="00C44EA2"/>
    <w:rsid w:val="00C44FCC"/>
    <w:rsid w:val="00C45A0C"/>
    <w:rsid w:val="00C45B76"/>
    <w:rsid w:val="00C46D3A"/>
    <w:rsid w:val="00C4700A"/>
    <w:rsid w:val="00C50774"/>
    <w:rsid w:val="00C514FA"/>
    <w:rsid w:val="00C520E1"/>
    <w:rsid w:val="00C538D0"/>
    <w:rsid w:val="00C545D3"/>
    <w:rsid w:val="00C56506"/>
    <w:rsid w:val="00C56848"/>
    <w:rsid w:val="00C56A6B"/>
    <w:rsid w:val="00C56E09"/>
    <w:rsid w:val="00C603A2"/>
    <w:rsid w:val="00C606BB"/>
    <w:rsid w:val="00C61B89"/>
    <w:rsid w:val="00C6272E"/>
    <w:rsid w:val="00C63501"/>
    <w:rsid w:val="00C645A8"/>
    <w:rsid w:val="00C64F09"/>
    <w:rsid w:val="00C65546"/>
    <w:rsid w:val="00C65DF0"/>
    <w:rsid w:val="00C66E33"/>
    <w:rsid w:val="00C67940"/>
    <w:rsid w:val="00C70376"/>
    <w:rsid w:val="00C70D2F"/>
    <w:rsid w:val="00C713F3"/>
    <w:rsid w:val="00C72748"/>
    <w:rsid w:val="00C73420"/>
    <w:rsid w:val="00C74B2C"/>
    <w:rsid w:val="00C752B8"/>
    <w:rsid w:val="00C75757"/>
    <w:rsid w:val="00C77070"/>
    <w:rsid w:val="00C81820"/>
    <w:rsid w:val="00C827CA"/>
    <w:rsid w:val="00C836DC"/>
    <w:rsid w:val="00C851BB"/>
    <w:rsid w:val="00C863FB"/>
    <w:rsid w:val="00C86F10"/>
    <w:rsid w:val="00C87C17"/>
    <w:rsid w:val="00C90FD6"/>
    <w:rsid w:val="00C91C63"/>
    <w:rsid w:val="00C92A4E"/>
    <w:rsid w:val="00C939C0"/>
    <w:rsid w:val="00C94669"/>
    <w:rsid w:val="00C94816"/>
    <w:rsid w:val="00C94ACC"/>
    <w:rsid w:val="00C94EC7"/>
    <w:rsid w:val="00C950D5"/>
    <w:rsid w:val="00C95550"/>
    <w:rsid w:val="00C95BE7"/>
    <w:rsid w:val="00C96CD7"/>
    <w:rsid w:val="00C976C4"/>
    <w:rsid w:val="00C9785B"/>
    <w:rsid w:val="00CA0339"/>
    <w:rsid w:val="00CA0F77"/>
    <w:rsid w:val="00CA1422"/>
    <w:rsid w:val="00CA17DB"/>
    <w:rsid w:val="00CA1B0E"/>
    <w:rsid w:val="00CA1EEE"/>
    <w:rsid w:val="00CA264C"/>
    <w:rsid w:val="00CA4169"/>
    <w:rsid w:val="00CA591E"/>
    <w:rsid w:val="00CA5AF8"/>
    <w:rsid w:val="00CA659D"/>
    <w:rsid w:val="00CA73D5"/>
    <w:rsid w:val="00CB0F3B"/>
    <w:rsid w:val="00CB179F"/>
    <w:rsid w:val="00CB1E87"/>
    <w:rsid w:val="00CB26B1"/>
    <w:rsid w:val="00CB2D65"/>
    <w:rsid w:val="00CB4DF1"/>
    <w:rsid w:val="00CB631D"/>
    <w:rsid w:val="00CC0E4C"/>
    <w:rsid w:val="00CC1C49"/>
    <w:rsid w:val="00CC22E5"/>
    <w:rsid w:val="00CC37A4"/>
    <w:rsid w:val="00CC4D77"/>
    <w:rsid w:val="00CC609A"/>
    <w:rsid w:val="00CC6F11"/>
    <w:rsid w:val="00CC705C"/>
    <w:rsid w:val="00CD2046"/>
    <w:rsid w:val="00CD3D35"/>
    <w:rsid w:val="00CD42A3"/>
    <w:rsid w:val="00CD499A"/>
    <w:rsid w:val="00CD4B8C"/>
    <w:rsid w:val="00CD52EF"/>
    <w:rsid w:val="00CD5CA6"/>
    <w:rsid w:val="00CD63C0"/>
    <w:rsid w:val="00CD6A0E"/>
    <w:rsid w:val="00CD6FCC"/>
    <w:rsid w:val="00CD712B"/>
    <w:rsid w:val="00CD75CB"/>
    <w:rsid w:val="00CD7737"/>
    <w:rsid w:val="00CE05E0"/>
    <w:rsid w:val="00CE1131"/>
    <w:rsid w:val="00CE15BF"/>
    <w:rsid w:val="00CE235B"/>
    <w:rsid w:val="00CE2590"/>
    <w:rsid w:val="00CE2832"/>
    <w:rsid w:val="00CE2987"/>
    <w:rsid w:val="00CE3BC9"/>
    <w:rsid w:val="00CE4449"/>
    <w:rsid w:val="00CE45C9"/>
    <w:rsid w:val="00CE62B3"/>
    <w:rsid w:val="00CE6B39"/>
    <w:rsid w:val="00CE6B7F"/>
    <w:rsid w:val="00CE7F97"/>
    <w:rsid w:val="00CF0559"/>
    <w:rsid w:val="00CF1224"/>
    <w:rsid w:val="00CF12BA"/>
    <w:rsid w:val="00CF2658"/>
    <w:rsid w:val="00CF2A61"/>
    <w:rsid w:val="00CF2AA5"/>
    <w:rsid w:val="00CF2B10"/>
    <w:rsid w:val="00CF2DA0"/>
    <w:rsid w:val="00CF4E21"/>
    <w:rsid w:val="00CF65FF"/>
    <w:rsid w:val="00CF71C1"/>
    <w:rsid w:val="00CF7382"/>
    <w:rsid w:val="00D007E5"/>
    <w:rsid w:val="00D00A9C"/>
    <w:rsid w:val="00D01159"/>
    <w:rsid w:val="00D01168"/>
    <w:rsid w:val="00D02AF6"/>
    <w:rsid w:val="00D0351F"/>
    <w:rsid w:val="00D05D6D"/>
    <w:rsid w:val="00D06245"/>
    <w:rsid w:val="00D06320"/>
    <w:rsid w:val="00D10D3C"/>
    <w:rsid w:val="00D134CE"/>
    <w:rsid w:val="00D143F3"/>
    <w:rsid w:val="00D152F9"/>
    <w:rsid w:val="00D15549"/>
    <w:rsid w:val="00D15909"/>
    <w:rsid w:val="00D1629C"/>
    <w:rsid w:val="00D173E4"/>
    <w:rsid w:val="00D228F6"/>
    <w:rsid w:val="00D22D19"/>
    <w:rsid w:val="00D2345D"/>
    <w:rsid w:val="00D236C8"/>
    <w:rsid w:val="00D244AE"/>
    <w:rsid w:val="00D24E75"/>
    <w:rsid w:val="00D26CA5"/>
    <w:rsid w:val="00D270D9"/>
    <w:rsid w:val="00D27EE3"/>
    <w:rsid w:val="00D302EC"/>
    <w:rsid w:val="00D31C1B"/>
    <w:rsid w:val="00D31D03"/>
    <w:rsid w:val="00D33C1B"/>
    <w:rsid w:val="00D368A0"/>
    <w:rsid w:val="00D36FB3"/>
    <w:rsid w:val="00D41681"/>
    <w:rsid w:val="00D41D68"/>
    <w:rsid w:val="00D43647"/>
    <w:rsid w:val="00D44B46"/>
    <w:rsid w:val="00D44D91"/>
    <w:rsid w:val="00D45753"/>
    <w:rsid w:val="00D503D9"/>
    <w:rsid w:val="00D5095C"/>
    <w:rsid w:val="00D51F49"/>
    <w:rsid w:val="00D52422"/>
    <w:rsid w:val="00D52B47"/>
    <w:rsid w:val="00D5392A"/>
    <w:rsid w:val="00D54F18"/>
    <w:rsid w:val="00D55541"/>
    <w:rsid w:val="00D55940"/>
    <w:rsid w:val="00D55AA5"/>
    <w:rsid w:val="00D5644B"/>
    <w:rsid w:val="00D5799E"/>
    <w:rsid w:val="00D61183"/>
    <w:rsid w:val="00D612CF"/>
    <w:rsid w:val="00D61A71"/>
    <w:rsid w:val="00D636C6"/>
    <w:rsid w:val="00D63A3A"/>
    <w:rsid w:val="00D6498D"/>
    <w:rsid w:val="00D65280"/>
    <w:rsid w:val="00D6663D"/>
    <w:rsid w:val="00D6704D"/>
    <w:rsid w:val="00D7070B"/>
    <w:rsid w:val="00D71BAA"/>
    <w:rsid w:val="00D73E29"/>
    <w:rsid w:val="00D74B5C"/>
    <w:rsid w:val="00D75EBA"/>
    <w:rsid w:val="00D76D71"/>
    <w:rsid w:val="00D83934"/>
    <w:rsid w:val="00D841D0"/>
    <w:rsid w:val="00D86906"/>
    <w:rsid w:val="00D86935"/>
    <w:rsid w:val="00D900C3"/>
    <w:rsid w:val="00D90209"/>
    <w:rsid w:val="00D90861"/>
    <w:rsid w:val="00D91E10"/>
    <w:rsid w:val="00D91E5B"/>
    <w:rsid w:val="00D91FAC"/>
    <w:rsid w:val="00D922F9"/>
    <w:rsid w:val="00D92A05"/>
    <w:rsid w:val="00D94830"/>
    <w:rsid w:val="00D94CCB"/>
    <w:rsid w:val="00D94CE1"/>
    <w:rsid w:val="00D971CE"/>
    <w:rsid w:val="00D97D75"/>
    <w:rsid w:val="00DA1661"/>
    <w:rsid w:val="00DA1F41"/>
    <w:rsid w:val="00DA310F"/>
    <w:rsid w:val="00DA72EA"/>
    <w:rsid w:val="00DA7AC6"/>
    <w:rsid w:val="00DA7ECD"/>
    <w:rsid w:val="00DB00EA"/>
    <w:rsid w:val="00DB3020"/>
    <w:rsid w:val="00DB37EA"/>
    <w:rsid w:val="00DB3CBF"/>
    <w:rsid w:val="00DB401A"/>
    <w:rsid w:val="00DB5297"/>
    <w:rsid w:val="00DB5E03"/>
    <w:rsid w:val="00DB6383"/>
    <w:rsid w:val="00DB6991"/>
    <w:rsid w:val="00DB6E43"/>
    <w:rsid w:val="00DB71C1"/>
    <w:rsid w:val="00DB74EC"/>
    <w:rsid w:val="00DC0DE8"/>
    <w:rsid w:val="00DC1009"/>
    <w:rsid w:val="00DC2720"/>
    <w:rsid w:val="00DC2AB9"/>
    <w:rsid w:val="00DC3122"/>
    <w:rsid w:val="00DC366A"/>
    <w:rsid w:val="00DC417D"/>
    <w:rsid w:val="00DC4689"/>
    <w:rsid w:val="00DC4D22"/>
    <w:rsid w:val="00DC5E98"/>
    <w:rsid w:val="00DC665C"/>
    <w:rsid w:val="00DC737E"/>
    <w:rsid w:val="00DC7638"/>
    <w:rsid w:val="00DC797E"/>
    <w:rsid w:val="00DC7D67"/>
    <w:rsid w:val="00DD17B9"/>
    <w:rsid w:val="00DD2AE8"/>
    <w:rsid w:val="00DD2E1A"/>
    <w:rsid w:val="00DD33D8"/>
    <w:rsid w:val="00DD436E"/>
    <w:rsid w:val="00DD444C"/>
    <w:rsid w:val="00DD4F45"/>
    <w:rsid w:val="00DD4F92"/>
    <w:rsid w:val="00DD6202"/>
    <w:rsid w:val="00DE0B47"/>
    <w:rsid w:val="00DE115D"/>
    <w:rsid w:val="00DE18B4"/>
    <w:rsid w:val="00DE2C6E"/>
    <w:rsid w:val="00DE30C1"/>
    <w:rsid w:val="00DE379D"/>
    <w:rsid w:val="00DE3E94"/>
    <w:rsid w:val="00DE5EDA"/>
    <w:rsid w:val="00DE683A"/>
    <w:rsid w:val="00DE707A"/>
    <w:rsid w:val="00DE7213"/>
    <w:rsid w:val="00DE79F2"/>
    <w:rsid w:val="00DF0098"/>
    <w:rsid w:val="00DF2D02"/>
    <w:rsid w:val="00DF46FB"/>
    <w:rsid w:val="00DF62DA"/>
    <w:rsid w:val="00DF641C"/>
    <w:rsid w:val="00DF6EB5"/>
    <w:rsid w:val="00E00253"/>
    <w:rsid w:val="00E00877"/>
    <w:rsid w:val="00E00995"/>
    <w:rsid w:val="00E00D71"/>
    <w:rsid w:val="00E00E77"/>
    <w:rsid w:val="00E0111A"/>
    <w:rsid w:val="00E0138B"/>
    <w:rsid w:val="00E01969"/>
    <w:rsid w:val="00E01F46"/>
    <w:rsid w:val="00E026C3"/>
    <w:rsid w:val="00E02D6A"/>
    <w:rsid w:val="00E0360C"/>
    <w:rsid w:val="00E03C7C"/>
    <w:rsid w:val="00E04170"/>
    <w:rsid w:val="00E045A3"/>
    <w:rsid w:val="00E051EC"/>
    <w:rsid w:val="00E0690E"/>
    <w:rsid w:val="00E10DB2"/>
    <w:rsid w:val="00E115FC"/>
    <w:rsid w:val="00E11F12"/>
    <w:rsid w:val="00E12162"/>
    <w:rsid w:val="00E1397C"/>
    <w:rsid w:val="00E16129"/>
    <w:rsid w:val="00E16E93"/>
    <w:rsid w:val="00E16FBF"/>
    <w:rsid w:val="00E2047C"/>
    <w:rsid w:val="00E21101"/>
    <w:rsid w:val="00E212CE"/>
    <w:rsid w:val="00E21B55"/>
    <w:rsid w:val="00E2202A"/>
    <w:rsid w:val="00E230E7"/>
    <w:rsid w:val="00E2386F"/>
    <w:rsid w:val="00E241F0"/>
    <w:rsid w:val="00E244C4"/>
    <w:rsid w:val="00E25B21"/>
    <w:rsid w:val="00E25E49"/>
    <w:rsid w:val="00E27AA6"/>
    <w:rsid w:val="00E304FE"/>
    <w:rsid w:val="00E3097A"/>
    <w:rsid w:val="00E31A57"/>
    <w:rsid w:val="00E31EA3"/>
    <w:rsid w:val="00E326DC"/>
    <w:rsid w:val="00E32EE4"/>
    <w:rsid w:val="00E3320B"/>
    <w:rsid w:val="00E34264"/>
    <w:rsid w:val="00E34E18"/>
    <w:rsid w:val="00E3561A"/>
    <w:rsid w:val="00E35B11"/>
    <w:rsid w:val="00E36247"/>
    <w:rsid w:val="00E415FD"/>
    <w:rsid w:val="00E432A4"/>
    <w:rsid w:val="00E43A20"/>
    <w:rsid w:val="00E45262"/>
    <w:rsid w:val="00E47064"/>
    <w:rsid w:val="00E50522"/>
    <w:rsid w:val="00E5061C"/>
    <w:rsid w:val="00E51290"/>
    <w:rsid w:val="00E531C9"/>
    <w:rsid w:val="00E5368F"/>
    <w:rsid w:val="00E54229"/>
    <w:rsid w:val="00E54260"/>
    <w:rsid w:val="00E544FD"/>
    <w:rsid w:val="00E55082"/>
    <w:rsid w:val="00E55675"/>
    <w:rsid w:val="00E5654C"/>
    <w:rsid w:val="00E56648"/>
    <w:rsid w:val="00E569AF"/>
    <w:rsid w:val="00E574BD"/>
    <w:rsid w:val="00E606C8"/>
    <w:rsid w:val="00E610B2"/>
    <w:rsid w:val="00E610C4"/>
    <w:rsid w:val="00E61C96"/>
    <w:rsid w:val="00E63D44"/>
    <w:rsid w:val="00E64068"/>
    <w:rsid w:val="00E6432A"/>
    <w:rsid w:val="00E65F17"/>
    <w:rsid w:val="00E66BA4"/>
    <w:rsid w:val="00E66CFB"/>
    <w:rsid w:val="00E67FA3"/>
    <w:rsid w:val="00E711BC"/>
    <w:rsid w:val="00E71FF0"/>
    <w:rsid w:val="00E724F2"/>
    <w:rsid w:val="00E73B6F"/>
    <w:rsid w:val="00E76EE9"/>
    <w:rsid w:val="00E77487"/>
    <w:rsid w:val="00E77520"/>
    <w:rsid w:val="00E8105B"/>
    <w:rsid w:val="00E81530"/>
    <w:rsid w:val="00E81970"/>
    <w:rsid w:val="00E82850"/>
    <w:rsid w:val="00E844A9"/>
    <w:rsid w:val="00E851DF"/>
    <w:rsid w:val="00E855A5"/>
    <w:rsid w:val="00E85E27"/>
    <w:rsid w:val="00E86C29"/>
    <w:rsid w:val="00E90874"/>
    <w:rsid w:val="00E90B4D"/>
    <w:rsid w:val="00E90BF0"/>
    <w:rsid w:val="00E92E70"/>
    <w:rsid w:val="00E9369B"/>
    <w:rsid w:val="00E93C12"/>
    <w:rsid w:val="00E95658"/>
    <w:rsid w:val="00E95B6A"/>
    <w:rsid w:val="00E96C4F"/>
    <w:rsid w:val="00E9751C"/>
    <w:rsid w:val="00EA005F"/>
    <w:rsid w:val="00EA09A4"/>
    <w:rsid w:val="00EA0F90"/>
    <w:rsid w:val="00EA25BB"/>
    <w:rsid w:val="00EA2BEA"/>
    <w:rsid w:val="00EA312F"/>
    <w:rsid w:val="00EA473B"/>
    <w:rsid w:val="00EA585E"/>
    <w:rsid w:val="00EB4CDF"/>
    <w:rsid w:val="00EB5775"/>
    <w:rsid w:val="00EB5B51"/>
    <w:rsid w:val="00EB7AC3"/>
    <w:rsid w:val="00EC08CC"/>
    <w:rsid w:val="00EC0DA5"/>
    <w:rsid w:val="00EC1053"/>
    <w:rsid w:val="00EC126D"/>
    <w:rsid w:val="00EC2D7B"/>
    <w:rsid w:val="00EC390D"/>
    <w:rsid w:val="00EC3B46"/>
    <w:rsid w:val="00EC4213"/>
    <w:rsid w:val="00EC43FB"/>
    <w:rsid w:val="00EC4F99"/>
    <w:rsid w:val="00EC5B3C"/>
    <w:rsid w:val="00EC607F"/>
    <w:rsid w:val="00EC65B3"/>
    <w:rsid w:val="00EC66E7"/>
    <w:rsid w:val="00EC71EC"/>
    <w:rsid w:val="00ED1285"/>
    <w:rsid w:val="00ED3030"/>
    <w:rsid w:val="00ED37BA"/>
    <w:rsid w:val="00ED4CE8"/>
    <w:rsid w:val="00ED4DE9"/>
    <w:rsid w:val="00ED565B"/>
    <w:rsid w:val="00ED5824"/>
    <w:rsid w:val="00ED5F32"/>
    <w:rsid w:val="00ED6B42"/>
    <w:rsid w:val="00ED6E8E"/>
    <w:rsid w:val="00ED6EE2"/>
    <w:rsid w:val="00ED7615"/>
    <w:rsid w:val="00ED7D5F"/>
    <w:rsid w:val="00EE06BA"/>
    <w:rsid w:val="00EE0C4C"/>
    <w:rsid w:val="00EE0FE5"/>
    <w:rsid w:val="00EE1544"/>
    <w:rsid w:val="00EE15A4"/>
    <w:rsid w:val="00EE1C93"/>
    <w:rsid w:val="00EE31EC"/>
    <w:rsid w:val="00EE4920"/>
    <w:rsid w:val="00EE54BC"/>
    <w:rsid w:val="00EF0AF9"/>
    <w:rsid w:val="00EF1812"/>
    <w:rsid w:val="00EF244E"/>
    <w:rsid w:val="00EF34E5"/>
    <w:rsid w:val="00EF35B1"/>
    <w:rsid w:val="00EF3CD3"/>
    <w:rsid w:val="00EF3DFC"/>
    <w:rsid w:val="00EF3E49"/>
    <w:rsid w:val="00EF565C"/>
    <w:rsid w:val="00EF5B87"/>
    <w:rsid w:val="00EF69CF"/>
    <w:rsid w:val="00F0036F"/>
    <w:rsid w:val="00F00C3E"/>
    <w:rsid w:val="00F00DC6"/>
    <w:rsid w:val="00F0157E"/>
    <w:rsid w:val="00F03CC7"/>
    <w:rsid w:val="00F047B9"/>
    <w:rsid w:val="00F0489B"/>
    <w:rsid w:val="00F04AB4"/>
    <w:rsid w:val="00F10A19"/>
    <w:rsid w:val="00F10F59"/>
    <w:rsid w:val="00F12809"/>
    <w:rsid w:val="00F137F8"/>
    <w:rsid w:val="00F16286"/>
    <w:rsid w:val="00F16CD6"/>
    <w:rsid w:val="00F1785A"/>
    <w:rsid w:val="00F201AF"/>
    <w:rsid w:val="00F20579"/>
    <w:rsid w:val="00F21194"/>
    <w:rsid w:val="00F21A59"/>
    <w:rsid w:val="00F22419"/>
    <w:rsid w:val="00F226F8"/>
    <w:rsid w:val="00F22A3B"/>
    <w:rsid w:val="00F22EFF"/>
    <w:rsid w:val="00F24EB5"/>
    <w:rsid w:val="00F250C5"/>
    <w:rsid w:val="00F257E9"/>
    <w:rsid w:val="00F26208"/>
    <w:rsid w:val="00F301CC"/>
    <w:rsid w:val="00F30EED"/>
    <w:rsid w:val="00F329B7"/>
    <w:rsid w:val="00F3327F"/>
    <w:rsid w:val="00F33568"/>
    <w:rsid w:val="00F34837"/>
    <w:rsid w:val="00F34B00"/>
    <w:rsid w:val="00F34D4C"/>
    <w:rsid w:val="00F35E93"/>
    <w:rsid w:val="00F37EDE"/>
    <w:rsid w:val="00F40B20"/>
    <w:rsid w:val="00F41770"/>
    <w:rsid w:val="00F42F61"/>
    <w:rsid w:val="00F43A83"/>
    <w:rsid w:val="00F4408E"/>
    <w:rsid w:val="00F46AB8"/>
    <w:rsid w:val="00F4763F"/>
    <w:rsid w:val="00F47D01"/>
    <w:rsid w:val="00F501BF"/>
    <w:rsid w:val="00F512A7"/>
    <w:rsid w:val="00F52593"/>
    <w:rsid w:val="00F52661"/>
    <w:rsid w:val="00F52683"/>
    <w:rsid w:val="00F52B6E"/>
    <w:rsid w:val="00F52D23"/>
    <w:rsid w:val="00F53B6F"/>
    <w:rsid w:val="00F53DCB"/>
    <w:rsid w:val="00F53F7D"/>
    <w:rsid w:val="00F548D2"/>
    <w:rsid w:val="00F5519F"/>
    <w:rsid w:val="00F558DA"/>
    <w:rsid w:val="00F55D61"/>
    <w:rsid w:val="00F608F1"/>
    <w:rsid w:val="00F609C7"/>
    <w:rsid w:val="00F60CF7"/>
    <w:rsid w:val="00F62288"/>
    <w:rsid w:val="00F625FB"/>
    <w:rsid w:val="00F6294F"/>
    <w:rsid w:val="00F62AD3"/>
    <w:rsid w:val="00F649FD"/>
    <w:rsid w:val="00F67F5D"/>
    <w:rsid w:val="00F70A56"/>
    <w:rsid w:val="00F70E66"/>
    <w:rsid w:val="00F710EE"/>
    <w:rsid w:val="00F71431"/>
    <w:rsid w:val="00F729B9"/>
    <w:rsid w:val="00F7309E"/>
    <w:rsid w:val="00F7382F"/>
    <w:rsid w:val="00F761C9"/>
    <w:rsid w:val="00F7641A"/>
    <w:rsid w:val="00F82F3C"/>
    <w:rsid w:val="00F82F42"/>
    <w:rsid w:val="00F83A62"/>
    <w:rsid w:val="00F85AF2"/>
    <w:rsid w:val="00F85ED6"/>
    <w:rsid w:val="00F85FD5"/>
    <w:rsid w:val="00F90E48"/>
    <w:rsid w:val="00F920E7"/>
    <w:rsid w:val="00F927BF"/>
    <w:rsid w:val="00F928C9"/>
    <w:rsid w:val="00F93B01"/>
    <w:rsid w:val="00F9573F"/>
    <w:rsid w:val="00F95B96"/>
    <w:rsid w:val="00F9691B"/>
    <w:rsid w:val="00F974FB"/>
    <w:rsid w:val="00F97ADA"/>
    <w:rsid w:val="00FA2642"/>
    <w:rsid w:val="00FA348B"/>
    <w:rsid w:val="00FA4123"/>
    <w:rsid w:val="00FA45D4"/>
    <w:rsid w:val="00FA63C4"/>
    <w:rsid w:val="00FA7511"/>
    <w:rsid w:val="00FA7633"/>
    <w:rsid w:val="00FA7B83"/>
    <w:rsid w:val="00FA7F39"/>
    <w:rsid w:val="00FB067E"/>
    <w:rsid w:val="00FB0D16"/>
    <w:rsid w:val="00FB3147"/>
    <w:rsid w:val="00FB3C50"/>
    <w:rsid w:val="00FB69D9"/>
    <w:rsid w:val="00FB6A3F"/>
    <w:rsid w:val="00FB73B9"/>
    <w:rsid w:val="00FC0C3E"/>
    <w:rsid w:val="00FC23A4"/>
    <w:rsid w:val="00FC28AD"/>
    <w:rsid w:val="00FC2956"/>
    <w:rsid w:val="00FC3330"/>
    <w:rsid w:val="00FC366C"/>
    <w:rsid w:val="00FC41D3"/>
    <w:rsid w:val="00FC49D6"/>
    <w:rsid w:val="00FC51CF"/>
    <w:rsid w:val="00FC615F"/>
    <w:rsid w:val="00FC640A"/>
    <w:rsid w:val="00FC6928"/>
    <w:rsid w:val="00FD00C8"/>
    <w:rsid w:val="00FD0242"/>
    <w:rsid w:val="00FD07BC"/>
    <w:rsid w:val="00FD07DB"/>
    <w:rsid w:val="00FD1938"/>
    <w:rsid w:val="00FD1A80"/>
    <w:rsid w:val="00FD296D"/>
    <w:rsid w:val="00FD2F37"/>
    <w:rsid w:val="00FD39BA"/>
    <w:rsid w:val="00FD50FD"/>
    <w:rsid w:val="00FD5AF0"/>
    <w:rsid w:val="00FD6087"/>
    <w:rsid w:val="00FD62DB"/>
    <w:rsid w:val="00FD6749"/>
    <w:rsid w:val="00FD6A61"/>
    <w:rsid w:val="00FD6B42"/>
    <w:rsid w:val="00FD72A5"/>
    <w:rsid w:val="00FD738C"/>
    <w:rsid w:val="00FD743C"/>
    <w:rsid w:val="00FD7A89"/>
    <w:rsid w:val="00FE06C5"/>
    <w:rsid w:val="00FE0963"/>
    <w:rsid w:val="00FE0F26"/>
    <w:rsid w:val="00FE1199"/>
    <w:rsid w:val="00FE16E3"/>
    <w:rsid w:val="00FE1765"/>
    <w:rsid w:val="00FE33DA"/>
    <w:rsid w:val="00FE369D"/>
    <w:rsid w:val="00FE3ECD"/>
    <w:rsid w:val="00FE52D9"/>
    <w:rsid w:val="00FE656E"/>
    <w:rsid w:val="00FE770E"/>
    <w:rsid w:val="00FE7846"/>
    <w:rsid w:val="00FF0E20"/>
    <w:rsid w:val="00FF13E0"/>
    <w:rsid w:val="00FF1C82"/>
    <w:rsid w:val="00FF1F68"/>
    <w:rsid w:val="00FF3835"/>
    <w:rsid w:val="00FF3ECC"/>
    <w:rsid w:val="00FF4C30"/>
    <w:rsid w:val="00FF68DE"/>
    <w:rsid w:val="00FF70F7"/>
    <w:rsid w:val="00FF762F"/>
    <w:rsid w:val="00FF767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513F1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semiHidden="0" w:uiPriority="2" w:unhideWhenUsed="0" w:qFormat="1"/>
    <w:lsdException w:name="heading 3" w:semiHidden="0" w:uiPriority="2" w:unhideWhenUsed="0" w:qFormat="1"/>
    <w:lsdException w:name="heading 4" w:semiHidden="0" w:uiPriority="2"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locked="1"/>
    <w:lsdException w:name="footnote text" w:uiPriority="0" w:qFormat="1"/>
    <w:lsdException w:name="annotation text" w:locked="1"/>
    <w:lsdException w:name="header" w:uiPriority="9"/>
    <w:lsdException w:name="caption" w:semiHidden="0" w:uiPriority="35" w:unhideWhenUsed="0" w:qFormat="1"/>
    <w:lsdException w:name="table of figures" w:locked="1"/>
    <w:lsdException w:name="envelope address" w:locked="1"/>
    <w:lsdException w:name="envelope return" w:locked="1"/>
    <w:lsdException w:name="annotation reference" w:locked="1"/>
    <w:lsdException w:name="page number" w:uiPriority="9"/>
    <w:lsdException w:name="endnote reference" w:locked="1" w:uiPriority="0"/>
    <w:lsdException w:name="endnote text" w:locked="1"/>
    <w:lsdException w:name="table of authorities" w:locked="1"/>
    <w:lsdException w:name="macro"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9" w:unhideWhenUsed="0" w:qFormat="1"/>
    <w:lsdException w:name="Closing" w:locked="1"/>
    <w:lsdException w:name="Signature" w:locked="1"/>
    <w:lsdException w:name="Default Paragraph Font" w:uiPriority="1"/>
    <w:lsdException w:name="Body Text" w:semiHidden="0" w:uiPriority="1" w:unhideWhenUsed="0"/>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semiHidden="0" w:uiPriority="9" w:unhideWhenUsed="0" w:qFormat="1"/>
    <w:lsdException w:name="Salutation" w:locked="1"/>
    <w:lsdException w:name="Date" w:locked="1"/>
    <w:lsdException w:name="Body Text First Indent" w:locked="1"/>
    <w:lsdException w:name="Body Text First Indent 2" w:locked="1"/>
    <w:lsdException w:name="Body Text 2" w:locked="1"/>
    <w:lsdException w:name="Body Text 3" w:locked="1"/>
    <w:lsdException w:name="Body Text Indent 2" w:locked="1"/>
    <w:lsdException w:name="Body Text Indent 3" w:locked="1"/>
    <w:lsdException w:name="Block Text" w:locked="1"/>
    <w:lsdException w:name="Hyperlink" w:qFormat="1"/>
    <w:lsdException w:name="Strong" w:locked="1" w:semiHidden="0" w:unhideWhenUsed="0" w:qFormat="1"/>
    <w:lsdException w:name="Emphasis" w:locked="1" w:semiHidden="0" w:uiPriority="20" w:unhideWhenUsed="0"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59" w:unhideWhenUsed="0"/>
    <w:lsdException w:name="Table Theme" w:locked="1"/>
    <w:lsdException w:name="No Spacing" w:semiHidden="0" w:uiPriority="1"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1"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1"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0"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E8105B"/>
    <w:pPr>
      <w:spacing w:before="120" w:after="240" w:line="276" w:lineRule="auto"/>
    </w:pPr>
    <w:rPr>
      <w:rFonts w:ascii="Century Gothic" w:hAnsi="Century Gothic"/>
      <w:sz w:val="22"/>
      <w:szCs w:val="22"/>
      <w:lang w:eastAsia="en-US"/>
    </w:rPr>
  </w:style>
  <w:style w:type="paragraph" w:styleId="Heading1">
    <w:name w:val="heading 1"/>
    <w:basedOn w:val="Normal"/>
    <w:next w:val="Normal"/>
    <w:link w:val="Heading1Char"/>
    <w:autoRedefine/>
    <w:uiPriority w:val="2"/>
    <w:qFormat/>
    <w:rsid w:val="00BD3035"/>
    <w:pPr>
      <w:keepNext/>
      <w:pageBreakBefore/>
      <w:spacing w:after="360" w:line="240" w:lineRule="atLeast"/>
      <w:outlineLvl w:val="0"/>
    </w:pPr>
    <w:rPr>
      <w:bCs/>
      <w:color w:val="0070C0"/>
      <w:kern w:val="32"/>
      <w:sz w:val="44"/>
      <w:szCs w:val="36"/>
      <w:lang w:eastAsia="x-none"/>
    </w:rPr>
  </w:style>
  <w:style w:type="paragraph" w:styleId="Heading2">
    <w:name w:val="heading 2"/>
    <w:basedOn w:val="Heading1"/>
    <w:next w:val="Normal"/>
    <w:link w:val="Heading2Char"/>
    <w:autoRedefine/>
    <w:uiPriority w:val="2"/>
    <w:qFormat/>
    <w:rsid w:val="0061771D"/>
    <w:pPr>
      <w:pageBreakBefore w:val="0"/>
      <w:spacing w:before="240" w:after="120" w:line="276" w:lineRule="auto"/>
      <w:outlineLvl w:val="1"/>
    </w:pPr>
    <w:rPr>
      <w:rFonts w:eastAsia="Times New Roman"/>
      <w:b/>
      <w:bCs w:val="0"/>
      <w:iCs/>
      <w:color w:val="0065A4"/>
      <w:sz w:val="24"/>
      <w:szCs w:val="24"/>
    </w:rPr>
  </w:style>
  <w:style w:type="paragraph" w:styleId="Heading3">
    <w:name w:val="heading 3"/>
    <w:basedOn w:val="Heading1"/>
    <w:next w:val="Normal"/>
    <w:link w:val="Heading3Char"/>
    <w:uiPriority w:val="2"/>
    <w:qFormat/>
    <w:rsid w:val="00BD3035"/>
    <w:pPr>
      <w:pageBreakBefore w:val="0"/>
      <w:spacing w:before="240" w:after="240"/>
      <w:outlineLvl w:val="2"/>
    </w:pPr>
    <w:rPr>
      <w:rFonts w:eastAsia="Times New Roman"/>
      <w:bCs w:val="0"/>
      <w:sz w:val="24"/>
      <w:szCs w:val="26"/>
      <w:lang w:val="x-none"/>
    </w:rPr>
  </w:style>
  <w:style w:type="paragraph" w:styleId="Heading4">
    <w:name w:val="heading 4"/>
    <w:basedOn w:val="Normal"/>
    <w:next w:val="Normal"/>
    <w:link w:val="Heading4Char"/>
    <w:autoRedefine/>
    <w:uiPriority w:val="2"/>
    <w:qFormat/>
    <w:rsid w:val="00BD3035"/>
    <w:pPr>
      <w:keepNext/>
      <w:spacing w:before="240" w:after="60"/>
      <w:outlineLvl w:val="3"/>
    </w:pPr>
    <w:rPr>
      <w:rFonts w:eastAsiaTheme="majorEastAsia"/>
      <w:b/>
      <w:bCs/>
      <w:lang w:val="x-none" w:eastAsia="x-none"/>
    </w:rPr>
  </w:style>
  <w:style w:type="paragraph" w:styleId="Heading5">
    <w:name w:val="heading 5"/>
    <w:basedOn w:val="Normal"/>
    <w:next w:val="Normal"/>
    <w:link w:val="Heading5Char"/>
    <w:uiPriority w:val="9"/>
    <w:qFormat/>
    <w:rsid w:val="00565485"/>
    <w:pPr>
      <w:spacing w:before="240" w:after="60"/>
      <w:outlineLvl w:val="4"/>
    </w:pPr>
    <w:rPr>
      <w:rFonts w:ascii="Arial" w:eastAsia="Times New Roman" w:hAnsi="Arial"/>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2"/>
    <w:rsid w:val="00BD3035"/>
    <w:rPr>
      <w:rFonts w:ascii="Century Gothic" w:hAnsi="Century Gothic"/>
      <w:bCs/>
      <w:color w:val="0070C0"/>
      <w:kern w:val="32"/>
      <w:sz w:val="44"/>
      <w:szCs w:val="36"/>
      <w:lang w:eastAsia="x-none"/>
    </w:rPr>
  </w:style>
  <w:style w:type="paragraph" w:styleId="Header">
    <w:name w:val="header"/>
    <w:basedOn w:val="Normal"/>
    <w:link w:val="HeaderChar"/>
    <w:uiPriority w:val="9"/>
    <w:rsid w:val="0095780B"/>
    <w:pPr>
      <w:tabs>
        <w:tab w:val="center" w:pos="4513"/>
        <w:tab w:val="right" w:pos="9026"/>
      </w:tabs>
      <w:spacing w:after="60" w:line="240" w:lineRule="auto"/>
      <w:jc w:val="right"/>
    </w:pPr>
    <w:rPr>
      <w:sz w:val="18"/>
      <w:lang w:val="x-none" w:eastAsia="x-none"/>
    </w:rPr>
  </w:style>
  <w:style w:type="character" w:customStyle="1" w:styleId="HeaderChar">
    <w:name w:val="Header Char"/>
    <w:link w:val="Header"/>
    <w:uiPriority w:val="9"/>
    <w:rsid w:val="0095780B"/>
    <w:rPr>
      <w:rFonts w:ascii="Century Gothic" w:hAnsi="Century Gothic"/>
      <w:sz w:val="18"/>
      <w:szCs w:val="22"/>
      <w:lang w:val="x-none"/>
    </w:rPr>
  </w:style>
  <w:style w:type="paragraph" w:styleId="Footer">
    <w:name w:val="footer"/>
    <w:basedOn w:val="Normal"/>
    <w:link w:val="FooterChar"/>
    <w:uiPriority w:val="99"/>
    <w:rsid w:val="0095780B"/>
    <w:pPr>
      <w:tabs>
        <w:tab w:val="center" w:pos="4513"/>
        <w:tab w:val="right" w:pos="9026"/>
      </w:tabs>
    </w:pPr>
    <w:rPr>
      <w:sz w:val="16"/>
      <w:lang w:val="x-none" w:eastAsia="x-none"/>
    </w:rPr>
  </w:style>
  <w:style w:type="character" w:customStyle="1" w:styleId="FooterChar">
    <w:name w:val="Footer Char"/>
    <w:link w:val="Footer"/>
    <w:uiPriority w:val="99"/>
    <w:rsid w:val="0095780B"/>
    <w:rPr>
      <w:rFonts w:ascii="Century Gothic" w:hAnsi="Century Gothic"/>
      <w:sz w:val="16"/>
      <w:szCs w:val="22"/>
      <w:lang w:val="x-none"/>
    </w:rPr>
  </w:style>
  <w:style w:type="paragraph" w:customStyle="1" w:styleId="Tablenotes">
    <w:name w:val="Table notes"/>
    <w:basedOn w:val="Normal"/>
    <w:link w:val="TablenotesChar"/>
    <w:qFormat/>
    <w:rsid w:val="00C836DC"/>
    <w:rPr>
      <w:sz w:val="18"/>
      <w:szCs w:val="18"/>
    </w:rPr>
  </w:style>
  <w:style w:type="character" w:styleId="PageNumber">
    <w:name w:val="page number"/>
    <w:uiPriority w:val="9"/>
    <w:rsid w:val="005C2435"/>
    <w:rPr>
      <w:rFonts w:ascii="Century Gothic" w:hAnsi="Century Gothic"/>
      <w:color w:val="0079C1"/>
      <w:sz w:val="22"/>
    </w:rPr>
  </w:style>
  <w:style w:type="character" w:customStyle="1" w:styleId="Heading2Char">
    <w:name w:val="Heading 2 Char"/>
    <w:link w:val="Heading2"/>
    <w:uiPriority w:val="2"/>
    <w:rsid w:val="0061771D"/>
    <w:rPr>
      <w:rFonts w:ascii="Century Gothic" w:eastAsia="Times New Roman" w:hAnsi="Century Gothic"/>
      <w:b/>
      <w:iCs/>
      <w:color w:val="0065A4"/>
      <w:kern w:val="32"/>
      <w:sz w:val="24"/>
      <w:szCs w:val="24"/>
      <w:lang w:eastAsia="x-none"/>
    </w:rPr>
  </w:style>
  <w:style w:type="character" w:customStyle="1" w:styleId="Heading3Char">
    <w:name w:val="Heading 3 Char"/>
    <w:link w:val="Heading3"/>
    <w:uiPriority w:val="2"/>
    <w:rsid w:val="00BD3035"/>
    <w:rPr>
      <w:rFonts w:ascii="Century Gothic" w:eastAsia="Times New Roman" w:hAnsi="Century Gothic"/>
      <w:color w:val="0070C0"/>
      <w:kern w:val="32"/>
      <w:sz w:val="24"/>
      <w:szCs w:val="26"/>
      <w:lang w:val="x-none" w:eastAsia="x-none"/>
    </w:rPr>
  </w:style>
  <w:style w:type="character" w:customStyle="1" w:styleId="Heading4Char">
    <w:name w:val="Heading 4 Char"/>
    <w:link w:val="Heading4"/>
    <w:uiPriority w:val="2"/>
    <w:rsid w:val="00BD3035"/>
    <w:rPr>
      <w:rFonts w:ascii="Century Gothic" w:eastAsiaTheme="majorEastAsia" w:hAnsi="Century Gothic"/>
      <w:b/>
      <w:bCs/>
      <w:sz w:val="22"/>
      <w:szCs w:val="22"/>
      <w:lang w:val="x-none" w:eastAsia="x-none"/>
    </w:rPr>
  </w:style>
  <w:style w:type="paragraph" w:styleId="IntenseQuote">
    <w:name w:val="Intense Quote"/>
    <w:basedOn w:val="Normal"/>
    <w:next w:val="Normal"/>
    <w:link w:val="IntenseQuoteChar"/>
    <w:uiPriority w:val="60"/>
    <w:qFormat/>
    <w:rsid w:val="00A5658C"/>
    <w:pPr>
      <w:pBdr>
        <w:bottom w:val="single" w:sz="4" w:space="4" w:color="4F81BD"/>
      </w:pBdr>
      <w:spacing w:before="200" w:after="280"/>
      <w:ind w:left="936" w:right="936"/>
    </w:pPr>
    <w:rPr>
      <w:b/>
      <w:bCs/>
      <w:i/>
      <w:iCs/>
      <w:color w:val="0065A4"/>
    </w:rPr>
  </w:style>
  <w:style w:type="character" w:customStyle="1" w:styleId="TablenotesChar">
    <w:name w:val="Table notes Char"/>
    <w:basedOn w:val="DefaultParagraphFont"/>
    <w:link w:val="Tablenotes"/>
    <w:rsid w:val="00C836DC"/>
    <w:rPr>
      <w:rFonts w:ascii="Century Gothic" w:hAnsi="Century Gothic"/>
      <w:sz w:val="18"/>
      <w:szCs w:val="18"/>
      <w:lang w:eastAsia="en-US"/>
    </w:rPr>
  </w:style>
  <w:style w:type="character" w:customStyle="1" w:styleId="Heading5Char">
    <w:name w:val="Heading 5 Char"/>
    <w:link w:val="Heading5"/>
    <w:uiPriority w:val="9"/>
    <w:rsid w:val="00282659"/>
    <w:rPr>
      <w:rFonts w:ascii="Arial" w:eastAsia="Times New Roman" w:hAnsi="Arial"/>
      <w:b/>
      <w:bCs/>
      <w:i/>
      <w:iCs/>
      <w:sz w:val="26"/>
      <w:szCs w:val="26"/>
      <w:lang w:val="x-none"/>
    </w:rPr>
  </w:style>
  <w:style w:type="table" w:styleId="TableGrid">
    <w:name w:val="Table Grid"/>
    <w:basedOn w:val="TableNormal"/>
    <w:uiPriority w:val="59"/>
    <w:rsid w:val="007A4B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HWA">
    <w:name w:val="Table (HWA)"/>
    <w:basedOn w:val="TableNormal"/>
    <w:uiPriority w:val="99"/>
    <w:qFormat/>
    <w:rsid w:val="00083012"/>
    <w:pPr>
      <w:spacing w:before="60" w:after="60" w:line="60" w:lineRule="atLeast"/>
    </w:pPr>
    <w:rPr>
      <w:rFonts w:ascii="Century Gothic" w:hAnsi="Century Gothic"/>
      <w:sz w:val="16"/>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paragraph" w:customStyle="1" w:styleId="TableText">
    <w:name w:val="Table Text"/>
    <w:basedOn w:val="Normal"/>
    <w:uiPriority w:val="5"/>
    <w:qFormat/>
    <w:rsid w:val="001C02C9"/>
    <w:pPr>
      <w:spacing w:after="120" w:line="120" w:lineRule="atLeast"/>
    </w:pPr>
    <w:rPr>
      <w:sz w:val="18"/>
    </w:rPr>
  </w:style>
  <w:style w:type="paragraph" w:customStyle="1" w:styleId="TableHeader">
    <w:name w:val="Table Header"/>
    <w:basedOn w:val="TableText"/>
    <w:uiPriority w:val="5"/>
    <w:qFormat/>
    <w:rsid w:val="005C2435"/>
    <w:rPr>
      <w:b/>
      <w:color w:val="FFFFFF"/>
      <w:sz w:val="20"/>
    </w:rPr>
  </w:style>
  <w:style w:type="character" w:styleId="Hyperlink">
    <w:name w:val="Hyperlink"/>
    <w:uiPriority w:val="99"/>
    <w:qFormat/>
    <w:rsid w:val="002C20B4"/>
    <w:rPr>
      <w:color w:val="0000FF"/>
      <w:u w:val="single"/>
    </w:rPr>
  </w:style>
  <w:style w:type="paragraph" w:styleId="TOC1">
    <w:name w:val="toc 1"/>
    <w:basedOn w:val="Normal"/>
    <w:next w:val="Normal"/>
    <w:autoRedefine/>
    <w:uiPriority w:val="39"/>
    <w:unhideWhenUsed/>
    <w:qFormat/>
    <w:rsid w:val="003D54C2"/>
    <w:pPr>
      <w:spacing w:after="120"/>
    </w:pPr>
    <w:rPr>
      <w:rFonts w:asciiTheme="minorHAnsi" w:hAnsiTheme="minorHAnsi" w:cstheme="minorHAnsi"/>
      <w:b/>
      <w:bCs/>
      <w:caps/>
      <w:szCs w:val="20"/>
    </w:rPr>
  </w:style>
  <w:style w:type="paragraph" w:styleId="TOC2">
    <w:name w:val="toc 2"/>
    <w:basedOn w:val="Normal"/>
    <w:next w:val="Normal"/>
    <w:autoRedefine/>
    <w:uiPriority w:val="39"/>
    <w:unhideWhenUsed/>
    <w:qFormat/>
    <w:rsid w:val="00BD3035"/>
    <w:pPr>
      <w:tabs>
        <w:tab w:val="right" w:leader="dot" w:pos="9016"/>
      </w:tabs>
      <w:spacing w:before="0" w:after="0"/>
      <w:ind w:left="200"/>
    </w:pPr>
    <w:rPr>
      <w:rFonts w:asciiTheme="minorHAnsi" w:hAnsiTheme="minorHAnsi" w:cstheme="minorHAnsi"/>
      <w:smallCaps/>
      <w:szCs w:val="20"/>
    </w:rPr>
  </w:style>
  <w:style w:type="paragraph" w:styleId="Caption">
    <w:name w:val="caption"/>
    <w:basedOn w:val="Normal"/>
    <w:next w:val="Normal"/>
    <w:uiPriority w:val="35"/>
    <w:qFormat/>
    <w:rsid w:val="00C836DC"/>
    <w:pPr>
      <w:keepNext/>
      <w:spacing w:after="120"/>
    </w:pPr>
    <w:rPr>
      <w:b/>
      <w:bCs/>
      <w:szCs w:val="20"/>
    </w:rPr>
  </w:style>
  <w:style w:type="numbering" w:customStyle="1" w:styleId="Listbulleted">
    <w:name w:val="List (bulleted)"/>
    <w:basedOn w:val="NoList"/>
    <w:rsid w:val="0085118A"/>
  </w:style>
  <w:style w:type="numbering" w:customStyle="1" w:styleId="Listnumbered">
    <w:name w:val="List (numbered)"/>
    <w:basedOn w:val="NoList"/>
    <w:rsid w:val="00D922F9"/>
  </w:style>
  <w:style w:type="numbering" w:customStyle="1" w:styleId="TableListbulleted">
    <w:name w:val="Table List (bulleted)"/>
    <w:basedOn w:val="NoList"/>
    <w:uiPriority w:val="99"/>
    <w:rsid w:val="00BD504F"/>
  </w:style>
  <w:style w:type="numbering" w:customStyle="1" w:styleId="TabledListnumbered">
    <w:name w:val="Tabled List (numbered)"/>
    <w:basedOn w:val="TableListbulleted"/>
    <w:uiPriority w:val="99"/>
    <w:rsid w:val="00FE52D9"/>
  </w:style>
  <w:style w:type="paragraph" w:styleId="BalloonText">
    <w:name w:val="Balloon Text"/>
    <w:basedOn w:val="Normal"/>
    <w:link w:val="BalloonTextChar"/>
    <w:uiPriority w:val="99"/>
    <w:unhideWhenUsed/>
    <w:locked/>
    <w:rsid w:val="000C5BF1"/>
    <w:pPr>
      <w:spacing w:after="0" w:line="240" w:lineRule="auto"/>
    </w:pPr>
    <w:rPr>
      <w:rFonts w:ascii="Lucida Grande" w:hAnsi="Lucida Grande"/>
      <w:sz w:val="18"/>
      <w:szCs w:val="18"/>
      <w:lang w:val="x-none" w:eastAsia="x-none"/>
    </w:rPr>
  </w:style>
  <w:style w:type="character" w:customStyle="1" w:styleId="BalloonTextChar">
    <w:name w:val="Balloon Text Char"/>
    <w:link w:val="BalloonText"/>
    <w:uiPriority w:val="99"/>
    <w:rsid w:val="000C5BF1"/>
    <w:rPr>
      <w:rFonts w:ascii="Lucida Grande" w:hAnsi="Lucida Grande" w:cs="Lucida Grande"/>
      <w:sz w:val="18"/>
      <w:szCs w:val="18"/>
    </w:rPr>
  </w:style>
  <w:style w:type="paragraph" w:styleId="TOC3">
    <w:name w:val="toc 3"/>
    <w:basedOn w:val="Normal"/>
    <w:next w:val="Normal"/>
    <w:autoRedefine/>
    <w:uiPriority w:val="39"/>
    <w:qFormat/>
    <w:rsid w:val="002C20B4"/>
    <w:pPr>
      <w:spacing w:before="0" w:after="0"/>
      <w:ind w:left="400"/>
    </w:pPr>
    <w:rPr>
      <w:rFonts w:asciiTheme="minorHAnsi" w:hAnsiTheme="minorHAnsi" w:cstheme="minorHAnsi"/>
      <w:i/>
      <w:iCs/>
      <w:szCs w:val="20"/>
    </w:rPr>
  </w:style>
  <w:style w:type="paragraph" w:styleId="TOC4">
    <w:name w:val="toc 4"/>
    <w:basedOn w:val="Normal"/>
    <w:next w:val="Normal"/>
    <w:autoRedefine/>
    <w:uiPriority w:val="39"/>
    <w:rsid w:val="002C20B4"/>
    <w:pPr>
      <w:spacing w:before="0" w:after="0"/>
      <w:ind w:left="600"/>
    </w:pPr>
    <w:rPr>
      <w:rFonts w:asciiTheme="minorHAnsi" w:hAnsiTheme="minorHAnsi" w:cstheme="minorHAnsi"/>
      <w:sz w:val="18"/>
      <w:szCs w:val="18"/>
    </w:rPr>
  </w:style>
  <w:style w:type="paragraph" w:styleId="TOC5">
    <w:name w:val="toc 5"/>
    <w:basedOn w:val="Normal"/>
    <w:next w:val="Normal"/>
    <w:autoRedefine/>
    <w:uiPriority w:val="39"/>
    <w:rsid w:val="002C20B4"/>
    <w:pPr>
      <w:spacing w:before="0" w:after="0"/>
      <w:ind w:left="800"/>
    </w:pPr>
    <w:rPr>
      <w:rFonts w:asciiTheme="minorHAnsi" w:hAnsiTheme="minorHAnsi" w:cstheme="minorHAnsi"/>
      <w:sz w:val="18"/>
      <w:szCs w:val="18"/>
    </w:rPr>
  </w:style>
  <w:style w:type="paragraph" w:styleId="TOC6">
    <w:name w:val="toc 6"/>
    <w:basedOn w:val="Normal"/>
    <w:next w:val="Normal"/>
    <w:autoRedefine/>
    <w:uiPriority w:val="39"/>
    <w:rsid w:val="002C20B4"/>
    <w:pPr>
      <w:spacing w:before="0" w:after="0"/>
      <w:ind w:left="1000"/>
    </w:pPr>
    <w:rPr>
      <w:rFonts w:asciiTheme="minorHAnsi" w:hAnsiTheme="minorHAnsi" w:cstheme="minorHAnsi"/>
      <w:sz w:val="18"/>
      <w:szCs w:val="18"/>
    </w:rPr>
  </w:style>
  <w:style w:type="paragraph" w:styleId="TOC7">
    <w:name w:val="toc 7"/>
    <w:basedOn w:val="Normal"/>
    <w:next w:val="Normal"/>
    <w:autoRedefine/>
    <w:uiPriority w:val="39"/>
    <w:rsid w:val="002C20B4"/>
    <w:pPr>
      <w:spacing w:before="0" w:after="0"/>
      <w:ind w:left="1200"/>
    </w:pPr>
    <w:rPr>
      <w:rFonts w:asciiTheme="minorHAnsi" w:hAnsiTheme="minorHAnsi" w:cstheme="minorHAnsi"/>
      <w:sz w:val="18"/>
      <w:szCs w:val="18"/>
    </w:rPr>
  </w:style>
  <w:style w:type="paragraph" w:styleId="TOC8">
    <w:name w:val="toc 8"/>
    <w:basedOn w:val="Normal"/>
    <w:next w:val="Normal"/>
    <w:autoRedefine/>
    <w:uiPriority w:val="39"/>
    <w:rsid w:val="002C20B4"/>
    <w:pPr>
      <w:spacing w:before="0" w:after="0"/>
      <w:ind w:left="1400"/>
    </w:pPr>
    <w:rPr>
      <w:rFonts w:asciiTheme="minorHAnsi" w:hAnsiTheme="minorHAnsi" w:cstheme="minorHAnsi"/>
      <w:sz w:val="18"/>
      <w:szCs w:val="18"/>
    </w:rPr>
  </w:style>
  <w:style w:type="paragraph" w:styleId="TOC9">
    <w:name w:val="toc 9"/>
    <w:basedOn w:val="Normal"/>
    <w:next w:val="Normal"/>
    <w:autoRedefine/>
    <w:uiPriority w:val="39"/>
    <w:rsid w:val="002C20B4"/>
    <w:pPr>
      <w:spacing w:before="0" w:after="0"/>
      <w:ind w:left="1600"/>
    </w:pPr>
    <w:rPr>
      <w:rFonts w:asciiTheme="minorHAnsi" w:hAnsiTheme="minorHAnsi" w:cstheme="minorHAnsi"/>
      <w:sz w:val="18"/>
      <w:szCs w:val="18"/>
    </w:rPr>
  </w:style>
  <w:style w:type="paragraph" w:styleId="Title">
    <w:name w:val="Title"/>
    <w:basedOn w:val="Normal"/>
    <w:next w:val="Normal"/>
    <w:link w:val="TitleChar"/>
    <w:uiPriority w:val="9"/>
    <w:qFormat/>
    <w:rsid w:val="00E8105B"/>
    <w:pPr>
      <w:spacing w:before="1200" w:after="160"/>
    </w:pPr>
    <w:rPr>
      <w:b/>
      <w:color w:val="FFFFFF"/>
      <w:sz w:val="60"/>
      <w:szCs w:val="56"/>
      <w:lang w:eastAsia="en-AU"/>
    </w:rPr>
  </w:style>
  <w:style w:type="character" w:customStyle="1" w:styleId="TitleChar">
    <w:name w:val="Title Char"/>
    <w:link w:val="Title"/>
    <w:uiPriority w:val="9"/>
    <w:rsid w:val="00E8105B"/>
    <w:rPr>
      <w:rFonts w:ascii="Century Gothic" w:hAnsi="Century Gothic"/>
      <w:b/>
      <w:color w:val="FFFFFF"/>
      <w:sz w:val="60"/>
      <w:szCs w:val="56"/>
    </w:rPr>
  </w:style>
  <w:style w:type="paragraph" w:styleId="Subtitle">
    <w:name w:val="Subtitle"/>
    <w:basedOn w:val="Title"/>
    <w:next w:val="Normal"/>
    <w:link w:val="SubtitleChar"/>
    <w:uiPriority w:val="9"/>
    <w:qFormat/>
    <w:locked/>
    <w:rsid w:val="005C2435"/>
    <w:rPr>
      <w:sz w:val="28"/>
    </w:rPr>
  </w:style>
  <w:style w:type="character" w:customStyle="1" w:styleId="SubtitleChar">
    <w:name w:val="Subtitle Char"/>
    <w:link w:val="Subtitle"/>
    <w:uiPriority w:val="9"/>
    <w:rsid w:val="005C2435"/>
    <w:rPr>
      <w:rFonts w:ascii="Century Gothic" w:hAnsi="Century Gothic"/>
      <w:color w:val="FFFFFF"/>
      <w:sz w:val="28"/>
      <w:szCs w:val="56"/>
      <w:lang w:val="en-AU" w:eastAsia="en-AU"/>
    </w:rPr>
  </w:style>
  <w:style w:type="paragraph" w:customStyle="1" w:styleId="InstructionalText">
    <w:name w:val="Instructional Text"/>
    <w:basedOn w:val="Normal"/>
    <w:semiHidden/>
    <w:unhideWhenUsed/>
    <w:qFormat/>
    <w:rsid w:val="00680561"/>
    <w:pPr>
      <w:spacing w:after="120" w:line="240" w:lineRule="auto"/>
    </w:pPr>
    <w:rPr>
      <w:vanish/>
      <w:color w:val="800000"/>
      <w:szCs w:val="16"/>
    </w:rPr>
  </w:style>
  <w:style w:type="character" w:customStyle="1" w:styleId="IntenseQuoteChar">
    <w:name w:val="Intense Quote Char"/>
    <w:link w:val="IntenseQuote"/>
    <w:uiPriority w:val="60"/>
    <w:rsid w:val="00A5658C"/>
    <w:rPr>
      <w:rFonts w:ascii="Century Gothic" w:hAnsi="Century Gothic"/>
      <w:b/>
      <w:bCs/>
      <w:i/>
      <w:iCs/>
      <w:color w:val="0065A4"/>
      <w:szCs w:val="22"/>
      <w:lang w:eastAsia="en-US"/>
    </w:rPr>
  </w:style>
  <w:style w:type="character" w:styleId="IntenseEmphasis">
    <w:name w:val="Intense Emphasis"/>
    <w:uiPriority w:val="66"/>
    <w:qFormat/>
    <w:rsid w:val="00A5658C"/>
    <w:rPr>
      <w:b/>
      <w:bCs/>
      <w:i/>
      <w:iCs/>
      <w:color w:val="0065A4"/>
    </w:rPr>
  </w:style>
  <w:style w:type="paragraph" w:styleId="ListParagraph">
    <w:name w:val="List Paragraph"/>
    <w:basedOn w:val="Normal"/>
    <w:link w:val="ListParagraphChar"/>
    <w:uiPriority w:val="34"/>
    <w:qFormat/>
    <w:rsid w:val="006F1C60"/>
    <w:pPr>
      <w:spacing w:before="0" w:after="120"/>
      <w:ind w:left="720"/>
    </w:pPr>
    <w:rPr>
      <w:rFonts w:eastAsia="Times New Roman"/>
    </w:rPr>
  </w:style>
  <w:style w:type="paragraph" w:styleId="NormalWeb">
    <w:name w:val="Normal (Web)"/>
    <w:basedOn w:val="Normal"/>
    <w:uiPriority w:val="99"/>
    <w:semiHidden/>
    <w:unhideWhenUsed/>
    <w:locked/>
    <w:rsid w:val="00176820"/>
    <w:pPr>
      <w:spacing w:before="100" w:beforeAutospacing="1" w:after="100" w:afterAutospacing="1" w:line="240" w:lineRule="auto"/>
    </w:pPr>
    <w:rPr>
      <w:rFonts w:ascii="Times New Roman" w:eastAsia="Times New Roman" w:hAnsi="Times New Roman"/>
      <w:sz w:val="24"/>
      <w:szCs w:val="24"/>
      <w:lang w:eastAsia="en-AU"/>
    </w:rPr>
  </w:style>
  <w:style w:type="character" w:styleId="CommentReference">
    <w:name w:val="annotation reference"/>
    <w:basedOn w:val="DefaultParagraphFont"/>
    <w:uiPriority w:val="99"/>
    <w:unhideWhenUsed/>
    <w:locked/>
    <w:rsid w:val="00176820"/>
    <w:rPr>
      <w:rFonts w:cs="Times New Roman"/>
      <w:sz w:val="16"/>
      <w:szCs w:val="16"/>
    </w:rPr>
  </w:style>
  <w:style w:type="paragraph" w:styleId="Revision">
    <w:name w:val="Revision"/>
    <w:hidden/>
    <w:uiPriority w:val="99"/>
    <w:rsid w:val="00176820"/>
    <w:rPr>
      <w:rFonts w:asciiTheme="minorHAnsi" w:eastAsia="Times New Roman" w:hAnsiTheme="minorHAnsi"/>
      <w:sz w:val="22"/>
      <w:szCs w:val="22"/>
      <w:lang w:eastAsia="en-US"/>
    </w:rPr>
  </w:style>
  <w:style w:type="paragraph" w:styleId="TOCHeading">
    <w:name w:val="TOC Heading"/>
    <w:basedOn w:val="Heading1"/>
    <w:next w:val="Normal"/>
    <w:uiPriority w:val="39"/>
    <w:unhideWhenUsed/>
    <w:qFormat/>
    <w:rsid w:val="00176820"/>
    <w:pPr>
      <w:keepLines/>
      <w:pageBreakBefore w:val="0"/>
      <w:spacing w:before="480" w:after="0" w:line="276" w:lineRule="auto"/>
      <w:outlineLvl w:val="9"/>
    </w:pPr>
    <w:rPr>
      <w:rFonts w:asciiTheme="majorHAnsi" w:eastAsiaTheme="majorEastAsia" w:hAnsiTheme="majorHAnsi" w:cstheme="majorBidi"/>
      <w:b/>
      <w:color w:val="365F91" w:themeColor="accent1" w:themeShade="BF"/>
      <w:kern w:val="0"/>
      <w:sz w:val="28"/>
      <w:szCs w:val="28"/>
      <w:lang w:val="en-US" w:eastAsia="ja-JP"/>
    </w:rPr>
  </w:style>
  <w:style w:type="table" w:customStyle="1" w:styleId="TableGrid1">
    <w:name w:val="Table Grid1"/>
    <w:basedOn w:val="TableNormal"/>
    <w:next w:val="TableGrid"/>
    <w:uiPriority w:val="59"/>
    <w:rsid w:val="00E5422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E5422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E5422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745030"/>
    <w:rPr>
      <w:color w:val="800080" w:themeColor="followedHyperlink"/>
      <w:u w:val="single"/>
    </w:rPr>
  </w:style>
  <w:style w:type="numbering" w:customStyle="1" w:styleId="NoList1">
    <w:name w:val="No List1"/>
    <w:next w:val="NoList"/>
    <w:uiPriority w:val="99"/>
    <w:semiHidden/>
    <w:unhideWhenUsed/>
    <w:rsid w:val="00EF0AF9"/>
  </w:style>
  <w:style w:type="table" w:customStyle="1" w:styleId="TableGrid4">
    <w:name w:val="Table Grid4"/>
    <w:basedOn w:val="TableNormal"/>
    <w:next w:val="TableGrid"/>
    <w:uiPriority w:val="59"/>
    <w:rsid w:val="00EF0A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EF0AF9"/>
  </w:style>
  <w:style w:type="table" w:customStyle="1" w:styleId="TableGrid11">
    <w:name w:val="Table Grid11"/>
    <w:basedOn w:val="TableNormal"/>
    <w:next w:val="TableGrid"/>
    <w:uiPriority w:val="59"/>
    <w:rsid w:val="00EF0A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bulleted1">
    <w:name w:val="List (bulleted)1"/>
    <w:basedOn w:val="NoList"/>
    <w:rsid w:val="00EF0AF9"/>
  </w:style>
  <w:style w:type="numbering" w:customStyle="1" w:styleId="Listnumbered1">
    <w:name w:val="List (numbered)1"/>
    <w:basedOn w:val="NoList"/>
    <w:rsid w:val="00EF0AF9"/>
  </w:style>
  <w:style w:type="numbering" w:customStyle="1" w:styleId="TableListbulleted1">
    <w:name w:val="Table List (bulleted)1"/>
    <w:basedOn w:val="NoList"/>
    <w:uiPriority w:val="99"/>
    <w:rsid w:val="00EF0AF9"/>
  </w:style>
  <w:style w:type="numbering" w:customStyle="1" w:styleId="TabledListnumbered1">
    <w:name w:val="Tabled List (numbered)1"/>
    <w:basedOn w:val="TableListbulleted"/>
    <w:uiPriority w:val="99"/>
    <w:rsid w:val="00EF0AF9"/>
  </w:style>
  <w:style w:type="table" w:customStyle="1" w:styleId="TableGrid111">
    <w:name w:val="Table Grid111"/>
    <w:basedOn w:val="TableNormal"/>
    <w:next w:val="TableGrid"/>
    <w:uiPriority w:val="59"/>
    <w:rsid w:val="00EF0A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0E65F5"/>
  </w:style>
  <w:style w:type="table" w:customStyle="1" w:styleId="TableGrid5">
    <w:name w:val="Table Grid5"/>
    <w:basedOn w:val="TableNormal"/>
    <w:next w:val="TableGrid"/>
    <w:uiPriority w:val="59"/>
    <w:rsid w:val="000E65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HWA1">
    <w:name w:val="Table (HWA)1"/>
    <w:basedOn w:val="TableNormal"/>
    <w:uiPriority w:val="99"/>
    <w:qFormat/>
    <w:rsid w:val="000E65F5"/>
    <w:pPr>
      <w:spacing w:before="60" w:after="60" w:line="60" w:lineRule="atLeast"/>
    </w:pPr>
    <w:rPr>
      <w:rFonts w:ascii="Century Gothic" w:hAnsi="Century Gothic"/>
      <w:sz w:val="16"/>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table" w:customStyle="1" w:styleId="TableGrid12">
    <w:name w:val="Table Grid12"/>
    <w:basedOn w:val="TableNormal"/>
    <w:next w:val="TableGrid"/>
    <w:uiPriority w:val="59"/>
    <w:rsid w:val="000E65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59"/>
    <w:rsid w:val="000E65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0E65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igureSourcefootnotes">
    <w:name w:val="Figure: Source &amp; footnotes"/>
    <w:basedOn w:val="Normal"/>
    <w:next w:val="Normal"/>
    <w:uiPriority w:val="5"/>
    <w:rsid w:val="00BE46BC"/>
    <w:pPr>
      <w:keepLines/>
      <w:tabs>
        <w:tab w:val="left" w:pos="397"/>
      </w:tabs>
      <w:spacing w:after="120" w:line="180" w:lineRule="atLeast"/>
    </w:pPr>
    <w:rPr>
      <w:rFonts w:ascii="Arial" w:eastAsia="Times New Roman" w:hAnsi="Arial"/>
      <w:sz w:val="14"/>
      <w:szCs w:val="20"/>
    </w:rPr>
  </w:style>
  <w:style w:type="character" w:styleId="Emphasis">
    <w:name w:val="Emphasis"/>
    <w:basedOn w:val="DefaultParagraphFont"/>
    <w:uiPriority w:val="20"/>
    <w:qFormat/>
    <w:locked/>
    <w:rsid w:val="009C0B6A"/>
    <w:rPr>
      <w:i/>
      <w:iCs/>
    </w:rPr>
  </w:style>
  <w:style w:type="paragraph" w:styleId="FootnoteText">
    <w:name w:val="footnote text"/>
    <w:basedOn w:val="Normal"/>
    <w:link w:val="FootnoteTextChar"/>
    <w:unhideWhenUsed/>
    <w:qFormat/>
    <w:rsid w:val="006E1646"/>
    <w:rPr>
      <w:rFonts w:ascii="Arial" w:hAnsi="Arial"/>
      <w:szCs w:val="20"/>
      <w:lang w:val="x-none"/>
    </w:rPr>
  </w:style>
  <w:style w:type="character" w:customStyle="1" w:styleId="FootnoteTextChar">
    <w:name w:val="Footnote Text Char"/>
    <w:basedOn w:val="DefaultParagraphFont"/>
    <w:link w:val="FootnoteText"/>
    <w:rsid w:val="006E1646"/>
    <w:rPr>
      <w:rFonts w:ascii="Arial" w:hAnsi="Arial"/>
      <w:lang w:val="x-none" w:eastAsia="en-US"/>
    </w:rPr>
  </w:style>
  <w:style w:type="character" w:styleId="FootnoteReference">
    <w:name w:val="footnote reference"/>
    <w:uiPriority w:val="99"/>
    <w:unhideWhenUsed/>
    <w:rsid w:val="006E1646"/>
    <w:rPr>
      <w:vertAlign w:val="superscript"/>
    </w:rPr>
  </w:style>
  <w:style w:type="table" w:styleId="ColorfulGrid-Accent1">
    <w:name w:val="Colorful Grid Accent 1"/>
    <w:basedOn w:val="TableNormal"/>
    <w:uiPriority w:val="29"/>
    <w:qFormat/>
    <w:rsid w:val="00065F0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EndnoteText">
    <w:name w:val="endnote text"/>
    <w:basedOn w:val="Normal"/>
    <w:link w:val="EndnoteTextChar"/>
    <w:uiPriority w:val="99"/>
    <w:unhideWhenUsed/>
    <w:locked/>
    <w:rsid w:val="009416C0"/>
    <w:pPr>
      <w:spacing w:after="0" w:line="240" w:lineRule="auto"/>
    </w:pPr>
    <w:rPr>
      <w:rFonts w:eastAsiaTheme="minorHAnsi" w:cstheme="minorBidi"/>
      <w:szCs w:val="20"/>
    </w:rPr>
  </w:style>
  <w:style w:type="character" w:customStyle="1" w:styleId="EndnoteTextChar">
    <w:name w:val="Endnote Text Char"/>
    <w:basedOn w:val="DefaultParagraphFont"/>
    <w:link w:val="EndnoteText"/>
    <w:uiPriority w:val="99"/>
    <w:rsid w:val="009416C0"/>
    <w:rPr>
      <w:rFonts w:ascii="Century Gothic" w:eastAsiaTheme="minorHAnsi" w:hAnsi="Century Gothic" w:cstheme="minorBidi"/>
      <w:lang w:eastAsia="en-US"/>
    </w:rPr>
  </w:style>
  <w:style w:type="character" w:styleId="EndnoteReference">
    <w:name w:val="endnote reference"/>
    <w:basedOn w:val="DefaultParagraphFont"/>
    <w:unhideWhenUsed/>
    <w:locked/>
    <w:rsid w:val="00A90656"/>
    <w:rPr>
      <w:rFonts w:ascii="Century Gothic" w:hAnsi="Century Gothic"/>
      <w:vertAlign w:val="superscript"/>
    </w:rPr>
  </w:style>
  <w:style w:type="character" w:styleId="Strong">
    <w:name w:val="Strong"/>
    <w:basedOn w:val="DefaultParagraphFont"/>
    <w:uiPriority w:val="99"/>
    <w:qFormat/>
    <w:locked/>
    <w:rsid w:val="00EA585E"/>
    <w:rPr>
      <w:b/>
      <w:bCs/>
    </w:rPr>
  </w:style>
  <w:style w:type="table" w:styleId="LightShading-Accent5">
    <w:name w:val="Light Shading Accent 5"/>
    <w:basedOn w:val="TableNormal"/>
    <w:uiPriority w:val="60"/>
    <w:rsid w:val="00EA585E"/>
    <w:rPr>
      <w:rFonts w:asciiTheme="minorHAnsi" w:eastAsiaTheme="minorHAnsi" w:hAnsiTheme="minorHAnsi" w:cstheme="minorBidi"/>
      <w:color w:val="31849B" w:themeColor="accent5" w:themeShade="BF"/>
      <w:sz w:val="22"/>
      <w:szCs w:val="22"/>
      <w:lang w:eastAsia="en-US"/>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List-Accent1">
    <w:name w:val="Light List Accent 1"/>
    <w:basedOn w:val="TableNormal"/>
    <w:uiPriority w:val="61"/>
    <w:rsid w:val="00EA585E"/>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EA585E"/>
    <w:rPr>
      <w:rFonts w:asciiTheme="minorHAnsi" w:eastAsiaTheme="minorHAnsi" w:hAnsiTheme="minorHAnsi" w:cstheme="minorBidi"/>
      <w:sz w:val="22"/>
      <w:szCs w:val="22"/>
      <w:lang w:eastAsia="en-US"/>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ColorfulGrid-Accent11">
    <w:name w:val="Colorful Grid - Accent 11"/>
    <w:basedOn w:val="TableNormal"/>
    <w:next w:val="ColorfulGrid-Accent1"/>
    <w:uiPriority w:val="29"/>
    <w:qFormat/>
    <w:rsid w:val="00EA585E"/>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
    <w:name w:val="Colorful Grid - Accent 12"/>
    <w:basedOn w:val="TableNormal"/>
    <w:next w:val="ColorfulGrid-Accent1"/>
    <w:uiPriority w:val="29"/>
    <w:qFormat/>
    <w:rsid w:val="00EA585E"/>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NoSpacing">
    <w:name w:val="No Spacing"/>
    <w:uiPriority w:val="1"/>
    <w:qFormat/>
    <w:rsid w:val="00784454"/>
    <w:rPr>
      <w:rFonts w:ascii="Arial" w:hAnsi="Arial"/>
      <w:sz w:val="2"/>
      <w:szCs w:val="22"/>
      <w:lang w:eastAsia="en-US"/>
    </w:rPr>
  </w:style>
  <w:style w:type="table" w:customStyle="1" w:styleId="TableGrid41">
    <w:name w:val="Table Grid41"/>
    <w:basedOn w:val="TableNormal"/>
    <w:next w:val="TableGrid"/>
    <w:uiPriority w:val="59"/>
    <w:rsid w:val="00766FB2"/>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ableofFigures">
    <w:name w:val="table of figures"/>
    <w:basedOn w:val="Normal"/>
    <w:next w:val="Normal"/>
    <w:uiPriority w:val="99"/>
    <w:unhideWhenUsed/>
    <w:locked/>
    <w:rsid w:val="00766FB2"/>
    <w:pPr>
      <w:spacing w:after="0"/>
    </w:pPr>
  </w:style>
  <w:style w:type="numbering" w:customStyle="1" w:styleId="Listnumbered2">
    <w:name w:val="List (numbered)2"/>
    <w:basedOn w:val="NoList"/>
    <w:rsid w:val="00766FB2"/>
  </w:style>
  <w:style w:type="numbering" w:customStyle="1" w:styleId="TabledListnumbered2">
    <w:name w:val="Tabled List (numbered)2"/>
    <w:basedOn w:val="TableListbulleted"/>
    <w:uiPriority w:val="99"/>
    <w:rsid w:val="00766FB2"/>
  </w:style>
  <w:style w:type="numbering" w:customStyle="1" w:styleId="TabledListnumbered11">
    <w:name w:val="Tabled List (numbered)11"/>
    <w:basedOn w:val="TableListbulleted"/>
    <w:uiPriority w:val="99"/>
    <w:rsid w:val="00766FB2"/>
  </w:style>
  <w:style w:type="table" w:customStyle="1" w:styleId="ColorfulGrid-Accent111">
    <w:name w:val="Colorful Grid - Accent 111"/>
    <w:basedOn w:val="TableNormal"/>
    <w:next w:val="ColorfulGrid-Accent1"/>
    <w:uiPriority w:val="29"/>
    <w:qFormat/>
    <w:rsid w:val="00766FB2"/>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1">
    <w:name w:val="Colorful Grid - Accent 121"/>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2">
    <w:name w:val="Colorful Grid - Accent 122"/>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3">
    <w:name w:val="Colorful Grid - Accent 123"/>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4">
    <w:name w:val="Colorful Grid - Accent 124"/>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5">
    <w:name w:val="Colorful Grid - Accent 125"/>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12">
    <w:name w:val="Colorful Grid - Accent 112"/>
    <w:basedOn w:val="TableNormal"/>
    <w:next w:val="ColorfulGrid-Accent1"/>
    <w:uiPriority w:val="29"/>
    <w:qFormat/>
    <w:rsid w:val="00766FB2"/>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13">
    <w:name w:val="Colorful Grid - Accent 113"/>
    <w:basedOn w:val="TableNormal"/>
    <w:next w:val="ColorfulGrid-Accent1"/>
    <w:uiPriority w:val="29"/>
    <w:qFormat/>
    <w:rsid w:val="00766FB2"/>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numbering" w:customStyle="1" w:styleId="NoList3">
    <w:name w:val="No List3"/>
    <w:next w:val="NoList"/>
    <w:uiPriority w:val="99"/>
    <w:semiHidden/>
    <w:unhideWhenUsed/>
    <w:rsid w:val="00766FB2"/>
  </w:style>
  <w:style w:type="numbering" w:customStyle="1" w:styleId="Listbulleted2">
    <w:name w:val="List (bulleted)2"/>
    <w:basedOn w:val="NoList"/>
    <w:rsid w:val="00766FB2"/>
    <w:pPr>
      <w:numPr>
        <w:numId w:val="1"/>
      </w:numPr>
    </w:pPr>
  </w:style>
  <w:style w:type="numbering" w:customStyle="1" w:styleId="Listnumbered21">
    <w:name w:val="List (numbered)21"/>
    <w:basedOn w:val="NoList"/>
    <w:rsid w:val="00766FB2"/>
    <w:pPr>
      <w:numPr>
        <w:numId w:val="2"/>
      </w:numPr>
    </w:pPr>
  </w:style>
  <w:style w:type="numbering" w:customStyle="1" w:styleId="TableListbulleted2">
    <w:name w:val="Table List (bulleted)2"/>
    <w:basedOn w:val="NoList"/>
    <w:uiPriority w:val="99"/>
    <w:rsid w:val="00766FB2"/>
    <w:pPr>
      <w:numPr>
        <w:numId w:val="3"/>
      </w:numPr>
    </w:pPr>
  </w:style>
  <w:style w:type="numbering" w:customStyle="1" w:styleId="TabledListnumbered21">
    <w:name w:val="Tabled List (numbered)21"/>
    <w:basedOn w:val="TableListbulleted"/>
    <w:uiPriority w:val="99"/>
    <w:rsid w:val="00766FB2"/>
  </w:style>
  <w:style w:type="table" w:customStyle="1" w:styleId="LightList-Accent11">
    <w:name w:val="Light List - Accent 11"/>
    <w:basedOn w:val="TableNormal"/>
    <w:uiPriority w:val="61"/>
    <w:rsid w:val="00766FB2"/>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MTRP16">
    <w:name w:val="MTRP16"/>
    <w:basedOn w:val="TableNormal"/>
    <w:uiPriority w:val="99"/>
    <w:rsid w:val="00766FB2"/>
    <w:rPr>
      <w:rFonts w:asciiTheme="minorHAnsi" w:eastAsiaTheme="minorEastAsia" w:hAnsiTheme="minorHAnsi" w:cstheme="minorBidi"/>
      <w:sz w:val="22"/>
      <w:szCs w:val="22"/>
    </w:rPr>
    <w:tblPr>
      <w:tblInd w:w="0" w:type="dxa"/>
      <w:tblBorders>
        <w:bottom w:val="single" w:sz="8" w:space="0" w:color="7030A0"/>
        <w:insideH w:val="single" w:sz="8" w:space="0" w:color="7030A0"/>
      </w:tblBorders>
      <w:tblCellMar>
        <w:top w:w="0" w:type="dxa"/>
        <w:left w:w="108" w:type="dxa"/>
        <w:bottom w:w="0" w:type="dxa"/>
        <w:right w:w="108" w:type="dxa"/>
      </w:tblCellMar>
    </w:tblPr>
    <w:tcPr>
      <w:vAlign w:val="center"/>
    </w:tcPr>
    <w:tblStylePr w:type="firstRow">
      <w:pPr>
        <w:jc w:val="right"/>
      </w:pPr>
      <w:rPr>
        <w:rFonts w:ascii="Arial" w:hAnsi="Arial"/>
        <w:sz w:val="16"/>
      </w:rPr>
      <w:tblPr/>
      <w:tcPr>
        <w:tcBorders>
          <w:top w:val="nil"/>
          <w:left w:val="nil"/>
          <w:bottom w:val="single" w:sz="12" w:space="0" w:color="7030A0"/>
          <w:right w:val="nil"/>
          <w:insideH w:val="nil"/>
          <w:insideV w:val="nil"/>
          <w:tl2br w:val="nil"/>
          <w:tr2bl w:val="nil"/>
        </w:tcBorders>
      </w:tcPr>
    </w:tblStylePr>
    <w:tblStylePr w:type="lastRow">
      <w:tblPr/>
      <w:tcPr>
        <w:tcBorders>
          <w:bottom w:val="single" w:sz="12" w:space="0" w:color="7030A0"/>
        </w:tcBorders>
      </w:tcPr>
    </w:tblStylePr>
    <w:tblStylePr w:type="firstCol">
      <w:pPr>
        <w:jc w:val="left"/>
      </w:pPr>
      <w:tblPr/>
      <w:tcPr>
        <w:tcBorders>
          <w:bottom w:val="nil"/>
        </w:tcBorders>
        <w:vAlign w:val="bottom"/>
      </w:tcPr>
    </w:tblStylePr>
  </w:style>
  <w:style w:type="numbering" w:customStyle="1" w:styleId="TabledListnumbered22">
    <w:name w:val="Tabled List (numbered)22"/>
    <w:basedOn w:val="TableListbulleted"/>
    <w:uiPriority w:val="99"/>
    <w:rsid w:val="00730483"/>
    <w:pPr>
      <w:numPr>
        <w:numId w:val="4"/>
      </w:numPr>
    </w:pPr>
  </w:style>
  <w:style w:type="table" w:customStyle="1" w:styleId="ColorfulGrid-Accent13">
    <w:name w:val="Colorful Grid - Accent 13"/>
    <w:basedOn w:val="TableNormal"/>
    <w:next w:val="ColorfulGrid-Accent1"/>
    <w:uiPriority w:val="29"/>
    <w:qFormat/>
    <w:rsid w:val="00324AD9"/>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4">
    <w:name w:val="Colorful Grid - Accent 14"/>
    <w:basedOn w:val="TableNormal"/>
    <w:next w:val="ColorfulGrid-Accent1"/>
    <w:uiPriority w:val="29"/>
    <w:qFormat/>
    <w:rsid w:val="00324AD9"/>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6">
    <w:name w:val="Colorful Grid - Accent 126"/>
    <w:basedOn w:val="TableNormal"/>
    <w:next w:val="ColorfulGrid-Accent1"/>
    <w:uiPriority w:val="29"/>
    <w:qFormat/>
    <w:rsid w:val="00324AD9"/>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DocumentMap">
    <w:name w:val="Document Map"/>
    <w:basedOn w:val="Normal"/>
    <w:link w:val="DocumentMapChar"/>
    <w:uiPriority w:val="99"/>
    <w:semiHidden/>
    <w:unhideWhenUsed/>
    <w:locked/>
    <w:rsid w:val="00223535"/>
    <w:pPr>
      <w:spacing w:before="0"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23535"/>
    <w:rPr>
      <w:rFonts w:ascii="Lucida Grande" w:hAnsi="Lucida Grande" w:cs="Lucida Grande"/>
      <w:sz w:val="24"/>
      <w:szCs w:val="24"/>
      <w:lang w:eastAsia="en-US"/>
    </w:rPr>
  </w:style>
  <w:style w:type="character" w:customStyle="1" w:styleId="ListParagraphChar">
    <w:name w:val="List Paragraph Char"/>
    <w:basedOn w:val="DefaultParagraphFont"/>
    <w:link w:val="ListParagraph"/>
    <w:uiPriority w:val="34"/>
    <w:locked/>
    <w:rsid w:val="006F1C60"/>
    <w:rPr>
      <w:rFonts w:ascii="Century Gothic" w:eastAsia="Times New Roman" w:hAnsi="Century Gothic"/>
      <w:szCs w:val="22"/>
      <w:lang w:eastAsia="en-US"/>
    </w:rPr>
  </w:style>
  <w:style w:type="paragraph" w:customStyle="1" w:styleId="Tablebullet">
    <w:name w:val="Table bullet"/>
    <w:basedOn w:val="TableText"/>
    <w:qFormat/>
    <w:rsid w:val="00A72648"/>
    <w:pPr>
      <w:numPr>
        <w:numId w:val="50"/>
      </w:numPr>
      <w:ind w:left="317" w:hanging="283"/>
    </w:pPr>
    <w:rPr>
      <w:lang w:eastAsia="en-AU"/>
    </w:rPr>
  </w:style>
  <w:style w:type="paragraph" w:styleId="CommentText">
    <w:name w:val="annotation text"/>
    <w:basedOn w:val="Normal"/>
    <w:link w:val="CommentTextChar"/>
    <w:uiPriority w:val="99"/>
    <w:semiHidden/>
    <w:unhideWhenUsed/>
    <w:lock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Century Gothic" w:hAnsi="Century Gothic"/>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semiHidden="0" w:uiPriority="2" w:unhideWhenUsed="0" w:qFormat="1"/>
    <w:lsdException w:name="heading 3" w:semiHidden="0" w:uiPriority="2" w:unhideWhenUsed="0" w:qFormat="1"/>
    <w:lsdException w:name="heading 4" w:semiHidden="0" w:uiPriority="2"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locked="1"/>
    <w:lsdException w:name="footnote text" w:uiPriority="0" w:qFormat="1"/>
    <w:lsdException w:name="annotation text" w:locked="1"/>
    <w:lsdException w:name="header" w:uiPriority="9"/>
    <w:lsdException w:name="caption" w:semiHidden="0" w:uiPriority="35" w:unhideWhenUsed="0" w:qFormat="1"/>
    <w:lsdException w:name="table of figures" w:locked="1"/>
    <w:lsdException w:name="envelope address" w:locked="1"/>
    <w:lsdException w:name="envelope return" w:locked="1"/>
    <w:lsdException w:name="annotation reference" w:locked="1"/>
    <w:lsdException w:name="page number" w:uiPriority="9"/>
    <w:lsdException w:name="endnote reference" w:locked="1" w:uiPriority="0"/>
    <w:lsdException w:name="endnote text" w:locked="1"/>
    <w:lsdException w:name="table of authorities" w:locked="1"/>
    <w:lsdException w:name="macro"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9" w:unhideWhenUsed="0" w:qFormat="1"/>
    <w:lsdException w:name="Closing" w:locked="1"/>
    <w:lsdException w:name="Signature" w:locked="1"/>
    <w:lsdException w:name="Default Paragraph Font" w:uiPriority="1"/>
    <w:lsdException w:name="Body Text" w:semiHidden="0" w:uiPriority="1" w:unhideWhenUsed="0"/>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semiHidden="0" w:uiPriority="9" w:unhideWhenUsed="0" w:qFormat="1"/>
    <w:lsdException w:name="Salutation" w:locked="1"/>
    <w:lsdException w:name="Date" w:locked="1"/>
    <w:lsdException w:name="Body Text First Indent" w:locked="1"/>
    <w:lsdException w:name="Body Text First Indent 2" w:locked="1"/>
    <w:lsdException w:name="Body Text 2" w:locked="1"/>
    <w:lsdException w:name="Body Text 3" w:locked="1"/>
    <w:lsdException w:name="Body Text Indent 2" w:locked="1"/>
    <w:lsdException w:name="Body Text Indent 3" w:locked="1"/>
    <w:lsdException w:name="Block Text" w:locked="1"/>
    <w:lsdException w:name="Hyperlink" w:qFormat="1"/>
    <w:lsdException w:name="Strong" w:locked="1" w:semiHidden="0" w:unhideWhenUsed="0" w:qFormat="1"/>
    <w:lsdException w:name="Emphasis" w:locked="1" w:semiHidden="0" w:uiPriority="20" w:unhideWhenUsed="0"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59" w:unhideWhenUsed="0"/>
    <w:lsdException w:name="Table Theme" w:locked="1"/>
    <w:lsdException w:name="No Spacing" w:semiHidden="0" w:uiPriority="1"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1"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1"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0"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E8105B"/>
    <w:pPr>
      <w:spacing w:before="120" w:after="240" w:line="276" w:lineRule="auto"/>
    </w:pPr>
    <w:rPr>
      <w:rFonts w:ascii="Century Gothic" w:hAnsi="Century Gothic"/>
      <w:sz w:val="22"/>
      <w:szCs w:val="22"/>
      <w:lang w:eastAsia="en-US"/>
    </w:rPr>
  </w:style>
  <w:style w:type="paragraph" w:styleId="Heading1">
    <w:name w:val="heading 1"/>
    <w:basedOn w:val="Normal"/>
    <w:next w:val="Normal"/>
    <w:link w:val="Heading1Char"/>
    <w:autoRedefine/>
    <w:uiPriority w:val="2"/>
    <w:qFormat/>
    <w:rsid w:val="00BD3035"/>
    <w:pPr>
      <w:keepNext/>
      <w:pageBreakBefore/>
      <w:spacing w:after="360" w:line="240" w:lineRule="atLeast"/>
      <w:outlineLvl w:val="0"/>
    </w:pPr>
    <w:rPr>
      <w:bCs/>
      <w:color w:val="0070C0"/>
      <w:kern w:val="32"/>
      <w:sz w:val="44"/>
      <w:szCs w:val="36"/>
      <w:lang w:eastAsia="x-none"/>
    </w:rPr>
  </w:style>
  <w:style w:type="paragraph" w:styleId="Heading2">
    <w:name w:val="heading 2"/>
    <w:basedOn w:val="Heading1"/>
    <w:next w:val="Normal"/>
    <w:link w:val="Heading2Char"/>
    <w:autoRedefine/>
    <w:uiPriority w:val="2"/>
    <w:qFormat/>
    <w:rsid w:val="0061771D"/>
    <w:pPr>
      <w:pageBreakBefore w:val="0"/>
      <w:spacing w:before="240" w:after="120" w:line="276" w:lineRule="auto"/>
      <w:outlineLvl w:val="1"/>
    </w:pPr>
    <w:rPr>
      <w:rFonts w:eastAsia="Times New Roman"/>
      <w:b/>
      <w:bCs w:val="0"/>
      <w:iCs/>
      <w:color w:val="0065A4"/>
      <w:sz w:val="24"/>
      <w:szCs w:val="24"/>
    </w:rPr>
  </w:style>
  <w:style w:type="paragraph" w:styleId="Heading3">
    <w:name w:val="heading 3"/>
    <w:basedOn w:val="Heading1"/>
    <w:next w:val="Normal"/>
    <w:link w:val="Heading3Char"/>
    <w:uiPriority w:val="2"/>
    <w:qFormat/>
    <w:rsid w:val="00BD3035"/>
    <w:pPr>
      <w:pageBreakBefore w:val="0"/>
      <w:spacing w:before="240" w:after="240"/>
      <w:outlineLvl w:val="2"/>
    </w:pPr>
    <w:rPr>
      <w:rFonts w:eastAsia="Times New Roman"/>
      <w:bCs w:val="0"/>
      <w:sz w:val="24"/>
      <w:szCs w:val="26"/>
      <w:lang w:val="x-none"/>
    </w:rPr>
  </w:style>
  <w:style w:type="paragraph" w:styleId="Heading4">
    <w:name w:val="heading 4"/>
    <w:basedOn w:val="Normal"/>
    <w:next w:val="Normal"/>
    <w:link w:val="Heading4Char"/>
    <w:autoRedefine/>
    <w:uiPriority w:val="2"/>
    <w:qFormat/>
    <w:rsid w:val="00BD3035"/>
    <w:pPr>
      <w:keepNext/>
      <w:spacing w:before="240" w:after="60"/>
      <w:outlineLvl w:val="3"/>
    </w:pPr>
    <w:rPr>
      <w:rFonts w:eastAsiaTheme="majorEastAsia"/>
      <w:b/>
      <w:bCs/>
      <w:lang w:val="x-none" w:eastAsia="x-none"/>
    </w:rPr>
  </w:style>
  <w:style w:type="paragraph" w:styleId="Heading5">
    <w:name w:val="heading 5"/>
    <w:basedOn w:val="Normal"/>
    <w:next w:val="Normal"/>
    <w:link w:val="Heading5Char"/>
    <w:uiPriority w:val="9"/>
    <w:qFormat/>
    <w:rsid w:val="00565485"/>
    <w:pPr>
      <w:spacing w:before="240" w:after="60"/>
      <w:outlineLvl w:val="4"/>
    </w:pPr>
    <w:rPr>
      <w:rFonts w:ascii="Arial" w:eastAsia="Times New Roman" w:hAnsi="Arial"/>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2"/>
    <w:rsid w:val="00BD3035"/>
    <w:rPr>
      <w:rFonts w:ascii="Century Gothic" w:hAnsi="Century Gothic"/>
      <w:bCs/>
      <w:color w:val="0070C0"/>
      <w:kern w:val="32"/>
      <w:sz w:val="44"/>
      <w:szCs w:val="36"/>
      <w:lang w:eastAsia="x-none"/>
    </w:rPr>
  </w:style>
  <w:style w:type="paragraph" w:styleId="Header">
    <w:name w:val="header"/>
    <w:basedOn w:val="Normal"/>
    <w:link w:val="HeaderChar"/>
    <w:uiPriority w:val="9"/>
    <w:rsid w:val="0095780B"/>
    <w:pPr>
      <w:tabs>
        <w:tab w:val="center" w:pos="4513"/>
        <w:tab w:val="right" w:pos="9026"/>
      </w:tabs>
      <w:spacing w:after="60" w:line="240" w:lineRule="auto"/>
      <w:jc w:val="right"/>
    </w:pPr>
    <w:rPr>
      <w:sz w:val="18"/>
      <w:lang w:val="x-none" w:eastAsia="x-none"/>
    </w:rPr>
  </w:style>
  <w:style w:type="character" w:customStyle="1" w:styleId="HeaderChar">
    <w:name w:val="Header Char"/>
    <w:link w:val="Header"/>
    <w:uiPriority w:val="9"/>
    <w:rsid w:val="0095780B"/>
    <w:rPr>
      <w:rFonts w:ascii="Century Gothic" w:hAnsi="Century Gothic"/>
      <w:sz w:val="18"/>
      <w:szCs w:val="22"/>
      <w:lang w:val="x-none"/>
    </w:rPr>
  </w:style>
  <w:style w:type="paragraph" w:styleId="Footer">
    <w:name w:val="footer"/>
    <w:basedOn w:val="Normal"/>
    <w:link w:val="FooterChar"/>
    <w:uiPriority w:val="99"/>
    <w:rsid w:val="0095780B"/>
    <w:pPr>
      <w:tabs>
        <w:tab w:val="center" w:pos="4513"/>
        <w:tab w:val="right" w:pos="9026"/>
      </w:tabs>
    </w:pPr>
    <w:rPr>
      <w:sz w:val="16"/>
      <w:lang w:val="x-none" w:eastAsia="x-none"/>
    </w:rPr>
  </w:style>
  <w:style w:type="character" w:customStyle="1" w:styleId="FooterChar">
    <w:name w:val="Footer Char"/>
    <w:link w:val="Footer"/>
    <w:uiPriority w:val="99"/>
    <w:rsid w:val="0095780B"/>
    <w:rPr>
      <w:rFonts w:ascii="Century Gothic" w:hAnsi="Century Gothic"/>
      <w:sz w:val="16"/>
      <w:szCs w:val="22"/>
      <w:lang w:val="x-none"/>
    </w:rPr>
  </w:style>
  <w:style w:type="paragraph" w:customStyle="1" w:styleId="Tablenotes">
    <w:name w:val="Table notes"/>
    <w:basedOn w:val="Normal"/>
    <w:link w:val="TablenotesChar"/>
    <w:qFormat/>
    <w:rsid w:val="00C836DC"/>
    <w:rPr>
      <w:sz w:val="18"/>
      <w:szCs w:val="18"/>
    </w:rPr>
  </w:style>
  <w:style w:type="character" w:styleId="PageNumber">
    <w:name w:val="page number"/>
    <w:uiPriority w:val="9"/>
    <w:rsid w:val="005C2435"/>
    <w:rPr>
      <w:rFonts w:ascii="Century Gothic" w:hAnsi="Century Gothic"/>
      <w:color w:val="0079C1"/>
      <w:sz w:val="22"/>
    </w:rPr>
  </w:style>
  <w:style w:type="character" w:customStyle="1" w:styleId="Heading2Char">
    <w:name w:val="Heading 2 Char"/>
    <w:link w:val="Heading2"/>
    <w:uiPriority w:val="2"/>
    <w:rsid w:val="0061771D"/>
    <w:rPr>
      <w:rFonts w:ascii="Century Gothic" w:eastAsia="Times New Roman" w:hAnsi="Century Gothic"/>
      <w:b/>
      <w:iCs/>
      <w:color w:val="0065A4"/>
      <w:kern w:val="32"/>
      <w:sz w:val="24"/>
      <w:szCs w:val="24"/>
      <w:lang w:eastAsia="x-none"/>
    </w:rPr>
  </w:style>
  <w:style w:type="character" w:customStyle="1" w:styleId="Heading3Char">
    <w:name w:val="Heading 3 Char"/>
    <w:link w:val="Heading3"/>
    <w:uiPriority w:val="2"/>
    <w:rsid w:val="00BD3035"/>
    <w:rPr>
      <w:rFonts w:ascii="Century Gothic" w:eastAsia="Times New Roman" w:hAnsi="Century Gothic"/>
      <w:color w:val="0070C0"/>
      <w:kern w:val="32"/>
      <w:sz w:val="24"/>
      <w:szCs w:val="26"/>
      <w:lang w:val="x-none" w:eastAsia="x-none"/>
    </w:rPr>
  </w:style>
  <w:style w:type="character" w:customStyle="1" w:styleId="Heading4Char">
    <w:name w:val="Heading 4 Char"/>
    <w:link w:val="Heading4"/>
    <w:uiPriority w:val="2"/>
    <w:rsid w:val="00BD3035"/>
    <w:rPr>
      <w:rFonts w:ascii="Century Gothic" w:eastAsiaTheme="majorEastAsia" w:hAnsi="Century Gothic"/>
      <w:b/>
      <w:bCs/>
      <w:sz w:val="22"/>
      <w:szCs w:val="22"/>
      <w:lang w:val="x-none" w:eastAsia="x-none"/>
    </w:rPr>
  </w:style>
  <w:style w:type="paragraph" w:styleId="IntenseQuote">
    <w:name w:val="Intense Quote"/>
    <w:basedOn w:val="Normal"/>
    <w:next w:val="Normal"/>
    <w:link w:val="IntenseQuoteChar"/>
    <w:uiPriority w:val="60"/>
    <w:qFormat/>
    <w:rsid w:val="00A5658C"/>
    <w:pPr>
      <w:pBdr>
        <w:bottom w:val="single" w:sz="4" w:space="4" w:color="4F81BD"/>
      </w:pBdr>
      <w:spacing w:before="200" w:after="280"/>
      <w:ind w:left="936" w:right="936"/>
    </w:pPr>
    <w:rPr>
      <w:b/>
      <w:bCs/>
      <w:i/>
      <w:iCs/>
      <w:color w:val="0065A4"/>
    </w:rPr>
  </w:style>
  <w:style w:type="character" w:customStyle="1" w:styleId="TablenotesChar">
    <w:name w:val="Table notes Char"/>
    <w:basedOn w:val="DefaultParagraphFont"/>
    <w:link w:val="Tablenotes"/>
    <w:rsid w:val="00C836DC"/>
    <w:rPr>
      <w:rFonts w:ascii="Century Gothic" w:hAnsi="Century Gothic"/>
      <w:sz w:val="18"/>
      <w:szCs w:val="18"/>
      <w:lang w:eastAsia="en-US"/>
    </w:rPr>
  </w:style>
  <w:style w:type="character" w:customStyle="1" w:styleId="Heading5Char">
    <w:name w:val="Heading 5 Char"/>
    <w:link w:val="Heading5"/>
    <w:uiPriority w:val="9"/>
    <w:rsid w:val="00282659"/>
    <w:rPr>
      <w:rFonts w:ascii="Arial" w:eastAsia="Times New Roman" w:hAnsi="Arial"/>
      <w:b/>
      <w:bCs/>
      <w:i/>
      <w:iCs/>
      <w:sz w:val="26"/>
      <w:szCs w:val="26"/>
      <w:lang w:val="x-none"/>
    </w:rPr>
  </w:style>
  <w:style w:type="table" w:styleId="TableGrid">
    <w:name w:val="Table Grid"/>
    <w:basedOn w:val="TableNormal"/>
    <w:uiPriority w:val="59"/>
    <w:rsid w:val="007A4B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HWA">
    <w:name w:val="Table (HWA)"/>
    <w:basedOn w:val="TableNormal"/>
    <w:uiPriority w:val="99"/>
    <w:qFormat/>
    <w:rsid w:val="00083012"/>
    <w:pPr>
      <w:spacing w:before="60" w:after="60" w:line="60" w:lineRule="atLeast"/>
    </w:pPr>
    <w:rPr>
      <w:rFonts w:ascii="Century Gothic" w:hAnsi="Century Gothic"/>
      <w:sz w:val="16"/>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paragraph" w:customStyle="1" w:styleId="TableText">
    <w:name w:val="Table Text"/>
    <w:basedOn w:val="Normal"/>
    <w:uiPriority w:val="5"/>
    <w:qFormat/>
    <w:rsid w:val="001C02C9"/>
    <w:pPr>
      <w:spacing w:after="120" w:line="120" w:lineRule="atLeast"/>
    </w:pPr>
    <w:rPr>
      <w:sz w:val="18"/>
    </w:rPr>
  </w:style>
  <w:style w:type="paragraph" w:customStyle="1" w:styleId="TableHeader">
    <w:name w:val="Table Header"/>
    <w:basedOn w:val="TableText"/>
    <w:uiPriority w:val="5"/>
    <w:qFormat/>
    <w:rsid w:val="005C2435"/>
    <w:rPr>
      <w:b/>
      <w:color w:val="FFFFFF"/>
      <w:sz w:val="20"/>
    </w:rPr>
  </w:style>
  <w:style w:type="character" w:styleId="Hyperlink">
    <w:name w:val="Hyperlink"/>
    <w:uiPriority w:val="99"/>
    <w:qFormat/>
    <w:rsid w:val="002C20B4"/>
    <w:rPr>
      <w:color w:val="0000FF"/>
      <w:u w:val="single"/>
    </w:rPr>
  </w:style>
  <w:style w:type="paragraph" w:styleId="TOC1">
    <w:name w:val="toc 1"/>
    <w:basedOn w:val="Normal"/>
    <w:next w:val="Normal"/>
    <w:autoRedefine/>
    <w:uiPriority w:val="39"/>
    <w:unhideWhenUsed/>
    <w:qFormat/>
    <w:rsid w:val="003D54C2"/>
    <w:pPr>
      <w:spacing w:after="120"/>
    </w:pPr>
    <w:rPr>
      <w:rFonts w:asciiTheme="minorHAnsi" w:hAnsiTheme="minorHAnsi" w:cstheme="minorHAnsi"/>
      <w:b/>
      <w:bCs/>
      <w:caps/>
      <w:szCs w:val="20"/>
    </w:rPr>
  </w:style>
  <w:style w:type="paragraph" w:styleId="TOC2">
    <w:name w:val="toc 2"/>
    <w:basedOn w:val="Normal"/>
    <w:next w:val="Normal"/>
    <w:autoRedefine/>
    <w:uiPriority w:val="39"/>
    <w:unhideWhenUsed/>
    <w:qFormat/>
    <w:rsid w:val="00BD3035"/>
    <w:pPr>
      <w:tabs>
        <w:tab w:val="right" w:leader="dot" w:pos="9016"/>
      </w:tabs>
      <w:spacing w:before="0" w:after="0"/>
      <w:ind w:left="200"/>
    </w:pPr>
    <w:rPr>
      <w:rFonts w:asciiTheme="minorHAnsi" w:hAnsiTheme="minorHAnsi" w:cstheme="minorHAnsi"/>
      <w:smallCaps/>
      <w:szCs w:val="20"/>
    </w:rPr>
  </w:style>
  <w:style w:type="paragraph" w:styleId="Caption">
    <w:name w:val="caption"/>
    <w:basedOn w:val="Normal"/>
    <w:next w:val="Normal"/>
    <w:uiPriority w:val="35"/>
    <w:qFormat/>
    <w:rsid w:val="00C836DC"/>
    <w:pPr>
      <w:keepNext/>
      <w:spacing w:after="120"/>
    </w:pPr>
    <w:rPr>
      <w:b/>
      <w:bCs/>
      <w:szCs w:val="20"/>
    </w:rPr>
  </w:style>
  <w:style w:type="numbering" w:customStyle="1" w:styleId="Listbulleted">
    <w:name w:val="List (bulleted)"/>
    <w:basedOn w:val="NoList"/>
    <w:rsid w:val="0085118A"/>
  </w:style>
  <w:style w:type="numbering" w:customStyle="1" w:styleId="Listnumbered">
    <w:name w:val="List (numbered)"/>
    <w:basedOn w:val="NoList"/>
    <w:rsid w:val="00D922F9"/>
  </w:style>
  <w:style w:type="numbering" w:customStyle="1" w:styleId="TableListbulleted">
    <w:name w:val="Table List (bulleted)"/>
    <w:basedOn w:val="NoList"/>
    <w:uiPriority w:val="99"/>
    <w:rsid w:val="00BD504F"/>
  </w:style>
  <w:style w:type="numbering" w:customStyle="1" w:styleId="TabledListnumbered">
    <w:name w:val="Tabled List (numbered)"/>
    <w:basedOn w:val="TableListbulleted"/>
    <w:uiPriority w:val="99"/>
    <w:rsid w:val="00FE52D9"/>
  </w:style>
  <w:style w:type="paragraph" w:styleId="BalloonText">
    <w:name w:val="Balloon Text"/>
    <w:basedOn w:val="Normal"/>
    <w:link w:val="BalloonTextChar"/>
    <w:uiPriority w:val="99"/>
    <w:unhideWhenUsed/>
    <w:locked/>
    <w:rsid w:val="000C5BF1"/>
    <w:pPr>
      <w:spacing w:after="0" w:line="240" w:lineRule="auto"/>
    </w:pPr>
    <w:rPr>
      <w:rFonts w:ascii="Lucida Grande" w:hAnsi="Lucida Grande"/>
      <w:sz w:val="18"/>
      <w:szCs w:val="18"/>
      <w:lang w:val="x-none" w:eastAsia="x-none"/>
    </w:rPr>
  </w:style>
  <w:style w:type="character" w:customStyle="1" w:styleId="BalloonTextChar">
    <w:name w:val="Balloon Text Char"/>
    <w:link w:val="BalloonText"/>
    <w:uiPriority w:val="99"/>
    <w:rsid w:val="000C5BF1"/>
    <w:rPr>
      <w:rFonts w:ascii="Lucida Grande" w:hAnsi="Lucida Grande" w:cs="Lucida Grande"/>
      <w:sz w:val="18"/>
      <w:szCs w:val="18"/>
    </w:rPr>
  </w:style>
  <w:style w:type="paragraph" w:styleId="TOC3">
    <w:name w:val="toc 3"/>
    <w:basedOn w:val="Normal"/>
    <w:next w:val="Normal"/>
    <w:autoRedefine/>
    <w:uiPriority w:val="39"/>
    <w:qFormat/>
    <w:rsid w:val="002C20B4"/>
    <w:pPr>
      <w:spacing w:before="0" w:after="0"/>
      <w:ind w:left="400"/>
    </w:pPr>
    <w:rPr>
      <w:rFonts w:asciiTheme="minorHAnsi" w:hAnsiTheme="minorHAnsi" w:cstheme="minorHAnsi"/>
      <w:i/>
      <w:iCs/>
      <w:szCs w:val="20"/>
    </w:rPr>
  </w:style>
  <w:style w:type="paragraph" w:styleId="TOC4">
    <w:name w:val="toc 4"/>
    <w:basedOn w:val="Normal"/>
    <w:next w:val="Normal"/>
    <w:autoRedefine/>
    <w:uiPriority w:val="39"/>
    <w:rsid w:val="002C20B4"/>
    <w:pPr>
      <w:spacing w:before="0" w:after="0"/>
      <w:ind w:left="600"/>
    </w:pPr>
    <w:rPr>
      <w:rFonts w:asciiTheme="minorHAnsi" w:hAnsiTheme="minorHAnsi" w:cstheme="minorHAnsi"/>
      <w:sz w:val="18"/>
      <w:szCs w:val="18"/>
    </w:rPr>
  </w:style>
  <w:style w:type="paragraph" w:styleId="TOC5">
    <w:name w:val="toc 5"/>
    <w:basedOn w:val="Normal"/>
    <w:next w:val="Normal"/>
    <w:autoRedefine/>
    <w:uiPriority w:val="39"/>
    <w:rsid w:val="002C20B4"/>
    <w:pPr>
      <w:spacing w:before="0" w:after="0"/>
      <w:ind w:left="800"/>
    </w:pPr>
    <w:rPr>
      <w:rFonts w:asciiTheme="minorHAnsi" w:hAnsiTheme="minorHAnsi" w:cstheme="minorHAnsi"/>
      <w:sz w:val="18"/>
      <w:szCs w:val="18"/>
    </w:rPr>
  </w:style>
  <w:style w:type="paragraph" w:styleId="TOC6">
    <w:name w:val="toc 6"/>
    <w:basedOn w:val="Normal"/>
    <w:next w:val="Normal"/>
    <w:autoRedefine/>
    <w:uiPriority w:val="39"/>
    <w:rsid w:val="002C20B4"/>
    <w:pPr>
      <w:spacing w:before="0" w:after="0"/>
      <w:ind w:left="1000"/>
    </w:pPr>
    <w:rPr>
      <w:rFonts w:asciiTheme="minorHAnsi" w:hAnsiTheme="minorHAnsi" w:cstheme="minorHAnsi"/>
      <w:sz w:val="18"/>
      <w:szCs w:val="18"/>
    </w:rPr>
  </w:style>
  <w:style w:type="paragraph" w:styleId="TOC7">
    <w:name w:val="toc 7"/>
    <w:basedOn w:val="Normal"/>
    <w:next w:val="Normal"/>
    <w:autoRedefine/>
    <w:uiPriority w:val="39"/>
    <w:rsid w:val="002C20B4"/>
    <w:pPr>
      <w:spacing w:before="0" w:after="0"/>
      <w:ind w:left="1200"/>
    </w:pPr>
    <w:rPr>
      <w:rFonts w:asciiTheme="minorHAnsi" w:hAnsiTheme="minorHAnsi" w:cstheme="minorHAnsi"/>
      <w:sz w:val="18"/>
      <w:szCs w:val="18"/>
    </w:rPr>
  </w:style>
  <w:style w:type="paragraph" w:styleId="TOC8">
    <w:name w:val="toc 8"/>
    <w:basedOn w:val="Normal"/>
    <w:next w:val="Normal"/>
    <w:autoRedefine/>
    <w:uiPriority w:val="39"/>
    <w:rsid w:val="002C20B4"/>
    <w:pPr>
      <w:spacing w:before="0" w:after="0"/>
      <w:ind w:left="1400"/>
    </w:pPr>
    <w:rPr>
      <w:rFonts w:asciiTheme="minorHAnsi" w:hAnsiTheme="minorHAnsi" w:cstheme="minorHAnsi"/>
      <w:sz w:val="18"/>
      <w:szCs w:val="18"/>
    </w:rPr>
  </w:style>
  <w:style w:type="paragraph" w:styleId="TOC9">
    <w:name w:val="toc 9"/>
    <w:basedOn w:val="Normal"/>
    <w:next w:val="Normal"/>
    <w:autoRedefine/>
    <w:uiPriority w:val="39"/>
    <w:rsid w:val="002C20B4"/>
    <w:pPr>
      <w:spacing w:before="0" w:after="0"/>
      <w:ind w:left="1600"/>
    </w:pPr>
    <w:rPr>
      <w:rFonts w:asciiTheme="minorHAnsi" w:hAnsiTheme="minorHAnsi" w:cstheme="minorHAnsi"/>
      <w:sz w:val="18"/>
      <w:szCs w:val="18"/>
    </w:rPr>
  </w:style>
  <w:style w:type="paragraph" w:styleId="Title">
    <w:name w:val="Title"/>
    <w:basedOn w:val="Normal"/>
    <w:next w:val="Normal"/>
    <w:link w:val="TitleChar"/>
    <w:uiPriority w:val="9"/>
    <w:qFormat/>
    <w:rsid w:val="00E8105B"/>
    <w:pPr>
      <w:spacing w:before="1200" w:after="160"/>
    </w:pPr>
    <w:rPr>
      <w:b/>
      <w:color w:val="FFFFFF"/>
      <w:sz w:val="60"/>
      <w:szCs w:val="56"/>
      <w:lang w:eastAsia="en-AU"/>
    </w:rPr>
  </w:style>
  <w:style w:type="character" w:customStyle="1" w:styleId="TitleChar">
    <w:name w:val="Title Char"/>
    <w:link w:val="Title"/>
    <w:uiPriority w:val="9"/>
    <w:rsid w:val="00E8105B"/>
    <w:rPr>
      <w:rFonts w:ascii="Century Gothic" w:hAnsi="Century Gothic"/>
      <w:b/>
      <w:color w:val="FFFFFF"/>
      <w:sz w:val="60"/>
      <w:szCs w:val="56"/>
    </w:rPr>
  </w:style>
  <w:style w:type="paragraph" w:styleId="Subtitle">
    <w:name w:val="Subtitle"/>
    <w:basedOn w:val="Title"/>
    <w:next w:val="Normal"/>
    <w:link w:val="SubtitleChar"/>
    <w:uiPriority w:val="9"/>
    <w:qFormat/>
    <w:locked/>
    <w:rsid w:val="005C2435"/>
    <w:rPr>
      <w:sz w:val="28"/>
    </w:rPr>
  </w:style>
  <w:style w:type="character" w:customStyle="1" w:styleId="SubtitleChar">
    <w:name w:val="Subtitle Char"/>
    <w:link w:val="Subtitle"/>
    <w:uiPriority w:val="9"/>
    <w:rsid w:val="005C2435"/>
    <w:rPr>
      <w:rFonts w:ascii="Century Gothic" w:hAnsi="Century Gothic"/>
      <w:color w:val="FFFFFF"/>
      <w:sz w:val="28"/>
      <w:szCs w:val="56"/>
      <w:lang w:val="en-AU" w:eastAsia="en-AU"/>
    </w:rPr>
  </w:style>
  <w:style w:type="paragraph" w:customStyle="1" w:styleId="InstructionalText">
    <w:name w:val="Instructional Text"/>
    <w:basedOn w:val="Normal"/>
    <w:semiHidden/>
    <w:unhideWhenUsed/>
    <w:qFormat/>
    <w:rsid w:val="00680561"/>
    <w:pPr>
      <w:spacing w:after="120" w:line="240" w:lineRule="auto"/>
    </w:pPr>
    <w:rPr>
      <w:vanish/>
      <w:color w:val="800000"/>
      <w:szCs w:val="16"/>
    </w:rPr>
  </w:style>
  <w:style w:type="character" w:customStyle="1" w:styleId="IntenseQuoteChar">
    <w:name w:val="Intense Quote Char"/>
    <w:link w:val="IntenseQuote"/>
    <w:uiPriority w:val="60"/>
    <w:rsid w:val="00A5658C"/>
    <w:rPr>
      <w:rFonts w:ascii="Century Gothic" w:hAnsi="Century Gothic"/>
      <w:b/>
      <w:bCs/>
      <w:i/>
      <w:iCs/>
      <w:color w:val="0065A4"/>
      <w:szCs w:val="22"/>
      <w:lang w:eastAsia="en-US"/>
    </w:rPr>
  </w:style>
  <w:style w:type="character" w:styleId="IntenseEmphasis">
    <w:name w:val="Intense Emphasis"/>
    <w:uiPriority w:val="66"/>
    <w:qFormat/>
    <w:rsid w:val="00A5658C"/>
    <w:rPr>
      <w:b/>
      <w:bCs/>
      <w:i/>
      <w:iCs/>
      <w:color w:val="0065A4"/>
    </w:rPr>
  </w:style>
  <w:style w:type="paragraph" w:styleId="ListParagraph">
    <w:name w:val="List Paragraph"/>
    <w:basedOn w:val="Normal"/>
    <w:link w:val="ListParagraphChar"/>
    <w:uiPriority w:val="34"/>
    <w:qFormat/>
    <w:rsid w:val="006F1C60"/>
    <w:pPr>
      <w:spacing w:before="0" w:after="120"/>
      <w:ind w:left="720"/>
    </w:pPr>
    <w:rPr>
      <w:rFonts w:eastAsia="Times New Roman"/>
    </w:rPr>
  </w:style>
  <w:style w:type="paragraph" w:styleId="NormalWeb">
    <w:name w:val="Normal (Web)"/>
    <w:basedOn w:val="Normal"/>
    <w:uiPriority w:val="99"/>
    <w:semiHidden/>
    <w:unhideWhenUsed/>
    <w:locked/>
    <w:rsid w:val="00176820"/>
    <w:pPr>
      <w:spacing w:before="100" w:beforeAutospacing="1" w:after="100" w:afterAutospacing="1" w:line="240" w:lineRule="auto"/>
    </w:pPr>
    <w:rPr>
      <w:rFonts w:ascii="Times New Roman" w:eastAsia="Times New Roman" w:hAnsi="Times New Roman"/>
      <w:sz w:val="24"/>
      <w:szCs w:val="24"/>
      <w:lang w:eastAsia="en-AU"/>
    </w:rPr>
  </w:style>
  <w:style w:type="character" w:styleId="CommentReference">
    <w:name w:val="annotation reference"/>
    <w:basedOn w:val="DefaultParagraphFont"/>
    <w:uiPriority w:val="99"/>
    <w:unhideWhenUsed/>
    <w:locked/>
    <w:rsid w:val="00176820"/>
    <w:rPr>
      <w:rFonts w:cs="Times New Roman"/>
      <w:sz w:val="16"/>
      <w:szCs w:val="16"/>
    </w:rPr>
  </w:style>
  <w:style w:type="paragraph" w:styleId="Revision">
    <w:name w:val="Revision"/>
    <w:hidden/>
    <w:uiPriority w:val="99"/>
    <w:rsid w:val="00176820"/>
    <w:rPr>
      <w:rFonts w:asciiTheme="minorHAnsi" w:eastAsia="Times New Roman" w:hAnsiTheme="minorHAnsi"/>
      <w:sz w:val="22"/>
      <w:szCs w:val="22"/>
      <w:lang w:eastAsia="en-US"/>
    </w:rPr>
  </w:style>
  <w:style w:type="paragraph" w:styleId="TOCHeading">
    <w:name w:val="TOC Heading"/>
    <w:basedOn w:val="Heading1"/>
    <w:next w:val="Normal"/>
    <w:uiPriority w:val="39"/>
    <w:unhideWhenUsed/>
    <w:qFormat/>
    <w:rsid w:val="00176820"/>
    <w:pPr>
      <w:keepLines/>
      <w:pageBreakBefore w:val="0"/>
      <w:spacing w:before="480" w:after="0" w:line="276" w:lineRule="auto"/>
      <w:outlineLvl w:val="9"/>
    </w:pPr>
    <w:rPr>
      <w:rFonts w:asciiTheme="majorHAnsi" w:eastAsiaTheme="majorEastAsia" w:hAnsiTheme="majorHAnsi" w:cstheme="majorBidi"/>
      <w:b/>
      <w:color w:val="365F91" w:themeColor="accent1" w:themeShade="BF"/>
      <w:kern w:val="0"/>
      <w:sz w:val="28"/>
      <w:szCs w:val="28"/>
      <w:lang w:val="en-US" w:eastAsia="ja-JP"/>
    </w:rPr>
  </w:style>
  <w:style w:type="table" w:customStyle="1" w:styleId="TableGrid1">
    <w:name w:val="Table Grid1"/>
    <w:basedOn w:val="TableNormal"/>
    <w:next w:val="TableGrid"/>
    <w:uiPriority w:val="59"/>
    <w:rsid w:val="00E5422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E5422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E5422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745030"/>
    <w:rPr>
      <w:color w:val="800080" w:themeColor="followedHyperlink"/>
      <w:u w:val="single"/>
    </w:rPr>
  </w:style>
  <w:style w:type="numbering" w:customStyle="1" w:styleId="NoList1">
    <w:name w:val="No List1"/>
    <w:next w:val="NoList"/>
    <w:uiPriority w:val="99"/>
    <w:semiHidden/>
    <w:unhideWhenUsed/>
    <w:rsid w:val="00EF0AF9"/>
  </w:style>
  <w:style w:type="table" w:customStyle="1" w:styleId="TableGrid4">
    <w:name w:val="Table Grid4"/>
    <w:basedOn w:val="TableNormal"/>
    <w:next w:val="TableGrid"/>
    <w:uiPriority w:val="59"/>
    <w:rsid w:val="00EF0A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EF0AF9"/>
  </w:style>
  <w:style w:type="table" w:customStyle="1" w:styleId="TableGrid11">
    <w:name w:val="Table Grid11"/>
    <w:basedOn w:val="TableNormal"/>
    <w:next w:val="TableGrid"/>
    <w:uiPriority w:val="59"/>
    <w:rsid w:val="00EF0A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bulleted1">
    <w:name w:val="List (bulleted)1"/>
    <w:basedOn w:val="NoList"/>
    <w:rsid w:val="00EF0AF9"/>
  </w:style>
  <w:style w:type="numbering" w:customStyle="1" w:styleId="Listnumbered1">
    <w:name w:val="List (numbered)1"/>
    <w:basedOn w:val="NoList"/>
    <w:rsid w:val="00EF0AF9"/>
  </w:style>
  <w:style w:type="numbering" w:customStyle="1" w:styleId="TableListbulleted1">
    <w:name w:val="Table List (bulleted)1"/>
    <w:basedOn w:val="NoList"/>
    <w:uiPriority w:val="99"/>
    <w:rsid w:val="00EF0AF9"/>
  </w:style>
  <w:style w:type="numbering" w:customStyle="1" w:styleId="TabledListnumbered1">
    <w:name w:val="Tabled List (numbered)1"/>
    <w:basedOn w:val="TableListbulleted"/>
    <w:uiPriority w:val="99"/>
    <w:rsid w:val="00EF0AF9"/>
  </w:style>
  <w:style w:type="table" w:customStyle="1" w:styleId="TableGrid111">
    <w:name w:val="Table Grid111"/>
    <w:basedOn w:val="TableNormal"/>
    <w:next w:val="TableGrid"/>
    <w:uiPriority w:val="59"/>
    <w:rsid w:val="00EF0A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0E65F5"/>
  </w:style>
  <w:style w:type="table" w:customStyle="1" w:styleId="TableGrid5">
    <w:name w:val="Table Grid5"/>
    <w:basedOn w:val="TableNormal"/>
    <w:next w:val="TableGrid"/>
    <w:uiPriority w:val="59"/>
    <w:rsid w:val="000E65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HWA1">
    <w:name w:val="Table (HWA)1"/>
    <w:basedOn w:val="TableNormal"/>
    <w:uiPriority w:val="99"/>
    <w:qFormat/>
    <w:rsid w:val="000E65F5"/>
    <w:pPr>
      <w:spacing w:before="60" w:after="60" w:line="60" w:lineRule="atLeast"/>
    </w:pPr>
    <w:rPr>
      <w:rFonts w:ascii="Century Gothic" w:hAnsi="Century Gothic"/>
      <w:sz w:val="16"/>
    </w:rPr>
    <w:tblPr>
      <w:tblInd w:w="0" w:type="dxa"/>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CellMar>
        <w:top w:w="0" w:type="dxa"/>
        <w:left w:w="108" w:type="dxa"/>
        <w:bottom w:w="0" w:type="dxa"/>
        <w:right w:w="108" w:type="dxa"/>
      </w:tblCellMar>
    </w:tblPr>
    <w:tblStylePr w:type="firstRow">
      <w:rPr>
        <w:rFonts w:ascii="Courier" w:hAnsi="Courier"/>
        <w:b/>
        <w:color w:val="FFFFFF"/>
        <w:sz w:val="18"/>
      </w:rPr>
      <w:tblPr/>
      <w:tcPr>
        <w:shd w:val="clear" w:color="auto" w:fill="0079C1"/>
      </w:tcPr>
    </w:tblStylePr>
  </w:style>
  <w:style w:type="table" w:customStyle="1" w:styleId="TableGrid12">
    <w:name w:val="Table Grid12"/>
    <w:basedOn w:val="TableNormal"/>
    <w:next w:val="TableGrid"/>
    <w:uiPriority w:val="59"/>
    <w:rsid w:val="000E65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59"/>
    <w:rsid w:val="000E65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0E65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igureSourcefootnotes">
    <w:name w:val="Figure: Source &amp; footnotes"/>
    <w:basedOn w:val="Normal"/>
    <w:next w:val="Normal"/>
    <w:uiPriority w:val="5"/>
    <w:rsid w:val="00BE46BC"/>
    <w:pPr>
      <w:keepLines/>
      <w:tabs>
        <w:tab w:val="left" w:pos="397"/>
      </w:tabs>
      <w:spacing w:after="120" w:line="180" w:lineRule="atLeast"/>
    </w:pPr>
    <w:rPr>
      <w:rFonts w:ascii="Arial" w:eastAsia="Times New Roman" w:hAnsi="Arial"/>
      <w:sz w:val="14"/>
      <w:szCs w:val="20"/>
    </w:rPr>
  </w:style>
  <w:style w:type="character" w:styleId="Emphasis">
    <w:name w:val="Emphasis"/>
    <w:basedOn w:val="DefaultParagraphFont"/>
    <w:uiPriority w:val="20"/>
    <w:qFormat/>
    <w:locked/>
    <w:rsid w:val="009C0B6A"/>
    <w:rPr>
      <w:i/>
      <w:iCs/>
    </w:rPr>
  </w:style>
  <w:style w:type="paragraph" w:styleId="FootnoteText">
    <w:name w:val="footnote text"/>
    <w:basedOn w:val="Normal"/>
    <w:link w:val="FootnoteTextChar"/>
    <w:unhideWhenUsed/>
    <w:qFormat/>
    <w:rsid w:val="006E1646"/>
    <w:rPr>
      <w:rFonts w:ascii="Arial" w:hAnsi="Arial"/>
      <w:szCs w:val="20"/>
      <w:lang w:val="x-none"/>
    </w:rPr>
  </w:style>
  <w:style w:type="character" w:customStyle="1" w:styleId="FootnoteTextChar">
    <w:name w:val="Footnote Text Char"/>
    <w:basedOn w:val="DefaultParagraphFont"/>
    <w:link w:val="FootnoteText"/>
    <w:rsid w:val="006E1646"/>
    <w:rPr>
      <w:rFonts w:ascii="Arial" w:hAnsi="Arial"/>
      <w:lang w:val="x-none" w:eastAsia="en-US"/>
    </w:rPr>
  </w:style>
  <w:style w:type="character" w:styleId="FootnoteReference">
    <w:name w:val="footnote reference"/>
    <w:uiPriority w:val="99"/>
    <w:unhideWhenUsed/>
    <w:rsid w:val="006E1646"/>
    <w:rPr>
      <w:vertAlign w:val="superscript"/>
    </w:rPr>
  </w:style>
  <w:style w:type="table" w:styleId="ColorfulGrid-Accent1">
    <w:name w:val="Colorful Grid Accent 1"/>
    <w:basedOn w:val="TableNormal"/>
    <w:uiPriority w:val="29"/>
    <w:qFormat/>
    <w:rsid w:val="00065F0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EndnoteText">
    <w:name w:val="endnote text"/>
    <w:basedOn w:val="Normal"/>
    <w:link w:val="EndnoteTextChar"/>
    <w:uiPriority w:val="99"/>
    <w:unhideWhenUsed/>
    <w:locked/>
    <w:rsid w:val="009416C0"/>
    <w:pPr>
      <w:spacing w:after="0" w:line="240" w:lineRule="auto"/>
    </w:pPr>
    <w:rPr>
      <w:rFonts w:eastAsiaTheme="minorHAnsi" w:cstheme="minorBidi"/>
      <w:szCs w:val="20"/>
    </w:rPr>
  </w:style>
  <w:style w:type="character" w:customStyle="1" w:styleId="EndnoteTextChar">
    <w:name w:val="Endnote Text Char"/>
    <w:basedOn w:val="DefaultParagraphFont"/>
    <w:link w:val="EndnoteText"/>
    <w:uiPriority w:val="99"/>
    <w:rsid w:val="009416C0"/>
    <w:rPr>
      <w:rFonts w:ascii="Century Gothic" w:eastAsiaTheme="minorHAnsi" w:hAnsi="Century Gothic" w:cstheme="minorBidi"/>
      <w:lang w:eastAsia="en-US"/>
    </w:rPr>
  </w:style>
  <w:style w:type="character" w:styleId="EndnoteReference">
    <w:name w:val="endnote reference"/>
    <w:basedOn w:val="DefaultParagraphFont"/>
    <w:unhideWhenUsed/>
    <w:locked/>
    <w:rsid w:val="00A90656"/>
    <w:rPr>
      <w:rFonts w:ascii="Century Gothic" w:hAnsi="Century Gothic"/>
      <w:vertAlign w:val="superscript"/>
    </w:rPr>
  </w:style>
  <w:style w:type="character" w:styleId="Strong">
    <w:name w:val="Strong"/>
    <w:basedOn w:val="DefaultParagraphFont"/>
    <w:uiPriority w:val="99"/>
    <w:qFormat/>
    <w:locked/>
    <w:rsid w:val="00EA585E"/>
    <w:rPr>
      <w:b/>
      <w:bCs/>
    </w:rPr>
  </w:style>
  <w:style w:type="table" w:styleId="LightShading-Accent5">
    <w:name w:val="Light Shading Accent 5"/>
    <w:basedOn w:val="TableNormal"/>
    <w:uiPriority w:val="60"/>
    <w:rsid w:val="00EA585E"/>
    <w:rPr>
      <w:rFonts w:asciiTheme="minorHAnsi" w:eastAsiaTheme="minorHAnsi" w:hAnsiTheme="minorHAnsi" w:cstheme="minorBidi"/>
      <w:color w:val="31849B" w:themeColor="accent5" w:themeShade="BF"/>
      <w:sz w:val="22"/>
      <w:szCs w:val="22"/>
      <w:lang w:eastAsia="en-US"/>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List-Accent1">
    <w:name w:val="Light List Accent 1"/>
    <w:basedOn w:val="TableNormal"/>
    <w:uiPriority w:val="61"/>
    <w:rsid w:val="00EA585E"/>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EA585E"/>
    <w:rPr>
      <w:rFonts w:asciiTheme="minorHAnsi" w:eastAsiaTheme="minorHAnsi" w:hAnsiTheme="minorHAnsi" w:cstheme="minorBidi"/>
      <w:sz w:val="22"/>
      <w:szCs w:val="22"/>
      <w:lang w:eastAsia="en-US"/>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ColorfulGrid-Accent11">
    <w:name w:val="Colorful Grid - Accent 11"/>
    <w:basedOn w:val="TableNormal"/>
    <w:next w:val="ColorfulGrid-Accent1"/>
    <w:uiPriority w:val="29"/>
    <w:qFormat/>
    <w:rsid w:val="00EA585E"/>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
    <w:name w:val="Colorful Grid - Accent 12"/>
    <w:basedOn w:val="TableNormal"/>
    <w:next w:val="ColorfulGrid-Accent1"/>
    <w:uiPriority w:val="29"/>
    <w:qFormat/>
    <w:rsid w:val="00EA585E"/>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NoSpacing">
    <w:name w:val="No Spacing"/>
    <w:uiPriority w:val="1"/>
    <w:qFormat/>
    <w:rsid w:val="00784454"/>
    <w:rPr>
      <w:rFonts w:ascii="Arial" w:hAnsi="Arial"/>
      <w:sz w:val="2"/>
      <w:szCs w:val="22"/>
      <w:lang w:eastAsia="en-US"/>
    </w:rPr>
  </w:style>
  <w:style w:type="table" w:customStyle="1" w:styleId="TableGrid41">
    <w:name w:val="Table Grid41"/>
    <w:basedOn w:val="TableNormal"/>
    <w:next w:val="TableGrid"/>
    <w:uiPriority w:val="59"/>
    <w:rsid w:val="00766FB2"/>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ableofFigures">
    <w:name w:val="table of figures"/>
    <w:basedOn w:val="Normal"/>
    <w:next w:val="Normal"/>
    <w:uiPriority w:val="99"/>
    <w:unhideWhenUsed/>
    <w:locked/>
    <w:rsid w:val="00766FB2"/>
    <w:pPr>
      <w:spacing w:after="0"/>
    </w:pPr>
  </w:style>
  <w:style w:type="numbering" w:customStyle="1" w:styleId="Listnumbered2">
    <w:name w:val="List (numbered)2"/>
    <w:basedOn w:val="NoList"/>
    <w:rsid w:val="00766FB2"/>
  </w:style>
  <w:style w:type="numbering" w:customStyle="1" w:styleId="TabledListnumbered2">
    <w:name w:val="Tabled List (numbered)2"/>
    <w:basedOn w:val="TableListbulleted"/>
    <w:uiPriority w:val="99"/>
    <w:rsid w:val="00766FB2"/>
  </w:style>
  <w:style w:type="numbering" w:customStyle="1" w:styleId="TabledListnumbered11">
    <w:name w:val="Tabled List (numbered)11"/>
    <w:basedOn w:val="TableListbulleted"/>
    <w:uiPriority w:val="99"/>
    <w:rsid w:val="00766FB2"/>
  </w:style>
  <w:style w:type="table" w:customStyle="1" w:styleId="ColorfulGrid-Accent111">
    <w:name w:val="Colorful Grid - Accent 111"/>
    <w:basedOn w:val="TableNormal"/>
    <w:next w:val="ColorfulGrid-Accent1"/>
    <w:uiPriority w:val="29"/>
    <w:qFormat/>
    <w:rsid w:val="00766FB2"/>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1">
    <w:name w:val="Colorful Grid - Accent 121"/>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2">
    <w:name w:val="Colorful Grid - Accent 122"/>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3">
    <w:name w:val="Colorful Grid - Accent 123"/>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4">
    <w:name w:val="Colorful Grid - Accent 124"/>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5">
    <w:name w:val="Colorful Grid - Accent 125"/>
    <w:basedOn w:val="TableNormal"/>
    <w:next w:val="ColorfulGrid-Accent1"/>
    <w:uiPriority w:val="29"/>
    <w:qFormat/>
    <w:rsid w:val="00766F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12">
    <w:name w:val="Colorful Grid - Accent 112"/>
    <w:basedOn w:val="TableNormal"/>
    <w:next w:val="ColorfulGrid-Accent1"/>
    <w:uiPriority w:val="29"/>
    <w:qFormat/>
    <w:rsid w:val="00766FB2"/>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13">
    <w:name w:val="Colorful Grid - Accent 113"/>
    <w:basedOn w:val="TableNormal"/>
    <w:next w:val="ColorfulGrid-Accent1"/>
    <w:uiPriority w:val="29"/>
    <w:qFormat/>
    <w:rsid w:val="00766FB2"/>
    <w:rPr>
      <w:rFonts w:asciiTheme="minorHAnsi" w:eastAsiaTheme="minorHAnsi" w:hAnsiTheme="minorHAnsi" w:cstheme="minorBidi"/>
      <w:color w:val="000000" w:themeColor="text1"/>
      <w:sz w:val="22"/>
      <w:szCs w:val="22"/>
      <w:lang w:eastAsia="en-US"/>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numbering" w:customStyle="1" w:styleId="NoList3">
    <w:name w:val="No List3"/>
    <w:next w:val="NoList"/>
    <w:uiPriority w:val="99"/>
    <w:semiHidden/>
    <w:unhideWhenUsed/>
    <w:rsid w:val="00766FB2"/>
  </w:style>
  <w:style w:type="numbering" w:customStyle="1" w:styleId="Listbulleted2">
    <w:name w:val="List (bulleted)2"/>
    <w:basedOn w:val="NoList"/>
    <w:rsid w:val="00766FB2"/>
    <w:pPr>
      <w:numPr>
        <w:numId w:val="1"/>
      </w:numPr>
    </w:pPr>
  </w:style>
  <w:style w:type="numbering" w:customStyle="1" w:styleId="Listnumbered21">
    <w:name w:val="List (numbered)21"/>
    <w:basedOn w:val="NoList"/>
    <w:rsid w:val="00766FB2"/>
    <w:pPr>
      <w:numPr>
        <w:numId w:val="2"/>
      </w:numPr>
    </w:pPr>
  </w:style>
  <w:style w:type="numbering" w:customStyle="1" w:styleId="TableListbulleted2">
    <w:name w:val="Table List (bulleted)2"/>
    <w:basedOn w:val="NoList"/>
    <w:uiPriority w:val="99"/>
    <w:rsid w:val="00766FB2"/>
    <w:pPr>
      <w:numPr>
        <w:numId w:val="3"/>
      </w:numPr>
    </w:pPr>
  </w:style>
  <w:style w:type="numbering" w:customStyle="1" w:styleId="TabledListnumbered21">
    <w:name w:val="Tabled List (numbered)21"/>
    <w:basedOn w:val="TableListbulleted"/>
    <w:uiPriority w:val="99"/>
    <w:rsid w:val="00766FB2"/>
  </w:style>
  <w:style w:type="table" w:customStyle="1" w:styleId="LightList-Accent11">
    <w:name w:val="Light List - Accent 11"/>
    <w:basedOn w:val="TableNormal"/>
    <w:uiPriority w:val="61"/>
    <w:rsid w:val="00766FB2"/>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MTRP16">
    <w:name w:val="MTRP16"/>
    <w:basedOn w:val="TableNormal"/>
    <w:uiPriority w:val="99"/>
    <w:rsid w:val="00766FB2"/>
    <w:rPr>
      <w:rFonts w:asciiTheme="minorHAnsi" w:eastAsiaTheme="minorEastAsia" w:hAnsiTheme="minorHAnsi" w:cstheme="minorBidi"/>
      <w:sz w:val="22"/>
      <w:szCs w:val="22"/>
    </w:rPr>
    <w:tblPr>
      <w:tblInd w:w="0" w:type="dxa"/>
      <w:tblBorders>
        <w:bottom w:val="single" w:sz="8" w:space="0" w:color="7030A0"/>
        <w:insideH w:val="single" w:sz="8" w:space="0" w:color="7030A0"/>
      </w:tblBorders>
      <w:tblCellMar>
        <w:top w:w="0" w:type="dxa"/>
        <w:left w:w="108" w:type="dxa"/>
        <w:bottom w:w="0" w:type="dxa"/>
        <w:right w:w="108" w:type="dxa"/>
      </w:tblCellMar>
    </w:tblPr>
    <w:tcPr>
      <w:vAlign w:val="center"/>
    </w:tcPr>
    <w:tblStylePr w:type="firstRow">
      <w:pPr>
        <w:jc w:val="right"/>
      </w:pPr>
      <w:rPr>
        <w:rFonts w:ascii="Arial" w:hAnsi="Arial"/>
        <w:sz w:val="16"/>
      </w:rPr>
      <w:tblPr/>
      <w:tcPr>
        <w:tcBorders>
          <w:top w:val="nil"/>
          <w:left w:val="nil"/>
          <w:bottom w:val="single" w:sz="12" w:space="0" w:color="7030A0"/>
          <w:right w:val="nil"/>
          <w:insideH w:val="nil"/>
          <w:insideV w:val="nil"/>
          <w:tl2br w:val="nil"/>
          <w:tr2bl w:val="nil"/>
        </w:tcBorders>
      </w:tcPr>
    </w:tblStylePr>
    <w:tblStylePr w:type="lastRow">
      <w:tblPr/>
      <w:tcPr>
        <w:tcBorders>
          <w:bottom w:val="single" w:sz="12" w:space="0" w:color="7030A0"/>
        </w:tcBorders>
      </w:tcPr>
    </w:tblStylePr>
    <w:tblStylePr w:type="firstCol">
      <w:pPr>
        <w:jc w:val="left"/>
      </w:pPr>
      <w:tblPr/>
      <w:tcPr>
        <w:tcBorders>
          <w:bottom w:val="nil"/>
        </w:tcBorders>
        <w:vAlign w:val="bottom"/>
      </w:tcPr>
    </w:tblStylePr>
  </w:style>
  <w:style w:type="numbering" w:customStyle="1" w:styleId="TabledListnumbered22">
    <w:name w:val="Tabled List (numbered)22"/>
    <w:basedOn w:val="TableListbulleted"/>
    <w:uiPriority w:val="99"/>
    <w:rsid w:val="00730483"/>
    <w:pPr>
      <w:numPr>
        <w:numId w:val="4"/>
      </w:numPr>
    </w:pPr>
  </w:style>
  <w:style w:type="table" w:customStyle="1" w:styleId="ColorfulGrid-Accent13">
    <w:name w:val="Colorful Grid - Accent 13"/>
    <w:basedOn w:val="TableNormal"/>
    <w:next w:val="ColorfulGrid-Accent1"/>
    <w:uiPriority w:val="29"/>
    <w:qFormat/>
    <w:rsid w:val="00324AD9"/>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4">
    <w:name w:val="Colorful Grid - Accent 14"/>
    <w:basedOn w:val="TableNormal"/>
    <w:next w:val="ColorfulGrid-Accent1"/>
    <w:uiPriority w:val="29"/>
    <w:qFormat/>
    <w:rsid w:val="00324AD9"/>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126">
    <w:name w:val="Colorful Grid - Accent 126"/>
    <w:basedOn w:val="TableNormal"/>
    <w:next w:val="ColorfulGrid-Accent1"/>
    <w:uiPriority w:val="29"/>
    <w:qFormat/>
    <w:rsid w:val="00324AD9"/>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DocumentMap">
    <w:name w:val="Document Map"/>
    <w:basedOn w:val="Normal"/>
    <w:link w:val="DocumentMapChar"/>
    <w:uiPriority w:val="99"/>
    <w:semiHidden/>
    <w:unhideWhenUsed/>
    <w:locked/>
    <w:rsid w:val="00223535"/>
    <w:pPr>
      <w:spacing w:before="0"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23535"/>
    <w:rPr>
      <w:rFonts w:ascii="Lucida Grande" w:hAnsi="Lucida Grande" w:cs="Lucida Grande"/>
      <w:sz w:val="24"/>
      <w:szCs w:val="24"/>
      <w:lang w:eastAsia="en-US"/>
    </w:rPr>
  </w:style>
  <w:style w:type="character" w:customStyle="1" w:styleId="ListParagraphChar">
    <w:name w:val="List Paragraph Char"/>
    <w:basedOn w:val="DefaultParagraphFont"/>
    <w:link w:val="ListParagraph"/>
    <w:uiPriority w:val="34"/>
    <w:locked/>
    <w:rsid w:val="006F1C60"/>
    <w:rPr>
      <w:rFonts w:ascii="Century Gothic" w:eastAsia="Times New Roman" w:hAnsi="Century Gothic"/>
      <w:szCs w:val="22"/>
      <w:lang w:eastAsia="en-US"/>
    </w:rPr>
  </w:style>
  <w:style w:type="paragraph" w:customStyle="1" w:styleId="Tablebullet">
    <w:name w:val="Table bullet"/>
    <w:basedOn w:val="TableText"/>
    <w:qFormat/>
    <w:rsid w:val="00A72648"/>
    <w:pPr>
      <w:numPr>
        <w:numId w:val="50"/>
      </w:numPr>
      <w:ind w:left="317" w:hanging="283"/>
    </w:pPr>
    <w:rPr>
      <w:lang w:eastAsia="en-AU"/>
    </w:rPr>
  </w:style>
  <w:style w:type="paragraph" w:styleId="CommentText">
    <w:name w:val="annotation text"/>
    <w:basedOn w:val="Normal"/>
    <w:link w:val="CommentTextChar"/>
    <w:uiPriority w:val="99"/>
    <w:semiHidden/>
    <w:unhideWhenUsed/>
    <w:lock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Century Gothic" w:hAnsi="Century Gothic"/>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15201">
      <w:bodyDiv w:val="1"/>
      <w:marLeft w:val="0"/>
      <w:marRight w:val="0"/>
      <w:marTop w:val="0"/>
      <w:marBottom w:val="0"/>
      <w:divBdr>
        <w:top w:val="none" w:sz="0" w:space="0" w:color="auto"/>
        <w:left w:val="none" w:sz="0" w:space="0" w:color="auto"/>
        <w:bottom w:val="none" w:sz="0" w:space="0" w:color="auto"/>
        <w:right w:val="none" w:sz="0" w:space="0" w:color="auto"/>
      </w:divBdr>
    </w:div>
    <w:div w:id="56174856">
      <w:bodyDiv w:val="1"/>
      <w:marLeft w:val="0"/>
      <w:marRight w:val="0"/>
      <w:marTop w:val="0"/>
      <w:marBottom w:val="0"/>
      <w:divBdr>
        <w:top w:val="none" w:sz="0" w:space="0" w:color="auto"/>
        <w:left w:val="none" w:sz="0" w:space="0" w:color="auto"/>
        <w:bottom w:val="none" w:sz="0" w:space="0" w:color="auto"/>
        <w:right w:val="none" w:sz="0" w:space="0" w:color="auto"/>
      </w:divBdr>
      <w:divsChild>
        <w:div w:id="71972647">
          <w:marLeft w:val="547"/>
          <w:marRight w:val="0"/>
          <w:marTop w:val="134"/>
          <w:marBottom w:val="0"/>
          <w:divBdr>
            <w:top w:val="none" w:sz="0" w:space="0" w:color="auto"/>
            <w:left w:val="none" w:sz="0" w:space="0" w:color="auto"/>
            <w:bottom w:val="none" w:sz="0" w:space="0" w:color="auto"/>
            <w:right w:val="none" w:sz="0" w:space="0" w:color="auto"/>
          </w:divBdr>
        </w:div>
        <w:div w:id="160239527">
          <w:marLeft w:val="547"/>
          <w:marRight w:val="0"/>
          <w:marTop w:val="480"/>
          <w:marBottom w:val="0"/>
          <w:divBdr>
            <w:top w:val="none" w:sz="0" w:space="0" w:color="auto"/>
            <w:left w:val="none" w:sz="0" w:space="0" w:color="auto"/>
            <w:bottom w:val="none" w:sz="0" w:space="0" w:color="auto"/>
            <w:right w:val="none" w:sz="0" w:space="0" w:color="auto"/>
          </w:divBdr>
        </w:div>
        <w:div w:id="992870554">
          <w:marLeft w:val="547"/>
          <w:marRight w:val="0"/>
          <w:marTop w:val="480"/>
          <w:marBottom w:val="0"/>
          <w:divBdr>
            <w:top w:val="none" w:sz="0" w:space="0" w:color="auto"/>
            <w:left w:val="none" w:sz="0" w:space="0" w:color="auto"/>
            <w:bottom w:val="none" w:sz="0" w:space="0" w:color="auto"/>
            <w:right w:val="none" w:sz="0" w:space="0" w:color="auto"/>
          </w:divBdr>
        </w:div>
        <w:div w:id="1345088610">
          <w:marLeft w:val="547"/>
          <w:marRight w:val="0"/>
          <w:marTop w:val="480"/>
          <w:marBottom w:val="0"/>
          <w:divBdr>
            <w:top w:val="none" w:sz="0" w:space="0" w:color="auto"/>
            <w:left w:val="none" w:sz="0" w:space="0" w:color="auto"/>
            <w:bottom w:val="none" w:sz="0" w:space="0" w:color="auto"/>
            <w:right w:val="none" w:sz="0" w:space="0" w:color="auto"/>
          </w:divBdr>
        </w:div>
      </w:divsChild>
    </w:div>
    <w:div w:id="59863502">
      <w:bodyDiv w:val="1"/>
      <w:marLeft w:val="0"/>
      <w:marRight w:val="0"/>
      <w:marTop w:val="0"/>
      <w:marBottom w:val="0"/>
      <w:divBdr>
        <w:top w:val="none" w:sz="0" w:space="0" w:color="auto"/>
        <w:left w:val="none" w:sz="0" w:space="0" w:color="auto"/>
        <w:bottom w:val="none" w:sz="0" w:space="0" w:color="auto"/>
        <w:right w:val="none" w:sz="0" w:space="0" w:color="auto"/>
      </w:divBdr>
    </w:div>
    <w:div w:id="60174786">
      <w:bodyDiv w:val="1"/>
      <w:marLeft w:val="0"/>
      <w:marRight w:val="0"/>
      <w:marTop w:val="0"/>
      <w:marBottom w:val="0"/>
      <w:divBdr>
        <w:top w:val="none" w:sz="0" w:space="0" w:color="auto"/>
        <w:left w:val="none" w:sz="0" w:space="0" w:color="auto"/>
        <w:bottom w:val="none" w:sz="0" w:space="0" w:color="auto"/>
        <w:right w:val="none" w:sz="0" w:space="0" w:color="auto"/>
      </w:divBdr>
    </w:div>
    <w:div w:id="72355789">
      <w:bodyDiv w:val="1"/>
      <w:marLeft w:val="0"/>
      <w:marRight w:val="0"/>
      <w:marTop w:val="0"/>
      <w:marBottom w:val="0"/>
      <w:divBdr>
        <w:top w:val="none" w:sz="0" w:space="0" w:color="auto"/>
        <w:left w:val="none" w:sz="0" w:space="0" w:color="auto"/>
        <w:bottom w:val="none" w:sz="0" w:space="0" w:color="auto"/>
        <w:right w:val="none" w:sz="0" w:space="0" w:color="auto"/>
      </w:divBdr>
    </w:div>
    <w:div w:id="91586111">
      <w:bodyDiv w:val="1"/>
      <w:marLeft w:val="0"/>
      <w:marRight w:val="0"/>
      <w:marTop w:val="0"/>
      <w:marBottom w:val="0"/>
      <w:divBdr>
        <w:top w:val="none" w:sz="0" w:space="0" w:color="auto"/>
        <w:left w:val="none" w:sz="0" w:space="0" w:color="auto"/>
        <w:bottom w:val="none" w:sz="0" w:space="0" w:color="auto"/>
        <w:right w:val="none" w:sz="0" w:space="0" w:color="auto"/>
      </w:divBdr>
    </w:div>
    <w:div w:id="92744688">
      <w:bodyDiv w:val="1"/>
      <w:marLeft w:val="0"/>
      <w:marRight w:val="0"/>
      <w:marTop w:val="0"/>
      <w:marBottom w:val="0"/>
      <w:divBdr>
        <w:top w:val="none" w:sz="0" w:space="0" w:color="auto"/>
        <w:left w:val="none" w:sz="0" w:space="0" w:color="auto"/>
        <w:bottom w:val="none" w:sz="0" w:space="0" w:color="auto"/>
        <w:right w:val="none" w:sz="0" w:space="0" w:color="auto"/>
      </w:divBdr>
    </w:div>
    <w:div w:id="98062742">
      <w:bodyDiv w:val="1"/>
      <w:marLeft w:val="0"/>
      <w:marRight w:val="0"/>
      <w:marTop w:val="0"/>
      <w:marBottom w:val="0"/>
      <w:divBdr>
        <w:top w:val="none" w:sz="0" w:space="0" w:color="auto"/>
        <w:left w:val="none" w:sz="0" w:space="0" w:color="auto"/>
        <w:bottom w:val="none" w:sz="0" w:space="0" w:color="auto"/>
        <w:right w:val="none" w:sz="0" w:space="0" w:color="auto"/>
      </w:divBdr>
    </w:div>
    <w:div w:id="105775360">
      <w:bodyDiv w:val="1"/>
      <w:marLeft w:val="0"/>
      <w:marRight w:val="0"/>
      <w:marTop w:val="0"/>
      <w:marBottom w:val="0"/>
      <w:divBdr>
        <w:top w:val="none" w:sz="0" w:space="0" w:color="auto"/>
        <w:left w:val="none" w:sz="0" w:space="0" w:color="auto"/>
        <w:bottom w:val="none" w:sz="0" w:space="0" w:color="auto"/>
        <w:right w:val="none" w:sz="0" w:space="0" w:color="auto"/>
      </w:divBdr>
    </w:div>
    <w:div w:id="113641911">
      <w:bodyDiv w:val="1"/>
      <w:marLeft w:val="0"/>
      <w:marRight w:val="0"/>
      <w:marTop w:val="0"/>
      <w:marBottom w:val="0"/>
      <w:divBdr>
        <w:top w:val="none" w:sz="0" w:space="0" w:color="auto"/>
        <w:left w:val="none" w:sz="0" w:space="0" w:color="auto"/>
        <w:bottom w:val="none" w:sz="0" w:space="0" w:color="auto"/>
        <w:right w:val="none" w:sz="0" w:space="0" w:color="auto"/>
      </w:divBdr>
    </w:div>
    <w:div w:id="133454440">
      <w:bodyDiv w:val="1"/>
      <w:marLeft w:val="0"/>
      <w:marRight w:val="0"/>
      <w:marTop w:val="0"/>
      <w:marBottom w:val="0"/>
      <w:divBdr>
        <w:top w:val="none" w:sz="0" w:space="0" w:color="auto"/>
        <w:left w:val="none" w:sz="0" w:space="0" w:color="auto"/>
        <w:bottom w:val="none" w:sz="0" w:space="0" w:color="auto"/>
        <w:right w:val="none" w:sz="0" w:space="0" w:color="auto"/>
      </w:divBdr>
    </w:div>
    <w:div w:id="141195212">
      <w:bodyDiv w:val="1"/>
      <w:marLeft w:val="0"/>
      <w:marRight w:val="0"/>
      <w:marTop w:val="0"/>
      <w:marBottom w:val="0"/>
      <w:divBdr>
        <w:top w:val="none" w:sz="0" w:space="0" w:color="auto"/>
        <w:left w:val="none" w:sz="0" w:space="0" w:color="auto"/>
        <w:bottom w:val="none" w:sz="0" w:space="0" w:color="auto"/>
        <w:right w:val="none" w:sz="0" w:space="0" w:color="auto"/>
      </w:divBdr>
    </w:div>
    <w:div w:id="198980288">
      <w:bodyDiv w:val="1"/>
      <w:marLeft w:val="0"/>
      <w:marRight w:val="0"/>
      <w:marTop w:val="0"/>
      <w:marBottom w:val="0"/>
      <w:divBdr>
        <w:top w:val="none" w:sz="0" w:space="0" w:color="auto"/>
        <w:left w:val="none" w:sz="0" w:space="0" w:color="auto"/>
        <w:bottom w:val="none" w:sz="0" w:space="0" w:color="auto"/>
        <w:right w:val="none" w:sz="0" w:space="0" w:color="auto"/>
      </w:divBdr>
    </w:div>
    <w:div w:id="221410610">
      <w:bodyDiv w:val="1"/>
      <w:marLeft w:val="0"/>
      <w:marRight w:val="0"/>
      <w:marTop w:val="0"/>
      <w:marBottom w:val="0"/>
      <w:divBdr>
        <w:top w:val="none" w:sz="0" w:space="0" w:color="auto"/>
        <w:left w:val="none" w:sz="0" w:space="0" w:color="auto"/>
        <w:bottom w:val="none" w:sz="0" w:space="0" w:color="auto"/>
        <w:right w:val="none" w:sz="0" w:space="0" w:color="auto"/>
      </w:divBdr>
    </w:div>
    <w:div w:id="227226961">
      <w:bodyDiv w:val="1"/>
      <w:marLeft w:val="0"/>
      <w:marRight w:val="0"/>
      <w:marTop w:val="0"/>
      <w:marBottom w:val="0"/>
      <w:divBdr>
        <w:top w:val="none" w:sz="0" w:space="0" w:color="auto"/>
        <w:left w:val="none" w:sz="0" w:space="0" w:color="auto"/>
        <w:bottom w:val="none" w:sz="0" w:space="0" w:color="auto"/>
        <w:right w:val="none" w:sz="0" w:space="0" w:color="auto"/>
      </w:divBdr>
    </w:div>
    <w:div w:id="243029860">
      <w:bodyDiv w:val="1"/>
      <w:marLeft w:val="0"/>
      <w:marRight w:val="0"/>
      <w:marTop w:val="0"/>
      <w:marBottom w:val="0"/>
      <w:divBdr>
        <w:top w:val="none" w:sz="0" w:space="0" w:color="auto"/>
        <w:left w:val="none" w:sz="0" w:space="0" w:color="auto"/>
        <w:bottom w:val="none" w:sz="0" w:space="0" w:color="auto"/>
        <w:right w:val="none" w:sz="0" w:space="0" w:color="auto"/>
      </w:divBdr>
    </w:div>
    <w:div w:id="272367665">
      <w:bodyDiv w:val="1"/>
      <w:marLeft w:val="0"/>
      <w:marRight w:val="0"/>
      <w:marTop w:val="0"/>
      <w:marBottom w:val="0"/>
      <w:divBdr>
        <w:top w:val="none" w:sz="0" w:space="0" w:color="auto"/>
        <w:left w:val="none" w:sz="0" w:space="0" w:color="auto"/>
        <w:bottom w:val="none" w:sz="0" w:space="0" w:color="auto"/>
        <w:right w:val="none" w:sz="0" w:space="0" w:color="auto"/>
      </w:divBdr>
    </w:div>
    <w:div w:id="274950576">
      <w:bodyDiv w:val="1"/>
      <w:marLeft w:val="0"/>
      <w:marRight w:val="0"/>
      <w:marTop w:val="0"/>
      <w:marBottom w:val="0"/>
      <w:divBdr>
        <w:top w:val="none" w:sz="0" w:space="0" w:color="auto"/>
        <w:left w:val="none" w:sz="0" w:space="0" w:color="auto"/>
        <w:bottom w:val="none" w:sz="0" w:space="0" w:color="auto"/>
        <w:right w:val="none" w:sz="0" w:space="0" w:color="auto"/>
      </w:divBdr>
    </w:div>
    <w:div w:id="288097593">
      <w:bodyDiv w:val="1"/>
      <w:marLeft w:val="0"/>
      <w:marRight w:val="0"/>
      <w:marTop w:val="0"/>
      <w:marBottom w:val="0"/>
      <w:divBdr>
        <w:top w:val="none" w:sz="0" w:space="0" w:color="auto"/>
        <w:left w:val="none" w:sz="0" w:space="0" w:color="auto"/>
        <w:bottom w:val="none" w:sz="0" w:space="0" w:color="auto"/>
        <w:right w:val="none" w:sz="0" w:space="0" w:color="auto"/>
      </w:divBdr>
    </w:div>
    <w:div w:id="355008999">
      <w:bodyDiv w:val="1"/>
      <w:marLeft w:val="0"/>
      <w:marRight w:val="0"/>
      <w:marTop w:val="0"/>
      <w:marBottom w:val="0"/>
      <w:divBdr>
        <w:top w:val="none" w:sz="0" w:space="0" w:color="auto"/>
        <w:left w:val="none" w:sz="0" w:space="0" w:color="auto"/>
        <w:bottom w:val="none" w:sz="0" w:space="0" w:color="auto"/>
        <w:right w:val="none" w:sz="0" w:space="0" w:color="auto"/>
      </w:divBdr>
    </w:div>
    <w:div w:id="370887081">
      <w:bodyDiv w:val="1"/>
      <w:marLeft w:val="0"/>
      <w:marRight w:val="0"/>
      <w:marTop w:val="0"/>
      <w:marBottom w:val="0"/>
      <w:divBdr>
        <w:top w:val="none" w:sz="0" w:space="0" w:color="auto"/>
        <w:left w:val="none" w:sz="0" w:space="0" w:color="auto"/>
        <w:bottom w:val="none" w:sz="0" w:space="0" w:color="auto"/>
        <w:right w:val="none" w:sz="0" w:space="0" w:color="auto"/>
      </w:divBdr>
    </w:div>
    <w:div w:id="381366435">
      <w:bodyDiv w:val="1"/>
      <w:marLeft w:val="0"/>
      <w:marRight w:val="0"/>
      <w:marTop w:val="0"/>
      <w:marBottom w:val="0"/>
      <w:divBdr>
        <w:top w:val="none" w:sz="0" w:space="0" w:color="auto"/>
        <w:left w:val="none" w:sz="0" w:space="0" w:color="auto"/>
        <w:bottom w:val="none" w:sz="0" w:space="0" w:color="auto"/>
        <w:right w:val="none" w:sz="0" w:space="0" w:color="auto"/>
      </w:divBdr>
    </w:div>
    <w:div w:id="417215875">
      <w:bodyDiv w:val="1"/>
      <w:marLeft w:val="0"/>
      <w:marRight w:val="0"/>
      <w:marTop w:val="0"/>
      <w:marBottom w:val="0"/>
      <w:divBdr>
        <w:top w:val="none" w:sz="0" w:space="0" w:color="auto"/>
        <w:left w:val="none" w:sz="0" w:space="0" w:color="auto"/>
        <w:bottom w:val="none" w:sz="0" w:space="0" w:color="auto"/>
        <w:right w:val="none" w:sz="0" w:space="0" w:color="auto"/>
      </w:divBdr>
    </w:div>
    <w:div w:id="444153297">
      <w:bodyDiv w:val="1"/>
      <w:marLeft w:val="0"/>
      <w:marRight w:val="0"/>
      <w:marTop w:val="0"/>
      <w:marBottom w:val="0"/>
      <w:divBdr>
        <w:top w:val="none" w:sz="0" w:space="0" w:color="auto"/>
        <w:left w:val="none" w:sz="0" w:space="0" w:color="auto"/>
        <w:bottom w:val="none" w:sz="0" w:space="0" w:color="auto"/>
        <w:right w:val="none" w:sz="0" w:space="0" w:color="auto"/>
      </w:divBdr>
    </w:div>
    <w:div w:id="463892418">
      <w:bodyDiv w:val="1"/>
      <w:marLeft w:val="0"/>
      <w:marRight w:val="0"/>
      <w:marTop w:val="0"/>
      <w:marBottom w:val="0"/>
      <w:divBdr>
        <w:top w:val="none" w:sz="0" w:space="0" w:color="auto"/>
        <w:left w:val="none" w:sz="0" w:space="0" w:color="auto"/>
        <w:bottom w:val="none" w:sz="0" w:space="0" w:color="auto"/>
        <w:right w:val="none" w:sz="0" w:space="0" w:color="auto"/>
      </w:divBdr>
    </w:div>
    <w:div w:id="483203453">
      <w:bodyDiv w:val="1"/>
      <w:marLeft w:val="0"/>
      <w:marRight w:val="0"/>
      <w:marTop w:val="0"/>
      <w:marBottom w:val="0"/>
      <w:divBdr>
        <w:top w:val="none" w:sz="0" w:space="0" w:color="auto"/>
        <w:left w:val="none" w:sz="0" w:space="0" w:color="auto"/>
        <w:bottom w:val="none" w:sz="0" w:space="0" w:color="auto"/>
        <w:right w:val="none" w:sz="0" w:space="0" w:color="auto"/>
      </w:divBdr>
    </w:div>
    <w:div w:id="504438952">
      <w:bodyDiv w:val="1"/>
      <w:marLeft w:val="0"/>
      <w:marRight w:val="0"/>
      <w:marTop w:val="0"/>
      <w:marBottom w:val="0"/>
      <w:divBdr>
        <w:top w:val="none" w:sz="0" w:space="0" w:color="auto"/>
        <w:left w:val="none" w:sz="0" w:space="0" w:color="auto"/>
        <w:bottom w:val="none" w:sz="0" w:space="0" w:color="auto"/>
        <w:right w:val="none" w:sz="0" w:space="0" w:color="auto"/>
      </w:divBdr>
    </w:div>
    <w:div w:id="505363203">
      <w:bodyDiv w:val="1"/>
      <w:marLeft w:val="0"/>
      <w:marRight w:val="0"/>
      <w:marTop w:val="0"/>
      <w:marBottom w:val="0"/>
      <w:divBdr>
        <w:top w:val="none" w:sz="0" w:space="0" w:color="auto"/>
        <w:left w:val="none" w:sz="0" w:space="0" w:color="auto"/>
        <w:bottom w:val="none" w:sz="0" w:space="0" w:color="auto"/>
        <w:right w:val="none" w:sz="0" w:space="0" w:color="auto"/>
      </w:divBdr>
      <w:divsChild>
        <w:div w:id="71002200">
          <w:marLeft w:val="1166"/>
          <w:marRight w:val="0"/>
          <w:marTop w:val="106"/>
          <w:marBottom w:val="0"/>
          <w:divBdr>
            <w:top w:val="none" w:sz="0" w:space="0" w:color="auto"/>
            <w:left w:val="none" w:sz="0" w:space="0" w:color="auto"/>
            <w:bottom w:val="none" w:sz="0" w:space="0" w:color="auto"/>
            <w:right w:val="none" w:sz="0" w:space="0" w:color="auto"/>
          </w:divBdr>
        </w:div>
        <w:div w:id="250743601">
          <w:marLeft w:val="1166"/>
          <w:marRight w:val="0"/>
          <w:marTop w:val="240"/>
          <w:marBottom w:val="240"/>
          <w:divBdr>
            <w:top w:val="none" w:sz="0" w:space="0" w:color="auto"/>
            <w:left w:val="none" w:sz="0" w:space="0" w:color="auto"/>
            <w:bottom w:val="none" w:sz="0" w:space="0" w:color="auto"/>
            <w:right w:val="none" w:sz="0" w:space="0" w:color="auto"/>
          </w:divBdr>
        </w:div>
        <w:div w:id="448282582">
          <w:marLeft w:val="547"/>
          <w:marRight w:val="0"/>
          <w:marTop w:val="106"/>
          <w:marBottom w:val="120"/>
          <w:divBdr>
            <w:top w:val="none" w:sz="0" w:space="0" w:color="auto"/>
            <w:left w:val="none" w:sz="0" w:space="0" w:color="auto"/>
            <w:bottom w:val="none" w:sz="0" w:space="0" w:color="auto"/>
            <w:right w:val="none" w:sz="0" w:space="0" w:color="auto"/>
          </w:divBdr>
        </w:div>
        <w:div w:id="1471366164">
          <w:marLeft w:val="1166"/>
          <w:marRight w:val="0"/>
          <w:marTop w:val="106"/>
          <w:marBottom w:val="0"/>
          <w:divBdr>
            <w:top w:val="none" w:sz="0" w:space="0" w:color="auto"/>
            <w:left w:val="none" w:sz="0" w:space="0" w:color="auto"/>
            <w:bottom w:val="none" w:sz="0" w:space="0" w:color="auto"/>
            <w:right w:val="none" w:sz="0" w:space="0" w:color="auto"/>
          </w:divBdr>
        </w:div>
        <w:div w:id="1661888388">
          <w:marLeft w:val="1166"/>
          <w:marRight w:val="0"/>
          <w:marTop w:val="240"/>
          <w:marBottom w:val="240"/>
          <w:divBdr>
            <w:top w:val="none" w:sz="0" w:space="0" w:color="auto"/>
            <w:left w:val="none" w:sz="0" w:space="0" w:color="auto"/>
            <w:bottom w:val="none" w:sz="0" w:space="0" w:color="auto"/>
            <w:right w:val="none" w:sz="0" w:space="0" w:color="auto"/>
          </w:divBdr>
        </w:div>
      </w:divsChild>
    </w:div>
    <w:div w:id="552930736">
      <w:bodyDiv w:val="1"/>
      <w:marLeft w:val="0"/>
      <w:marRight w:val="0"/>
      <w:marTop w:val="0"/>
      <w:marBottom w:val="0"/>
      <w:divBdr>
        <w:top w:val="none" w:sz="0" w:space="0" w:color="auto"/>
        <w:left w:val="none" w:sz="0" w:space="0" w:color="auto"/>
        <w:bottom w:val="none" w:sz="0" w:space="0" w:color="auto"/>
        <w:right w:val="none" w:sz="0" w:space="0" w:color="auto"/>
      </w:divBdr>
    </w:div>
    <w:div w:id="569926314">
      <w:bodyDiv w:val="1"/>
      <w:marLeft w:val="0"/>
      <w:marRight w:val="0"/>
      <w:marTop w:val="0"/>
      <w:marBottom w:val="0"/>
      <w:divBdr>
        <w:top w:val="none" w:sz="0" w:space="0" w:color="auto"/>
        <w:left w:val="none" w:sz="0" w:space="0" w:color="auto"/>
        <w:bottom w:val="none" w:sz="0" w:space="0" w:color="auto"/>
        <w:right w:val="none" w:sz="0" w:space="0" w:color="auto"/>
      </w:divBdr>
    </w:div>
    <w:div w:id="586304127">
      <w:bodyDiv w:val="1"/>
      <w:marLeft w:val="0"/>
      <w:marRight w:val="0"/>
      <w:marTop w:val="0"/>
      <w:marBottom w:val="0"/>
      <w:divBdr>
        <w:top w:val="none" w:sz="0" w:space="0" w:color="auto"/>
        <w:left w:val="none" w:sz="0" w:space="0" w:color="auto"/>
        <w:bottom w:val="none" w:sz="0" w:space="0" w:color="auto"/>
        <w:right w:val="none" w:sz="0" w:space="0" w:color="auto"/>
      </w:divBdr>
    </w:div>
    <w:div w:id="609625765">
      <w:bodyDiv w:val="1"/>
      <w:marLeft w:val="0"/>
      <w:marRight w:val="0"/>
      <w:marTop w:val="0"/>
      <w:marBottom w:val="0"/>
      <w:divBdr>
        <w:top w:val="none" w:sz="0" w:space="0" w:color="auto"/>
        <w:left w:val="none" w:sz="0" w:space="0" w:color="auto"/>
        <w:bottom w:val="none" w:sz="0" w:space="0" w:color="auto"/>
        <w:right w:val="none" w:sz="0" w:space="0" w:color="auto"/>
      </w:divBdr>
    </w:div>
    <w:div w:id="623467461">
      <w:bodyDiv w:val="1"/>
      <w:marLeft w:val="0"/>
      <w:marRight w:val="0"/>
      <w:marTop w:val="0"/>
      <w:marBottom w:val="0"/>
      <w:divBdr>
        <w:top w:val="none" w:sz="0" w:space="0" w:color="auto"/>
        <w:left w:val="none" w:sz="0" w:space="0" w:color="auto"/>
        <w:bottom w:val="none" w:sz="0" w:space="0" w:color="auto"/>
        <w:right w:val="none" w:sz="0" w:space="0" w:color="auto"/>
      </w:divBdr>
    </w:div>
    <w:div w:id="697198752">
      <w:bodyDiv w:val="1"/>
      <w:marLeft w:val="0"/>
      <w:marRight w:val="0"/>
      <w:marTop w:val="0"/>
      <w:marBottom w:val="0"/>
      <w:divBdr>
        <w:top w:val="none" w:sz="0" w:space="0" w:color="auto"/>
        <w:left w:val="none" w:sz="0" w:space="0" w:color="auto"/>
        <w:bottom w:val="none" w:sz="0" w:space="0" w:color="auto"/>
        <w:right w:val="none" w:sz="0" w:space="0" w:color="auto"/>
      </w:divBdr>
    </w:div>
    <w:div w:id="705562083">
      <w:bodyDiv w:val="1"/>
      <w:marLeft w:val="0"/>
      <w:marRight w:val="0"/>
      <w:marTop w:val="0"/>
      <w:marBottom w:val="0"/>
      <w:divBdr>
        <w:top w:val="none" w:sz="0" w:space="0" w:color="auto"/>
        <w:left w:val="none" w:sz="0" w:space="0" w:color="auto"/>
        <w:bottom w:val="none" w:sz="0" w:space="0" w:color="auto"/>
        <w:right w:val="none" w:sz="0" w:space="0" w:color="auto"/>
      </w:divBdr>
    </w:div>
    <w:div w:id="707071461">
      <w:bodyDiv w:val="1"/>
      <w:marLeft w:val="0"/>
      <w:marRight w:val="0"/>
      <w:marTop w:val="0"/>
      <w:marBottom w:val="0"/>
      <w:divBdr>
        <w:top w:val="none" w:sz="0" w:space="0" w:color="auto"/>
        <w:left w:val="none" w:sz="0" w:space="0" w:color="auto"/>
        <w:bottom w:val="none" w:sz="0" w:space="0" w:color="auto"/>
        <w:right w:val="none" w:sz="0" w:space="0" w:color="auto"/>
      </w:divBdr>
    </w:div>
    <w:div w:id="716589457">
      <w:bodyDiv w:val="1"/>
      <w:marLeft w:val="0"/>
      <w:marRight w:val="0"/>
      <w:marTop w:val="0"/>
      <w:marBottom w:val="0"/>
      <w:divBdr>
        <w:top w:val="none" w:sz="0" w:space="0" w:color="auto"/>
        <w:left w:val="none" w:sz="0" w:space="0" w:color="auto"/>
        <w:bottom w:val="none" w:sz="0" w:space="0" w:color="auto"/>
        <w:right w:val="none" w:sz="0" w:space="0" w:color="auto"/>
      </w:divBdr>
    </w:div>
    <w:div w:id="742607353">
      <w:bodyDiv w:val="1"/>
      <w:marLeft w:val="0"/>
      <w:marRight w:val="0"/>
      <w:marTop w:val="0"/>
      <w:marBottom w:val="0"/>
      <w:divBdr>
        <w:top w:val="none" w:sz="0" w:space="0" w:color="auto"/>
        <w:left w:val="none" w:sz="0" w:space="0" w:color="auto"/>
        <w:bottom w:val="none" w:sz="0" w:space="0" w:color="auto"/>
        <w:right w:val="none" w:sz="0" w:space="0" w:color="auto"/>
      </w:divBdr>
    </w:div>
    <w:div w:id="754941248">
      <w:bodyDiv w:val="1"/>
      <w:marLeft w:val="0"/>
      <w:marRight w:val="0"/>
      <w:marTop w:val="0"/>
      <w:marBottom w:val="0"/>
      <w:divBdr>
        <w:top w:val="none" w:sz="0" w:space="0" w:color="auto"/>
        <w:left w:val="none" w:sz="0" w:space="0" w:color="auto"/>
        <w:bottom w:val="none" w:sz="0" w:space="0" w:color="auto"/>
        <w:right w:val="none" w:sz="0" w:space="0" w:color="auto"/>
      </w:divBdr>
      <w:divsChild>
        <w:div w:id="62995164">
          <w:marLeft w:val="547"/>
          <w:marRight w:val="0"/>
          <w:marTop w:val="134"/>
          <w:marBottom w:val="0"/>
          <w:divBdr>
            <w:top w:val="none" w:sz="0" w:space="0" w:color="auto"/>
            <w:left w:val="none" w:sz="0" w:space="0" w:color="auto"/>
            <w:bottom w:val="none" w:sz="0" w:space="0" w:color="auto"/>
            <w:right w:val="none" w:sz="0" w:space="0" w:color="auto"/>
          </w:divBdr>
        </w:div>
        <w:div w:id="1329476233">
          <w:marLeft w:val="547"/>
          <w:marRight w:val="0"/>
          <w:marTop w:val="480"/>
          <w:marBottom w:val="0"/>
          <w:divBdr>
            <w:top w:val="none" w:sz="0" w:space="0" w:color="auto"/>
            <w:left w:val="none" w:sz="0" w:space="0" w:color="auto"/>
            <w:bottom w:val="none" w:sz="0" w:space="0" w:color="auto"/>
            <w:right w:val="none" w:sz="0" w:space="0" w:color="auto"/>
          </w:divBdr>
        </w:div>
        <w:div w:id="1391028756">
          <w:marLeft w:val="547"/>
          <w:marRight w:val="0"/>
          <w:marTop w:val="480"/>
          <w:marBottom w:val="0"/>
          <w:divBdr>
            <w:top w:val="none" w:sz="0" w:space="0" w:color="auto"/>
            <w:left w:val="none" w:sz="0" w:space="0" w:color="auto"/>
            <w:bottom w:val="none" w:sz="0" w:space="0" w:color="auto"/>
            <w:right w:val="none" w:sz="0" w:space="0" w:color="auto"/>
          </w:divBdr>
        </w:div>
        <w:div w:id="1464156601">
          <w:marLeft w:val="547"/>
          <w:marRight w:val="0"/>
          <w:marTop w:val="480"/>
          <w:marBottom w:val="0"/>
          <w:divBdr>
            <w:top w:val="none" w:sz="0" w:space="0" w:color="auto"/>
            <w:left w:val="none" w:sz="0" w:space="0" w:color="auto"/>
            <w:bottom w:val="none" w:sz="0" w:space="0" w:color="auto"/>
            <w:right w:val="none" w:sz="0" w:space="0" w:color="auto"/>
          </w:divBdr>
        </w:div>
      </w:divsChild>
    </w:div>
    <w:div w:id="785736910">
      <w:bodyDiv w:val="1"/>
      <w:marLeft w:val="0"/>
      <w:marRight w:val="0"/>
      <w:marTop w:val="0"/>
      <w:marBottom w:val="0"/>
      <w:divBdr>
        <w:top w:val="none" w:sz="0" w:space="0" w:color="auto"/>
        <w:left w:val="none" w:sz="0" w:space="0" w:color="auto"/>
        <w:bottom w:val="none" w:sz="0" w:space="0" w:color="auto"/>
        <w:right w:val="none" w:sz="0" w:space="0" w:color="auto"/>
      </w:divBdr>
    </w:div>
    <w:div w:id="792602647">
      <w:bodyDiv w:val="1"/>
      <w:marLeft w:val="0"/>
      <w:marRight w:val="0"/>
      <w:marTop w:val="0"/>
      <w:marBottom w:val="0"/>
      <w:divBdr>
        <w:top w:val="none" w:sz="0" w:space="0" w:color="auto"/>
        <w:left w:val="none" w:sz="0" w:space="0" w:color="auto"/>
        <w:bottom w:val="none" w:sz="0" w:space="0" w:color="auto"/>
        <w:right w:val="none" w:sz="0" w:space="0" w:color="auto"/>
      </w:divBdr>
    </w:div>
    <w:div w:id="804809721">
      <w:bodyDiv w:val="1"/>
      <w:marLeft w:val="0"/>
      <w:marRight w:val="0"/>
      <w:marTop w:val="0"/>
      <w:marBottom w:val="0"/>
      <w:divBdr>
        <w:top w:val="none" w:sz="0" w:space="0" w:color="auto"/>
        <w:left w:val="none" w:sz="0" w:space="0" w:color="auto"/>
        <w:bottom w:val="none" w:sz="0" w:space="0" w:color="auto"/>
        <w:right w:val="none" w:sz="0" w:space="0" w:color="auto"/>
      </w:divBdr>
    </w:div>
    <w:div w:id="835851002">
      <w:bodyDiv w:val="1"/>
      <w:marLeft w:val="0"/>
      <w:marRight w:val="0"/>
      <w:marTop w:val="0"/>
      <w:marBottom w:val="0"/>
      <w:divBdr>
        <w:top w:val="none" w:sz="0" w:space="0" w:color="auto"/>
        <w:left w:val="none" w:sz="0" w:space="0" w:color="auto"/>
        <w:bottom w:val="none" w:sz="0" w:space="0" w:color="auto"/>
        <w:right w:val="none" w:sz="0" w:space="0" w:color="auto"/>
      </w:divBdr>
    </w:div>
    <w:div w:id="845021765">
      <w:bodyDiv w:val="1"/>
      <w:marLeft w:val="0"/>
      <w:marRight w:val="0"/>
      <w:marTop w:val="0"/>
      <w:marBottom w:val="0"/>
      <w:divBdr>
        <w:top w:val="none" w:sz="0" w:space="0" w:color="auto"/>
        <w:left w:val="none" w:sz="0" w:space="0" w:color="auto"/>
        <w:bottom w:val="none" w:sz="0" w:space="0" w:color="auto"/>
        <w:right w:val="none" w:sz="0" w:space="0" w:color="auto"/>
      </w:divBdr>
    </w:div>
    <w:div w:id="860440607">
      <w:bodyDiv w:val="1"/>
      <w:marLeft w:val="0"/>
      <w:marRight w:val="0"/>
      <w:marTop w:val="0"/>
      <w:marBottom w:val="0"/>
      <w:divBdr>
        <w:top w:val="none" w:sz="0" w:space="0" w:color="auto"/>
        <w:left w:val="none" w:sz="0" w:space="0" w:color="auto"/>
        <w:bottom w:val="none" w:sz="0" w:space="0" w:color="auto"/>
        <w:right w:val="none" w:sz="0" w:space="0" w:color="auto"/>
      </w:divBdr>
    </w:div>
    <w:div w:id="881329012">
      <w:bodyDiv w:val="1"/>
      <w:marLeft w:val="0"/>
      <w:marRight w:val="0"/>
      <w:marTop w:val="0"/>
      <w:marBottom w:val="0"/>
      <w:divBdr>
        <w:top w:val="none" w:sz="0" w:space="0" w:color="auto"/>
        <w:left w:val="none" w:sz="0" w:space="0" w:color="auto"/>
        <w:bottom w:val="none" w:sz="0" w:space="0" w:color="auto"/>
        <w:right w:val="none" w:sz="0" w:space="0" w:color="auto"/>
      </w:divBdr>
    </w:div>
    <w:div w:id="882208321">
      <w:bodyDiv w:val="1"/>
      <w:marLeft w:val="0"/>
      <w:marRight w:val="0"/>
      <w:marTop w:val="0"/>
      <w:marBottom w:val="0"/>
      <w:divBdr>
        <w:top w:val="none" w:sz="0" w:space="0" w:color="auto"/>
        <w:left w:val="none" w:sz="0" w:space="0" w:color="auto"/>
        <w:bottom w:val="none" w:sz="0" w:space="0" w:color="auto"/>
        <w:right w:val="none" w:sz="0" w:space="0" w:color="auto"/>
      </w:divBdr>
    </w:div>
    <w:div w:id="913660169">
      <w:bodyDiv w:val="1"/>
      <w:marLeft w:val="0"/>
      <w:marRight w:val="0"/>
      <w:marTop w:val="0"/>
      <w:marBottom w:val="0"/>
      <w:divBdr>
        <w:top w:val="none" w:sz="0" w:space="0" w:color="auto"/>
        <w:left w:val="none" w:sz="0" w:space="0" w:color="auto"/>
        <w:bottom w:val="none" w:sz="0" w:space="0" w:color="auto"/>
        <w:right w:val="none" w:sz="0" w:space="0" w:color="auto"/>
      </w:divBdr>
    </w:div>
    <w:div w:id="948051240">
      <w:bodyDiv w:val="1"/>
      <w:marLeft w:val="0"/>
      <w:marRight w:val="0"/>
      <w:marTop w:val="0"/>
      <w:marBottom w:val="0"/>
      <w:divBdr>
        <w:top w:val="none" w:sz="0" w:space="0" w:color="auto"/>
        <w:left w:val="none" w:sz="0" w:space="0" w:color="auto"/>
        <w:bottom w:val="none" w:sz="0" w:space="0" w:color="auto"/>
        <w:right w:val="none" w:sz="0" w:space="0" w:color="auto"/>
      </w:divBdr>
    </w:div>
    <w:div w:id="954949377">
      <w:bodyDiv w:val="1"/>
      <w:marLeft w:val="0"/>
      <w:marRight w:val="0"/>
      <w:marTop w:val="0"/>
      <w:marBottom w:val="0"/>
      <w:divBdr>
        <w:top w:val="none" w:sz="0" w:space="0" w:color="auto"/>
        <w:left w:val="none" w:sz="0" w:space="0" w:color="auto"/>
        <w:bottom w:val="none" w:sz="0" w:space="0" w:color="auto"/>
        <w:right w:val="none" w:sz="0" w:space="0" w:color="auto"/>
      </w:divBdr>
    </w:div>
    <w:div w:id="966550535">
      <w:bodyDiv w:val="1"/>
      <w:marLeft w:val="0"/>
      <w:marRight w:val="0"/>
      <w:marTop w:val="0"/>
      <w:marBottom w:val="0"/>
      <w:divBdr>
        <w:top w:val="none" w:sz="0" w:space="0" w:color="auto"/>
        <w:left w:val="none" w:sz="0" w:space="0" w:color="auto"/>
        <w:bottom w:val="none" w:sz="0" w:space="0" w:color="auto"/>
        <w:right w:val="none" w:sz="0" w:space="0" w:color="auto"/>
      </w:divBdr>
    </w:div>
    <w:div w:id="975530664">
      <w:bodyDiv w:val="1"/>
      <w:marLeft w:val="0"/>
      <w:marRight w:val="0"/>
      <w:marTop w:val="0"/>
      <w:marBottom w:val="0"/>
      <w:divBdr>
        <w:top w:val="none" w:sz="0" w:space="0" w:color="auto"/>
        <w:left w:val="none" w:sz="0" w:space="0" w:color="auto"/>
        <w:bottom w:val="none" w:sz="0" w:space="0" w:color="auto"/>
        <w:right w:val="none" w:sz="0" w:space="0" w:color="auto"/>
      </w:divBdr>
    </w:div>
    <w:div w:id="991761417">
      <w:bodyDiv w:val="1"/>
      <w:marLeft w:val="0"/>
      <w:marRight w:val="0"/>
      <w:marTop w:val="0"/>
      <w:marBottom w:val="0"/>
      <w:divBdr>
        <w:top w:val="none" w:sz="0" w:space="0" w:color="auto"/>
        <w:left w:val="none" w:sz="0" w:space="0" w:color="auto"/>
        <w:bottom w:val="none" w:sz="0" w:space="0" w:color="auto"/>
        <w:right w:val="none" w:sz="0" w:space="0" w:color="auto"/>
      </w:divBdr>
    </w:div>
    <w:div w:id="1001395232">
      <w:bodyDiv w:val="1"/>
      <w:marLeft w:val="0"/>
      <w:marRight w:val="0"/>
      <w:marTop w:val="0"/>
      <w:marBottom w:val="0"/>
      <w:divBdr>
        <w:top w:val="none" w:sz="0" w:space="0" w:color="auto"/>
        <w:left w:val="none" w:sz="0" w:space="0" w:color="auto"/>
        <w:bottom w:val="none" w:sz="0" w:space="0" w:color="auto"/>
        <w:right w:val="none" w:sz="0" w:space="0" w:color="auto"/>
      </w:divBdr>
    </w:div>
    <w:div w:id="1008097681">
      <w:bodyDiv w:val="1"/>
      <w:marLeft w:val="0"/>
      <w:marRight w:val="0"/>
      <w:marTop w:val="0"/>
      <w:marBottom w:val="0"/>
      <w:divBdr>
        <w:top w:val="none" w:sz="0" w:space="0" w:color="auto"/>
        <w:left w:val="none" w:sz="0" w:space="0" w:color="auto"/>
        <w:bottom w:val="none" w:sz="0" w:space="0" w:color="auto"/>
        <w:right w:val="none" w:sz="0" w:space="0" w:color="auto"/>
      </w:divBdr>
    </w:div>
    <w:div w:id="1036739954">
      <w:bodyDiv w:val="1"/>
      <w:marLeft w:val="0"/>
      <w:marRight w:val="0"/>
      <w:marTop w:val="0"/>
      <w:marBottom w:val="0"/>
      <w:divBdr>
        <w:top w:val="none" w:sz="0" w:space="0" w:color="auto"/>
        <w:left w:val="none" w:sz="0" w:space="0" w:color="auto"/>
        <w:bottom w:val="none" w:sz="0" w:space="0" w:color="auto"/>
        <w:right w:val="none" w:sz="0" w:space="0" w:color="auto"/>
      </w:divBdr>
    </w:div>
    <w:div w:id="1057901008">
      <w:bodyDiv w:val="1"/>
      <w:marLeft w:val="0"/>
      <w:marRight w:val="0"/>
      <w:marTop w:val="0"/>
      <w:marBottom w:val="0"/>
      <w:divBdr>
        <w:top w:val="none" w:sz="0" w:space="0" w:color="auto"/>
        <w:left w:val="none" w:sz="0" w:space="0" w:color="auto"/>
        <w:bottom w:val="none" w:sz="0" w:space="0" w:color="auto"/>
        <w:right w:val="none" w:sz="0" w:space="0" w:color="auto"/>
      </w:divBdr>
    </w:div>
    <w:div w:id="1073970573">
      <w:bodyDiv w:val="1"/>
      <w:marLeft w:val="0"/>
      <w:marRight w:val="0"/>
      <w:marTop w:val="0"/>
      <w:marBottom w:val="0"/>
      <w:divBdr>
        <w:top w:val="none" w:sz="0" w:space="0" w:color="auto"/>
        <w:left w:val="none" w:sz="0" w:space="0" w:color="auto"/>
        <w:bottom w:val="none" w:sz="0" w:space="0" w:color="auto"/>
        <w:right w:val="none" w:sz="0" w:space="0" w:color="auto"/>
      </w:divBdr>
    </w:div>
    <w:div w:id="1094472731">
      <w:bodyDiv w:val="1"/>
      <w:marLeft w:val="0"/>
      <w:marRight w:val="0"/>
      <w:marTop w:val="0"/>
      <w:marBottom w:val="0"/>
      <w:divBdr>
        <w:top w:val="none" w:sz="0" w:space="0" w:color="auto"/>
        <w:left w:val="none" w:sz="0" w:space="0" w:color="auto"/>
        <w:bottom w:val="none" w:sz="0" w:space="0" w:color="auto"/>
        <w:right w:val="none" w:sz="0" w:space="0" w:color="auto"/>
      </w:divBdr>
    </w:div>
    <w:div w:id="1140415759">
      <w:bodyDiv w:val="1"/>
      <w:marLeft w:val="0"/>
      <w:marRight w:val="0"/>
      <w:marTop w:val="0"/>
      <w:marBottom w:val="0"/>
      <w:divBdr>
        <w:top w:val="none" w:sz="0" w:space="0" w:color="auto"/>
        <w:left w:val="none" w:sz="0" w:space="0" w:color="auto"/>
        <w:bottom w:val="none" w:sz="0" w:space="0" w:color="auto"/>
        <w:right w:val="none" w:sz="0" w:space="0" w:color="auto"/>
      </w:divBdr>
    </w:div>
    <w:div w:id="1200555944">
      <w:bodyDiv w:val="1"/>
      <w:marLeft w:val="0"/>
      <w:marRight w:val="0"/>
      <w:marTop w:val="0"/>
      <w:marBottom w:val="0"/>
      <w:divBdr>
        <w:top w:val="none" w:sz="0" w:space="0" w:color="auto"/>
        <w:left w:val="none" w:sz="0" w:space="0" w:color="auto"/>
        <w:bottom w:val="none" w:sz="0" w:space="0" w:color="auto"/>
        <w:right w:val="none" w:sz="0" w:space="0" w:color="auto"/>
      </w:divBdr>
    </w:div>
    <w:div w:id="1265765960">
      <w:bodyDiv w:val="1"/>
      <w:marLeft w:val="0"/>
      <w:marRight w:val="0"/>
      <w:marTop w:val="0"/>
      <w:marBottom w:val="0"/>
      <w:divBdr>
        <w:top w:val="none" w:sz="0" w:space="0" w:color="auto"/>
        <w:left w:val="none" w:sz="0" w:space="0" w:color="auto"/>
        <w:bottom w:val="none" w:sz="0" w:space="0" w:color="auto"/>
        <w:right w:val="none" w:sz="0" w:space="0" w:color="auto"/>
      </w:divBdr>
    </w:div>
    <w:div w:id="1284536680">
      <w:bodyDiv w:val="1"/>
      <w:marLeft w:val="0"/>
      <w:marRight w:val="0"/>
      <w:marTop w:val="0"/>
      <w:marBottom w:val="0"/>
      <w:divBdr>
        <w:top w:val="none" w:sz="0" w:space="0" w:color="auto"/>
        <w:left w:val="none" w:sz="0" w:space="0" w:color="auto"/>
        <w:bottom w:val="none" w:sz="0" w:space="0" w:color="auto"/>
        <w:right w:val="none" w:sz="0" w:space="0" w:color="auto"/>
      </w:divBdr>
    </w:div>
    <w:div w:id="1286738468">
      <w:bodyDiv w:val="1"/>
      <w:marLeft w:val="0"/>
      <w:marRight w:val="0"/>
      <w:marTop w:val="0"/>
      <w:marBottom w:val="0"/>
      <w:divBdr>
        <w:top w:val="none" w:sz="0" w:space="0" w:color="auto"/>
        <w:left w:val="none" w:sz="0" w:space="0" w:color="auto"/>
        <w:bottom w:val="none" w:sz="0" w:space="0" w:color="auto"/>
        <w:right w:val="none" w:sz="0" w:space="0" w:color="auto"/>
      </w:divBdr>
    </w:div>
    <w:div w:id="1298415102">
      <w:bodyDiv w:val="1"/>
      <w:marLeft w:val="0"/>
      <w:marRight w:val="0"/>
      <w:marTop w:val="0"/>
      <w:marBottom w:val="0"/>
      <w:divBdr>
        <w:top w:val="none" w:sz="0" w:space="0" w:color="auto"/>
        <w:left w:val="none" w:sz="0" w:space="0" w:color="auto"/>
        <w:bottom w:val="none" w:sz="0" w:space="0" w:color="auto"/>
        <w:right w:val="none" w:sz="0" w:space="0" w:color="auto"/>
      </w:divBdr>
    </w:div>
    <w:div w:id="1299144655">
      <w:bodyDiv w:val="1"/>
      <w:marLeft w:val="0"/>
      <w:marRight w:val="0"/>
      <w:marTop w:val="0"/>
      <w:marBottom w:val="0"/>
      <w:divBdr>
        <w:top w:val="none" w:sz="0" w:space="0" w:color="auto"/>
        <w:left w:val="none" w:sz="0" w:space="0" w:color="auto"/>
        <w:bottom w:val="none" w:sz="0" w:space="0" w:color="auto"/>
        <w:right w:val="none" w:sz="0" w:space="0" w:color="auto"/>
      </w:divBdr>
    </w:div>
    <w:div w:id="1343242628">
      <w:bodyDiv w:val="1"/>
      <w:marLeft w:val="0"/>
      <w:marRight w:val="0"/>
      <w:marTop w:val="0"/>
      <w:marBottom w:val="0"/>
      <w:divBdr>
        <w:top w:val="none" w:sz="0" w:space="0" w:color="auto"/>
        <w:left w:val="none" w:sz="0" w:space="0" w:color="auto"/>
        <w:bottom w:val="none" w:sz="0" w:space="0" w:color="auto"/>
        <w:right w:val="none" w:sz="0" w:space="0" w:color="auto"/>
      </w:divBdr>
    </w:div>
    <w:div w:id="1345127862">
      <w:bodyDiv w:val="1"/>
      <w:marLeft w:val="0"/>
      <w:marRight w:val="0"/>
      <w:marTop w:val="0"/>
      <w:marBottom w:val="0"/>
      <w:divBdr>
        <w:top w:val="none" w:sz="0" w:space="0" w:color="auto"/>
        <w:left w:val="none" w:sz="0" w:space="0" w:color="auto"/>
        <w:bottom w:val="none" w:sz="0" w:space="0" w:color="auto"/>
        <w:right w:val="none" w:sz="0" w:space="0" w:color="auto"/>
      </w:divBdr>
    </w:div>
    <w:div w:id="1365643068">
      <w:bodyDiv w:val="1"/>
      <w:marLeft w:val="0"/>
      <w:marRight w:val="0"/>
      <w:marTop w:val="0"/>
      <w:marBottom w:val="0"/>
      <w:divBdr>
        <w:top w:val="none" w:sz="0" w:space="0" w:color="auto"/>
        <w:left w:val="none" w:sz="0" w:space="0" w:color="auto"/>
        <w:bottom w:val="none" w:sz="0" w:space="0" w:color="auto"/>
        <w:right w:val="none" w:sz="0" w:space="0" w:color="auto"/>
      </w:divBdr>
    </w:div>
    <w:div w:id="1377850289">
      <w:bodyDiv w:val="1"/>
      <w:marLeft w:val="0"/>
      <w:marRight w:val="0"/>
      <w:marTop w:val="0"/>
      <w:marBottom w:val="0"/>
      <w:divBdr>
        <w:top w:val="none" w:sz="0" w:space="0" w:color="auto"/>
        <w:left w:val="none" w:sz="0" w:space="0" w:color="auto"/>
        <w:bottom w:val="none" w:sz="0" w:space="0" w:color="auto"/>
        <w:right w:val="none" w:sz="0" w:space="0" w:color="auto"/>
      </w:divBdr>
    </w:div>
    <w:div w:id="1385328149">
      <w:bodyDiv w:val="1"/>
      <w:marLeft w:val="0"/>
      <w:marRight w:val="0"/>
      <w:marTop w:val="0"/>
      <w:marBottom w:val="0"/>
      <w:divBdr>
        <w:top w:val="none" w:sz="0" w:space="0" w:color="auto"/>
        <w:left w:val="none" w:sz="0" w:space="0" w:color="auto"/>
        <w:bottom w:val="none" w:sz="0" w:space="0" w:color="auto"/>
        <w:right w:val="none" w:sz="0" w:space="0" w:color="auto"/>
      </w:divBdr>
    </w:div>
    <w:div w:id="1434132501">
      <w:bodyDiv w:val="1"/>
      <w:marLeft w:val="0"/>
      <w:marRight w:val="0"/>
      <w:marTop w:val="0"/>
      <w:marBottom w:val="0"/>
      <w:divBdr>
        <w:top w:val="none" w:sz="0" w:space="0" w:color="auto"/>
        <w:left w:val="none" w:sz="0" w:space="0" w:color="auto"/>
        <w:bottom w:val="none" w:sz="0" w:space="0" w:color="auto"/>
        <w:right w:val="none" w:sz="0" w:space="0" w:color="auto"/>
      </w:divBdr>
    </w:div>
    <w:div w:id="1473597163">
      <w:bodyDiv w:val="1"/>
      <w:marLeft w:val="0"/>
      <w:marRight w:val="0"/>
      <w:marTop w:val="0"/>
      <w:marBottom w:val="0"/>
      <w:divBdr>
        <w:top w:val="none" w:sz="0" w:space="0" w:color="auto"/>
        <w:left w:val="none" w:sz="0" w:space="0" w:color="auto"/>
        <w:bottom w:val="none" w:sz="0" w:space="0" w:color="auto"/>
        <w:right w:val="none" w:sz="0" w:space="0" w:color="auto"/>
      </w:divBdr>
    </w:div>
    <w:div w:id="1474103572">
      <w:bodyDiv w:val="1"/>
      <w:marLeft w:val="0"/>
      <w:marRight w:val="0"/>
      <w:marTop w:val="0"/>
      <w:marBottom w:val="0"/>
      <w:divBdr>
        <w:top w:val="none" w:sz="0" w:space="0" w:color="auto"/>
        <w:left w:val="none" w:sz="0" w:space="0" w:color="auto"/>
        <w:bottom w:val="none" w:sz="0" w:space="0" w:color="auto"/>
        <w:right w:val="none" w:sz="0" w:space="0" w:color="auto"/>
      </w:divBdr>
    </w:div>
    <w:div w:id="1487092385">
      <w:bodyDiv w:val="1"/>
      <w:marLeft w:val="0"/>
      <w:marRight w:val="0"/>
      <w:marTop w:val="0"/>
      <w:marBottom w:val="0"/>
      <w:divBdr>
        <w:top w:val="none" w:sz="0" w:space="0" w:color="auto"/>
        <w:left w:val="none" w:sz="0" w:space="0" w:color="auto"/>
        <w:bottom w:val="none" w:sz="0" w:space="0" w:color="auto"/>
        <w:right w:val="none" w:sz="0" w:space="0" w:color="auto"/>
      </w:divBdr>
    </w:div>
    <w:div w:id="1493259727">
      <w:bodyDiv w:val="1"/>
      <w:marLeft w:val="0"/>
      <w:marRight w:val="0"/>
      <w:marTop w:val="0"/>
      <w:marBottom w:val="0"/>
      <w:divBdr>
        <w:top w:val="none" w:sz="0" w:space="0" w:color="auto"/>
        <w:left w:val="none" w:sz="0" w:space="0" w:color="auto"/>
        <w:bottom w:val="none" w:sz="0" w:space="0" w:color="auto"/>
        <w:right w:val="none" w:sz="0" w:space="0" w:color="auto"/>
      </w:divBdr>
    </w:div>
    <w:div w:id="1496189063">
      <w:bodyDiv w:val="1"/>
      <w:marLeft w:val="0"/>
      <w:marRight w:val="0"/>
      <w:marTop w:val="0"/>
      <w:marBottom w:val="0"/>
      <w:divBdr>
        <w:top w:val="none" w:sz="0" w:space="0" w:color="auto"/>
        <w:left w:val="none" w:sz="0" w:space="0" w:color="auto"/>
        <w:bottom w:val="none" w:sz="0" w:space="0" w:color="auto"/>
        <w:right w:val="none" w:sz="0" w:space="0" w:color="auto"/>
      </w:divBdr>
    </w:div>
    <w:div w:id="1503467226">
      <w:bodyDiv w:val="1"/>
      <w:marLeft w:val="0"/>
      <w:marRight w:val="0"/>
      <w:marTop w:val="0"/>
      <w:marBottom w:val="0"/>
      <w:divBdr>
        <w:top w:val="none" w:sz="0" w:space="0" w:color="auto"/>
        <w:left w:val="none" w:sz="0" w:space="0" w:color="auto"/>
        <w:bottom w:val="none" w:sz="0" w:space="0" w:color="auto"/>
        <w:right w:val="none" w:sz="0" w:space="0" w:color="auto"/>
      </w:divBdr>
    </w:div>
    <w:div w:id="1505627356">
      <w:bodyDiv w:val="1"/>
      <w:marLeft w:val="0"/>
      <w:marRight w:val="0"/>
      <w:marTop w:val="0"/>
      <w:marBottom w:val="0"/>
      <w:divBdr>
        <w:top w:val="none" w:sz="0" w:space="0" w:color="auto"/>
        <w:left w:val="none" w:sz="0" w:space="0" w:color="auto"/>
        <w:bottom w:val="none" w:sz="0" w:space="0" w:color="auto"/>
        <w:right w:val="none" w:sz="0" w:space="0" w:color="auto"/>
      </w:divBdr>
    </w:div>
    <w:div w:id="1530099892">
      <w:bodyDiv w:val="1"/>
      <w:marLeft w:val="0"/>
      <w:marRight w:val="0"/>
      <w:marTop w:val="0"/>
      <w:marBottom w:val="0"/>
      <w:divBdr>
        <w:top w:val="none" w:sz="0" w:space="0" w:color="auto"/>
        <w:left w:val="none" w:sz="0" w:space="0" w:color="auto"/>
        <w:bottom w:val="none" w:sz="0" w:space="0" w:color="auto"/>
        <w:right w:val="none" w:sz="0" w:space="0" w:color="auto"/>
      </w:divBdr>
    </w:div>
    <w:div w:id="1534004118">
      <w:bodyDiv w:val="1"/>
      <w:marLeft w:val="0"/>
      <w:marRight w:val="0"/>
      <w:marTop w:val="0"/>
      <w:marBottom w:val="0"/>
      <w:divBdr>
        <w:top w:val="none" w:sz="0" w:space="0" w:color="auto"/>
        <w:left w:val="none" w:sz="0" w:space="0" w:color="auto"/>
        <w:bottom w:val="none" w:sz="0" w:space="0" w:color="auto"/>
        <w:right w:val="none" w:sz="0" w:space="0" w:color="auto"/>
      </w:divBdr>
    </w:div>
    <w:div w:id="1575314866">
      <w:bodyDiv w:val="1"/>
      <w:marLeft w:val="0"/>
      <w:marRight w:val="0"/>
      <w:marTop w:val="0"/>
      <w:marBottom w:val="0"/>
      <w:divBdr>
        <w:top w:val="none" w:sz="0" w:space="0" w:color="auto"/>
        <w:left w:val="none" w:sz="0" w:space="0" w:color="auto"/>
        <w:bottom w:val="none" w:sz="0" w:space="0" w:color="auto"/>
        <w:right w:val="none" w:sz="0" w:space="0" w:color="auto"/>
      </w:divBdr>
    </w:div>
    <w:div w:id="1585531061">
      <w:bodyDiv w:val="1"/>
      <w:marLeft w:val="0"/>
      <w:marRight w:val="0"/>
      <w:marTop w:val="0"/>
      <w:marBottom w:val="0"/>
      <w:divBdr>
        <w:top w:val="none" w:sz="0" w:space="0" w:color="auto"/>
        <w:left w:val="none" w:sz="0" w:space="0" w:color="auto"/>
        <w:bottom w:val="none" w:sz="0" w:space="0" w:color="auto"/>
        <w:right w:val="none" w:sz="0" w:space="0" w:color="auto"/>
      </w:divBdr>
    </w:div>
    <w:div w:id="1601916169">
      <w:bodyDiv w:val="1"/>
      <w:marLeft w:val="0"/>
      <w:marRight w:val="0"/>
      <w:marTop w:val="0"/>
      <w:marBottom w:val="0"/>
      <w:divBdr>
        <w:top w:val="none" w:sz="0" w:space="0" w:color="auto"/>
        <w:left w:val="none" w:sz="0" w:space="0" w:color="auto"/>
        <w:bottom w:val="none" w:sz="0" w:space="0" w:color="auto"/>
        <w:right w:val="none" w:sz="0" w:space="0" w:color="auto"/>
      </w:divBdr>
    </w:div>
    <w:div w:id="1609242224">
      <w:bodyDiv w:val="1"/>
      <w:marLeft w:val="0"/>
      <w:marRight w:val="0"/>
      <w:marTop w:val="0"/>
      <w:marBottom w:val="0"/>
      <w:divBdr>
        <w:top w:val="none" w:sz="0" w:space="0" w:color="auto"/>
        <w:left w:val="none" w:sz="0" w:space="0" w:color="auto"/>
        <w:bottom w:val="none" w:sz="0" w:space="0" w:color="auto"/>
        <w:right w:val="none" w:sz="0" w:space="0" w:color="auto"/>
      </w:divBdr>
    </w:div>
    <w:div w:id="1708096867">
      <w:bodyDiv w:val="1"/>
      <w:marLeft w:val="0"/>
      <w:marRight w:val="0"/>
      <w:marTop w:val="0"/>
      <w:marBottom w:val="0"/>
      <w:divBdr>
        <w:top w:val="none" w:sz="0" w:space="0" w:color="auto"/>
        <w:left w:val="none" w:sz="0" w:space="0" w:color="auto"/>
        <w:bottom w:val="none" w:sz="0" w:space="0" w:color="auto"/>
        <w:right w:val="none" w:sz="0" w:space="0" w:color="auto"/>
      </w:divBdr>
    </w:div>
    <w:div w:id="1753118563">
      <w:bodyDiv w:val="1"/>
      <w:marLeft w:val="0"/>
      <w:marRight w:val="0"/>
      <w:marTop w:val="0"/>
      <w:marBottom w:val="0"/>
      <w:divBdr>
        <w:top w:val="none" w:sz="0" w:space="0" w:color="auto"/>
        <w:left w:val="none" w:sz="0" w:space="0" w:color="auto"/>
        <w:bottom w:val="none" w:sz="0" w:space="0" w:color="auto"/>
        <w:right w:val="none" w:sz="0" w:space="0" w:color="auto"/>
      </w:divBdr>
    </w:div>
    <w:div w:id="1806195909">
      <w:bodyDiv w:val="1"/>
      <w:marLeft w:val="0"/>
      <w:marRight w:val="0"/>
      <w:marTop w:val="0"/>
      <w:marBottom w:val="0"/>
      <w:divBdr>
        <w:top w:val="none" w:sz="0" w:space="0" w:color="auto"/>
        <w:left w:val="none" w:sz="0" w:space="0" w:color="auto"/>
        <w:bottom w:val="none" w:sz="0" w:space="0" w:color="auto"/>
        <w:right w:val="none" w:sz="0" w:space="0" w:color="auto"/>
      </w:divBdr>
    </w:div>
    <w:div w:id="1858618302">
      <w:bodyDiv w:val="1"/>
      <w:marLeft w:val="0"/>
      <w:marRight w:val="0"/>
      <w:marTop w:val="0"/>
      <w:marBottom w:val="0"/>
      <w:divBdr>
        <w:top w:val="none" w:sz="0" w:space="0" w:color="auto"/>
        <w:left w:val="none" w:sz="0" w:space="0" w:color="auto"/>
        <w:bottom w:val="none" w:sz="0" w:space="0" w:color="auto"/>
        <w:right w:val="none" w:sz="0" w:space="0" w:color="auto"/>
      </w:divBdr>
    </w:div>
    <w:div w:id="1876262635">
      <w:bodyDiv w:val="1"/>
      <w:marLeft w:val="0"/>
      <w:marRight w:val="0"/>
      <w:marTop w:val="0"/>
      <w:marBottom w:val="0"/>
      <w:divBdr>
        <w:top w:val="none" w:sz="0" w:space="0" w:color="auto"/>
        <w:left w:val="none" w:sz="0" w:space="0" w:color="auto"/>
        <w:bottom w:val="none" w:sz="0" w:space="0" w:color="auto"/>
        <w:right w:val="none" w:sz="0" w:space="0" w:color="auto"/>
      </w:divBdr>
    </w:div>
    <w:div w:id="1882205055">
      <w:bodyDiv w:val="1"/>
      <w:marLeft w:val="0"/>
      <w:marRight w:val="0"/>
      <w:marTop w:val="0"/>
      <w:marBottom w:val="0"/>
      <w:divBdr>
        <w:top w:val="none" w:sz="0" w:space="0" w:color="auto"/>
        <w:left w:val="none" w:sz="0" w:space="0" w:color="auto"/>
        <w:bottom w:val="none" w:sz="0" w:space="0" w:color="auto"/>
        <w:right w:val="none" w:sz="0" w:space="0" w:color="auto"/>
      </w:divBdr>
    </w:div>
    <w:div w:id="1918400720">
      <w:bodyDiv w:val="1"/>
      <w:marLeft w:val="0"/>
      <w:marRight w:val="0"/>
      <w:marTop w:val="0"/>
      <w:marBottom w:val="0"/>
      <w:divBdr>
        <w:top w:val="none" w:sz="0" w:space="0" w:color="auto"/>
        <w:left w:val="none" w:sz="0" w:space="0" w:color="auto"/>
        <w:bottom w:val="none" w:sz="0" w:space="0" w:color="auto"/>
        <w:right w:val="none" w:sz="0" w:space="0" w:color="auto"/>
      </w:divBdr>
    </w:div>
    <w:div w:id="1929774150">
      <w:bodyDiv w:val="1"/>
      <w:marLeft w:val="0"/>
      <w:marRight w:val="0"/>
      <w:marTop w:val="0"/>
      <w:marBottom w:val="0"/>
      <w:divBdr>
        <w:top w:val="none" w:sz="0" w:space="0" w:color="auto"/>
        <w:left w:val="none" w:sz="0" w:space="0" w:color="auto"/>
        <w:bottom w:val="none" w:sz="0" w:space="0" w:color="auto"/>
        <w:right w:val="none" w:sz="0" w:space="0" w:color="auto"/>
      </w:divBdr>
    </w:div>
    <w:div w:id="1984775143">
      <w:bodyDiv w:val="1"/>
      <w:marLeft w:val="0"/>
      <w:marRight w:val="0"/>
      <w:marTop w:val="0"/>
      <w:marBottom w:val="0"/>
      <w:divBdr>
        <w:top w:val="none" w:sz="0" w:space="0" w:color="auto"/>
        <w:left w:val="none" w:sz="0" w:space="0" w:color="auto"/>
        <w:bottom w:val="none" w:sz="0" w:space="0" w:color="auto"/>
        <w:right w:val="none" w:sz="0" w:space="0" w:color="auto"/>
      </w:divBdr>
    </w:div>
    <w:div w:id="2003777486">
      <w:bodyDiv w:val="1"/>
      <w:marLeft w:val="0"/>
      <w:marRight w:val="0"/>
      <w:marTop w:val="0"/>
      <w:marBottom w:val="0"/>
      <w:divBdr>
        <w:top w:val="none" w:sz="0" w:space="0" w:color="auto"/>
        <w:left w:val="none" w:sz="0" w:space="0" w:color="auto"/>
        <w:bottom w:val="none" w:sz="0" w:space="0" w:color="auto"/>
        <w:right w:val="none" w:sz="0" w:space="0" w:color="auto"/>
      </w:divBdr>
    </w:div>
    <w:div w:id="2010403416">
      <w:bodyDiv w:val="1"/>
      <w:marLeft w:val="0"/>
      <w:marRight w:val="0"/>
      <w:marTop w:val="0"/>
      <w:marBottom w:val="0"/>
      <w:divBdr>
        <w:top w:val="none" w:sz="0" w:space="0" w:color="auto"/>
        <w:left w:val="none" w:sz="0" w:space="0" w:color="auto"/>
        <w:bottom w:val="none" w:sz="0" w:space="0" w:color="auto"/>
        <w:right w:val="none" w:sz="0" w:space="0" w:color="auto"/>
      </w:divBdr>
    </w:div>
    <w:div w:id="2011634856">
      <w:bodyDiv w:val="1"/>
      <w:marLeft w:val="0"/>
      <w:marRight w:val="0"/>
      <w:marTop w:val="0"/>
      <w:marBottom w:val="0"/>
      <w:divBdr>
        <w:top w:val="none" w:sz="0" w:space="0" w:color="auto"/>
        <w:left w:val="none" w:sz="0" w:space="0" w:color="auto"/>
        <w:bottom w:val="none" w:sz="0" w:space="0" w:color="auto"/>
        <w:right w:val="none" w:sz="0" w:space="0" w:color="auto"/>
      </w:divBdr>
    </w:div>
    <w:div w:id="2027973201">
      <w:bodyDiv w:val="1"/>
      <w:marLeft w:val="0"/>
      <w:marRight w:val="0"/>
      <w:marTop w:val="0"/>
      <w:marBottom w:val="0"/>
      <w:divBdr>
        <w:top w:val="none" w:sz="0" w:space="0" w:color="auto"/>
        <w:left w:val="none" w:sz="0" w:space="0" w:color="auto"/>
        <w:bottom w:val="none" w:sz="0" w:space="0" w:color="auto"/>
        <w:right w:val="none" w:sz="0" w:space="0" w:color="auto"/>
      </w:divBdr>
    </w:div>
    <w:div w:id="2060932616">
      <w:bodyDiv w:val="1"/>
      <w:marLeft w:val="0"/>
      <w:marRight w:val="0"/>
      <w:marTop w:val="0"/>
      <w:marBottom w:val="0"/>
      <w:divBdr>
        <w:top w:val="none" w:sz="0" w:space="0" w:color="auto"/>
        <w:left w:val="none" w:sz="0" w:space="0" w:color="auto"/>
        <w:bottom w:val="none" w:sz="0" w:space="0" w:color="auto"/>
        <w:right w:val="none" w:sz="0" w:space="0" w:color="auto"/>
      </w:divBdr>
    </w:div>
    <w:div w:id="2073309641">
      <w:bodyDiv w:val="1"/>
      <w:marLeft w:val="0"/>
      <w:marRight w:val="0"/>
      <w:marTop w:val="0"/>
      <w:marBottom w:val="0"/>
      <w:divBdr>
        <w:top w:val="none" w:sz="0" w:space="0" w:color="auto"/>
        <w:left w:val="none" w:sz="0" w:space="0" w:color="auto"/>
        <w:bottom w:val="none" w:sz="0" w:space="0" w:color="auto"/>
        <w:right w:val="none" w:sz="0" w:space="0" w:color="auto"/>
      </w:divBdr>
    </w:div>
    <w:div w:id="2077314513">
      <w:bodyDiv w:val="1"/>
      <w:marLeft w:val="0"/>
      <w:marRight w:val="0"/>
      <w:marTop w:val="0"/>
      <w:marBottom w:val="0"/>
      <w:divBdr>
        <w:top w:val="none" w:sz="0" w:space="0" w:color="auto"/>
        <w:left w:val="none" w:sz="0" w:space="0" w:color="auto"/>
        <w:bottom w:val="none" w:sz="0" w:space="0" w:color="auto"/>
        <w:right w:val="none" w:sz="0" w:space="0" w:color="auto"/>
      </w:divBdr>
    </w:div>
    <w:div w:id="2095122499">
      <w:bodyDiv w:val="1"/>
      <w:marLeft w:val="0"/>
      <w:marRight w:val="0"/>
      <w:marTop w:val="0"/>
      <w:marBottom w:val="0"/>
      <w:divBdr>
        <w:top w:val="none" w:sz="0" w:space="0" w:color="auto"/>
        <w:left w:val="none" w:sz="0" w:space="0" w:color="auto"/>
        <w:bottom w:val="none" w:sz="0" w:space="0" w:color="auto"/>
        <w:right w:val="none" w:sz="0" w:space="0" w:color="auto"/>
      </w:divBdr>
    </w:div>
    <w:div w:id="2106682887">
      <w:bodyDiv w:val="1"/>
      <w:marLeft w:val="0"/>
      <w:marRight w:val="0"/>
      <w:marTop w:val="0"/>
      <w:marBottom w:val="0"/>
      <w:divBdr>
        <w:top w:val="none" w:sz="0" w:space="0" w:color="auto"/>
        <w:left w:val="none" w:sz="0" w:space="0" w:color="auto"/>
        <w:bottom w:val="none" w:sz="0" w:space="0" w:color="auto"/>
        <w:right w:val="none" w:sz="0" w:space="0" w:color="auto"/>
      </w:divBdr>
    </w:div>
    <w:div w:id="2136481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7.xml"/><Relationship Id="rId26" Type="http://schemas.openxmlformats.org/officeDocument/2006/relationships/image" Target="media/image8.png"/><Relationship Id="rId39" Type="http://schemas.openxmlformats.org/officeDocument/2006/relationships/hyperlink" Target="https://www.aitec.edu.au/ohtgyp/" TargetMode="External"/><Relationship Id="rId3" Type="http://schemas.openxmlformats.org/officeDocument/2006/relationships/styles" Target="styles.xml"/><Relationship Id="rId21" Type="http://schemas.openxmlformats.org/officeDocument/2006/relationships/image" Target="media/image3.emf"/><Relationship Id="rId34" Type="http://schemas.openxmlformats.org/officeDocument/2006/relationships/header" Target="header9.xm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image" Target="media/image7.png"/><Relationship Id="rId33" Type="http://schemas.openxmlformats.org/officeDocument/2006/relationships/header" Target="header8.xml"/><Relationship Id="rId38"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image" Target="media/image2.emf"/><Relationship Id="rId29" Type="http://schemas.openxmlformats.org/officeDocument/2006/relationships/image" Target="media/image11.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6.emf"/><Relationship Id="rId32" Type="http://schemas.openxmlformats.org/officeDocument/2006/relationships/image" Target="media/image14.png"/><Relationship Id="rId37" Type="http://schemas.openxmlformats.org/officeDocument/2006/relationships/header" Target="header12.xml"/><Relationship Id="rId40" Type="http://schemas.openxmlformats.org/officeDocument/2006/relationships/image" Target="media/image15.png"/><Relationship Id="rId5" Type="http://schemas.openxmlformats.org/officeDocument/2006/relationships/settings" Target="settings.xml"/><Relationship Id="rId15" Type="http://schemas.openxmlformats.org/officeDocument/2006/relationships/hyperlink" Target="mailto:copyright@health.gov.au" TargetMode="External"/><Relationship Id="rId23" Type="http://schemas.openxmlformats.org/officeDocument/2006/relationships/image" Target="media/image5.png"/><Relationship Id="rId28" Type="http://schemas.openxmlformats.org/officeDocument/2006/relationships/image" Target="media/image10.png"/><Relationship Id="rId36" Type="http://schemas.openxmlformats.org/officeDocument/2006/relationships/header" Target="header11.xml"/><Relationship Id="rId10" Type="http://schemas.openxmlformats.org/officeDocument/2006/relationships/footer" Target="footer1.xml"/><Relationship Id="rId19" Type="http://schemas.openxmlformats.org/officeDocument/2006/relationships/image" Target="media/image1.emf"/><Relationship Id="rId31" Type="http://schemas.openxmlformats.org/officeDocument/2006/relationships/image" Target="media/image13.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image" Target="media/image4.emf"/><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header" Target="header10.xml"/></Relationships>
</file>

<file path=word/_rels/endnotes.xml.rels><?xml version="1.0" encoding="UTF-8" standalone="yes"?>
<Relationships xmlns="http://schemas.openxmlformats.org/package/2006/relationships"><Relationship Id="rId8" Type="http://schemas.openxmlformats.org/officeDocument/2006/relationships/hyperlink" Target="http://www.health.gov.au/internet/nhhrc/publishing.nsf/Content/16F7A93D8F578DB4CA2574D7001830E9/$File/Improving%20oral%20health%20&amp;%20dental%20care%20for%20Aust.pdf" TargetMode="External"/><Relationship Id="rId3" Type="http://schemas.openxmlformats.org/officeDocument/2006/relationships/hyperlink" Target="http://www.hpm.org/au/a5/3.pdf" TargetMode="External"/><Relationship Id="rId7" Type="http://schemas.openxmlformats.org/officeDocument/2006/relationships/hyperlink" Target="http://www.ada.org.au/app_cmslib/media/lib/0709/m99029_v1_sept%202007.pdf" TargetMode="External"/><Relationship Id="rId2" Type="http://schemas.openxmlformats.org/officeDocument/2006/relationships/hyperlink" Target="https://www.health.gov.au/internet/main/publishing.nsf/Content/Dental+Care+Services" TargetMode="External"/><Relationship Id="rId1" Type="http://schemas.openxmlformats.org/officeDocument/2006/relationships/hyperlink" Target="http://www.health.gov.au/internet/publications/publishing.nsf/Content/report_nacdh~report_nacdh_ch2~report_nacdh_wf" TargetMode="External"/><Relationship Id="rId6" Type="http://schemas.openxmlformats.org/officeDocument/2006/relationships/hyperlink" Target="http://www.hpm.org/au/a5/3.pdf" TargetMode="External"/><Relationship Id="rId5" Type="http://schemas.openxmlformats.org/officeDocument/2006/relationships/hyperlink" Target="http://www.ada.org.au/App_CmsLib/Media/Lib/1311/M709141_v1_demand_for_dental_services_australia.pdf" TargetMode="External"/><Relationship Id="rId4" Type="http://schemas.openxmlformats.org/officeDocument/2006/relationships/hyperlink" Target="https://www.adelaide.edu.au/arcpoh/downloads/publications/reports/research/2001-2008/report-08.pdf%20%5bPDF,%20XXX%20KB%5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Aus12</b:Tag>
    <b:SourceType>Report</b:SourceType>
    <b:Guid>{3A30779E-0BD6-4896-8854-5DEC3786D60F}</b:Guid>
    <b:Author>
      <b:Author>
        <b:NameList>
          <b:Person>
            <b:Last>Welfare</b:Last>
            <b:First>Australian</b:First>
            <b:Middle>Institute of Health and</b:Middle>
          </b:Person>
        </b:NameList>
      </b:Author>
    </b:Author>
    <b:Title>Key Facts and Figures</b:Title>
    <b:Year>2012</b:Year>
    <b:RefOrder>1</b:RefOrder>
  </b:Source>
</b:Sources>
</file>

<file path=customXml/itemProps1.xml><?xml version="1.0" encoding="utf-8"?>
<ds:datastoreItem xmlns:ds="http://schemas.openxmlformats.org/officeDocument/2006/customXml" ds:itemID="{383B7DFB-8E02-4898-8220-9E6480F97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81</Pages>
  <Words>20599</Words>
  <Characters>117415</Characters>
  <Application>Microsoft Office Word</Application>
  <DocSecurity>4</DocSecurity>
  <Lines>978</Lines>
  <Paragraphs>275</Paragraphs>
  <ScaleCrop>false</ScaleCrop>
  <HeadingPairs>
    <vt:vector size="2" baseType="variant">
      <vt:variant>
        <vt:lpstr>Title</vt:lpstr>
      </vt:variant>
      <vt:variant>
        <vt:i4>1</vt:i4>
      </vt:variant>
    </vt:vector>
  </HeadingPairs>
  <TitlesOfParts>
    <vt:vector size="1" baseType="lpstr">
      <vt:lpstr>Australia's future health workforce: oral health - overview report</vt:lpstr>
    </vt:vector>
  </TitlesOfParts>
  <Company>HWA</Company>
  <LinksUpToDate>false</LinksUpToDate>
  <CharactersWithSpaces>137739</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Australia's future health workforce: oral health - overview report</dc:title>
  <dc:subject>Health workforce</dc:subject>
  <dc:creator>Health Workforce Australia</dc:creator>
  <cp:keywords>oral health, dental health, workforce planning, projections</cp:keywords>
  <cp:lastModifiedBy>Gill Sharon</cp:lastModifiedBy>
  <cp:revision>2</cp:revision>
  <cp:lastPrinted>2014-09-03T05:53:00Z</cp:lastPrinted>
  <dcterms:created xsi:type="dcterms:W3CDTF">2015-06-18T07:09:00Z</dcterms:created>
  <dcterms:modified xsi:type="dcterms:W3CDTF">2015-06-18T07:09:00Z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Name">
    <vt:lpwstr>{Document Name)</vt:lpwstr>
  </property>
  <property fmtid="{D5CDD505-2E9C-101B-9397-08002B2CF9AE}" pid="3" name="Document Type">
    <vt:lpwstr>{Document Type}</vt:lpwstr>
  </property>
  <property fmtid="{D5CDD505-2E9C-101B-9397-08002B2CF9AE}" pid="4" name="Date completed">
    <vt:lpwstr>{Report Date}</vt:lpwstr>
  </property>
  <property fmtid="{D5CDD505-2E9C-101B-9397-08002B2CF9AE}" pid="5" name="DMSDOCTYPE">
    <vt:lpwstr/>
  </property>
  <property fmtid="{D5CDD505-2E9C-101B-9397-08002B2CF9AE}" pid="6" name="DraftType">
    <vt:lpwstr/>
  </property>
  <property fmtid="{D5CDD505-2E9C-101B-9397-08002B2CF9AE}" pid="7" name="WPLUSServerName">
    <vt:lpwstr/>
  </property>
  <property fmtid="{D5CDD505-2E9C-101B-9397-08002B2CF9AE}" pid="8" name="WPLUSDataBaseName">
    <vt:lpwstr/>
  </property>
  <property fmtid="{D5CDD505-2E9C-101B-9397-08002B2CF9AE}" pid="9" name="WPLUSDocumentUNID">
    <vt:lpwstr/>
  </property>
  <property fmtid="{D5CDD505-2E9C-101B-9397-08002B2CF9AE}" pid="10" name="NeverSavedToNT">
    <vt:lpwstr/>
  </property>
</Properties>
</file>